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B7F2D" w14:textId="77777777" w:rsidR="004D014B" w:rsidRDefault="004D014B" w:rsidP="004D014B">
      <w:pPr>
        <w:bidi/>
        <w:jc w:val="center"/>
        <w:rPr>
          <w:rFonts w:ascii="FrankRuehl" w:hAnsi="FrankRuehl" w:cs="FrankRuehl"/>
          <w:color w:val="202122"/>
          <w:sz w:val="24"/>
          <w:szCs w:val="24"/>
          <w:shd w:val="clear" w:color="auto" w:fill="FFFFFF"/>
          <w:rtl/>
        </w:rPr>
      </w:pPr>
      <w:r>
        <w:rPr>
          <w:rFonts w:ascii="FrankRuehl" w:hAnsi="FrankRuehl" w:cs="FrankRuehl" w:hint="cs"/>
          <w:sz w:val="24"/>
          <w:szCs w:val="24"/>
          <w:rtl/>
        </w:rPr>
        <w:t>ליחס שבין '</w:t>
      </w:r>
      <w:proofErr w:type="spellStart"/>
      <w:r w:rsidRPr="00DC1128">
        <w:rPr>
          <w:rFonts w:ascii="FrankRuehl" w:hAnsi="FrankRuehl" w:cs="FrankRuehl"/>
          <w:sz w:val="24"/>
          <w:szCs w:val="24"/>
          <w:rtl/>
        </w:rPr>
        <w:t>בְּהֶמְתְּך</w:t>
      </w:r>
      <w:proofErr w:type="spellEnd"/>
      <w:r w:rsidRPr="00DC1128">
        <w:rPr>
          <w:rFonts w:ascii="FrankRuehl" w:hAnsi="FrankRuehl" w:cs="FrankRuehl"/>
          <w:sz w:val="24"/>
          <w:szCs w:val="24"/>
          <w:rtl/>
        </w:rPr>
        <w:t>ָ לֹא</w:t>
      </w:r>
      <w:r w:rsidRPr="00DC1128">
        <w:rPr>
          <w:rFonts w:ascii="FrankRuehl" w:hAnsi="FrankRuehl" w:cs="FrankRuehl" w:hint="cs"/>
          <w:sz w:val="24"/>
          <w:szCs w:val="24"/>
          <w:rtl/>
        </w:rPr>
        <w:t xml:space="preserve"> </w:t>
      </w:r>
      <w:proofErr w:type="spellStart"/>
      <w:r w:rsidRPr="00DC1128">
        <w:rPr>
          <w:rFonts w:ascii="FrankRuehl" w:hAnsi="FrankRuehl" w:cs="FrankRuehl"/>
          <w:sz w:val="24"/>
          <w:szCs w:val="24"/>
          <w:rtl/>
        </w:rPr>
        <w:t>תַרְבִּיע</w:t>
      </w:r>
      <w:proofErr w:type="spellEnd"/>
      <w:r w:rsidRPr="00DC1128">
        <w:rPr>
          <w:rFonts w:ascii="FrankRuehl" w:hAnsi="FrankRuehl" w:cs="FrankRuehl"/>
          <w:sz w:val="24"/>
          <w:szCs w:val="24"/>
          <w:rtl/>
        </w:rPr>
        <w:t xml:space="preserve">ַ </w:t>
      </w:r>
      <w:proofErr w:type="spellStart"/>
      <w:r w:rsidRPr="00DC1128">
        <w:rPr>
          <w:rFonts w:ascii="FrankRuehl" w:hAnsi="FrankRuehl" w:cs="FrankRuehl"/>
          <w:sz w:val="24"/>
          <w:szCs w:val="24"/>
          <w:rtl/>
        </w:rPr>
        <w:t>כִּלְאַיִם</w:t>
      </w:r>
      <w:proofErr w:type="spellEnd"/>
      <w:r w:rsidRPr="00DC1128">
        <w:rPr>
          <w:rFonts w:ascii="FrankRuehl" w:hAnsi="FrankRuehl" w:cs="FrankRuehl" w:hint="cs"/>
          <w:sz w:val="24"/>
          <w:szCs w:val="24"/>
          <w:rtl/>
        </w:rPr>
        <w:t>'</w:t>
      </w:r>
      <w:r>
        <w:rPr>
          <w:rFonts w:ascii="FrankRuehl" w:hAnsi="FrankRuehl" w:cs="FrankRuehl" w:hint="cs"/>
          <w:sz w:val="24"/>
          <w:szCs w:val="24"/>
          <w:rtl/>
        </w:rPr>
        <w:t xml:space="preserve"> (ויקרא </w:t>
      </w:r>
      <w:proofErr w:type="spellStart"/>
      <w:r>
        <w:rPr>
          <w:rFonts w:ascii="FrankRuehl" w:hAnsi="FrankRuehl" w:cs="FrankRuehl" w:hint="cs"/>
          <w:sz w:val="24"/>
          <w:szCs w:val="24"/>
          <w:rtl/>
        </w:rPr>
        <w:t>יט</w:t>
      </w:r>
      <w:proofErr w:type="spellEnd"/>
      <w:r>
        <w:rPr>
          <w:rFonts w:ascii="FrankRuehl" w:hAnsi="FrankRuehl" w:cs="FrankRuehl" w:hint="cs"/>
          <w:sz w:val="24"/>
          <w:szCs w:val="24"/>
          <w:rtl/>
        </w:rPr>
        <w:t xml:space="preserve"> 19) </w:t>
      </w:r>
      <w:proofErr w:type="spellStart"/>
      <w:r>
        <w:rPr>
          <w:rFonts w:ascii="FrankRuehl" w:hAnsi="FrankRuehl" w:cs="FrankRuehl" w:hint="cs"/>
          <w:sz w:val="24"/>
          <w:szCs w:val="24"/>
          <w:rtl/>
        </w:rPr>
        <w:t>ל'</w:t>
      </w:r>
      <w:r w:rsidRPr="003D5453">
        <w:rPr>
          <w:rFonts w:ascii="FrankRuehl" w:hAnsi="FrankRuehl" w:cs="FrankRuehl"/>
          <w:color w:val="202122"/>
          <w:sz w:val="24"/>
          <w:szCs w:val="24"/>
          <w:shd w:val="clear" w:color="auto" w:fill="FFFFFF"/>
          <w:rtl/>
        </w:rPr>
        <w:t>לֹא</w:t>
      </w:r>
      <w:proofErr w:type="spellEnd"/>
      <w:r w:rsidRPr="003D5453">
        <w:rPr>
          <w:rFonts w:ascii="FrankRuehl" w:hAnsi="FrankRuehl" w:cs="FrankRuehl"/>
          <w:color w:val="202122"/>
          <w:sz w:val="24"/>
          <w:szCs w:val="24"/>
          <w:shd w:val="clear" w:color="auto" w:fill="FFFFFF"/>
          <w:rtl/>
        </w:rPr>
        <w:t xml:space="preserve"> </w:t>
      </w:r>
      <w:proofErr w:type="spellStart"/>
      <w:r w:rsidRPr="003D5453">
        <w:rPr>
          <w:rFonts w:ascii="FrankRuehl" w:hAnsi="FrankRuehl" w:cs="FrankRuehl"/>
          <w:color w:val="202122"/>
          <w:sz w:val="24"/>
          <w:szCs w:val="24"/>
          <w:shd w:val="clear" w:color="auto" w:fill="FFFFFF"/>
          <w:rtl/>
        </w:rPr>
        <w:t>תַחֲרֹש</w:t>
      </w:r>
      <w:proofErr w:type="spellEnd"/>
      <w:r w:rsidRPr="003D5453">
        <w:rPr>
          <w:rFonts w:ascii="FrankRuehl" w:hAnsi="FrankRuehl" w:cs="FrankRuehl"/>
          <w:color w:val="202122"/>
          <w:sz w:val="24"/>
          <w:szCs w:val="24"/>
          <w:shd w:val="clear" w:color="auto" w:fill="FFFFFF"/>
          <w:rtl/>
        </w:rPr>
        <w:t>ׁ בְּשׁוֹר וּבַחֲמֹר יַחְדָּו</w:t>
      </w:r>
      <w:r>
        <w:rPr>
          <w:rFonts w:ascii="FrankRuehl" w:hAnsi="FrankRuehl" w:cs="FrankRuehl" w:hint="cs"/>
          <w:color w:val="202122"/>
          <w:sz w:val="24"/>
          <w:szCs w:val="24"/>
          <w:shd w:val="clear" w:color="auto" w:fill="FFFFFF"/>
          <w:rtl/>
        </w:rPr>
        <w:t xml:space="preserve">' (דב' </w:t>
      </w:r>
      <w:proofErr w:type="spellStart"/>
      <w:r>
        <w:rPr>
          <w:rFonts w:ascii="FrankRuehl" w:hAnsi="FrankRuehl" w:cs="FrankRuehl" w:hint="cs"/>
          <w:color w:val="202122"/>
          <w:sz w:val="24"/>
          <w:szCs w:val="24"/>
          <w:shd w:val="clear" w:color="auto" w:fill="FFFFFF"/>
          <w:rtl/>
        </w:rPr>
        <w:t>כב</w:t>
      </w:r>
      <w:proofErr w:type="spellEnd"/>
      <w:r>
        <w:rPr>
          <w:rFonts w:ascii="FrankRuehl" w:hAnsi="FrankRuehl" w:cs="FrankRuehl" w:hint="cs"/>
          <w:color w:val="202122"/>
          <w:sz w:val="24"/>
          <w:szCs w:val="24"/>
          <w:shd w:val="clear" w:color="auto" w:fill="FFFFFF"/>
          <w:rtl/>
        </w:rPr>
        <w:t xml:space="preserve"> 10): בחינה מחודשת</w:t>
      </w:r>
    </w:p>
    <w:p w14:paraId="2A1AB6FE" w14:textId="77777777" w:rsidR="004D014B" w:rsidRDefault="004D014B" w:rsidP="004D014B">
      <w:pPr>
        <w:bidi/>
        <w:rPr>
          <w:rFonts w:ascii="FrankRuehl" w:hAnsi="FrankRuehl" w:cs="FrankRuehl"/>
          <w:color w:val="202122"/>
          <w:sz w:val="24"/>
          <w:szCs w:val="24"/>
          <w:shd w:val="clear" w:color="auto" w:fill="FFFFFF"/>
          <w:rtl/>
        </w:rPr>
      </w:pPr>
    </w:p>
    <w:p w14:paraId="5DEAF95A" w14:textId="77777777" w:rsidR="004D014B" w:rsidRDefault="004D014B" w:rsidP="004D014B">
      <w:pPr>
        <w:bidi/>
        <w:rPr>
          <w:rFonts w:ascii="FrankRuehl" w:hAnsi="FrankRuehl" w:cs="FrankRuehl"/>
          <w:color w:val="202122"/>
          <w:sz w:val="24"/>
          <w:szCs w:val="24"/>
          <w:shd w:val="clear" w:color="auto" w:fill="FFFFFF"/>
          <w:rtl/>
        </w:rPr>
      </w:pPr>
      <w:r w:rsidRPr="00122F0C">
        <w:rPr>
          <w:rFonts w:ascii="FrankRuehl" w:hAnsi="FrankRuehl" w:cs="FrankRuehl" w:hint="cs"/>
          <w:color w:val="202122"/>
          <w:sz w:val="24"/>
          <w:szCs w:val="24"/>
          <w:u w:val="single"/>
          <w:shd w:val="clear" w:color="auto" w:fill="FFFFFF"/>
          <w:rtl/>
        </w:rPr>
        <w:t>תקציר</w:t>
      </w:r>
    </w:p>
    <w:p w14:paraId="1A6CCBB0" w14:textId="2D55D969" w:rsidR="004D014B" w:rsidRPr="00561044" w:rsidRDefault="004D014B" w:rsidP="004D014B">
      <w:pPr>
        <w:bidi/>
        <w:rPr>
          <w:rFonts w:ascii="FrankRuehl" w:hAnsi="FrankRuehl" w:cs="FrankRuehl"/>
          <w:color w:val="202122"/>
          <w:sz w:val="24"/>
          <w:szCs w:val="24"/>
          <w:shd w:val="clear" w:color="auto" w:fill="FFFFFF"/>
          <w:lang w:val="en-US"/>
        </w:rPr>
      </w:pPr>
      <w:bookmarkStart w:id="0" w:name="_Hlk54524418"/>
      <w:r>
        <w:rPr>
          <w:rFonts w:ascii="FrankRuehl" w:hAnsi="FrankRuehl" w:cs="FrankRuehl" w:hint="cs"/>
          <w:color w:val="202122"/>
          <w:sz w:val="24"/>
          <w:szCs w:val="24"/>
          <w:shd w:val="clear" w:color="auto" w:fill="FFFFFF"/>
          <w:rtl/>
        </w:rPr>
        <w:t xml:space="preserve">שלושה איסורי כלאיים </w:t>
      </w:r>
      <w:proofErr w:type="spellStart"/>
      <w:r>
        <w:rPr>
          <w:rFonts w:ascii="FrankRuehl" w:hAnsi="FrankRuehl" w:cs="FrankRuehl" w:hint="cs"/>
          <w:color w:val="202122"/>
          <w:sz w:val="24"/>
          <w:szCs w:val="24"/>
          <w:shd w:val="clear" w:color="auto" w:fill="FFFFFF"/>
          <w:rtl/>
        </w:rPr>
        <w:t>בויקרא</w:t>
      </w:r>
      <w:proofErr w:type="spellEnd"/>
      <w:r>
        <w:rPr>
          <w:rFonts w:ascii="FrankRuehl" w:hAnsi="FrankRuehl" w:cs="FrankRuehl" w:hint="cs"/>
          <w:color w:val="202122"/>
          <w:sz w:val="24"/>
          <w:szCs w:val="24"/>
          <w:shd w:val="clear" w:color="auto" w:fill="FFFFFF"/>
          <w:rtl/>
        </w:rPr>
        <w:t xml:space="preserve"> </w:t>
      </w:r>
      <w:proofErr w:type="spellStart"/>
      <w:r>
        <w:rPr>
          <w:rFonts w:ascii="FrankRuehl" w:hAnsi="FrankRuehl" w:cs="FrankRuehl" w:hint="cs"/>
          <w:color w:val="202122"/>
          <w:sz w:val="24"/>
          <w:szCs w:val="24"/>
          <w:shd w:val="clear" w:color="auto" w:fill="FFFFFF"/>
          <w:rtl/>
        </w:rPr>
        <w:t>יט</w:t>
      </w:r>
      <w:proofErr w:type="spellEnd"/>
      <w:r>
        <w:rPr>
          <w:rFonts w:ascii="FrankRuehl" w:hAnsi="FrankRuehl" w:cs="FrankRuehl" w:hint="cs"/>
          <w:color w:val="202122"/>
          <w:sz w:val="24"/>
          <w:szCs w:val="24"/>
          <w:shd w:val="clear" w:color="auto" w:fill="FFFFFF"/>
          <w:rtl/>
        </w:rPr>
        <w:t xml:space="preserve"> 19:</w:t>
      </w:r>
      <w:r w:rsidRPr="00122F0C">
        <w:rPr>
          <w:rFonts w:ascii="FrankRuehl" w:hAnsi="FrankRuehl" w:cs="FrankRuehl" w:hint="cs"/>
          <w:sz w:val="24"/>
          <w:szCs w:val="24"/>
          <w:rtl/>
        </w:rPr>
        <w:t xml:space="preserve"> </w:t>
      </w:r>
      <w:r>
        <w:rPr>
          <w:rFonts w:ascii="FrankRuehl" w:hAnsi="FrankRuehl" w:cs="FrankRuehl" w:hint="cs"/>
          <w:sz w:val="24"/>
          <w:szCs w:val="24"/>
          <w:rtl/>
        </w:rPr>
        <w:t>'</w:t>
      </w:r>
      <w:proofErr w:type="spellStart"/>
      <w:r w:rsidRPr="00DC1128">
        <w:rPr>
          <w:rFonts w:ascii="FrankRuehl" w:hAnsi="FrankRuehl" w:cs="FrankRuehl"/>
          <w:sz w:val="24"/>
          <w:szCs w:val="24"/>
          <w:rtl/>
        </w:rPr>
        <w:t>בְּהֶמְתְּך</w:t>
      </w:r>
      <w:proofErr w:type="spellEnd"/>
      <w:r w:rsidRPr="00DC1128">
        <w:rPr>
          <w:rFonts w:ascii="FrankRuehl" w:hAnsi="FrankRuehl" w:cs="FrankRuehl"/>
          <w:sz w:val="24"/>
          <w:szCs w:val="24"/>
          <w:rtl/>
        </w:rPr>
        <w:t>ָ לֹא</w:t>
      </w:r>
      <w:r w:rsidRPr="00DC1128">
        <w:rPr>
          <w:rFonts w:ascii="FrankRuehl" w:hAnsi="FrankRuehl" w:cs="FrankRuehl" w:hint="cs"/>
          <w:sz w:val="24"/>
          <w:szCs w:val="24"/>
          <w:rtl/>
        </w:rPr>
        <w:t xml:space="preserve"> </w:t>
      </w:r>
      <w:proofErr w:type="spellStart"/>
      <w:r w:rsidRPr="00DC1128">
        <w:rPr>
          <w:rFonts w:ascii="FrankRuehl" w:hAnsi="FrankRuehl" w:cs="FrankRuehl"/>
          <w:sz w:val="24"/>
          <w:szCs w:val="24"/>
          <w:rtl/>
        </w:rPr>
        <w:t>תַרְבִּיע</w:t>
      </w:r>
      <w:proofErr w:type="spellEnd"/>
      <w:r w:rsidRPr="00DC1128">
        <w:rPr>
          <w:rFonts w:ascii="FrankRuehl" w:hAnsi="FrankRuehl" w:cs="FrankRuehl"/>
          <w:sz w:val="24"/>
          <w:szCs w:val="24"/>
          <w:rtl/>
        </w:rPr>
        <w:t xml:space="preserve">ַ </w:t>
      </w:r>
      <w:proofErr w:type="spellStart"/>
      <w:r w:rsidRPr="00DC1128">
        <w:rPr>
          <w:rFonts w:ascii="FrankRuehl" w:hAnsi="FrankRuehl" w:cs="FrankRuehl"/>
          <w:sz w:val="24"/>
          <w:szCs w:val="24"/>
          <w:rtl/>
        </w:rPr>
        <w:t>כִּלְאַיִם</w:t>
      </w:r>
      <w:proofErr w:type="spellEnd"/>
      <w:r w:rsidRPr="00DC1128">
        <w:rPr>
          <w:rFonts w:ascii="FrankRuehl" w:hAnsi="FrankRuehl" w:cs="FrankRuehl" w:hint="cs"/>
          <w:sz w:val="24"/>
          <w:szCs w:val="24"/>
          <w:rtl/>
        </w:rPr>
        <w:t>'</w:t>
      </w:r>
      <w:r>
        <w:rPr>
          <w:rFonts w:ascii="FrankRuehl" w:hAnsi="FrankRuehl" w:cs="FrankRuehl" w:hint="cs"/>
          <w:sz w:val="24"/>
          <w:szCs w:val="24"/>
          <w:rtl/>
        </w:rPr>
        <w:t>, '</w:t>
      </w:r>
      <w:proofErr w:type="spellStart"/>
      <w:r w:rsidRPr="00DC1128">
        <w:rPr>
          <w:rFonts w:ascii="FrankRuehl" w:hAnsi="FrankRuehl" w:cs="FrankRuehl"/>
          <w:sz w:val="24"/>
          <w:szCs w:val="24"/>
          <w:rtl/>
        </w:rPr>
        <w:t>שָׂדְך</w:t>
      </w:r>
      <w:proofErr w:type="spellEnd"/>
      <w:r w:rsidRPr="00DC1128">
        <w:rPr>
          <w:rFonts w:ascii="FrankRuehl" w:hAnsi="FrankRuehl" w:cs="FrankRuehl"/>
          <w:sz w:val="24"/>
          <w:szCs w:val="24"/>
          <w:rtl/>
        </w:rPr>
        <w:t>ָ לֹא</w:t>
      </w:r>
      <w:r w:rsidRPr="00DC1128">
        <w:rPr>
          <w:rFonts w:ascii="FrankRuehl" w:hAnsi="FrankRuehl" w:cs="FrankRuehl" w:hint="cs"/>
          <w:sz w:val="24"/>
          <w:szCs w:val="24"/>
          <w:rtl/>
        </w:rPr>
        <w:t xml:space="preserve"> </w:t>
      </w:r>
      <w:r w:rsidRPr="00DC1128">
        <w:rPr>
          <w:rFonts w:ascii="FrankRuehl" w:hAnsi="FrankRuehl" w:cs="FrankRuehl"/>
          <w:sz w:val="24"/>
          <w:szCs w:val="24"/>
          <w:rtl/>
        </w:rPr>
        <w:t xml:space="preserve">תִזְרַע </w:t>
      </w:r>
      <w:proofErr w:type="spellStart"/>
      <w:r w:rsidRPr="00DC1128">
        <w:rPr>
          <w:rFonts w:ascii="FrankRuehl" w:hAnsi="FrankRuehl" w:cs="FrankRuehl"/>
          <w:sz w:val="24"/>
          <w:szCs w:val="24"/>
          <w:rtl/>
        </w:rPr>
        <w:t>כִּלְאָיִם</w:t>
      </w:r>
      <w:proofErr w:type="spellEnd"/>
      <w:r>
        <w:rPr>
          <w:rFonts w:ascii="FrankRuehl" w:hAnsi="FrankRuehl" w:cs="FrankRuehl" w:hint="cs"/>
          <w:sz w:val="24"/>
          <w:szCs w:val="24"/>
          <w:rtl/>
        </w:rPr>
        <w:t>', '</w:t>
      </w:r>
      <w:proofErr w:type="spellStart"/>
      <w:r w:rsidRPr="00DC1128">
        <w:rPr>
          <w:rFonts w:ascii="FrankRuehl" w:hAnsi="FrankRuehl" w:cs="FrankRuehl"/>
          <w:sz w:val="24"/>
          <w:szCs w:val="24"/>
          <w:rtl/>
        </w:rPr>
        <w:t>וּבֶגֶד</w:t>
      </w:r>
      <w:proofErr w:type="spellEnd"/>
      <w:r w:rsidRPr="00DC1128">
        <w:rPr>
          <w:rFonts w:ascii="FrankRuehl" w:hAnsi="FrankRuehl" w:cs="FrankRuehl"/>
          <w:sz w:val="24"/>
          <w:szCs w:val="24"/>
          <w:rtl/>
        </w:rPr>
        <w:t xml:space="preserve"> </w:t>
      </w:r>
      <w:proofErr w:type="spellStart"/>
      <w:r w:rsidRPr="00DC1128">
        <w:rPr>
          <w:rFonts w:ascii="FrankRuehl" w:hAnsi="FrankRuehl" w:cs="FrankRuehl"/>
          <w:sz w:val="24"/>
          <w:szCs w:val="24"/>
          <w:rtl/>
        </w:rPr>
        <w:t>כִּלְאַיִם</w:t>
      </w:r>
      <w:proofErr w:type="spellEnd"/>
      <w:r w:rsidRPr="00DC1128">
        <w:rPr>
          <w:rFonts w:ascii="FrankRuehl" w:hAnsi="FrankRuehl" w:cs="FrankRuehl"/>
          <w:sz w:val="24"/>
          <w:szCs w:val="24"/>
          <w:rtl/>
        </w:rPr>
        <w:t xml:space="preserve"> </w:t>
      </w:r>
      <w:proofErr w:type="spellStart"/>
      <w:r w:rsidRPr="00DC1128">
        <w:rPr>
          <w:rFonts w:ascii="FrankRuehl" w:hAnsi="FrankRuehl" w:cs="FrankRuehl"/>
          <w:sz w:val="24"/>
          <w:szCs w:val="24"/>
          <w:rtl/>
        </w:rPr>
        <w:t>שַׁעַטְנֵז</w:t>
      </w:r>
      <w:proofErr w:type="spellEnd"/>
      <w:r w:rsidRPr="00DC1128">
        <w:rPr>
          <w:rFonts w:ascii="FrankRuehl" w:hAnsi="FrankRuehl" w:cs="FrankRuehl"/>
          <w:sz w:val="24"/>
          <w:szCs w:val="24"/>
          <w:rtl/>
        </w:rPr>
        <w:t xml:space="preserve"> לֹא יַעֲלֶה עָלֶיךָ</w:t>
      </w:r>
      <w:r w:rsidRPr="00DC1128">
        <w:rPr>
          <w:rFonts w:ascii="FrankRuehl" w:hAnsi="FrankRuehl" w:cs="FrankRuehl" w:hint="cs"/>
          <w:sz w:val="24"/>
          <w:szCs w:val="24"/>
          <w:rtl/>
        </w:rPr>
        <w:t>'</w:t>
      </w:r>
      <w:r>
        <w:rPr>
          <w:rFonts w:ascii="FrankRuehl" w:hAnsi="FrankRuehl" w:cs="FrankRuehl" w:hint="cs"/>
          <w:sz w:val="24"/>
          <w:szCs w:val="24"/>
          <w:rtl/>
        </w:rPr>
        <w:t xml:space="preserve">. זריעת כלאיים ויצירת בגד כלאיים הן פעולות הניתנות לביצוע בדרכים </w:t>
      </w:r>
      <w:r w:rsidR="0016683D">
        <w:rPr>
          <w:rFonts w:ascii="FrankRuehl" w:hAnsi="FrankRuehl" w:cs="FrankRuehl" w:hint="cs"/>
          <w:sz w:val="24"/>
          <w:szCs w:val="24"/>
          <w:rtl/>
        </w:rPr>
        <w:t>מגוונות ו</w:t>
      </w:r>
      <w:r>
        <w:rPr>
          <w:rFonts w:ascii="FrankRuehl" w:hAnsi="FrankRuehl" w:cs="FrankRuehl" w:hint="cs"/>
          <w:sz w:val="24"/>
          <w:szCs w:val="24"/>
          <w:rtl/>
        </w:rPr>
        <w:t xml:space="preserve">שונות. אולם אין לשני איסורים אלו בהכרח השפעה שלילית על חייו של בן תקופת המקרא. </w:t>
      </w:r>
      <w:r w:rsidR="00C678D0">
        <w:rPr>
          <w:rFonts w:ascii="FrankRuehl" w:hAnsi="FrankRuehl" w:cs="FrankRuehl" w:hint="cs"/>
          <w:sz w:val="24"/>
          <w:szCs w:val="24"/>
          <w:rtl/>
        </w:rPr>
        <w:t>ה</w:t>
      </w:r>
      <w:r>
        <w:rPr>
          <w:rFonts w:ascii="FrankRuehl" w:hAnsi="FrankRuehl" w:cs="FrankRuehl" w:hint="cs"/>
          <w:sz w:val="24"/>
          <w:szCs w:val="24"/>
          <w:rtl/>
        </w:rPr>
        <w:t xml:space="preserve">איסור </w:t>
      </w:r>
      <w:r w:rsidR="00C678D0">
        <w:rPr>
          <w:rFonts w:ascii="FrankRuehl" w:hAnsi="FrankRuehl" w:cs="FrankRuehl" w:hint="cs"/>
          <w:sz w:val="24"/>
          <w:szCs w:val="24"/>
          <w:rtl/>
        </w:rPr>
        <w:t xml:space="preserve">על </w:t>
      </w:r>
      <w:r>
        <w:rPr>
          <w:rFonts w:ascii="FrankRuehl" w:hAnsi="FrankRuehl" w:cs="FrankRuehl" w:hint="cs"/>
          <w:sz w:val="24"/>
          <w:szCs w:val="24"/>
          <w:rtl/>
        </w:rPr>
        <w:t xml:space="preserve">בהמת כלאיים </w:t>
      </w:r>
      <w:r w:rsidR="00C678D0">
        <w:rPr>
          <w:rFonts w:ascii="FrankRuehl" w:hAnsi="FrankRuehl" w:cs="FrankRuehl" w:hint="cs"/>
          <w:sz w:val="24"/>
          <w:szCs w:val="24"/>
          <w:rtl/>
        </w:rPr>
        <w:t xml:space="preserve">שונה: איסור זה, למעשה, </w:t>
      </w:r>
      <w:r>
        <w:rPr>
          <w:rFonts w:ascii="FrankRuehl" w:hAnsi="FrankRuehl" w:cs="FrankRuehl" w:hint="cs"/>
          <w:sz w:val="24"/>
          <w:szCs w:val="24"/>
          <w:rtl/>
        </w:rPr>
        <w:t>נוגע אך ורק להרבעת סוסים עם חמורים ויצירתם של פרד וסוסיה (</w:t>
      </w:r>
      <w:r>
        <w:rPr>
          <w:rFonts w:asciiTheme="majorBidi" w:hAnsiTheme="majorBidi" w:cstheme="majorBidi"/>
          <w:sz w:val="20"/>
          <w:szCs w:val="20"/>
          <w:lang w:val="en-US"/>
        </w:rPr>
        <w:t>mule and hinny</w:t>
      </w:r>
      <w:r>
        <w:rPr>
          <w:rFonts w:ascii="FrankRuehl" w:hAnsi="FrankRuehl" w:cs="FrankRuehl" w:hint="cs"/>
          <w:sz w:val="24"/>
          <w:szCs w:val="24"/>
          <w:rtl/>
        </w:rPr>
        <w:t>)</w:t>
      </w:r>
      <w:r w:rsidR="00C678D0">
        <w:rPr>
          <w:rFonts w:ascii="FrankRuehl" w:hAnsi="FrankRuehl" w:cs="FrankRuehl" w:hint="cs"/>
          <w:sz w:val="24"/>
          <w:szCs w:val="24"/>
          <w:rtl/>
        </w:rPr>
        <w:t>,</w:t>
      </w:r>
      <w:r>
        <w:rPr>
          <w:rFonts w:ascii="FrankRuehl" w:hAnsi="FrankRuehl" w:cs="FrankRuehl" w:hint="cs"/>
          <w:sz w:val="24"/>
          <w:szCs w:val="24"/>
          <w:rtl/>
        </w:rPr>
        <w:t xml:space="preserve"> </w:t>
      </w:r>
      <w:r w:rsidR="00C678D0">
        <w:rPr>
          <w:rFonts w:ascii="FrankRuehl" w:hAnsi="FrankRuehl" w:cs="FrankRuehl" w:hint="cs"/>
          <w:sz w:val="24"/>
          <w:szCs w:val="24"/>
          <w:rtl/>
        </w:rPr>
        <w:t>ויש לו</w:t>
      </w:r>
      <w:r>
        <w:rPr>
          <w:rFonts w:ascii="FrankRuehl" w:hAnsi="FrankRuehl" w:cs="FrankRuehl" w:hint="cs"/>
          <w:sz w:val="24"/>
          <w:szCs w:val="24"/>
          <w:rtl/>
        </w:rPr>
        <w:t xml:space="preserve"> השפעה מרחיקת לכת על בני תקופת המקרא.</w:t>
      </w:r>
      <w:r w:rsidR="0016683D">
        <w:rPr>
          <w:rFonts w:ascii="FrankRuehl" w:hAnsi="FrankRuehl" w:cs="FrankRuehl" w:hint="cs"/>
          <w:sz w:val="24"/>
          <w:szCs w:val="24"/>
          <w:rtl/>
        </w:rPr>
        <w:t xml:space="preserve"> </w:t>
      </w:r>
      <w:r>
        <w:rPr>
          <w:rFonts w:ascii="FrankRuehl" w:hAnsi="FrankRuehl" w:cs="FrankRuehl" w:hint="cs"/>
          <w:sz w:val="24"/>
          <w:szCs w:val="24"/>
          <w:rtl/>
        </w:rPr>
        <w:t xml:space="preserve">האיסור בדב' </w:t>
      </w:r>
      <w:proofErr w:type="spellStart"/>
      <w:r>
        <w:rPr>
          <w:rFonts w:ascii="FrankRuehl" w:hAnsi="FrankRuehl" w:cs="FrankRuehl" w:hint="cs"/>
          <w:sz w:val="24"/>
          <w:szCs w:val="24"/>
          <w:rtl/>
        </w:rPr>
        <w:t>כב</w:t>
      </w:r>
      <w:proofErr w:type="spellEnd"/>
      <w:r>
        <w:rPr>
          <w:rFonts w:ascii="FrankRuehl" w:hAnsi="FrankRuehl" w:cs="FrankRuehl" w:hint="cs"/>
          <w:sz w:val="24"/>
          <w:szCs w:val="24"/>
          <w:rtl/>
        </w:rPr>
        <w:t xml:space="preserve"> 10 '</w:t>
      </w:r>
      <w:r w:rsidRPr="003D5453">
        <w:rPr>
          <w:rFonts w:ascii="FrankRuehl" w:hAnsi="FrankRuehl" w:cs="FrankRuehl"/>
          <w:color w:val="202122"/>
          <w:sz w:val="24"/>
          <w:szCs w:val="24"/>
          <w:shd w:val="clear" w:color="auto" w:fill="FFFFFF"/>
          <w:rtl/>
        </w:rPr>
        <w:t xml:space="preserve">לֹא </w:t>
      </w:r>
      <w:proofErr w:type="spellStart"/>
      <w:r w:rsidRPr="003D5453">
        <w:rPr>
          <w:rFonts w:ascii="FrankRuehl" w:hAnsi="FrankRuehl" w:cs="FrankRuehl"/>
          <w:color w:val="202122"/>
          <w:sz w:val="24"/>
          <w:szCs w:val="24"/>
          <w:shd w:val="clear" w:color="auto" w:fill="FFFFFF"/>
          <w:rtl/>
        </w:rPr>
        <w:t>תַחֲרֹש</w:t>
      </w:r>
      <w:proofErr w:type="spellEnd"/>
      <w:r w:rsidRPr="003D5453">
        <w:rPr>
          <w:rFonts w:ascii="FrankRuehl" w:hAnsi="FrankRuehl" w:cs="FrankRuehl"/>
          <w:color w:val="202122"/>
          <w:sz w:val="24"/>
          <w:szCs w:val="24"/>
          <w:shd w:val="clear" w:color="auto" w:fill="FFFFFF"/>
          <w:rtl/>
        </w:rPr>
        <w:t>ׁ בְּשׁוֹר וּבַחֲמֹר יַחְדָּו</w:t>
      </w:r>
      <w:r>
        <w:rPr>
          <w:rFonts w:ascii="FrankRuehl" w:hAnsi="FrankRuehl" w:cs="FrankRuehl" w:hint="cs"/>
          <w:color w:val="202122"/>
          <w:sz w:val="24"/>
          <w:szCs w:val="24"/>
          <w:shd w:val="clear" w:color="auto" w:fill="FFFFFF"/>
          <w:rtl/>
        </w:rPr>
        <w:t xml:space="preserve">' </w:t>
      </w:r>
      <w:r w:rsidR="00540018">
        <w:rPr>
          <w:rFonts w:ascii="FrankRuehl" w:hAnsi="FrankRuehl" w:cs="FrankRuehl" w:hint="cs"/>
          <w:color w:val="202122"/>
          <w:sz w:val="24"/>
          <w:szCs w:val="24"/>
          <w:shd w:val="clear" w:color="auto" w:fill="FFFFFF"/>
          <w:rtl/>
        </w:rPr>
        <w:t>נראה כ</w:t>
      </w:r>
      <w:r>
        <w:rPr>
          <w:rFonts w:ascii="FrankRuehl" w:hAnsi="FrankRuehl" w:cs="FrankRuehl" w:hint="cs"/>
          <w:color w:val="202122"/>
          <w:sz w:val="24"/>
          <w:szCs w:val="24"/>
          <w:shd w:val="clear" w:color="auto" w:fill="FFFFFF"/>
          <w:rtl/>
        </w:rPr>
        <w:t xml:space="preserve">ביטוי להתמודדות </w:t>
      </w:r>
      <w:r w:rsidR="00540018">
        <w:rPr>
          <w:rFonts w:ascii="FrankRuehl" w:hAnsi="FrankRuehl" w:cs="FrankRuehl" w:hint="cs"/>
          <w:color w:val="202122"/>
          <w:sz w:val="24"/>
          <w:szCs w:val="24"/>
          <w:shd w:val="clear" w:color="auto" w:fill="FFFFFF"/>
          <w:rtl/>
        </w:rPr>
        <w:t xml:space="preserve">רבת-תחכום </w:t>
      </w:r>
      <w:r>
        <w:rPr>
          <w:rFonts w:ascii="FrankRuehl" w:hAnsi="FrankRuehl" w:cs="FrankRuehl" w:hint="cs"/>
          <w:color w:val="202122"/>
          <w:sz w:val="24"/>
          <w:szCs w:val="24"/>
          <w:shd w:val="clear" w:color="auto" w:fill="FFFFFF"/>
          <w:rtl/>
        </w:rPr>
        <w:t xml:space="preserve">עם מסורת </w:t>
      </w:r>
      <w:r w:rsidR="00C678D0">
        <w:rPr>
          <w:rFonts w:ascii="FrankRuehl" w:hAnsi="FrankRuehl" w:cs="FrankRuehl" w:hint="cs"/>
          <w:color w:val="202122"/>
          <w:sz w:val="24"/>
          <w:szCs w:val="24"/>
          <w:shd w:val="clear" w:color="auto" w:fill="FFFFFF"/>
          <w:rtl/>
        </w:rPr>
        <w:t>ה</w:t>
      </w:r>
      <w:r>
        <w:rPr>
          <w:rFonts w:ascii="FrankRuehl" w:hAnsi="FrankRuehl" w:cs="FrankRuehl" w:hint="cs"/>
          <w:color w:val="202122"/>
          <w:sz w:val="24"/>
          <w:szCs w:val="24"/>
          <w:shd w:val="clear" w:color="auto" w:fill="FFFFFF"/>
          <w:rtl/>
        </w:rPr>
        <w:t xml:space="preserve">חוק </w:t>
      </w:r>
      <w:r w:rsidR="00C678D0">
        <w:rPr>
          <w:rFonts w:ascii="FrankRuehl" w:hAnsi="FrankRuehl" w:cs="FrankRuehl" w:hint="cs"/>
          <w:color w:val="202122"/>
          <w:sz w:val="24"/>
          <w:szCs w:val="24"/>
          <w:shd w:val="clear" w:color="auto" w:fill="FFFFFF"/>
          <w:rtl/>
        </w:rPr>
        <w:t>האוסרת על יצירתם של פרד וסוסיה</w:t>
      </w:r>
      <w:r>
        <w:rPr>
          <w:rFonts w:ascii="FrankRuehl" w:hAnsi="FrankRuehl" w:cs="FrankRuehl" w:hint="cs"/>
          <w:color w:val="202122"/>
          <w:sz w:val="24"/>
          <w:szCs w:val="24"/>
          <w:shd w:val="clear" w:color="auto" w:fill="FFFFFF"/>
          <w:rtl/>
        </w:rPr>
        <w:t>.</w:t>
      </w:r>
    </w:p>
    <w:bookmarkEnd w:id="0"/>
    <w:p w14:paraId="5ACED82E" w14:textId="77777777" w:rsidR="004D014B" w:rsidRDefault="004D014B" w:rsidP="004D014B">
      <w:pPr>
        <w:bidi/>
        <w:rPr>
          <w:rFonts w:asciiTheme="majorBidi" w:hAnsiTheme="majorBidi" w:cstheme="majorBidi"/>
          <w:sz w:val="20"/>
          <w:szCs w:val="20"/>
          <w:lang w:val="en-US"/>
        </w:rPr>
      </w:pPr>
    </w:p>
    <w:p w14:paraId="4C485439" w14:textId="77777777" w:rsidR="004D014B" w:rsidRPr="00813A62" w:rsidRDefault="004D014B" w:rsidP="004D014B">
      <w:pPr>
        <w:bidi/>
        <w:jc w:val="center"/>
        <w:rPr>
          <w:rFonts w:asciiTheme="majorBidi" w:hAnsiTheme="majorBidi" w:cstheme="majorBidi"/>
          <w:sz w:val="20"/>
          <w:szCs w:val="20"/>
          <w:lang w:val="en-US"/>
        </w:rPr>
      </w:pPr>
      <w:r w:rsidRPr="00813A62">
        <w:rPr>
          <w:rFonts w:asciiTheme="majorBidi" w:hAnsiTheme="majorBidi" w:cstheme="majorBidi"/>
          <w:sz w:val="20"/>
          <w:szCs w:val="20"/>
          <w:lang w:val="en-US"/>
        </w:rPr>
        <w:t>1.</w:t>
      </w:r>
    </w:p>
    <w:p w14:paraId="0DD3DDAF" w14:textId="77777777" w:rsidR="004D014B" w:rsidRDefault="004D014B" w:rsidP="004D014B">
      <w:pPr>
        <w:bidi/>
        <w:spacing w:line="360" w:lineRule="auto"/>
        <w:rPr>
          <w:rFonts w:ascii="FrankRuehl" w:hAnsi="FrankRuehl" w:cs="FrankRuehl"/>
          <w:sz w:val="24"/>
          <w:szCs w:val="24"/>
          <w:rtl/>
        </w:rPr>
      </w:pPr>
      <w:r w:rsidRPr="00DC1128">
        <w:rPr>
          <w:rFonts w:cs="FrankRuehl" w:hint="cs"/>
          <w:sz w:val="24"/>
          <w:szCs w:val="24"/>
          <w:rtl/>
        </w:rPr>
        <w:t>וי</w:t>
      </w:r>
      <w:r>
        <w:rPr>
          <w:rFonts w:cs="FrankRuehl" w:hint="cs"/>
          <w:sz w:val="24"/>
          <w:szCs w:val="24"/>
          <w:rtl/>
        </w:rPr>
        <w:t>קרא</w:t>
      </w:r>
      <w:r w:rsidRPr="00DC1128">
        <w:rPr>
          <w:rFonts w:cs="FrankRuehl" w:hint="cs"/>
          <w:sz w:val="24"/>
          <w:szCs w:val="24"/>
          <w:rtl/>
        </w:rPr>
        <w:t xml:space="preserve"> </w:t>
      </w:r>
      <w:proofErr w:type="spellStart"/>
      <w:r w:rsidRPr="00DC1128">
        <w:rPr>
          <w:rFonts w:cs="FrankRuehl" w:hint="cs"/>
          <w:sz w:val="24"/>
          <w:szCs w:val="24"/>
          <w:rtl/>
        </w:rPr>
        <w:t>יט</w:t>
      </w:r>
      <w:proofErr w:type="spellEnd"/>
      <w:r w:rsidRPr="00DC1128">
        <w:rPr>
          <w:rFonts w:cs="FrankRuehl" w:hint="cs"/>
          <w:sz w:val="24"/>
          <w:szCs w:val="24"/>
          <w:rtl/>
        </w:rPr>
        <w:t xml:space="preserve"> </w:t>
      </w:r>
      <w:r w:rsidRPr="00DC1128">
        <w:rPr>
          <w:rFonts w:ascii="FrankRuehl" w:hAnsi="FrankRuehl" w:cs="FrankRuehl"/>
          <w:sz w:val="24"/>
          <w:szCs w:val="24"/>
          <w:rtl/>
        </w:rPr>
        <w:t>19</w:t>
      </w:r>
      <w:r>
        <w:rPr>
          <w:rFonts w:ascii="FrankRuehl" w:hAnsi="FrankRuehl" w:cs="FrankRuehl" w:hint="cs"/>
          <w:sz w:val="24"/>
          <w:szCs w:val="24"/>
          <w:rtl/>
        </w:rPr>
        <w:t xml:space="preserve"> כולל שלושה איסורים הבאים ברצף אחד: '</w:t>
      </w:r>
      <w:proofErr w:type="spellStart"/>
      <w:r w:rsidRPr="00DC1128">
        <w:rPr>
          <w:rFonts w:ascii="FrankRuehl" w:hAnsi="FrankRuehl" w:cs="FrankRuehl"/>
          <w:sz w:val="24"/>
          <w:szCs w:val="24"/>
          <w:rtl/>
        </w:rPr>
        <w:t>בְּהֶמְתְּך</w:t>
      </w:r>
      <w:proofErr w:type="spellEnd"/>
      <w:r w:rsidRPr="00DC1128">
        <w:rPr>
          <w:rFonts w:ascii="FrankRuehl" w:hAnsi="FrankRuehl" w:cs="FrankRuehl"/>
          <w:sz w:val="24"/>
          <w:szCs w:val="24"/>
          <w:rtl/>
        </w:rPr>
        <w:t>ָ לֹא</w:t>
      </w:r>
      <w:r w:rsidRPr="00DC1128">
        <w:rPr>
          <w:rFonts w:ascii="FrankRuehl" w:hAnsi="FrankRuehl" w:cs="FrankRuehl" w:hint="cs"/>
          <w:sz w:val="24"/>
          <w:szCs w:val="24"/>
          <w:rtl/>
        </w:rPr>
        <w:t xml:space="preserve"> </w:t>
      </w:r>
      <w:proofErr w:type="spellStart"/>
      <w:r w:rsidRPr="00DC1128">
        <w:rPr>
          <w:rFonts w:ascii="FrankRuehl" w:hAnsi="FrankRuehl" w:cs="FrankRuehl"/>
          <w:sz w:val="24"/>
          <w:szCs w:val="24"/>
          <w:rtl/>
        </w:rPr>
        <w:t>תַרְבִּיע</w:t>
      </w:r>
      <w:proofErr w:type="spellEnd"/>
      <w:r w:rsidRPr="00DC1128">
        <w:rPr>
          <w:rFonts w:ascii="FrankRuehl" w:hAnsi="FrankRuehl" w:cs="FrankRuehl"/>
          <w:sz w:val="24"/>
          <w:szCs w:val="24"/>
          <w:rtl/>
        </w:rPr>
        <w:t xml:space="preserve">ַ </w:t>
      </w:r>
      <w:proofErr w:type="spellStart"/>
      <w:r w:rsidRPr="00DC1128">
        <w:rPr>
          <w:rFonts w:ascii="FrankRuehl" w:hAnsi="FrankRuehl" w:cs="FrankRuehl"/>
          <w:sz w:val="24"/>
          <w:szCs w:val="24"/>
          <w:rtl/>
        </w:rPr>
        <w:t>כִּלְאַיִם</w:t>
      </w:r>
      <w:proofErr w:type="spellEnd"/>
      <w:r w:rsidRPr="00DC1128">
        <w:rPr>
          <w:rFonts w:ascii="FrankRuehl" w:hAnsi="FrankRuehl" w:cs="FrankRuehl" w:hint="cs"/>
          <w:sz w:val="24"/>
          <w:szCs w:val="24"/>
          <w:rtl/>
        </w:rPr>
        <w:t>'</w:t>
      </w:r>
      <w:r>
        <w:rPr>
          <w:rFonts w:ascii="FrankRuehl" w:hAnsi="FrankRuehl" w:cs="FrankRuehl" w:hint="cs"/>
          <w:sz w:val="24"/>
          <w:szCs w:val="24"/>
          <w:rtl/>
        </w:rPr>
        <w:t>, '</w:t>
      </w:r>
      <w:proofErr w:type="spellStart"/>
      <w:r w:rsidRPr="00DC1128">
        <w:rPr>
          <w:rFonts w:ascii="FrankRuehl" w:hAnsi="FrankRuehl" w:cs="FrankRuehl"/>
          <w:sz w:val="24"/>
          <w:szCs w:val="24"/>
          <w:rtl/>
        </w:rPr>
        <w:t>שָׂדְך</w:t>
      </w:r>
      <w:proofErr w:type="spellEnd"/>
      <w:r w:rsidRPr="00DC1128">
        <w:rPr>
          <w:rFonts w:ascii="FrankRuehl" w:hAnsi="FrankRuehl" w:cs="FrankRuehl"/>
          <w:sz w:val="24"/>
          <w:szCs w:val="24"/>
          <w:rtl/>
        </w:rPr>
        <w:t>ָ לֹא</w:t>
      </w:r>
      <w:r w:rsidRPr="00DC1128">
        <w:rPr>
          <w:rFonts w:ascii="FrankRuehl" w:hAnsi="FrankRuehl" w:cs="FrankRuehl" w:hint="cs"/>
          <w:sz w:val="24"/>
          <w:szCs w:val="24"/>
          <w:rtl/>
        </w:rPr>
        <w:t xml:space="preserve"> </w:t>
      </w:r>
      <w:r w:rsidRPr="00DC1128">
        <w:rPr>
          <w:rFonts w:ascii="FrankRuehl" w:hAnsi="FrankRuehl" w:cs="FrankRuehl"/>
          <w:sz w:val="24"/>
          <w:szCs w:val="24"/>
          <w:rtl/>
        </w:rPr>
        <w:t xml:space="preserve">תִזְרַע </w:t>
      </w:r>
      <w:proofErr w:type="spellStart"/>
      <w:r w:rsidRPr="00DC1128">
        <w:rPr>
          <w:rFonts w:ascii="FrankRuehl" w:hAnsi="FrankRuehl" w:cs="FrankRuehl"/>
          <w:sz w:val="24"/>
          <w:szCs w:val="24"/>
          <w:rtl/>
        </w:rPr>
        <w:t>כִּלְאָיִם</w:t>
      </w:r>
      <w:proofErr w:type="spellEnd"/>
      <w:r>
        <w:rPr>
          <w:rFonts w:ascii="FrankRuehl" w:hAnsi="FrankRuehl" w:cs="FrankRuehl" w:hint="cs"/>
          <w:sz w:val="24"/>
          <w:szCs w:val="24"/>
          <w:rtl/>
        </w:rPr>
        <w:t>', '</w:t>
      </w:r>
      <w:proofErr w:type="spellStart"/>
      <w:r w:rsidRPr="00DC1128">
        <w:rPr>
          <w:rFonts w:ascii="FrankRuehl" w:hAnsi="FrankRuehl" w:cs="FrankRuehl"/>
          <w:sz w:val="24"/>
          <w:szCs w:val="24"/>
          <w:rtl/>
        </w:rPr>
        <w:t>וּבֶגֶד</w:t>
      </w:r>
      <w:proofErr w:type="spellEnd"/>
      <w:r w:rsidRPr="00DC1128">
        <w:rPr>
          <w:rFonts w:ascii="FrankRuehl" w:hAnsi="FrankRuehl" w:cs="FrankRuehl"/>
          <w:sz w:val="24"/>
          <w:szCs w:val="24"/>
          <w:rtl/>
        </w:rPr>
        <w:t xml:space="preserve"> </w:t>
      </w:r>
      <w:proofErr w:type="spellStart"/>
      <w:r w:rsidRPr="00DC1128">
        <w:rPr>
          <w:rFonts w:ascii="FrankRuehl" w:hAnsi="FrankRuehl" w:cs="FrankRuehl"/>
          <w:sz w:val="24"/>
          <w:szCs w:val="24"/>
          <w:rtl/>
        </w:rPr>
        <w:t>כִּלְאַיִם</w:t>
      </w:r>
      <w:proofErr w:type="spellEnd"/>
      <w:r w:rsidRPr="00DC1128">
        <w:rPr>
          <w:rFonts w:ascii="FrankRuehl" w:hAnsi="FrankRuehl" w:cs="FrankRuehl"/>
          <w:sz w:val="24"/>
          <w:szCs w:val="24"/>
          <w:rtl/>
        </w:rPr>
        <w:t xml:space="preserve"> </w:t>
      </w:r>
      <w:proofErr w:type="spellStart"/>
      <w:r w:rsidRPr="00DC1128">
        <w:rPr>
          <w:rFonts w:ascii="FrankRuehl" w:hAnsi="FrankRuehl" w:cs="FrankRuehl"/>
          <w:sz w:val="24"/>
          <w:szCs w:val="24"/>
          <w:rtl/>
        </w:rPr>
        <w:t>שַׁעַטְנֵז</w:t>
      </w:r>
      <w:proofErr w:type="spellEnd"/>
      <w:r w:rsidRPr="00DC1128">
        <w:rPr>
          <w:rFonts w:ascii="FrankRuehl" w:hAnsi="FrankRuehl" w:cs="FrankRuehl"/>
          <w:sz w:val="24"/>
          <w:szCs w:val="24"/>
          <w:rtl/>
        </w:rPr>
        <w:t xml:space="preserve"> לֹא יַעֲלֶה עָלֶיךָ</w:t>
      </w:r>
      <w:r w:rsidRPr="00DC1128">
        <w:rPr>
          <w:rFonts w:ascii="FrankRuehl" w:hAnsi="FrankRuehl" w:cs="FrankRuehl" w:hint="cs"/>
          <w:sz w:val="24"/>
          <w:szCs w:val="24"/>
          <w:rtl/>
        </w:rPr>
        <w:t>'</w:t>
      </w:r>
      <w:r>
        <w:rPr>
          <w:rFonts w:ascii="FrankRuehl" w:hAnsi="FrankRuehl" w:cs="FrankRuehl" w:hint="cs"/>
          <w:sz w:val="24"/>
          <w:szCs w:val="24"/>
          <w:rtl/>
        </w:rPr>
        <w:t>. משמעותו של המונח 'כלאיים' (</w:t>
      </w:r>
      <w:proofErr w:type="spellStart"/>
      <w:r w:rsidRPr="00654938">
        <w:rPr>
          <w:rFonts w:asciiTheme="majorBidi" w:hAnsiTheme="majorBidi" w:cstheme="majorBidi"/>
          <w:i/>
          <w:iCs/>
          <w:sz w:val="20"/>
          <w:szCs w:val="20"/>
          <w:lang w:val="en-US"/>
        </w:rPr>
        <w:t>kil’ayîm</w:t>
      </w:r>
      <w:proofErr w:type="spellEnd"/>
      <w:r>
        <w:rPr>
          <w:rFonts w:ascii="FrankRuehl" w:hAnsi="FrankRuehl" w:cs="FrankRuehl" w:hint="cs"/>
          <w:sz w:val="24"/>
          <w:szCs w:val="24"/>
          <w:rtl/>
        </w:rPr>
        <w:t xml:space="preserve">) מוסכמת בין החוקרים: </w:t>
      </w:r>
      <w:r w:rsidRPr="009231CC">
        <w:rPr>
          <w:rFonts w:asciiTheme="majorBidi" w:hAnsiTheme="majorBidi" w:cstheme="majorBidi"/>
          <w:sz w:val="20"/>
          <w:szCs w:val="20"/>
          <w:lang w:val="en-US"/>
        </w:rPr>
        <w:t>two kinds or species hybridized together</w:t>
      </w:r>
      <w:r>
        <w:rPr>
          <w:rFonts w:ascii="FrankRuehl" w:hAnsi="FrankRuehl" w:cs="FrankRuehl" w:hint="cs"/>
          <w:sz w:val="24"/>
          <w:szCs w:val="24"/>
          <w:rtl/>
        </w:rPr>
        <w:t>.</w:t>
      </w:r>
      <w:r>
        <w:rPr>
          <w:rStyle w:val="FootnoteReference"/>
          <w:rFonts w:ascii="FrankRuehl" w:hAnsi="FrankRuehl" w:cs="FrankRuehl"/>
          <w:sz w:val="24"/>
          <w:szCs w:val="24"/>
          <w:rtl/>
        </w:rPr>
        <w:footnoteReference w:id="1"/>
      </w:r>
      <w:r>
        <w:rPr>
          <w:rFonts w:ascii="FrankRuehl" w:hAnsi="FrankRuehl" w:cs="FrankRuehl" w:hint="cs"/>
          <w:sz w:val="24"/>
          <w:szCs w:val="24"/>
          <w:rtl/>
        </w:rPr>
        <w:t xml:space="preserve"> אף לגבי משמעותו של המונח 'שעטנז' (</w:t>
      </w:r>
      <w:proofErr w:type="spellStart"/>
      <w:r w:rsidRPr="00654938">
        <w:rPr>
          <w:rFonts w:asciiTheme="majorBidi" w:hAnsiTheme="majorBidi" w:cstheme="majorBidi"/>
          <w:i/>
          <w:iCs/>
          <w:sz w:val="20"/>
          <w:szCs w:val="20"/>
          <w:lang w:val="en-US"/>
        </w:rPr>
        <w:t>ša‘atnēz</w:t>
      </w:r>
      <w:proofErr w:type="spellEnd"/>
      <w:r>
        <w:rPr>
          <w:rFonts w:ascii="FrankRuehl" w:hAnsi="FrankRuehl" w:cs="FrankRuehl" w:hint="cs"/>
          <w:sz w:val="24"/>
          <w:szCs w:val="24"/>
          <w:rtl/>
        </w:rPr>
        <w:t xml:space="preserve">) קיימת הסכמה רחבה </w:t>
      </w:r>
      <w:r>
        <w:rPr>
          <w:rFonts w:ascii="FrankRuehl" w:hAnsi="FrankRuehl" w:cs="FrankRuehl" w:hint="eastAsia"/>
          <w:sz w:val="24"/>
          <w:szCs w:val="24"/>
          <w:rtl/>
        </w:rPr>
        <w:t>–</w:t>
      </w:r>
      <w:r>
        <w:rPr>
          <w:rFonts w:ascii="FrankRuehl" w:hAnsi="FrankRuehl" w:cs="FrankRuehl" w:hint="cs"/>
          <w:sz w:val="24"/>
          <w:szCs w:val="24"/>
          <w:rtl/>
        </w:rPr>
        <w:t xml:space="preserve"> לבוש העשוי חומרים נבדלים, ובדרך כלל נזכרים צמר ופשתן (</w:t>
      </w:r>
      <w:r w:rsidRPr="00CF014E">
        <w:rPr>
          <w:rFonts w:asciiTheme="majorBidi" w:hAnsiTheme="majorBidi" w:cstheme="majorBidi"/>
          <w:sz w:val="20"/>
          <w:szCs w:val="20"/>
          <w:lang w:val="en-US"/>
        </w:rPr>
        <w:t>wool and linen</w:t>
      </w:r>
      <w:r>
        <w:rPr>
          <w:rFonts w:ascii="FrankRuehl" w:hAnsi="FrankRuehl" w:cs="FrankRuehl" w:hint="cs"/>
          <w:sz w:val="24"/>
          <w:szCs w:val="24"/>
          <w:rtl/>
        </w:rPr>
        <w:t>).</w:t>
      </w:r>
      <w:r>
        <w:rPr>
          <w:rStyle w:val="FootnoteReference"/>
          <w:rFonts w:ascii="FrankRuehl" w:hAnsi="FrankRuehl" w:cs="FrankRuehl"/>
          <w:sz w:val="24"/>
          <w:szCs w:val="24"/>
          <w:rtl/>
        </w:rPr>
        <w:footnoteReference w:id="2"/>
      </w:r>
      <w:r>
        <w:rPr>
          <w:rFonts w:ascii="FrankRuehl" w:hAnsi="FrankRuehl" w:cs="FrankRuehl" w:hint="cs"/>
          <w:sz w:val="24"/>
          <w:szCs w:val="24"/>
          <w:rtl/>
        </w:rPr>
        <w:t xml:space="preserve"> ביסודם של שלושת האיסורים עומדת אפוא שאיפה לתיחום והגבלה טקסונומית של בהמות, של זרעים ושל תוצרים המשמשים לבגדים. </w:t>
      </w:r>
    </w:p>
    <w:p w14:paraId="13EC4749" w14:textId="77777777" w:rsidR="004D014B" w:rsidRDefault="004D014B" w:rsidP="004D014B">
      <w:pPr>
        <w:bidi/>
        <w:spacing w:line="360" w:lineRule="auto"/>
        <w:ind w:firstLine="720"/>
        <w:rPr>
          <w:rFonts w:ascii="FrankRuehl" w:hAnsi="FrankRuehl" w:cs="FrankRuehl"/>
          <w:b/>
          <w:sz w:val="24"/>
          <w:szCs w:val="24"/>
          <w:rtl/>
        </w:rPr>
      </w:pPr>
      <w:r>
        <w:rPr>
          <w:rFonts w:ascii="FrankRuehl" w:hAnsi="FrankRuehl" w:cs="FrankRuehl" w:hint="cs"/>
          <w:sz w:val="24"/>
          <w:szCs w:val="24"/>
          <w:rtl/>
        </w:rPr>
        <w:t xml:space="preserve">הטעם לאיסורי כלאיים אינו מובהר בתורה. במסורת הפרשנות היהודית לדורותיה מרבים להזכיר איסורים אלו כדוגמאות יסוד לחוקים שתכליתם אינה ברורה. את </w:t>
      </w:r>
      <w:r w:rsidRPr="00DC1128">
        <w:rPr>
          <w:rFonts w:cs="FrankRuehl" w:hint="cs"/>
          <w:sz w:val="24"/>
          <w:szCs w:val="24"/>
          <w:rtl/>
        </w:rPr>
        <w:t xml:space="preserve">ההצעות השונות שניתנו </w:t>
      </w:r>
      <w:r>
        <w:rPr>
          <w:rFonts w:cs="FrankRuehl" w:hint="cs"/>
          <w:sz w:val="24"/>
          <w:szCs w:val="24"/>
          <w:rtl/>
        </w:rPr>
        <w:t xml:space="preserve">במסורת </w:t>
      </w:r>
      <w:r w:rsidRPr="00DC1128">
        <w:rPr>
          <w:rFonts w:cs="FrankRuehl" w:hint="cs"/>
          <w:sz w:val="24"/>
          <w:szCs w:val="24"/>
          <w:rtl/>
        </w:rPr>
        <w:t xml:space="preserve">לחוקים </w:t>
      </w:r>
      <w:r>
        <w:rPr>
          <w:rFonts w:cs="FrankRuehl" w:hint="cs"/>
          <w:sz w:val="24"/>
          <w:szCs w:val="24"/>
          <w:rtl/>
        </w:rPr>
        <w:t>סתומים</w:t>
      </w:r>
      <w:r w:rsidRPr="00DC1128">
        <w:rPr>
          <w:rFonts w:cs="FrankRuehl" w:hint="cs"/>
          <w:sz w:val="24"/>
          <w:szCs w:val="24"/>
          <w:rtl/>
        </w:rPr>
        <w:t xml:space="preserve"> </w:t>
      </w:r>
      <w:r>
        <w:rPr>
          <w:rFonts w:cs="FrankRuehl" w:hint="cs"/>
          <w:sz w:val="24"/>
          <w:szCs w:val="24"/>
          <w:rtl/>
        </w:rPr>
        <w:t xml:space="preserve">כעין אלו </w:t>
      </w:r>
      <w:r w:rsidRPr="00DC1128">
        <w:rPr>
          <w:rFonts w:cs="FrankRuehl" w:hint="cs"/>
          <w:sz w:val="24"/>
          <w:szCs w:val="24"/>
          <w:rtl/>
        </w:rPr>
        <w:t>אפשר להציב על ציר שבקצהו האחד השלמה עם סתימותם</w:t>
      </w:r>
      <w:r>
        <w:rPr>
          <w:rFonts w:cs="FrankRuehl" w:hint="cs"/>
          <w:sz w:val="24"/>
          <w:szCs w:val="24"/>
          <w:rtl/>
        </w:rPr>
        <w:t xml:space="preserve"> –</w:t>
      </w:r>
      <w:r w:rsidRPr="00DC1128">
        <w:rPr>
          <w:rFonts w:cs="FrankRuehl" w:hint="cs"/>
          <w:sz w:val="24"/>
          <w:szCs w:val="24"/>
          <w:rtl/>
        </w:rPr>
        <w:t xml:space="preserve"> </w:t>
      </w:r>
      <w:r w:rsidRPr="00BD7372">
        <w:rPr>
          <w:rFonts w:asciiTheme="majorBidi" w:hAnsiTheme="majorBidi" w:cstheme="majorBidi"/>
          <w:sz w:val="20"/>
          <w:szCs w:val="20"/>
          <w:lang w:val="en-US"/>
        </w:rPr>
        <w:t>‘These statutes are a decree of the King’,</w:t>
      </w:r>
      <w:r>
        <w:rPr>
          <w:rFonts w:asciiTheme="majorBidi" w:hAnsiTheme="majorBidi" w:cstheme="majorBidi"/>
          <w:sz w:val="20"/>
          <w:szCs w:val="20"/>
          <w:lang w:val="en-US"/>
        </w:rPr>
        <w:t xml:space="preserve"> ‘</w:t>
      </w:r>
      <w:r w:rsidRPr="00796DEF">
        <w:rPr>
          <w:rFonts w:asciiTheme="majorBidi" w:hAnsiTheme="majorBidi" w:cstheme="majorBidi"/>
          <w:color w:val="000000"/>
          <w:sz w:val="20"/>
          <w:szCs w:val="20"/>
        </w:rPr>
        <w:t>I, the Lord have made it a statute</w:t>
      </w:r>
      <w:r>
        <w:rPr>
          <w:rFonts w:asciiTheme="majorBidi" w:hAnsiTheme="majorBidi" w:cstheme="majorBidi"/>
          <w:color w:val="000000"/>
          <w:sz w:val="20"/>
          <w:szCs w:val="20"/>
          <w:lang w:val="en-US"/>
        </w:rPr>
        <w:t>,</w:t>
      </w:r>
      <w:r w:rsidRPr="00796DEF">
        <w:rPr>
          <w:rFonts w:asciiTheme="majorBidi" w:hAnsiTheme="majorBidi" w:cstheme="majorBidi"/>
          <w:color w:val="000000"/>
          <w:sz w:val="20"/>
          <w:szCs w:val="20"/>
        </w:rPr>
        <w:t xml:space="preserve"> and you have no right to criticize it</w:t>
      </w:r>
      <w:r>
        <w:rPr>
          <w:rFonts w:asciiTheme="majorBidi" w:hAnsiTheme="majorBidi" w:cstheme="majorBidi"/>
          <w:color w:val="000000"/>
          <w:sz w:val="20"/>
          <w:szCs w:val="20"/>
          <w:lang w:val="en-US"/>
        </w:rPr>
        <w:t>’</w:t>
      </w:r>
      <w:r>
        <w:rPr>
          <w:rFonts w:ascii="FrankRuehl" w:hAnsi="FrankRuehl" w:cs="FrankRuehl" w:hint="cs"/>
          <w:sz w:val="24"/>
          <w:szCs w:val="24"/>
          <w:rtl/>
        </w:rPr>
        <w:t xml:space="preserve"> </w:t>
      </w:r>
      <w:r>
        <w:rPr>
          <w:rFonts w:ascii="FrankRuehl" w:hAnsi="FrankRuehl" w:cs="FrankRuehl" w:hint="cs"/>
          <w:b/>
          <w:sz w:val="24"/>
          <w:szCs w:val="24"/>
          <w:rtl/>
        </w:rPr>
        <w:t>ו'אין אתה רשאי לעבור על גזירתי'. כאן לא פעם נאמר</w:t>
      </w:r>
      <w:r w:rsidRPr="00DC1128">
        <w:rPr>
          <w:rFonts w:ascii="FrankRuehl" w:hAnsi="FrankRuehl" w:cs="FrankRuehl" w:hint="cs"/>
          <w:b/>
          <w:sz w:val="24"/>
          <w:szCs w:val="24"/>
          <w:rtl/>
        </w:rPr>
        <w:t xml:space="preserve"> </w:t>
      </w:r>
      <w:r w:rsidRPr="007E08F2">
        <w:rPr>
          <w:rFonts w:ascii="FrankRuehl" w:hAnsi="FrankRuehl" w:cs="FrankRuehl" w:hint="cs"/>
          <w:b/>
          <w:sz w:val="24"/>
          <w:szCs w:val="24"/>
          <w:rtl/>
        </w:rPr>
        <w:t xml:space="preserve">כי </w:t>
      </w:r>
      <w:r w:rsidRPr="007E08F2">
        <w:rPr>
          <w:rFonts w:ascii="FrankRuehl" w:hAnsi="FrankRuehl" w:cs="FrankRuehl" w:hint="cs"/>
          <w:sz w:val="24"/>
          <w:szCs w:val="24"/>
          <w:rtl/>
        </w:rPr>
        <w:t xml:space="preserve">טעמי המצוות </w:t>
      </w:r>
      <w:r>
        <w:rPr>
          <w:rFonts w:ascii="FrankRuehl" w:hAnsi="FrankRuehl" w:cs="FrankRuehl" w:hint="cs"/>
          <w:sz w:val="24"/>
          <w:szCs w:val="24"/>
          <w:rtl/>
        </w:rPr>
        <w:t>נתגלו רק למעטים,</w:t>
      </w:r>
      <w:r>
        <w:rPr>
          <w:rStyle w:val="FootnoteReference"/>
          <w:rFonts w:ascii="FrankRuehl" w:hAnsi="FrankRuehl" w:cs="FrankRuehl"/>
          <w:sz w:val="24"/>
          <w:szCs w:val="24"/>
          <w:rtl/>
        </w:rPr>
        <w:footnoteReference w:id="3"/>
      </w:r>
      <w:r>
        <w:rPr>
          <w:rFonts w:ascii="FrankRuehl" w:hAnsi="FrankRuehl" w:cs="FrankRuehl" w:hint="cs"/>
          <w:sz w:val="24"/>
          <w:szCs w:val="24"/>
          <w:rtl/>
        </w:rPr>
        <w:t xml:space="preserve"> או שהם ניתנים להסבר רק על דרך הסוד,</w:t>
      </w:r>
      <w:r>
        <w:rPr>
          <w:rStyle w:val="FootnoteReference"/>
          <w:rFonts w:ascii="FrankRuehl" w:hAnsi="FrankRuehl" w:cs="FrankRuehl"/>
          <w:sz w:val="24"/>
          <w:szCs w:val="24"/>
          <w:rtl/>
        </w:rPr>
        <w:footnoteReference w:id="4"/>
      </w:r>
      <w:r>
        <w:rPr>
          <w:rFonts w:ascii="FrankRuehl" w:hAnsi="FrankRuehl" w:cs="FrankRuehl" w:hint="cs"/>
          <w:sz w:val="24"/>
          <w:szCs w:val="24"/>
          <w:rtl/>
        </w:rPr>
        <w:t xml:space="preserve"> או כי הם </w:t>
      </w:r>
      <w:r w:rsidRPr="007E08F2">
        <w:rPr>
          <w:rFonts w:ascii="FrankRuehl" w:hAnsi="FrankRuehl" w:cs="FrankRuehl" w:hint="cs"/>
          <w:sz w:val="24"/>
          <w:szCs w:val="24"/>
          <w:rtl/>
        </w:rPr>
        <w:t>יתגלו לעתיד לבוא, בעולם הבא ובגן עדן.</w:t>
      </w:r>
      <w:r w:rsidRPr="007E08F2">
        <w:rPr>
          <w:rStyle w:val="FootnoteReference"/>
          <w:rFonts w:ascii="FrankRuehl" w:hAnsi="FrankRuehl" w:cs="FrankRuehl"/>
          <w:b/>
          <w:sz w:val="24"/>
          <w:szCs w:val="24"/>
          <w:rtl/>
        </w:rPr>
        <w:footnoteReference w:id="5"/>
      </w:r>
      <w:r>
        <w:rPr>
          <w:rFonts w:ascii="FrankRuehl" w:hAnsi="FrankRuehl" w:cs="FrankRuehl" w:hint="cs"/>
          <w:sz w:val="24"/>
          <w:szCs w:val="24"/>
          <w:rtl/>
        </w:rPr>
        <w:t xml:space="preserve"> למול זאת נמצא </w:t>
      </w:r>
      <w:r w:rsidRPr="00DC1128">
        <w:rPr>
          <w:rFonts w:ascii="FrankRuehl" w:hAnsi="FrankRuehl" w:cs="FrankRuehl" w:hint="cs"/>
          <w:b/>
          <w:sz w:val="24"/>
          <w:szCs w:val="24"/>
          <w:rtl/>
        </w:rPr>
        <w:t>ניסיונות שונים להציג את ההיגיון העומד בתשתיתם</w:t>
      </w:r>
      <w:r>
        <w:rPr>
          <w:rFonts w:ascii="FrankRuehl" w:hAnsi="FrankRuehl" w:cs="FrankRuehl" w:hint="cs"/>
          <w:b/>
          <w:sz w:val="24"/>
          <w:szCs w:val="24"/>
          <w:rtl/>
        </w:rPr>
        <w:t xml:space="preserve"> של החוקים</w:t>
      </w:r>
      <w:r w:rsidRPr="00DC1128">
        <w:rPr>
          <w:rFonts w:ascii="FrankRuehl" w:hAnsi="FrankRuehl" w:cs="FrankRuehl" w:hint="cs"/>
          <w:b/>
          <w:sz w:val="24"/>
          <w:szCs w:val="24"/>
          <w:rtl/>
        </w:rPr>
        <w:t xml:space="preserve">, </w:t>
      </w:r>
      <w:r w:rsidRPr="00F44721">
        <w:rPr>
          <w:rFonts w:asciiTheme="majorBidi" w:hAnsiTheme="majorBidi" w:cstheme="majorBidi"/>
          <w:bCs/>
          <w:sz w:val="20"/>
          <w:szCs w:val="20"/>
          <w:lang w:val="en-US"/>
        </w:rPr>
        <w:t>‘</w:t>
      </w:r>
      <w:r w:rsidRPr="00F44721">
        <w:rPr>
          <w:rFonts w:asciiTheme="majorBidi" w:hAnsiTheme="majorBidi" w:cstheme="majorBidi"/>
          <w:sz w:val="20"/>
          <w:szCs w:val="20"/>
        </w:rPr>
        <w:t>to give reasons for the commandments in a manner that conforms to the way of the world</w:t>
      </w:r>
      <w:r w:rsidRPr="00F44721">
        <w:rPr>
          <w:rFonts w:asciiTheme="majorBidi" w:hAnsiTheme="majorBidi" w:cstheme="majorBidi"/>
          <w:sz w:val="20"/>
          <w:szCs w:val="20"/>
          <w:lang w:val="en-US"/>
        </w:rPr>
        <w:t>’</w:t>
      </w:r>
      <w:r>
        <w:rPr>
          <w:rFonts w:asciiTheme="majorBidi" w:hAnsiTheme="majorBidi" w:cstheme="majorBidi"/>
          <w:sz w:val="20"/>
          <w:szCs w:val="20"/>
          <w:lang w:val="en-US"/>
        </w:rPr>
        <w:t>, ‘</w:t>
      </w:r>
      <w:r w:rsidRPr="00426B62">
        <w:rPr>
          <w:rFonts w:asciiTheme="majorBidi" w:hAnsiTheme="majorBidi" w:cstheme="majorBidi"/>
          <w:sz w:val="20"/>
          <w:szCs w:val="20"/>
        </w:rPr>
        <w:t xml:space="preserve">that all the </w:t>
      </w:r>
      <w:r>
        <w:rPr>
          <w:rFonts w:asciiTheme="majorBidi" w:hAnsiTheme="majorBidi" w:cstheme="majorBidi"/>
          <w:sz w:val="20"/>
          <w:szCs w:val="20"/>
          <w:lang w:val="en-US"/>
        </w:rPr>
        <w:t>Torah explanations [</w:t>
      </w:r>
      <w:proofErr w:type="spellStart"/>
      <w:r w:rsidRPr="00426B62">
        <w:rPr>
          <w:rFonts w:asciiTheme="majorBidi" w:hAnsiTheme="majorBidi" w:cstheme="majorBidi"/>
          <w:i/>
          <w:iCs/>
          <w:sz w:val="20"/>
          <w:szCs w:val="20"/>
          <w:lang w:val="en-US"/>
        </w:rPr>
        <w:t>ta’amei</w:t>
      </w:r>
      <w:proofErr w:type="spellEnd"/>
      <w:r w:rsidRPr="00426B62">
        <w:rPr>
          <w:rFonts w:asciiTheme="majorBidi" w:hAnsiTheme="majorBidi" w:cstheme="majorBidi"/>
          <w:i/>
          <w:iCs/>
          <w:sz w:val="20"/>
          <w:szCs w:val="20"/>
          <w:lang w:val="en-US"/>
        </w:rPr>
        <w:t xml:space="preserve"> Torah</w:t>
      </w:r>
      <w:r>
        <w:rPr>
          <w:rFonts w:asciiTheme="majorBidi" w:hAnsiTheme="majorBidi" w:cstheme="majorBidi"/>
          <w:sz w:val="20"/>
          <w:szCs w:val="20"/>
          <w:lang w:val="en-US"/>
        </w:rPr>
        <w:t xml:space="preserve">] </w:t>
      </w:r>
      <w:r w:rsidRPr="00426B62">
        <w:rPr>
          <w:rFonts w:asciiTheme="majorBidi" w:hAnsiTheme="majorBidi" w:cstheme="majorBidi"/>
          <w:sz w:val="20"/>
          <w:szCs w:val="20"/>
        </w:rPr>
        <w:t xml:space="preserve">seemed, </w:t>
      </w:r>
      <w:r>
        <w:rPr>
          <w:rFonts w:asciiTheme="majorBidi" w:hAnsiTheme="majorBidi" w:cstheme="majorBidi"/>
          <w:sz w:val="20"/>
          <w:szCs w:val="20"/>
          <w:lang w:val="en-US"/>
        </w:rPr>
        <w:t>[</w:t>
      </w:r>
      <w:r w:rsidRPr="00426B62">
        <w:rPr>
          <w:rFonts w:asciiTheme="majorBidi" w:hAnsiTheme="majorBidi" w:cstheme="majorBidi"/>
          <w:sz w:val="20"/>
          <w:szCs w:val="20"/>
        </w:rPr>
        <w:t>relative</w:t>
      </w:r>
      <w:r>
        <w:rPr>
          <w:rFonts w:asciiTheme="majorBidi" w:hAnsiTheme="majorBidi" w:cstheme="majorBidi"/>
          <w:sz w:val="20"/>
          <w:szCs w:val="20"/>
          <w:lang w:val="en-US"/>
        </w:rPr>
        <w:t>]</w:t>
      </w:r>
      <w:r w:rsidRPr="00426B62">
        <w:rPr>
          <w:rFonts w:asciiTheme="majorBidi" w:hAnsiTheme="majorBidi" w:cstheme="majorBidi"/>
          <w:sz w:val="20"/>
          <w:szCs w:val="20"/>
        </w:rPr>
        <w:t xml:space="preserve"> to them, like grass of the </w:t>
      </w:r>
      <w:proofErr w:type="spellStart"/>
      <w:r w:rsidRPr="00426B62">
        <w:rPr>
          <w:rFonts w:asciiTheme="majorBidi" w:hAnsiTheme="majorBidi" w:cstheme="majorBidi"/>
          <w:sz w:val="20"/>
          <w:szCs w:val="20"/>
        </w:rPr>
        <w:t>fiel</w:t>
      </w:r>
      <w:proofErr w:type="spellEnd"/>
      <w:r>
        <w:rPr>
          <w:rFonts w:asciiTheme="majorBidi" w:hAnsiTheme="majorBidi" w:cstheme="majorBidi"/>
          <w:sz w:val="20"/>
          <w:szCs w:val="20"/>
          <w:lang w:val="en-US"/>
        </w:rPr>
        <w:t>d’</w:t>
      </w:r>
      <w:r>
        <w:rPr>
          <w:rFonts w:cs="FrankRuehl" w:hint="cs"/>
          <w:sz w:val="24"/>
          <w:szCs w:val="24"/>
          <w:rtl/>
        </w:rPr>
        <w:t>.</w:t>
      </w:r>
      <w:r w:rsidRPr="00DC1128">
        <w:rPr>
          <w:rFonts w:cs="FrankRuehl" w:hint="cs"/>
          <w:sz w:val="24"/>
          <w:szCs w:val="24"/>
          <w:rtl/>
        </w:rPr>
        <w:t xml:space="preserve"> ובתווך</w:t>
      </w:r>
      <w:r>
        <w:rPr>
          <w:rFonts w:cs="FrankRuehl" w:hint="cs"/>
          <w:sz w:val="24"/>
          <w:szCs w:val="24"/>
          <w:rtl/>
        </w:rPr>
        <w:t>, בין הוויתור על חיפוש הסבר לחוקים סתומים</w:t>
      </w:r>
      <w:r w:rsidRPr="00DC1128">
        <w:rPr>
          <w:rFonts w:cs="FrankRuehl" w:hint="cs"/>
          <w:sz w:val="24"/>
          <w:szCs w:val="24"/>
          <w:rtl/>
        </w:rPr>
        <w:t xml:space="preserve"> </w:t>
      </w:r>
      <w:r>
        <w:rPr>
          <w:rFonts w:cs="FrankRuehl" w:hint="cs"/>
          <w:sz w:val="24"/>
          <w:szCs w:val="24"/>
          <w:rtl/>
        </w:rPr>
        <w:t xml:space="preserve">וההשתדלות לאתר הסברים שכאלה, נמצא </w:t>
      </w:r>
      <w:r w:rsidRPr="00DC1128">
        <w:rPr>
          <w:rFonts w:cs="FrankRuehl" w:hint="cs"/>
          <w:sz w:val="24"/>
          <w:szCs w:val="24"/>
          <w:rtl/>
        </w:rPr>
        <w:t>מיני דרכי אמצע</w:t>
      </w:r>
      <w:r w:rsidRPr="00DC1128">
        <w:rPr>
          <w:rFonts w:ascii="FrankRuehl" w:hAnsi="FrankRuehl" w:cs="FrankRuehl" w:hint="cs"/>
          <w:b/>
          <w:sz w:val="24"/>
          <w:szCs w:val="24"/>
          <w:rtl/>
        </w:rPr>
        <w:t xml:space="preserve">, למשל </w:t>
      </w:r>
      <w:r w:rsidRPr="00DC1128">
        <w:rPr>
          <w:rFonts w:cs="FrankRuehl" w:hint="cs"/>
          <w:sz w:val="24"/>
          <w:szCs w:val="24"/>
          <w:rtl/>
        </w:rPr>
        <w:t>ההבחנה</w:t>
      </w:r>
      <w:r w:rsidRPr="00DC1128">
        <w:rPr>
          <w:rFonts w:ascii="FrankRuehl" w:hAnsi="FrankRuehl" w:cs="FrankRuehl"/>
          <w:b/>
          <w:sz w:val="24"/>
          <w:szCs w:val="24"/>
          <w:rtl/>
        </w:rPr>
        <w:t xml:space="preserve"> בין </w:t>
      </w:r>
      <w:r w:rsidRPr="00DC1128">
        <w:rPr>
          <w:rFonts w:ascii="FrankRuehl" w:hAnsi="FrankRuehl" w:cs="FrankRuehl" w:hint="cs"/>
          <w:b/>
          <w:sz w:val="24"/>
          <w:szCs w:val="24"/>
          <w:rtl/>
        </w:rPr>
        <w:t>כללי החוק שב</w:t>
      </w:r>
      <w:r>
        <w:rPr>
          <w:rFonts w:ascii="FrankRuehl" w:hAnsi="FrankRuehl" w:cs="FrankRuehl" w:hint="cs"/>
          <w:b/>
          <w:sz w:val="24"/>
          <w:szCs w:val="24"/>
          <w:rtl/>
        </w:rPr>
        <w:t>ו</w:t>
      </w:r>
      <w:r w:rsidRPr="00DC1128">
        <w:rPr>
          <w:rFonts w:ascii="FrankRuehl" w:hAnsi="FrankRuehl" w:cs="FrankRuehl"/>
          <w:b/>
          <w:sz w:val="24"/>
          <w:szCs w:val="24"/>
          <w:rtl/>
        </w:rPr>
        <w:t xml:space="preserve"> '</w:t>
      </w:r>
      <w:r w:rsidRPr="00DC1128">
        <w:rPr>
          <w:rFonts w:ascii="FrankRuehl" w:hAnsi="FrankRuehl" w:cs="FrankRuehl"/>
          <w:sz w:val="24"/>
          <w:szCs w:val="24"/>
          <w:rtl/>
        </w:rPr>
        <w:t xml:space="preserve">טעם כל שהוא מדרך המושכל' </w:t>
      </w:r>
      <w:r w:rsidRPr="007E08F2">
        <w:rPr>
          <w:rFonts w:ascii="FrankRuehl" w:hAnsi="FrankRuehl" w:cs="FrankRuehl"/>
          <w:sz w:val="24"/>
          <w:szCs w:val="24"/>
          <w:rtl/>
        </w:rPr>
        <w:t>ופרטי פרטיו של החוק</w:t>
      </w:r>
      <w:r w:rsidRPr="007E08F2">
        <w:rPr>
          <w:rFonts w:ascii="FrankRuehl" w:hAnsi="FrankRuehl" w:cs="FrankRuehl" w:hint="cs"/>
          <w:sz w:val="24"/>
          <w:szCs w:val="24"/>
          <w:rtl/>
        </w:rPr>
        <w:t xml:space="preserve"> הנותרים לא פעם בלתי בהירים</w:t>
      </w:r>
      <w:r w:rsidRPr="007E08F2">
        <w:rPr>
          <w:rFonts w:ascii="FrankRuehl" w:hAnsi="FrankRuehl" w:cs="FrankRuehl"/>
          <w:b/>
          <w:sz w:val="24"/>
          <w:szCs w:val="24"/>
          <w:rtl/>
        </w:rPr>
        <w:t>.</w:t>
      </w:r>
      <w:r w:rsidRPr="007E08F2">
        <w:rPr>
          <w:rStyle w:val="FootnoteReference"/>
          <w:rFonts w:ascii="FrankRuehl" w:hAnsi="FrankRuehl" w:cs="FrankRuehl"/>
          <w:b/>
          <w:sz w:val="24"/>
          <w:szCs w:val="24"/>
          <w:rtl/>
        </w:rPr>
        <w:footnoteReference w:id="6"/>
      </w:r>
      <w:r w:rsidRPr="007E08F2">
        <w:rPr>
          <w:rFonts w:ascii="FrankRuehl" w:hAnsi="FrankRuehl" w:cs="FrankRuehl"/>
          <w:b/>
          <w:sz w:val="24"/>
          <w:szCs w:val="24"/>
          <w:rtl/>
        </w:rPr>
        <w:t xml:space="preserve"> </w:t>
      </w:r>
    </w:p>
    <w:p w14:paraId="6A7784A6" w14:textId="77777777" w:rsidR="004D014B" w:rsidRPr="00797DCE" w:rsidRDefault="004D014B" w:rsidP="004D014B">
      <w:pPr>
        <w:bidi/>
        <w:spacing w:line="360" w:lineRule="auto"/>
        <w:ind w:firstLine="720"/>
        <w:rPr>
          <w:rFonts w:ascii="FrankRuehl" w:hAnsi="FrankRuehl" w:cs="FrankRuehl"/>
          <w:sz w:val="24"/>
          <w:szCs w:val="24"/>
          <w:lang w:val="en-US"/>
        </w:rPr>
      </w:pPr>
      <w:r>
        <w:rPr>
          <w:rFonts w:ascii="FrankRuehl" w:hAnsi="FrankRuehl" w:cs="FrankRuehl" w:hint="cs"/>
          <w:sz w:val="24"/>
          <w:szCs w:val="24"/>
          <w:rtl/>
        </w:rPr>
        <w:t>גם במחקר המודרני הודגשה סתימותם של חוקי כלאיים. אשר לאיסורי כלאי בהמה וכלאי זריעה, הסבר נפוץ המוסכם על מרבית החוקרים הוא כי פעולות כלאיים אלו מפרות את הסדר האלוהי בעולם. אלוהים ברא את בעלי החיים למיניהם ואת הצמחים למיניהם (בר' א 12, 20</w:t>
      </w:r>
      <w:r>
        <w:rPr>
          <w:rFonts w:ascii="FrankRuehl" w:hAnsi="FrankRuehl" w:cs="FrankRuehl"/>
          <w:sz w:val="24"/>
          <w:szCs w:val="24"/>
          <w:rtl/>
        </w:rPr>
        <w:t>–</w:t>
      </w:r>
      <w:r>
        <w:rPr>
          <w:rFonts w:ascii="FrankRuehl" w:hAnsi="FrankRuehl" w:cs="FrankRuehl" w:hint="cs"/>
          <w:sz w:val="24"/>
          <w:szCs w:val="24"/>
          <w:rtl/>
        </w:rPr>
        <w:t>21, 24</w:t>
      </w:r>
      <w:r>
        <w:rPr>
          <w:rFonts w:ascii="FrankRuehl" w:hAnsi="FrankRuehl" w:cs="FrankRuehl"/>
          <w:sz w:val="24"/>
          <w:szCs w:val="24"/>
          <w:rtl/>
        </w:rPr>
        <w:t>–</w:t>
      </w:r>
      <w:r>
        <w:rPr>
          <w:rFonts w:ascii="FrankRuehl" w:hAnsi="FrankRuehl" w:cs="FrankRuehl" w:hint="cs"/>
          <w:sz w:val="24"/>
          <w:szCs w:val="24"/>
          <w:rtl/>
        </w:rPr>
        <w:t>25), והאיסורים באים למנוע יצירתם של זנים חדשים שלא כלולים היו בבריאה האלוהית המושלמת.</w:t>
      </w:r>
      <w:r>
        <w:rPr>
          <w:rStyle w:val="FootnoteReference"/>
          <w:rFonts w:ascii="FrankRuehl" w:hAnsi="FrankRuehl" w:cs="FrankRuehl"/>
          <w:sz w:val="24"/>
          <w:szCs w:val="24"/>
          <w:rtl/>
        </w:rPr>
        <w:footnoteReference w:id="7"/>
      </w:r>
      <w:r>
        <w:rPr>
          <w:rFonts w:ascii="FrankRuehl" w:hAnsi="FrankRuehl" w:cs="FrankRuehl" w:hint="cs"/>
          <w:sz w:val="24"/>
          <w:szCs w:val="24"/>
          <w:rtl/>
        </w:rPr>
        <w:t xml:space="preserve"> אשר לאיסור על לבישת בגד כלאיים, מקובל להציע כי הוא</w:t>
      </w:r>
      <w:r w:rsidRPr="00DC1128">
        <w:rPr>
          <w:rFonts w:ascii="FrankRuehl" w:hAnsi="FrankRuehl" w:cs="FrankRuehl" w:hint="cs"/>
          <w:sz w:val="24"/>
          <w:szCs w:val="24"/>
          <w:rtl/>
        </w:rPr>
        <w:t xml:space="preserve"> בא ליצור הבחנה מעמדית או ערכית </w:t>
      </w:r>
      <w:r>
        <w:rPr>
          <w:rFonts w:ascii="FrankRuehl" w:hAnsi="FrankRuehl" w:cs="FrankRuehl" w:hint="cs"/>
          <w:sz w:val="24"/>
          <w:szCs w:val="24"/>
          <w:rtl/>
        </w:rPr>
        <w:t>בין תחומו של האדם הפשוט ותחומי הקד</w:t>
      </w:r>
      <w:r w:rsidRPr="009D77C9">
        <w:rPr>
          <w:rFonts w:ascii="FrankRuehl" w:hAnsi="FrankRuehl" w:cs="FrankRuehl" w:hint="cs"/>
          <w:sz w:val="24"/>
          <w:szCs w:val="24"/>
          <w:rtl/>
        </w:rPr>
        <w:t>ו</w:t>
      </w:r>
      <w:r w:rsidRPr="009D77C9">
        <w:rPr>
          <w:rFonts w:ascii="Arial" w:hAnsi="Arial" w:cs="FrankRuehl"/>
          <w:sz w:val="24"/>
          <w:szCs w:val="24"/>
          <w:rtl/>
        </w:rPr>
        <w:t>ּ</w:t>
      </w:r>
      <w:r w:rsidRPr="009D77C9">
        <w:rPr>
          <w:rFonts w:ascii="FrankRuehl" w:hAnsi="FrankRuehl" w:cs="FrankRuehl" w:hint="cs"/>
          <w:sz w:val="24"/>
          <w:szCs w:val="24"/>
          <w:rtl/>
        </w:rPr>
        <w:t>ש</w:t>
      </w:r>
      <w:r>
        <w:rPr>
          <w:rFonts w:ascii="FrankRuehl" w:hAnsi="FrankRuehl" w:cs="FrankRuehl" w:hint="cs"/>
          <w:sz w:val="24"/>
          <w:szCs w:val="24"/>
          <w:rtl/>
        </w:rPr>
        <w:t xml:space="preserve">ה, והודגש כי במקדש יימצא שעטנז וכי שעטנז יימצא </w:t>
      </w:r>
      <w:r>
        <w:rPr>
          <w:rFonts w:ascii="FrankRuehl" w:hAnsi="FrankRuehl" w:cs="FrankRuehl" w:hint="cs"/>
          <w:sz w:val="24"/>
          <w:szCs w:val="24"/>
          <w:rtl/>
        </w:rPr>
        <w:lastRenderedPageBreak/>
        <w:t>בפרטי הלבוש של הכוהנים המשרתים בקודש</w:t>
      </w:r>
      <w:r w:rsidRPr="00DC1128">
        <w:rPr>
          <w:rFonts w:ascii="FrankRuehl" w:hAnsi="FrankRuehl" w:cs="FrankRuehl" w:hint="cs"/>
          <w:sz w:val="24"/>
          <w:szCs w:val="24"/>
          <w:rtl/>
        </w:rPr>
        <w:t>.</w:t>
      </w:r>
      <w:r>
        <w:rPr>
          <w:rStyle w:val="FootnoteReference"/>
          <w:rFonts w:ascii="FrankRuehl" w:hAnsi="FrankRuehl" w:cs="FrankRuehl"/>
          <w:sz w:val="24"/>
          <w:szCs w:val="24"/>
          <w:rtl/>
        </w:rPr>
        <w:footnoteReference w:id="8"/>
      </w:r>
      <w:r>
        <w:rPr>
          <w:rFonts w:ascii="FrankRuehl" w:hAnsi="FrankRuehl" w:cs="FrankRuehl" w:hint="cs"/>
          <w:sz w:val="24"/>
          <w:szCs w:val="24"/>
          <w:rtl/>
        </w:rPr>
        <w:t xml:space="preserve"> ואם כך הוא, הרי שגם לבישת בגד כלאיים מפרה את הסדר האלוהי שנקבע בעולם.</w:t>
      </w:r>
      <w:r w:rsidRPr="00DC1128">
        <w:rPr>
          <w:rStyle w:val="FootnoteReference"/>
          <w:rFonts w:ascii="FrankRuehl" w:hAnsi="FrankRuehl" w:cs="FrankRuehl"/>
          <w:sz w:val="24"/>
          <w:szCs w:val="24"/>
          <w:rtl/>
        </w:rPr>
        <w:footnoteReference w:id="9"/>
      </w:r>
      <w:r w:rsidRPr="00380C7B">
        <w:rPr>
          <w:rFonts w:cs="FrankRuehl" w:hint="cs"/>
          <w:sz w:val="24"/>
          <w:szCs w:val="24"/>
          <w:rtl/>
        </w:rPr>
        <w:t xml:space="preserve"> </w:t>
      </w:r>
      <w:r>
        <w:rPr>
          <w:rFonts w:cs="FrankRuehl" w:hint="cs"/>
          <w:sz w:val="24"/>
          <w:szCs w:val="24"/>
          <w:rtl/>
        </w:rPr>
        <w:t xml:space="preserve">ההצעה כי איסורי הכלאיים באים למנוע את הפרתו של סדר הבריאה האלוהית זכתה לפיתוחים שונים לאורך הדורות הן במסורת היהודית הן במחקר המודרני. לא פעם הודגש הצד הפיגורטיבי שבאיסורי הכלאיים או הצד הכוללני שבהם, והוצע כי אין הם מוגבלים </w:t>
      </w:r>
      <w:r w:rsidRPr="00214310">
        <w:rPr>
          <w:rFonts w:cs="FrankRuehl" w:hint="cs"/>
          <w:sz w:val="24"/>
          <w:szCs w:val="24"/>
          <w:rtl/>
        </w:rPr>
        <w:t>לבהמה לשדה ולבגד.</w:t>
      </w:r>
      <w:r w:rsidRPr="00214310">
        <w:rPr>
          <w:rStyle w:val="FootnoteReference"/>
          <w:rFonts w:cs="FrankRuehl"/>
          <w:sz w:val="24"/>
          <w:szCs w:val="24"/>
          <w:rtl/>
        </w:rPr>
        <w:footnoteReference w:id="10"/>
      </w:r>
      <w:r w:rsidRPr="00214310">
        <w:rPr>
          <w:rFonts w:cs="FrankRuehl" w:hint="cs"/>
          <w:sz w:val="24"/>
          <w:szCs w:val="24"/>
          <w:rtl/>
        </w:rPr>
        <w:t xml:space="preserve"> </w:t>
      </w:r>
      <w:r w:rsidRPr="00214310">
        <w:rPr>
          <w:rFonts w:ascii="FrankRuehl" w:hAnsi="FrankRuehl" w:cs="FrankRuehl" w:hint="cs"/>
          <w:sz w:val="24"/>
          <w:szCs w:val="24"/>
          <w:rtl/>
        </w:rPr>
        <w:t>דומה כי פיתוחים אלו</w:t>
      </w:r>
      <w:r>
        <w:rPr>
          <w:rFonts w:ascii="FrankRuehl" w:hAnsi="FrankRuehl" w:cs="FrankRuehl" w:hint="cs"/>
          <w:sz w:val="24"/>
          <w:szCs w:val="24"/>
          <w:rtl/>
        </w:rPr>
        <w:t>, שחלקם עוררו התנגדות במחקר,</w:t>
      </w:r>
      <w:r>
        <w:rPr>
          <w:rStyle w:val="FootnoteReference"/>
          <w:rFonts w:ascii="FrankRuehl" w:hAnsi="FrankRuehl" w:cs="FrankRuehl"/>
          <w:sz w:val="24"/>
          <w:szCs w:val="24"/>
          <w:rtl/>
        </w:rPr>
        <w:footnoteReference w:id="11"/>
      </w:r>
      <w:r w:rsidRPr="00214310">
        <w:rPr>
          <w:rFonts w:ascii="FrankRuehl" w:hAnsi="FrankRuehl" w:cs="FrankRuehl" w:hint="cs"/>
          <w:sz w:val="24"/>
          <w:szCs w:val="24"/>
          <w:rtl/>
        </w:rPr>
        <w:t xml:space="preserve"> התאפשרו בשל סתימותם היסודית של שלושת האיסורים.</w:t>
      </w:r>
      <w:r>
        <w:rPr>
          <w:rFonts w:ascii="FrankRuehl" w:hAnsi="FrankRuehl" w:cs="FrankRuehl" w:hint="cs"/>
          <w:sz w:val="24"/>
          <w:szCs w:val="24"/>
          <w:rtl/>
        </w:rPr>
        <w:t xml:space="preserve"> </w:t>
      </w:r>
    </w:p>
    <w:p w14:paraId="0628B8F0" w14:textId="77777777" w:rsidR="004D014B" w:rsidRPr="001122D6" w:rsidRDefault="004D014B" w:rsidP="004D014B">
      <w:pPr>
        <w:bidi/>
        <w:spacing w:line="360" w:lineRule="auto"/>
        <w:ind w:firstLine="720"/>
        <w:rPr>
          <w:rFonts w:ascii="FrankRuehl" w:hAnsi="FrankRuehl" w:cs="FrankRuehl"/>
          <w:sz w:val="24"/>
          <w:szCs w:val="24"/>
          <w:rtl/>
          <w:lang w:val="en-US"/>
        </w:rPr>
      </w:pPr>
      <w:r>
        <w:rPr>
          <w:rFonts w:ascii="FrankRuehl" w:hAnsi="FrankRuehl" w:cs="FrankRuehl" w:hint="cs"/>
          <w:sz w:val="24"/>
          <w:szCs w:val="24"/>
          <w:rtl/>
        </w:rPr>
        <w:t xml:space="preserve">דבריי הבאים משתלבים עם ההסבר הנפוץ לאיסורי הכלאיים, ואין הם באים אלא לחדד נקודה עקרונית הנוגעת לליבו של האיסור על כלאי בהמה, נקודה שטרם זכתה להדגשה במחקר. </w:t>
      </w:r>
      <w:r w:rsidRPr="003E4D09">
        <w:rPr>
          <w:rFonts w:ascii="FrankRuehl" w:hAnsi="FrankRuehl" w:cs="FrankRuehl" w:hint="cs"/>
          <w:sz w:val="24"/>
          <w:szCs w:val="24"/>
          <w:rtl/>
        </w:rPr>
        <w:t xml:space="preserve">כפי </w:t>
      </w:r>
      <w:r>
        <w:rPr>
          <w:rFonts w:ascii="FrankRuehl" w:hAnsi="FrankRuehl" w:cs="FrankRuehl" w:hint="cs"/>
          <w:sz w:val="24"/>
          <w:szCs w:val="24"/>
          <w:rtl/>
        </w:rPr>
        <w:t>שאנסה לטעון</w:t>
      </w:r>
      <w:r w:rsidRPr="003E4D09">
        <w:rPr>
          <w:rFonts w:ascii="FrankRuehl" w:hAnsi="FrankRuehl" w:cs="FrankRuehl" w:hint="cs"/>
          <w:sz w:val="24"/>
          <w:szCs w:val="24"/>
          <w:rtl/>
        </w:rPr>
        <w:t xml:space="preserve">, יש לקחת בחשבון נקודה זו בבירור היחס שבין איסורי כלאיים </w:t>
      </w:r>
      <w:proofErr w:type="spellStart"/>
      <w:r w:rsidRPr="003E4D09">
        <w:rPr>
          <w:rFonts w:ascii="FrankRuehl" w:hAnsi="FrankRuehl" w:cs="FrankRuehl" w:hint="cs"/>
          <w:sz w:val="24"/>
          <w:szCs w:val="24"/>
          <w:rtl/>
        </w:rPr>
        <w:t>בויקרא</w:t>
      </w:r>
      <w:proofErr w:type="spellEnd"/>
      <w:r w:rsidRPr="003E4D09">
        <w:rPr>
          <w:rFonts w:ascii="FrankRuehl" w:hAnsi="FrankRuehl" w:cs="FrankRuehl" w:hint="cs"/>
          <w:sz w:val="24"/>
          <w:szCs w:val="24"/>
          <w:rtl/>
        </w:rPr>
        <w:t xml:space="preserve"> </w:t>
      </w:r>
      <w:proofErr w:type="spellStart"/>
      <w:r w:rsidRPr="003E4D09">
        <w:rPr>
          <w:rFonts w:ascii="FrankRuehl" w:hAnsi="FrankRuehl" w:cs="FrankRuehl" w:hint="cs"/>
          <w:sz w:val="24"/>
          <w:szCs w:val="24"/>
          <w:rtl/>
        </w:rPr>
        <w:t>יט</w:t>
      </w:r>
      <w:proofErr w:type="spellEnd"/>
      <w:r w:rsidRPr="003E4D09">
        <w:rPr>
          <w:rFonts w:ascii="FrankRuehl" w:hAnsi="FrankRuehl" w:cs="FrankRuehl" w:hint="cs"/>
          <w:sz w:val="24"/>
          <w:szCs w:val="24"/>
          <w:rtl/>
        </w:rPr>
        <w:t xml:space="preserve"> ואיסורי כלאים בדברים </w:t>
      </w:r>
      <w:proofErr w:type="spellStart"/>
      <w:r w:rsidRPr="003E4D09">
        <w:rPr>
          <w:rFonts w:ascii="FrankRuehl" w:hAnsi="FrankRuehl" w:cs="FrankRuehl" w:hint="cs"/>
          <w:sz w:val="24"/>
          <w:szCs w:val="24"/>
          <w:rtl/>
        </w:rPr>
        <w:t>כב</w:t>
      </w:r>
      <w:proofErr w:type="spellEnd"/>
      <w:r w:rsidRPr="003E4D09">
        <w:rPr>
          <w:rFonts w:ascii="FrankRuehl" w:hAnsi="FrankRuehl" w:cs="FrankRuehl" w:hint="cs"/>
          <w:sz w:val="24"/>
          <w:szCs w:val="24"/>
          <w:rtl/>
        </w:rPr>
        <w:t>.</w:t>
      </w:r>
    </w:p>
    <w:p w14:paraId="634B807D" w14:textId="77777777" w:rsidR="004D014B" w:rsidRPr="00813A62" w:rsidRDefault="004D014B" w:rsidP="004D014B">
      <w:pPr>
        <w:bidi/>
        <w:spacing w:line="360" w:lineRule="auto"/>
        <w:rPr>
          <w:rFonts w:ascii="FrankRuehl" w:hAnsi="FrankRuehl" w:cs="FrankRuehl"/>
          <w:sz w:val="20"/>
          <w:szCs w:val="20"/>
          <w:lang w:val="en-US"/>
        </w:rPr>
      </w:pPr>
    </w:p>
    <w:p w14:paraId="628D292E" w14:textId="77777777" w:rsidR="004D014B" w:rsidRPr="00813A62" w:rsidRDefault="004D014B" w:rsidP="004D014B">
      <w:pPr>
        <w:bidi/>
        <w:spacing w:line="360" w:lineRule="auto"/>
        <w:jc w:val="center"/>
        <w:rPr>
          <w:rFonts w:asciiTheme="majorBidi" w:hAnsiTheme="majorBidi" w:cstheme="majorBidi"/>
          <w:sz w:val="20"/>
          <w:szCs w:val="20"/>
          <w:rtl/>
          <w:lang w:val="en-US"/>
        </w:rPr>
      </w:pPr>
      <w:r>
        <w:rPr>
          <w:rFonts w:asciiTheme="majorBidi" w:hAnsiTheme="majorBidi" w:cstheme="majorBidi"/>
          <w:sz w:val="20"/>
          <w:szCs w:val="20"/>
          <w:lang w:val="en-US"/>
        </w:rPr>
        <w:t>2.</w:t>
      </w:r>
    </w:p>
    <w:p w14:paraId="5C71A785" w14:textId="77777777" w:rsidR="004D014B" w:rsidRDefault="004D014B" w:rsidP="004D014B">
      <w:pPr>
        <w:bidi/>
        <w:spacing w:line="360" w:lineRule="auto"/>
        <w:rPr>
          <w:rFonts w:ascii="FrankRuehl" w:hAnsi="FrankRuehl" w:cs="FrankRuehl"/>
          <w:sz w:val="24"/>
          <w:szCs w:val="24"/>
          <w:rtl/>
        </w:rPr>
      </w:pPr>
      <w:r>
        <w:rPr>
          <w:rFonts w:ascii="FrankRuehl" w:hAnsi="FrankRuehl" w:cs="FrankRuehl" w:hint="cs"/>
          <w:sz w:val="24"/>
          <w:szCs w:val="24"/>
          <w:rtl/>
        </w:rPr>
        <w:t xml:space="preserve">בהתאם להצעה השכיחה כי איסורי כלאיים משקפים את השאיפה לשמר את הגבולות הטבעיים שקבע אלוהים בעולם, הרי ששלושת האיסורים מייצגים שלושה היבטים נבדלים: עולם החי, עולם הצומח, ועולם היצירה האנושית המיוסדת על מוצרים מן החי והצומח. שלושת האיסורים, בבואם יחד, מציגים אפוא איסור כולל לכל שילוב וערבוב של מינים וזנים העולה על הדעת, ואפשר שזאת בדיוק </w:t>
      </w:r>
      <w:proofErr w:type="spellStart"/>
      <w:r>
        <w:rPr>
          <w:rFonts w:ascii="FrankRuehl" w:hAnsi="FrankRuehl" w:cs="FrankRuehl" w:hint="cs"/>
          <w:sz w:val="24"/>
          <w:szCs w:val="24"/>
          <w:rtl/>
        </w:rPr>
        <w:t>היתה</w:t>
      </w:r>
      <w:proofErr w:type="spellEnd"/>
      <w:r>
        <w:rPr>
          <w:rFonts w:ascii="FrankRuehl" w:hAnsi="FrankRuehl" w:cs="FrankRuehl" w:hint="cs"/>
          <w:sz w:val="24"/>
          <w:szCs w:val="24"/>
          <w:rtl/>
        </w:rPr>
        <w:t xml:space="preserve"> כוונתו של המחוקק. אולם קונספציה תיאולוגית כוללת ומופשטת, לא פעם עשויה להתברר כבעייתית עת היא נשקלת לפרטיה. </w:t>
      </w:r>
    </w:p>
    <w:p w14:paraId="0F34830B" w14:textId="77777777" w:rsidR="004D014B" w:rsidRDefault="004D014B" w:rsidP="004D014B">
      <w:pPr>
        <w:bidi/>
        <w:spacing w:line="360" w:lineRule="auto"/>
        <w:ind w:firstLine="720"/>
        <w:rPr>
          <w:rFonts w:ascii="FrankRuehl" w:hAnsi="FrankRuehl" w:cs="FrankRuehl"/>
          <w:sz w:val="24"/>
          <w:szCs w:val="24"/>
          <w:rtl/>
        </w:rPr>
      </w:pPr>
      <w:r>
        <w:rPr>
          <w:rFonts w:ascii="FrankRuehl" w:hAnsi="FrankRuehl" w:cs="FrankRuehl" w:hint="cs"/>
          <w:sz w:val="24"/>
          <w:szCs w:val="24"/>
          <w:rtl/>
        </w:rPr>
        <w:t>בחינתם של כל אחד מהאיסורים לגופו, מלמד כי האיסור על כלאי בהמה נבדל משני איסורי הכלאיים האחרים בנקודה מעניינת. זריעת כלאיים ויצירת בגד כלאיים, כלומר ערבוב של זרעים מסוגים שונים ושילוב של חומר מן החי (כאמור בעיקר צמר, אך לא מן הנמנע כי גם פרווה ואולי אף עור וקישוטי עצם) ומן הצומח הן פעולות הניתנות לביצוע מגו</w:t>
      </w:r>
      <w:r w:rsidRPr="00D86107">
        <w:rPr>
          <w:rFonts w:ascii="Arial" w:hAnsi="Arial" w:cs="FrankRuehl"/>
          <w:sz w:val="24"/>
          <w:szCs w:val="24"/>
          <w:rtl/>
        </w:rPr>
        <w:t>ּ</w:t>
      </w:r>
      <w:r>
        <w:rPr>
          <w:rFonts w:ascii="FrankRuehl" w:hAnsi="FrankRuehl" w:cs="FrankRuehl" w:hint="cs"/>
          <w:sz w:val="24"/>
          <w:szCs w:val="24"/>
          <w:rtl/>
        </w:rPr>
        <w:t>ון ובדרכים רבות. בהתאם לכך, מחוקק המבקש לאסור זריעה של זרעים מכמה מינים באותו השדה או לבישת בגד העשוי חומרים מן החי ומן הצומח, באופן טבעי ינקוט בלשון כוללת ויציין שדה ובגד.</w:t>
      </w:r>
      <w:r w:rsidRPr="00DC1128">
        <w:rPr>
          <w:rFonts w:ascii="FrankRuehl" w:hAnsi="FrankRuehl" w:cs="FrankRuehl"/>
          <w:sz w:val="24"/>
          <w:szCs w:val="24"/>
          <w:rtl/>
        </w:rPr>
        <w:t xml:space="preserve"> </w:t>
      </w:r>
      <w:r>
        <w:rPr>
          <w:rFonts w:ascii="FrankRuehl" w:hAnsi="FrankRuehl" w:cs="FrankRuehl" w:hint="cs"/>
          <w:sz w:val="24"/>
          <w:szCs w:val="24"/>
          <w:rtl/>
        </w:rPr>
        <w:t xml:space="preserve">למול זאת, האפשרות להרבעת כלאיים מוגבלת ומצומצמת בהחלט, ולמעשה באה בחשבון הרבעת סוסים עם חמורים בלבד: </w:t>
      </w:r>
      <w:bookmarkStart w:id="1" w:name="_Hlk54191871"/>
      <w:r>
        <w:rPr>
          <w:rFonts w:ascii="FrankRuehl" w:hAnsi="FrankRuehl" w:cs="FrankRuehl" w:hint="cs"/>
          <w:sz w:val="24"/>
          <w:szCs w:val="24"/>
          <w:rtl/>
        </w:rPr>
        <w:t>חמור וסוסה המעמידים פרד (</w:t>
      </w:r>
      <w:r w:rsidRPr="003C01B9">
        <w:rPr>
          <w:rFonts w:asciiTheme="majorBidi" w:hAnsiTheme="majorBidi" w:cstheme="majorBidi"/>
          <w:sz w:val="20"/>
          <w:szCs w:val="20"/>
          <w:lang w:val="en-US"/>
        </w:rPr>
        <w:t>mule</w:t>
      </w:r>
      <w:r>
        <w:rPr>
          <w:rFonts w:ascii="FrankRuehl" w:hAnsi="FrankRuehl" w:cs="FrankRuehl" w:hint="cs"/>
          <w:sz w:val="24"/>
          <w:szCs w:val="24"/>
          <w:rtl/>
        </w:rPr>
        <w:t xml:space="preserve">) וסוס ואתון </w:t>
      </w:r>
      <w:r>
        <w:rPr>
          <w:rFonts w:ascii="FrankRuehl" w:hAnsi="FrankRuehl" w:cs="FrankRuehl"/>
          <w:sz w:val="24"/>
          <w:szCs w:val="24"/>
          <w:rtl/>
        </w:rPr>
        <w:t>–</w:t>
      </w:r>
      <w:r>
        <w:rPr>
          <w:rFonts w:ascii="FrankRuehl" w:hAnsi="FrankRuehl" w:cs="FrankRuehl" w:hint="cs"/>
          <w:sz w:val="24"/>
          <w:szCs w:val="24"/>
          <w:rtl/>
        </w:rPr>
        <w:t xml:space="preserve"> פעולה מעט מורכבת יותר בשל אופיין העקשני של האתונות </w:t>
      </w:r>
      <w:r>
        <w:rPr>
          <w:rFonts w:ascii="FrankRuehl" w:hAnsi="FrankRuehl" w:cs="FrankRuehl"/>
          <w:sz w:val="24"/>
          <w:szCs w:val="24"/>
          <w:rtl/>
        </w:rPr>
        <w:t>–</w:t>
      </w:r>
      <w:r>
        <w:rPr>
          <w:rFonts w:ascii="FrankRuehl" w:hAnsi="FrankRuehl" w:cs="FrankRuehl" w:hint="cs"/>
          <w:sz w:val="24"/>
          <w:szCs w:val="24"/>
          <w:rtl/>
        </w:rPr>
        <w:t xml:space="preserve"> המעמידים סוסיה (</w:t>
      </w:r>
      <w:r w:rsidRPr="003C01B9">
        <w:rPr>
          <w:rFonts w:asciiTheme="majorBidi" w:hAnsiTheme="majorBidi" w:cstheme="majorBidi"/>
          <w:sz w:val="20"/>
          <w:szCs w:val="20"/>
          <w:lang w:val="en-US"/>
        </w:rPr>
        <w:t>hinny</w:t>
      </w:r>
      <w:r>
        <w:rPr>
          <w:rFonts w:ascii="FrankRuehl" w:hAnsi="FrankRuehl" w:cs="FrankRuehl" w:hint="cs"/>
          <w:sz w:val="24"/>
          <w:szCs w:val="24"/>
          <w:rtl/>
        </w:rPr>
        <w:t>)</w:t>
      </w:r>
      <w:bookmarkEnd w:id="1"/>
      <w:r>
        <w:rPr>
          <w:rFonts w:ascii="FrankRuehl" w:hAnsi="FrankRuehl" w:cs="FrankRuehl" w:hint="cs"/>
          <w:sz w:val="24"/>
          <w:szCs w:val="24"/>
          <w:rtl/>
        </w:rPr>
        <w:t>.</w:t>
      </w:r>
      <w:r>
        <w:rPr>
          <w:rStyle w:val="FootnoteReference"/>
          <w:rFonts w:ascii="FrankRuehl" w:hAnsi="FrankRuehl" w:cs="FrankRuehl"/>
          <w:sz w:val="24"/>
          <w:szCs w:val="24"/>
          <w:rtl/>
        </w:rPr>
        <w:footnoteReference w:id="12"/>
      </w:r>
      <w:r>
        <w:rPr>
          <w:rFonts w:ascii="FrankRuehl" w:hAnsi="FrankRuehl" w:cs="FrankRuehl" w:hint="cs"/>
          <w:sz w:val="24"/>
          <w:szCs w:val="24"/>
          <w:rtl/>
        </w:rPr>
        <w:t xml:space="preserve"> זיווגי כלאיים של בהמות אחרות אינם מ</w:t>
      </w:r>
      <w:r w:rsidRPr="00D86107">
        <w:rPr>
          <w:rFonts w:ascii="FrankRuehl" w:hAnsi="FrankRuehl" w:cs="FrankRuehl" w:hint="cs"/>
          <w:sz w:val="24"/>
          <w:szCs w:val="24"/>
          <w:rtl/>
        </w:rPr>
        <w:t>וכ</w:t>
      </w:r>
      <w:r w:rsidRPr="00D86107">
        <w:rPr>
          <w:rFonts w:ascii="Arial" w:hAnsi="Arial" w:cs="FrankRuehl"/>
          <w:sz w:val="24"/>
          <w:szCs w:val="24"/>
          <w:rtl/>
        </w:rPr>
        <w:t>ּ</w:t>
      </w:r>
      <w:r w:rsidRPr="00D86107">
        <w:rPr>
          <w:rFonts w:ascii="FrankRuehl" w:hAnsi="FrankRuehl" w:cs="FrankRuehl" w:hint="cs"/>
          <w:sz w:val="24"/>
          <w:szCs w:val="24"/>
          <w:rtl/>
        </w:rPr>
        <w:t>ר</w:t>
      </w:r>
      <w:r>
        <w:rPr>
          <w:rFonts w:ascii="FrankRuehl" w:hAnsi="FrankRuehl" w:cs="FrankRuehl" w:hint="cs"/>
          <w:sz w:val="24"/>
          <w:szCs w:val="24"/>
          <w:rtl/>
        </w:rPr>
        <w:t>ים באזור ארץ ישראל.</w:t>
      </w:r>
      <w:r>
        <w:rPr>
          <w:rStyle w:val="FootnoteReference"/>
          <w:rFonts w:ascii="FrankRuehl" w:hAnsi="FrankRuehl" w:cs="FrankRuehl"/>
          <w:color w:val="202122"/>
          <w:sz w:val="24"/>
          <w:szCs w:val="24"/>
          <w:shd w:val="clear" w:color="auto" w:fill="FFFFFF"/>
          <w:rtl/>
        </w:rPr>
        <w:footnoteReference w:id="13"/>
      </w:r>
      <w:r>
        <w:rPr>
          <w:rFonts w:ascii="FrankRuehl" w:hAnsi="FrankRuehl" w:cs="FrankRuehl" w:hint="cs"/>
          <w:sz w:val="24"/>
          <w:szCs w:val="24"/>
          <w:rtl/>
        </w:rPr>
        <w:t xml:space="preserve"> בהתחשב בכך שחוקי התורה התגבשו והשתרשו בתרבות חקלאית, יקשה להציע כי בני התקופה אומנם הניחו בפשטות כי ניתן להכליא כבש ועז, או פרה וגמל, וכן </w:t>
      </w:r>
      <w:r>
        <w:rPr>
          <w:rFonts w:ascii="FrankRuehl" w:hAnsi="FrankRuehl" w:cs="FrankRuehl" w:hint="cs"/>
          <w:sz w:val="24"/>
          <w:szCs w:val="24"/>
          <w:rtl/>
        </w:rPr>
        <w:lastRenderedPageBreak/>
        <w:t>הלאה.</w:t>
      </w:r>
      <w:r>
        <w:rPr>
          <w:rStyle w:val="FootnoteReference"/>
          <w:rFonts w:ascii="FrankRuehl" w:hAnsi="FrankRuehl" w:cs="FrankRuehl"/>
          <w:sz w:val="24"/>
          <w:szCs w:val="24"/>
          <w:rtl/>
        </w:rPr>
        <w:footnoteReference w:id="14"/>
      </w:r>
      <w:r>
        <w:rPr>
          <w:rFonts w:ascii="FrankRuehl" w:hAnsi="FrankRuehl" w:cs="FrankRuehl" w:hint="cs"/>
          <w:color w:val="202122"/>
          <w:sz w:val="24"/>
          <w:szCs w:val="24"/>
          <w:shd w:val="clear" w:color="auto" w:fill="FFFFFF"/>
          <w:rtl/>
        </w:rPr>
        <w:t xml:space="preserve"> יש מקום לומר אפוא ש</w:t>
      </w:r>
      <w:r>
        <w:rPr>
          <w:rFonts w:ascii="FrankRuehl" w:hAnsi="FrankRuehl" w:cs="FrankRuehl" w:hint="cs"/>
          <w:sz w:val="24"/>
          <w:szCs w:val="24"/>
          <w:rtl/>
        </w:rPr>
        <w:t>הבחירה בשם העצם 'בהמה' לא באה להרחיב את האיסור אל מעבר לגבולות האפשר, אלא תכליתה ליצור רצף של שלושה איסורים בעלי מבנה מהודק הן מבחינה תוכנית הן מבחינה ריתמית, אשר בהצטרפם יחד, כאמור לעיל, מציגים קונספציה רעיונית כוללת בנוגע לעולם האלוהי ולגבולות ההתנהלות המותרים לאדם בעולם זה.</w:t>
      </w:r>
      <w:r>
        <w:rPr>
          <w:rStyle w:val="FootnoteReference"/>
          <w:rFonts w:ascii="FrankRuehl" w:hAnsi="FrankRuehl" w:cs="FrankRuehl"/>
          <w:sz w:val="24"/>
          <w:szCs w:val="24"/>
          <w:rtl/>
        </w:rPr>
        <w:footnoteReference w:id="15"/>
      </w:r>
      <w:r>
        <w:rPr>
          <w:rFonts w:ascii="FrankRuehl" w:hAnsi="FrankRuehl" w:cs="FrankRuehl" w:hint="cs"/>
          <w:sz w:val="24"/>
          <w:szCs w:val="24"/>
          <w:rtl/>
        </w:rPr>
        <w:t xml:space="preserve"> </w:t>
      </w:r>
    </w:p>
    <w:p w14:paraId="6C93FBC9" w14:textId="77777777" w:rsidR="004D014B" w:rsidRDefault="004D014B" w:rsidP="004D014B">
      <w:pPr>
        <w:bidi/>
        <w:spacing w:line="360" w:lineRule="auto"/>
        <w:rPr>
          <w:rFonts w:ascii="FrankRuehl" w:hAnsi="FrankRuehl" w:cs="FrankRuehl"/>
          <w:sz w:val="24"/>
          <w:szCs w:val="24"/>
          <w:rtl/>
        </w:rPr>
      </w:pPr>
      <w:r>
        <w:rPr>
          <w:rFonts w:ascii="FrankRuehl" w:hAnsi="FrankRuehl" w:cs="FrankRuehl"/>
          <w:sz w:val="24"/>
          <w:szCs w:val="24"/>
          <w:rtl/>
        </w:rPr>
        <w:tab/>
      </w:r>
      <w:r>
        <w:rPr>
          <w:rFonts w:ascii="FrankRuehl" w:hAnsi="FrankRuehl" w:cs="FrankRuehl" w:hint="cs"/>
          <w:sz w:val="24"/>
          <w:szCs w:val="24"/>
          <w:rtl/>
        </w:rPr>
        <w:t xml:space="preserve">אם נכון הדבר כי איסור הרבעת כלאיים רלוונטי, למעשה, לצאצאי סוס וחמור בלבד, הרי שאיסור זה שונה מאיסורי זריעת כלאיים ולבוש שעטנז בנקודה נוספת וכבדת משקל. כאמור, אפשר שאיסור שעטנז בא </w:t>
      </w:r>
      <w:r w:rsidRPr="00DC1128">
        <w:rPr>
          <w:rFonts w:ascii="FrankRuehl" w:hAnsi="FrankRuehl" w:cs="FrankRuehl" w:hint="cs"/>
          <w:sz w:val="24"/>
          <w:szCs w:val="24"/>
          <w:rtl/>
        </w:rPr>
        <w:t>ליצור הבחנה תרבותית או מעמדית או ערכית כלשהי.</w:t>
      </w:r>
      <w:r w:rsidRPr="00380C7B">
        <w:rPr>
          <w:rFonts w:cs="FrankRuehl" w:hint="cs"/>
          <w:sz w:val="24"/>
          <w:szCs w:val="24"/>
          <w:rtl/>
        </w:rPr>
        <w:t xml:space="preserve"> </w:t>
      </w:r>
      <w:r>
        <w:rPr>
          <w:rFonts w:ascii="FrankRuehl" w:hAnsi="FrankRuehl" w:cs="FrankRuehl" w:hint="cs"/>
          <w:sz w:val="24"/>
          <w:szCs w:val="24"/>
          <w:rtl/>
        </w:rPr>
        <w:t xml:space="preserve">אם כך הוא, הרי שלאיסור שעטנז למעשה אין כל השפעה ישירה ובהכרח שלילית על חקלאי בן תקופת המקרא. חוקרים אחדים ציינו את היתרונות המובנים שבזריעת כלאיים </w:t>
      </w:r>
      <w:r>
        <w:rPr>
          <w:rFonts w:ascii="FrankRuehl" w:hAnsi="FrankRuehl" w:cs="FrankRuehl"/>
          <w:sz w:val="24"/>
          <w:szCs w:val="24"/>
          <w:rtl/>
        </w:rPr>
        <w:t>–</w:t>
      </w:r>
      <w:r>
        <w:rPr>
          <w:rFonts w:ascii="FrankRuehl" w:hAnsi="FrankRuehl" w:cs="FrankRuehl" w:hint="cs"/>
          <w:sz w:val="24"/>
          <w:szCs w:val="24"/>
          <w:rtl/>
        </w:rPr>
        <w:t xml:space="preserve"> עירוב של מספר גידולים מעשיר את הקרקע ומקטין את הסיכון שבהסתמכות על גידול יחיד העשוי לסבול ממחלה עונתית.</w:t>
      </w:r>
      <w:r>
        <w:rPr>
          <w:rStyle w:val="FootnoteReference"/>
          <w:rFonts w:ascii="FrankRuehl" w:hAnsi="FrankRuehl" w:cs="FrankRuehl"/>
          <w:sz w:val="24"/>
          <w:szCs w:val="24"/>
          <w:rtl/>
        </w:rPr>
        <w:footnoteReference w:id="16"/>
      </w:r>
      <w:r>
        <w:rPr>
          <w:rFonts w:ascii="FrankRuehl" w:hAnsi="FrankRuehl" w:cs="FrankRuehl" w:hint="cs"/>
          <w:sz w:val="24"/>
          <w:szCs w:val="24"/>
          <w:rtl/>
        </w:rPr>
        <w:t xml:space="preserve"> אולם לזריעה משולבת של זרעים שונים באותה חלקת שדה חסרונות אפשריים, ובראשם פגיעה בקצב גידולו של החלש והעדין שבין הצמחים הגדלים בערבוביה. יש לומר אפוא שלא רק שאין באיסור זריעת כלאיים כדי לפגוע באופן מובהק וחד-משמעי בחקלאי המקפיד עליו, אפשר שאף יש בו היגיון חקלאי מסוים.</w:t>
      </w:r>
      <w:r>
        <w:rPr>
          <w:rStyle w:val="FootnoteReference"/>
          <w:rFonts w:ascii="FrankRuehl" w:hAnsi="FrankRuehl" w:cs="FrankRuehl"/>
          <w:sz w:val="24"/>
          <w:szCs w:val="24"/>
          <w:rtl/>
        </w:rPr>
        <w:footnoteReference w:id="17"/>
      </w:r>
      <w:r>
        <w:rPr>
          <w:rFonts w:ascii="FrankRuehl" w:hAnsi="FrankRuehl" w:cs="FrankRuehl" w:hint="cs"/>
          <w:sz w:val="24"/>
          <w:szCs w:val="24"/>
          <w:rtl/>
        </w:rPr>
        <w:t xml:space="preserve"> למול זאת, לאיסור הרבעת כלאיים מחיר וודאי. </w:t>
      </w:r>
      <w:r w:rsidRPr="00057CEB">
        <w:rPr>
          <w:rFonts w:ascii="FrankRuehl" w:hAnsi="FrankRuehl" w:cs="FrankRuehl" w:hint="cs"/>
          <w:sz w:val="24"/>
          <w:szCs w:val="24"/>
          <w:rtl/>
        </w:rPr>
        <w:t>הפ</w:t>
      </w:r>
      <w:r w:rsidRPr="00057CEB">
        <w:rPr>
          <w:rFonts w:ascii="Arial" w:hAnsi="Arial" w:cs="FrankRuehl"/>
          <w:sz w:val="24"/>
          <w:szCs w:val="24"/>
          <w:rtl/>
        </w:rPr>
        <w:t>ּ</w:t>
      </w:r>
      <w:r w:rsidRPr="00057CEB">
        <w:rPr>
          <w:rFonts w:ascii="FrankRuehl" w:hAnsi="FrankRuehl" w:cs="FrankRuehl"/>
          <w:color w:val="202122"/>
          <w:sz w:val="24"/>
          <w:szCs w:val="24"/>
          <w:shd w:val="clear" w:color="auto" w:fill="FFFFFF"/>
          <w:rtl/>
        </w:rPr>
        <w:t>ֶ</w:t>
      </w:r>
      <w:r w:rsidRPr="00057CEB">
        <w:rPr>
          <w:rFonts w:ascii="FrankRuehl" w:hAnsi="FrankRuehl" w:cs="FrankRuehl" w:hint="cs"/>
          <w:sz w:val="24"/>
          <w:szCs w:val="24"/>
          <w:rtl/>
        </w:rPr>
        <w:t>ר</w:t>
      </w:r>
      <w:r w:rsidRPr="00057CEB">
        <w:rPr>
          <w:rFonts w:ascii="FrankRuehl" w:hAnsi="FrankRuehl" w:cs="FrankRuehl"/>
          <w:color w:val="202122"/>
          <w:sz w:val="24"/>
          <w:szCs w:val="24"/>
          <w:shd w:val="clear" w:color="auto" w:fill="FFFFFF"/>
          <w:rtl/>
        </w:rPr>
        <w:t>ֶ</w:t>
      </w:r>
      <w:r w:rsidRPr="00057CEB">
        <w:rPr>
          <w:rFonts w:ascii="FrankRuehl" w:hAnsi="FrankRuehl" w:cs="FrankRuehl" w:hint="cs"/>
          <w:sz w:val="24"/>
          <w:szCs w:val="24"/>
          <w:rtl/>
        </w:rPr>
        <w:t xml:space="preserve">ד </w:t>
      </w:r>
      <w:r>
        <w:rPr>
          <w:rFonts w:ascii="FrankRuehl" w:hAnsi="FrankRuehl" w:cs="FrankRuehl" w:hint="cs"/>
          <w:sz w:val="24"/>
          <w:szCs w:val="24"/>
          <w:rtl/>
        </w:rPr>
        <w:t>הוא בעל חיים ידוע ומוכר במקרא ומשמש לעבודה חקלאית, לנשיאת מסעות, ולרכיבה ובכלל זה רכיבה של מלך ובניו.</w:t>
      </w:r>
      <w:r>
        <w:rPr>
          <w:rStyle w:val="FootnoteReference"/>
          <w:rFonts w:ascii="FrankRuehl" w:hAnsi="FrankRuehl" w:cs="FrankRuehl"/>
          <w:sz w:val="24"/>
          <w:szCs w:val="24"/>
          <w:rtl/>
        </w:rPr>
        <w:footnoteReference w:id="18"/>
      </w:r>
      <w:r>
        <w:rPr>
          <w:rFonts w:ascii="FrankRuehl" w:hAnsi="FrankRuehl" w:cs="FrankRuehl" w:hint="cs"/>
          <w:sz w:val="24"/>
          <w:szCs w:val="24"/>
          <w:rtl/>
        </w:rPr>
        <w:t xml:space="preserve"> </w:t>
      </w:r>
      <w:bookmarkStart w:id="2" w:name="_Hlk54191961"/>
      <w:r>
        <w:rPr>
          <w:rFonts w:ascii="FrankRuehl" w:hAnsi="FrankRuehl" w:cs="FrankRuehl" w:hint="cs"/>
          <w:sz w:val="24"/>
          <w:szCs w:val="24"/>
          <w:rtl/>
        </w:rPr>
        <w:t xml:space="preserve">איכויותיו הגופניות של </w:t>
      </w:r>
      <w:proofErr w:type="spellStart"/>
      <w:r>
        <w:rPr>
          <w:rFonts w:ascii="FrankRuehl" w:hAnsi="FrankRuehl" w:cs="FrankRuehl" w:hint="cs"/>
          <w:sz w:val="24"/>
          <w:szCs w:val="24"/>
          <w:rtl/>
        </w:rPr>
        <w:t>הסוסיה</w:t>
      </w:r>
      <w:proofErr w:type="spellEnd"/>
      <w:r>
        <w:rPr>
          <w:rFonts w:ascii="FrankRuehl" w:hAnsi="FrankRuehl" w:cs="FrankRuehl" w:hint="cs"/>
          <w:sz w:val="24"/>
          <w:szCs w:val="24"/>
          <w:rtl/>
        </w:rPr>
        <w:t xml:space="preserve"> (</w:t>
      </w:r>
      <w:r w:rsidRPr="003C01B9">
        <w:rPr>
          <w:rFonts w:asciiTheme="majorBidi" w:hAnsiTheme="majorBidi" w:cstheme="majorBidi"/>
          <w:sz w:val="20"/>
          <w:szCs w:val="20"/>
          <w:lang w:val="en-US"/>
        </w:rPr>
        <w:t>hinny</w:t>
      </w:r>
      <w:r>
        <w:rPr>
          <w:rFonts w:ascii="FrankRuehl" w:hAnsi="FrankRuehl" w:cs="FrankRuehl" w:hint="cs"/>
          <w:sz w:val="24"/>
          <w:szCs w:val="24"/>
          <w:rtl/>
        </w:rPr>
        <w:t>) אינן נופלות מאלו של הפ</w:t>
      </w:r>
      <w:r w:rsidRPr="008F1E3F">
        <w:rPr>
          <w:rFonts w:ascii="Arial" w:hAnsi="Arial" w:cs="FrankRuehl"/>
          <w:sz w:val="24"/>
          <w:szCs w:val="24"/>
          <w:rtl/>
        </w:rPr>
        <w:t>ּ</w:t>
      </w:r>
      <w:r>
        <w:rPr>
          <w:rFonts w:ascii="FrankRuehl" w:hAnsi="FrankRuehl" w:cs="FrankRuehl" w:hint="cs"/>
          <w:sz w:val="24"/>
          <w:szCs w:val="24"/>
          <w:rtl/>
        </w:rPr>
        <w:t>רד, וההעדפה של פ</w:t>
      </w:r>
      <w:r w:rsidRPr="008F1E3F">
        <w:rPr>
          <w:rFonts w:ascii="Arial" w:hAnsi="Arial" w:cs="FrankRuehl"/>
          <w:sz w:val="24"/>
          <w:szCs w:val="24"/>
          <w:rtl/>
        </w:rPr>
        <w:t>ּ</w:t>
      </w:r>
      <w:r>
        <w:rPr>
          <w:rFonts w:ascii="FrankRuehl" w:hAnsi="FrankRuehl" w:cs="FrankRuehl" w:hint="cs"/>
          <w:sz w:val="24"/>
          <w:szCs w:val="24"/>
          <w:rtl/>
        </w:rPr>
        <w:t>רד על פני סוסיה או סוסיה על פני פ</w:t>
      </w:r>
      <w:r w:rsidRPr="008F1E3F">
        <w:rPr>
          <w:rFonts w:ascii="Arial" w:hAnsi="Arial" w:cs="FrankRuehl"/>
          <w:sz w:val="24"/>
          <w:szCs w:val="24"/>
          <w:rtl/>
        </w:rPr>
        <w:t>ּ</w:t>
      </w:r>
      <w:r>
        <w:rPr>
          <w:rFonts w:ascii="FrankRuehl" w:hAnsi="FrankRuehl" w:cs="FrankRuehl" w:hint="cs"/>
          <w:sz w:val="24"/>
          <w:szCs w:val="24"/>
          <w:rtl/>
        </w:rPr>
        <w:t>רד היא, בראש ובראשונה, העדפה תרבותית.</w:t>
      </w:r>
      <w:r>
        <w:rPr>
          <w:rStyle w:val="FootnoteReference"/>
          <w:rFonts w:ascii="FrankRuehl" w:hAnsi="FrankRuehl" w:cs="FrankRuehl"/>
          <w:sz w:val="24"/>
          <w:szCs w:val="24"/>
          <w:rtl/>
        </w:rPr>
        <w:footnoteReference w:id="19"/>
      </w:r>
      <w:r>
        <w:rPr>
          <w:rFonts w:ascii="FrankRuehl" w:hAnsi="FrankRuehl" w:cs="FrankRuehl" w:hint="cs"/>
          <w:sz w:val="24"/>
          <w:szCs w:val="24"/>
          <w:rtl/>
        </w:rPr>
        <w:t xml:space="preserve"> ואם כן, דומה שאין באזכורי פ</w:t>
      </w:r>
      <w:r w:rsidRPr="008F1E3F">
        <w:rPr>
          <w:rFonts w:ascii="Arial" w:hAnsi="Arial" w:cs="FrankRuehl"/>
          <w:sz w:val="24"/>
          <w:szCs w:val="24"/>
          <w:rtl/>
        </w:rPr>
        <w:t>ּ</w:t>
      </w:r>
      <w:r>
        <w:rPr>
          <w:rFonts w:ascii="FrankRuehl" w:hAnsi="FrankRuehl" w:cs="FrankRuehl" w:hint="cs"/>
          <w:sz w:val="24"/>
          <w:szCs w:val="24"/>
          <w:rtl/>
        </w:rPr>
        <w:t>רד במקרא כדי לציין שהכוונה היא לצאצא של חמור וסוסה דווקא ולא לצאצא של סוס ואתון. יתרונותיהם המובהקים של פ</w:t>
      </w:r>
      <w:r w:rsidRPr="008F1E3F">
        <w:rPr>
          <w:rFonts w:ascii="Arial" w:hAnsi="Arial" w:cs="FrankRuehl"/>
          <w:sz w:val="24"/>
          <w:szCs w:val="24"/>
          <w:rtl/>
        </w:rPr>
        <w:t>ּ</w:t>
      </w:r>
      <w:r>
        <w:rPr>
          <w:rFonts w:ascii="FrankRuehl" w:hAnsi="FrankRuehl" w:cs="FrankRuehl" w:hint="cs"/>
          <w:sz w:val="24"/>
          <w:szCs w:val="24"/>
          <w:rtl/>
        </w:rPr>
        <w:t>רד וסוסיה על פני החמור החלש מהם והסוס היקר מהם והנוטה להיות בררן במזונו,</w:t>
      </w:r>
      <w:bookmarkEnd w:id="2"/>
      <w:r>
        <w:rPr>
          <w:rStyle w:val="FootnoteReference"/>
          <w:rFonts w:ascii="FrankRuehl" w:hAnsi="FrankRuehl" w:cs="FrankRuehl"/>
          <w:sz w:val="24"/>
          <w:szCs w:val="24"/>
          <w:rtl/>
        </w:rPr>
        <w:footnoteReference w:id="20"/>
      </w:r>
      <w:r>
        <w:rPr>
          <w:rFonts w:ascii="FrankRuehl" w:hAnsi="FrankRuehl" w:cs="FrankRuehl" w:hint="cs"/>
          <w:sz w:val="24"/>
          <w:szCs w:val="24"/>
          <w:rtl/>
        </w:rPr>
        <w:t xml:space="preserve"> הובילו לשימוש מגוון ב</w:t>
      </w:r>
      <w:r w:rsidRPr="008F1E3F">
        <w:rPr>
          <w:rFonts w:ascii="FrankRuehl" w:hAnsi="FrankRuehl" w:cs="FrankRuehl" w:hint="cs"/>
          <w:sz w:val="24"/>
          <w:szCs w:val="24"/>
          <w:rtl/>
        </w:rPr>
        <w:t>פ</w:t>
      </w:r>
      <w:r w:rsidRPr="008F1E3F">
        <w:rPr>
          <w:rFonts w:ascii="Arial" w:hAnsi="Arial" w:cs="FrankRuehl"/>
          <w:sz w:val="24"/>
          <w:szCs w:val="24"/>
          <w:rtl/>
        </w:rPr>
        <w:t>ּ</w:t>
      </w:r>
      <w:r w:rsidRPr="008F1E3F">
        <w:rPr>
          <w:rFonts w:ascii="FrankRuehl" w:hAnsi="FrankRuehl" w:cs="FrankRuehl" w:hint="cs"/>
          <w:sz w:val="24"/>
          <w:szCs w:val="24"/>
          <w:rtl/>
        </w:rPr>
        <w:t>ר</w:t>
      </w:r>
      <w:r>
        <w:rPr>
          <w:rFonts w:ascii="FrankRuehl" w:hAnsi="FrankRuehl" w:cs="FrankRuehl" w:hint="cs"/>
          <w:sz w:val="24"/>
          <w:szCs w:val="24"/>
          <w:rtl/>
        </w:rPr>
        <w:t>ד ובסוסיה אף בעת המודרנית.</w:t>
      </w:r>
      <w:r>
        <w:rPr>
          <w:rStyle w:val="FootnoteReference"/>
          <w:rFonts w:ascii="FrankRuehl" w:hAnsi="FrankRuehl" w:cs="FrankRuehl"/>
          <w:sz w:val="24"/>
          <w:szCs w:val="24"/>
          <w:rtl/>
        </w:rPr>
        <w:footnoteReference w:id="21"/>
      </w:r>
      <w:r>
        <w:rPr>
          <w:rFonts w:ascii="FrankRuehl" w:hAnsi="FrankRuehl" w:cs="FrankRuehl" w:hint="cs"/>
          <w:sz w:val="24"/>
          <w:szCs w:val="24"/>
          <w:rtl/>
        </w:rPr>
        <w:t xml:space="preserve"> ואומנם תצפיות מחקר העלו נתונים חד-משמעיים כי כושרם של הפ</w:t>
      </w:r>
      <w:r w:rsidRPr="008F1E3F">
        <w:rPr>
          <w:rFonts w:ascii="Arial" w:hAnsi="Arial" w:cs="FrankRuehl"/>
          <w:sz w:val="24"/>
          <w:szCs w:val="24"/>
          <w:rtl/>
        </w:rPr>
        <w:t>ּ</w:t>
      </w:r>
      <w:r>
        <w:rPr>
          <w:rFonts w:ascii="FrankRuehl" w:hAnsi="FrankRuehl" w:cs="FrankRuehl" w:hint="cs"/>
          <w:sz w:val="24"/>
          <w:szCs w:val="24"/>
          <w:rtl/>
        </w:rPr>
        <w:t xml:space="preserve">רד </w:t>
      </w:r>
      <w:proofErr w:type="spellStart"/>
      <w:r>
        <w:rPr>
          <w:rFonts w:ascii="FrankRuehl" w:hAnsi="FrankRuehl" w:cs="FrankRuehl" w:hint="cs"/>
          <w:sz w:val="24"/>
          <w:szCs w:val="24"/>
          <w:rtl/>
        </w:rPr>
        <w:t>והסוסיה</w:t>
      </w:r>
      <w:proofErr w:type="spellEnd"/>
      <w:r>
        <w:rPr>
          <w:rFonts w:ascii="FrankRuehl" w:hAnsi="FrankRuehl" w:cs="FrankRuehl" w:hint="cs"/>
          <w:sz w:val="24"/>
          <w:szCs w:val="24"/>
          <w:rtl/>
        </w:rPr>
        <w:t xml:space="preserve"> וסיבולת גופם בתנאי אקלים חמים עולים הן על אלו של החמור הן על אלו של הסוס.</w:t>
      </w:r>
      <w:r>
        <w:rPr>
          <w:rStyle w:val="FootnoteReference"/>
          <w:rFonts w:ascii="FrankRuehl" w:hAnsi="FrankRuehl" w:cs="FrankRuehl"/>
          <w:sz w:val="24"/>
          <w:szCs w:val="24"/>
          <w:rtl/>
        </w:rPr>
        <w:footnoteReference w:id="22"/>
      </w:r>
      <w:r>
        <w:rPr>
          <w:rFonts w:ascii="FrankRuehl" w:hAnsi="FrankRuehl" w:cs="FrankRuehl" w:hint="cs"/>
          <w:sz w:val="24"/>
          <w:szCs w:val="24"/>
          <w:rtl/>
        </w:rPr>
        <w:t xml:space="preserve"> בהינתן העובדה כי פרדים </w:t>
      </w:r>
      <w:proofErr w:type="spellStart"/>
      <w:r>
        <w:rPr>
          <w:rFonts w:ascii="FrankRuehl" w:hAnsi="FrankRuehl" w:cs="FrankRuehl" w:hint="cs"/>
          <w:sz w:val="24"/>
          <w:szCs w:val="24"/>
          <w:rtl/>
        </w:rPr>
        <w:t>וסוסיות</w:t>
      </w:r>
      <w:proofErr w:type="spellEnd"/>
      <w:r>
        <w:rPr>
          <w:rFonts w:ascii="FrankRuehl" w:hAnsi="FrankRuehl" w:cs="FrankRuehl" w:hint="cs"/>
          <w:sz w:val="24"/>
          <w:szCs w:val="24"/>
          <w:rtl/>
        </w:rPr>
        <w:t xml:space="preserve"> אינם יכולים להעמיד צאצאים, עובדה הידועה היטב ואף משתקפת בעקיפין במקרא,</w:t>
      </w:r>
      <w:r>
        <w:rPr>
          <w:rStyle w:val="FootnoteReference"/>
          <w:rFonts w:ascii="FrankRuehl" w:hAnsi="FrankRuehl" w:cs="FrankRuehl"/>
          <w:sz w:val="24"/>
          <w:szCs w:val="24"/>
          <w:rtl/>
        </w:rPr>
        <w:footnoteReference w:id="23"/>
      </w:r>
      <w:r>
        <w:rPr>
          <w:rFonts w:ascii="FrankRuehl" w:hAnsi="FrankRuehl" w:cs="FrankRuehl" w:hint="cs"/>
          <w:sz w:val="24"/>
          <w:szCs w:val="24"/>
          <w:rtl/>
        </w:rPr>
        <w:t xml:space="preserve"> לאיסור על יצירת פרדים </w:t>
      </w:r>
      <w:proofErr w:type="spellStart"/>
      <w:r>
        <w:rPr>
          <w:rFonts w:ascii="FrankRuehl" w:hAnsi="FrankRuehl" w:cs="FrankRuehl" w:hint="cs"/>
          <w:sz w:val="24"/>
          <w:szCs w:val="24"/>
          <w:rtl/>
        </w:rPr>
        <w:t>וסוסיות</w:t>
      </w:r>
      <w:proofErr w:type="spellEnd"/>
      <w:r>
        <w:rPr>
          <w:rFonts w:ascii="FrankRuehl" w:hAnsi="FrankRuehl" w:cs="FrankRuehl" w:hint="cs"/>
          <w:sz w:val="24"/>
          <w:szCs w:val="24"/>
          <w:rtl/>
        </w:rPr>
        <w:t xml:space="preserve"> חדשים עשויה להיות השפעה שלילית ומרחיקת לכת על </w:t>
      </w:r>
      <w:proofErr w:type="spellStart"/>
      <w:r>
        <w:rPr>
          <w:rFonts w:ascii="FrankRuehl" w:hAnsi="FrankRuehl" w:cs="FrankRuehl" w:hint="cs"/>
          <w:sz w:val="24"/>
          <w:szCs w:val="24"/>
          <w:rtl/>
        </w:rPr>
        <w:t>כלכלתו</w:t>
      </w:r>
      <w:proofErr w:type="spellEnd"/>
      <w:r>
        <w:rPr>
          <w:rFonts w:ascii="FrankRuehl" w:hAnsi="FrankRuehl" w:cs="FrankRuehl" w:hint="cs"/>
          <w:sz w:val="24"/>
          <w:szCs w:val="24"/>
          <w:rtl/>
        </w:rPr>
        <w:t xml:space="preserve"> של החקלאי הקדום.</w:t>
      </w:r>
    </w:p>
    <w:p w14:paraId="042F301B" w14:textId="77777777" w:rsidR="004D014B" w:rsidRDefault="004D014B" w:rsidP="004D014B">
      <w:pPr>
        <w:bidi/>
        <w:spacing w:line="360" w:lineRule="auto"/>
        <w:ind w:firstLine="720"/>
        <w:rPr>
          <w:rFonts w:ascii="FrankRuehl" w:hAnsi="FrankRuehl" w:cs="FrankRuehl"/>
          <w:sz w:val="24"/>
          <w:szCs w:val="24"/>
          <w:rtl/>
        </w:rPr>
      </w:pPr>
      <w:r>
        <w:rPr>
          <w:rFonts w:ascii="FrankRuehl" w:hAnsi="FrankRuehl" w:cs="FrankRuehl" w:hint="cs"/>
          <w:sz w:val="24"/>
          <w:szCs w:val="24"/>
          <w:rtl/>
        </w:rPr>
        <w:t>רצף דומה של שלושה איסורים בא גם בספר דברים: '</w:t>
      </w:r>
      <w:r w:rsidRPr="003D5453">
        <w:rPr>
          <w:rFonts w:ascii="FrankRuehl" w:hAnsi="FrankRuehl" w:cs="FrankRuehl"/>
          <w:color w:val="202122"/>
          <w:sz w:val="24"/>
          <w:szCs w:val="24"/>
          <w:shd w:val="clear" w:color="auto" w:fill="FFFFFF"/>
          <w:rtl/>
        </w:rPr>
        <w:t xml:space="preserve">לֹא תִזְרַע כַּרְמְךָ כִּלְאָיִם פֶּן תִּקְדַּשׁ הַמְלֵאָה הַזֶּרַע אֲשֶׁר תִּזְרָע וּתְבוּאַת הַכָּרֶם: לֹא </w:t>
      </w:r>
      <w:proofErr w:type="spellStart"/>
      <w:r w:rsidRPr="003D5453">
        <w:rPr>
          <w:rFonts w:ascii="FrankRuehl" w:hAnsi="FrankRuehl" w:cs="FrankRuehl"/>
          <w:color w:val="202122"/>
          <w:sz w:val="24"/>
          <w:szCs w:val="24"/>
          <w:shd w:val="clear" w:color="auto" w:fill="FFFFFF"/>
          <w:rtl/>
        </w:rPr>
        <w:t>תַחֲרֹש</w:t>
      </w:r>
      <w:proofErr w:type="spellEnd"/>
      <w:r w:rsidRPr="003D5453">
        <w:rPr>
          <w:rFonts w:ascii="FrankRuehl" w:hAnsi="FrankRuehl" w:cs="FrankRuehl"/>
          <w:color w:val="202122"/>
          <w:sz w:val="24"/>
          <w:szCs w:val="24"/>
          <w:shd w:val="clear" w:color="auto" w:fill="FFFFFF"/>
          <w:rtl/>
        </w:rPr>
        <w:t>ׁ בְּשׁוֹר וּבַחֲמֹר יַחְדָּו: לֹא תִלְבַּשׁ שַׁעַטְנֵז צֶמֶר וּפִשְׁתִּים יַחְדָּו</w:t>
      </w:r>
      <w:r>
        <w:rPr>
          <w:rFonts w:ascii="FrankRuehl" w:hAnsi="FrankRuehl" w:cs="FrankRuehl" w:hint="cs"/>
          <w:color w:val="202122"/>
          <w:sz w:val="24"/>
          <w:szCs w:val="24"/>
          <w:shd w:val="clear" w:color="auto" w:fill="FFFFFF"/>
          <w:rtl/>
        </w:rPr>
        <w:t xml:space="preserve">' (דב' </w:t>
      </w:r>
      <w:proofErr w:type="spellStart"/>
      <w:r>
        <w:rPr>
          <w:rFonts w:ascii="FrankRuehl" w:hAnsi="FrankRuehl" w:cs="FrankRuehl" w:hint="cs"/>
          <w:color w:val="202122"/>
          <w:sz w:val="24"/>
          <w:szCs w:val="24"/>
          <w:shd w:val="clear" w:color="auto" w:fill="FFFFFF"/>
          <w:rtl/>
        </w:rPr>
        <w:t>כב</w:t>
      </w:r>
      <w:proofErr w:type="spellEnd"/>
      <w:r>
        <w:rPr>
          <w:rFonts w:ascii="FrankRuehl" w:hAnsi="FrankRuehl" w:cs="FrankRuehl" w:hint="cs"/>
          <w:color w:val="202122"/>
          <w:sz w:val="24"/>
          <w:szCs w:val="24"/>
          <w:shd w:val="clear" w:color="auto" w:fill="FFFFFF"/>
          <w:rtl/>
        </w:rPr>
        <w:t xml:space="preserve"> 9–11).</w:t>
      </w:r>
      <w:r>
        <w:rPr>
          <w:rStyle w:val="FootnoteReference"/>
          <w:rFonts w:ascii="FrankRuehl" w:hAnsi="FrankRuehl" w:cs="FrankRuehl"/>
          <w:color w:val="202122"/>
          <w:sz w:val="24"/>
          <w:szCs w:val="24"/>
          <w:shd w:val="clear" w:color="auto" w:fill="FFFFFF"/>
          <w:rtl/>
        </w:rPr>
        <w:footnoteReference w:id="24"/>
      </w:r>
      <w:r>
        <w:rPr>
          <w:rFonts w:ascii="FrankRuehl" w:hAnsi="FrankRuehl" w:cs="FrankRuehl" w:hint="cs"/>
          <w:color w:val="202122"/>
          <w:sz w:val="24"/>
          <w:szCs w:val="24"/>
          <w:shd w:val="clear" w:color="auto" w:fill="FFFFFF"/>
          <w:rtl/>
        </w:rPr>
        <w:t xml:space="preserve"> האיסור על זריעת </w:t>
      </w:r>
      <w:r>
        <w:rPr>
          <w:rFonts w:ascii="FrankRuehl" w:hAnsi="FrankRuehl" w:cs="FrankRuehl" w:hint="cs"/>
          <w:color w:val="202122"/>
          <w:sz w:val="24"/>
          <w:szCs w:val="24"/>
          <w:shd w:val="clear" w:color="auto" w:fill="FFFFFF"/>
          <w:rtl/>
        </w:rPr>
        <w:lastRenderedPageBreak/>
        <w:t xml:space="preserve">כלאיים והאיסור על לבישת כלאיים באים בספר דברים בנוסח שונה. אשר לזריעת כלאיים, הנוסח בדברים עוסק באיסור זריעת בכרם, היינו בחלקת אדמה נטועה גפנים (למשל דב' </w:t>
      </w:r>
      <w:proofErr w:type="spellStart"/>
      <w:r>
        <w:rPr>
          <w:rFonts w:ascii="FrankRuehl" w:hAnsi="FrankRuehl" w:cs="FrankRuehl" w:hint="cs"/>
          <w:color w:val="202122"/>
          <w:sz w:val="24"/>
          <w:szCs w:val="24"/>
          <w:shd w:val="clear" w:color="auto" w:fill="FFFFFF"/>
          <w:rtl/>
        </w:rPr>
        <w:t>כג</w:t>
      </w:r>
      <w:proofErr w:type="spellEnd"/>
      <w:r>
        <w:rPr>
          <w:rFonts w:ascii="FrankRuehl" w:hAnsi="FrankRuehl" w:cs="FrankRuehl" w:hint="cs"/>
          <w:color w:val="202122"/>
          <w:sz w:val="24"/>
          <w:szCs w:val="24"/>
          <w:shd w:val="clear" w:color="auto" w:fill="FFFFFF"/>
          <w:rtl/>
        </w:rPr>
        <w:t xml:space="preserve"> 25; עמוס ט 14). קשה לקבוע באופן חד-משמעי אם לפי נוסח זה האיסור חל על כל זריעה בין שורות הגפנים, כלומר ששתילת שיח גפן וצמח נוסף לצדו הוא בבחינת פעולת כלאיים, או שהאיסור חל על זריעה של שני זני צמחים בין שורות הגפנים.</w:t>
      </w:r>
      <w:r>
        <w:rPr>
          <w:rStyle w:val="FootnoteReference"/>
          <w:rFonts w:ascii="FrankRuehl" w:hAnsi="FrankRuehl" w:cs="FrankRuehl"/>
          <w:color w:val="202122"/>
          <w:sz w:val="24"/>
          <w:szCs w:val="24"/>
          <w:shd w:val="clear" w:color="auto" w:fill="FFFFFF"/>
          <w:rtl/>
        </w:rPr>
        <w:footnoteReference w:id="25"/>
      </w:r>
      <w:r>
        <w:rPr>
          <w:rFonts w:ascii="FrankRuehl" w:hAnsi="FrankRuehl" w:cs="FrankRuehl" w:hint="cs"/>
          <w:color w:val="202122"/>
          <w:sz w:val="24"/>
          <w:szCs w:val="24"/>
          <w:shd w:val="clear" w:color="auto" w:fill="FFFFFF"/>
          <w:rtl/>
        </w:rPr>
        <w:t xml:space="preserve"> אשר לאיסור '</w:t>
      </w:r>
      <w:r w:rsidRPr="003D5453">
        <w:rPr>
          <w:rFonts w:ascii="FrankRuehl" w:hAnsi="FrankRuehl" w:cs="FrankRuehl"/>
          <w:color w:val="202122"/>
          <w:sz w:val="24"/>
          <w:szCs w:val="24"/>
          <w:shd w:val="clear" w:color="auto" w:fill="FFFFFF"/>
          <w:rtl/>
        </w:rPr>
        <w:t>שַׁעַטְנֵז</w:t>
      </w:r>
      <w:r>
        <w:rPr>
          <w:rFonts w:ascii="FrankRuehl" w:hAnsi="FrankRuehl" w:cs="FrankRuehl" w:hint="cs"/>
          <w:color w:val="202122"/>
          <w:sz w:val="24"/>
          <w:szCs w:val="24"/>
          <w:shd w:val="clear" w:color="auto" w:fill="FFFFFF"/>
          <w:rtl/>
        </w:rPr>
        <w:t xml:space="preserve">', נוסח דברים מדייק בשילוב החומרים האסור. אך על אף ההבדלים, שני איסורים אלו תואמים לרוח האיסורים </w:t>
      </w:r>
      <w:proofErr w:type="spellStart"/>
      <w:r>
        <w:rPr>
          <w:rFonts w:ascii="FrankRuehl" w:hAnsi="FrankRuehl" w:cs="FrankRuehl" w:hint="cs"/>
          <w:color w:val="202122"/>
          <w:sz w:val="24"/>
          <w:szCs w:val="24"/>
          <w:shd w:val="clear" w:color="auto" w:fill="FFFFFF"/>
          <w:rtl/>
        </w:rPr>
        <w:t>שבויקרא</w:t>
      </w:r>
      <w:proofErr w:type="spellEnd"/>
      <w:r>
        <w:rPr>
          <w:rFonts w:ascii="FrankRuehl" w:hAnsi="FrankRuehl" w:cs="FrankRuehl" w:hint="cs"/>
          <w:color w:val="202122"/>
          <w:sz w:val="24"/>
          <w:szCs w:val="24"/>
          <w:shd w:val="clear" w:color="auto" w:fill="FFFFFF"/>
          <w:rtl/>
        </w:rPr>
        <w:t xml:space="preserve"> </w:t>
      </w:r>
      <w:proofErr w:type="spellStart"/>
      <w:r>
        <w:rPr>
          <w:rFonts w:ascii="FrankRuehl" w:hAnsi="FrankRuehl" w:cs="FrankRuehl" w:hint="cs"/>
          <w:color w:val="202122"/>
          <w:sz w:val="24"/>
          <w:szCs w:val="24"/>
          <w:shd w:val="clear" w:color="auto" w:fill="FFFFFF"/>
          <w:rtl/>
        </w:rPr>
        <w:t>יט</w:t>
      </w:r>
      <w:proofErr w:type="spellEnd"/>
      <w:r>
        <w:rPr>
          <w:rFonts w:ascii="FrankRuehl" w:hAnsi="FrankRuehl" w:cs="FrankRuehl" w:hint="cs"/>
          <w:color w:val="202122"/>
          <w:sz w:val="24"/>
          <w:szCs w:val="24"/>
          <w:shd w:val="clear" w:color="auto" w:fill="FFFFFF"/>
          <w:rtl/>
        </w:rPr>
        <w:t xml:space="preserve">. למול זאת, ניכר לעין המרחק שבין </w:t>
      </w:r>
      <w:r>
        <w:rPr>
          <w:rFonts w:ascii="FrankRuehl" w:hAnsi="FrankRuehl" w:cs="FrankRuehl" w:hint="cs"/>
          <w:sz w:val="24"/>
          <w:szCs w:val="24"/>
          <w:rtl/>
        </w:rPr>
        <w:t>'</w:t>
      </w:r>
      <w:r w:rsidRPr="003D5453">
        <w:rPr>
          <w:rFonts w:ascii="FrankRuehl" w:hAnsi="FrankRuehl" w:cs="FrankRuehl"/>
          <w:color w:val="202122"/>
          <w:sz w:val="24"/>
          <w:szCs w:val="24"/>
          <w:shd w:val="clear" w:color="auto" w:fill="FFFFFF"/>
          <w:rtl/>
        </w:rPr>
        <w:t xml:space="preserve">לֹא </w:t>
      </w:r>
      <w:proofErr w:type="spellStart"/>
      <w:r w:rsidRPr="003D5453">
        <w:rPr>
          <w:rFonts w:ascii="FrankRuehl" w:hAnsi="FrankRuehl" w:cs="FrankRuehl"/>
          <w:color w:val="202122"/>
          <w:sz w:val="24"/>
          <w:szCs w:val="24"/>
          <w:shd w:val="clear" w:color="auto" w:fill="FFFFFF"/>
          <w:rtl/>
        </w:rPr>
        <w:t>תַחֲרֹש</w:t>
      </w:r>
      <w:proofErr w:type="spellEnd"/>
      <w:r w:rsidRPr="003D5453">
        <w:rPr>
          <w:rFonts w:ascii="FrankRuehl" w:hAnsi="FrankRuehl" w:cs="FrankRuehl"/>
          <w:color w:val="202122"/>
          <w:sz w:val="24"/>
          <w:szCs w:val="24"/>
          <w:shd w:val="clear" w:color="auto" w:fill="FFFFFF"/>
          <w:rtl/>
        </w:rPr>
        <w:t>ׁ בְּשׁוֹר וּבַחֲמֹר יַחְדָּו</w:t>
      </w:r>
      <w:r>
        <w:rPr>
          <w:rFonts w:ascii="FrankRuehl" w:hAnsi="FrankRuehl" w:cs="FrankRuehl" w:hint="cs"/>
          <w:color w:val="202122"/>
          <w:sz w:val="24"/>
          <w:szCs w:val="24"/>
          <w:shd w:val="clear" w:color="auto" w:fill="FFFFFF"/>
          <w:rtl/>
        </w:rPr>
        <w:t xml:space="preserve">' ובין </w:t>
      </w:r>
      <w:r>
        <w:rPr>
          <w:rFonts w:ascii="FrankRuehl" w:hAnsi="FrankRuehl" w:cs="FrankRuehl" w:hint="cs"/>
          <w:sz w:val="24"/>
          <w:szCs w:val="24"/>
          <w:rtl/>
        </w:rPr>
        <w:t>'</w:t>
      </w:r>
      <w:proofErr w:type="spellStart"/>
      <w:r w:rsidRPr="00DC1128">
        <w:rPr>
          <w:rFonts w:ascii="FrankRuehl" w:hAnsi="FrankRuehl" w:cs="FrankRuehl"/>
          <w:sz w:val="24"/>
          <w:szCs w:val="24"/>
          <w:rtl/>
        </w:rPr>
        <w:t>בְּהֶמְתְּך</w:t>
      </w:r>
      <w:proofErr w:type="spellEnd"/>
      <w:r w:rsidRPr="00DC1128">
        <w:rPr>
          <w:rFonts w:ascii="FrankRuehl" w:hAnsi="FrankRuehl" w:cs="FrankRuehl"/>
          <w:sz w:val="24"/>
          <w:szCs w:val="24"/>
          <w:rtl/>
        </w:rPr>
        <w:t>ָ לֹא</w:t>
      </w:r>
      <w:r w:rsidRPr="00DC1128">
        <w:rPr>
          <w:rFonts w:ascii="FrankRuehl" w:hAnsi="FrankRuehl" w:cs="FrankRuehl" w:hint="cs"/>
          <w:sz w:val="24"/>
          <w:szCs w:val="24"/>
          <w:rtl/>
        </w:rPr>
        <w:t xml:space="preserve"> </w:t>
      </w:r>
      <w:proofErr w:type="spellStart"/>
      <w:r w:rsidRPr="00DC1128">
        <w:rPr>
          <w:rFonts w:ascii="FrankRuehl" w:hAnsi="FrankRuehl" w:cs="FrankRuehl"/>
          <w:sz w:val="24"/>
          <w:szCs w:val="24"/>
          <w:rtl/>
        </w:rPr>
        <w:t>תַרְבִּיע</w:t>
      </w:r>
      <w:proofErr w:type="spellEnd"/>
      <w:r w:rsidRPr="00DC1128">
        <w:rPr>
          <w:rFonts w:ascii="FrankRuehl" w:hAnsi="FrankRuehl" w:cs="FrankRuehl"/>
          <w:sz w:val="24"/>
          <w:szCs w:val="24"/>
          <w:rtl/>
        </w:rPr>
        <w:t xml:space="preserve">ַ </w:t>
      </w:r>
      <w:proofErr w:type="spellStart"/>
      <w:r w:rsidRPr="00DC1128">
        <w:rPr>
          <w:rFonts w:ascii="FrankRuehl" w:hAnsi="FrankRuehl" w:cs="FrankRuehl"/>
          <w:sz w:val="24"/>
          <w:szCs w:val="24"/>
          <w:rtl/>
        </w:rPr>
        <w:t>כִּלְאַיִם</w:t>
      </w:r>
      <w:proofErr w:type="spellEnd"/>
      <w:r w:rsidRPr="00DC1128">
        <w:rPr>
          <w:rFonts w:ascii="FrankRuehl" w:hAnsi="FrankRuehl" w:cs="FrankRuehl" w:hint="cs"/>
          <w:sz w:val="24"/>
          <w:szCs w:val="24"/>
          <w:rtl/>
        </w:rPr>
        <w:t>'</w:t>
      </w:r>
      <w:r>
        <w:rPr>
          <w:rFonts w:ascii="FrankRuehl" w:hAnsi="FrankRuehl" w:cs="FrankRuehl" w:hint="cs"/>
          <w:color w:val="202122"/>
          <w:sz w:val="24"/>
          <w:szCs w:val="24"/>
          <w:shd w:val="clear" w:color="auto" w:fill="FFFFFF"/>
          <w:rtl/>
        </w:rPr>
        <w:t xml:space="preserve">. בעוד שבלב האיסור </w:t>
      </w:r>
      <w:proofErr w:type="spellStart"/>
      <w:r>
        <w:rPr>
          <w:rFonts w:ascii="FrankRuehl" w:hAnsi="FrankRuehl" w:cs="FrankRuehl" w:hint="cs"/>
          <w:color w:val="202122"/>
          <w:sz w:val="24"/>
          <w:szCs w:val="24"/>
          <w:shd w:val="clear" w:color="auto" w:fill="FFFFFF"/>
          <w:rtl/>
        </w:rPr>
        <w:t>שבויקרא</w:t>
      </w:r>
      <w:proofErr w:type="spellEnd"/>
      <w:r>
        <w:rPr>
          <w:rFonts w:ascii="FrankRuehl" w:hAnsi="FrankRuehl" w:cs="FrankRuehl" w:hint="cs"/>
          <w:color w:val="202122"/>
          <w:sz w:val="24"/>
          <w:szCs w:val="24"/>
          <w:shd w:val="clear" w:color="auto" w:fill="FFFFFF"/>
          <w:rtl/>
        </w:rPr>
        <w:t xml:space="preserve"> עומדת ההרבעה, החוק שבדברים מציע תמונת חרישה. ולא רק זאת אלא שנזכרים דווקא שור וחמור, אלו בהמות שבוודאות אינן יכולות להזדווג זו עם זו. לאורך הדורות ניסו פרשנים מסורתיים לקרב את שלושת האיסורים שבדברים לשלושת האיסורים </w:t>
      </w:r>
      <w:proofErr w:type="spellStart"/>
      <w:r>
        <w:rPr>
          <w:rFonts w:ascii="FrankRuehl" w:hAnsi="FrankRuehl" w:cs="FrankRuehl" w:hint="cs"/>
          <w:color w:val="202122"/>
          <w:sz w:val="24"/>
          <w:szCs w:val="24"/>
          <w:shd w:val="clear" w:color="auto" w:fill="FFFFFF"/>
          <w:rtl/>
        </w:rPr>
        <w:t>שבויקרא</w:t>
      </w:r>
      <w:proofErr w:type="spellEnd"/>
      <w:r>
        <w:rPr>
          <w:rFonts w:ascii="FrankRuehl" w:hAnsi="FrankRuehl" w:cs="FrankRuehl" w:hint="cs"/>
          <w:color w:val="202122"/>
          <w:sz w:val="24"/>
          <w:szCs w:val="24"/>
          <w:shd w:val="clear" w:color="auto" w:fill="FFFFFF"/>
          <w:rtl/>
        </w:rPr>
        <w:t xml:space="preserve">, ובין היתר להבהיר מדוע </w:t>
      </w:r>
      <w:r>
        <w:rPr>
          <w:rFonts w:ascii="FrankRuehl" w:hAnsi="FrankRuehl" w:cs="FrankRuehl" w:hint="cs"/>
          <w:sz w:val="24"/>
          <w:szCs w:val="24"/>
          <w:rtl/>
        </w:rPr>
        <w:t>'</w:t>
      </w:r>
      <w:r w:rsidRPr="003D5453">
        <w:rPr>
          <w:rFonts w:ascii="FrankRuehl" w:hAnsi="FrankRuehl" w:cs="FrankRuehl"/>
          <w:color w:val="202122"/>
          <w:sz w:val="24"/>
          <w:szCs w:val="24"/>
          <w:shd w:val="clear" w:color="auto" w:fill="FFFFFF"/>
          <w:rtl/>
        </w:rPr>
        <w:t xml:space="preserve">לֹא </w:t>
      </w:r>
      <w:proofErr w:type="spellStart"/>
      <w:r w:rsidRPr="003D5453">
        <w:rPr>
          <w:rFonts w:ascii="FrankRuehl" w:hAnsi="FrankRuehl" w:cs="FrankRuehl"/>
          <w:color w:val="202122"/>
          <w:sz w:val="24"/>
          <w:szCs w:val="24"/>
          <w:shd w:val="clear" w:color="auto" w:fill="FFFFFF"/>
          <w:rtl/>
        </w:rPr>
        <w:t>תַחֲרֹש</w:t>
      </w:r>
      <w:proofErr w:type="spellEnd"/>
      <w:r w:rsidRPr="003D5453">
        <w:rPr>
          <w:rFonts w:ascii="FrankRuehl" w:hAnsi="FrankRuehl" w:cs="FrankRuehl"/>
          <w:color w:val="202122"/>
          <w:sz w:val="24"/>
          <w:szCs w:val="24"/>
          <w:shd w:val="clear" w:color="auto" w:fill="FFFFFF"/>
          <w:rtl/>
        </w:rPr>
        <w:t>ׁ בְּשׁוֹר וּבַחֲמֹר יַחְדָּו</w:t>
      </w:r>
      <w:r>
        <w:rPr>
          <w:rFonts w:ascii="FrankRuehl" w:hAnsi="FrankRuehl" w:cs="FrankRuehl" w:hint="cs"/>
          <w:color w:val="202122"/>
          <w:sz w:val="24"/>
          <w:szCs w:val="24"/>
          <w:shd w:val="clear" w:color="auto" w:fill="FFFFFF"/>
          <w:rtl/>
        </w:rPr>
        <w:t>' הוא כצעד ראשון לקראת זיווגי כלאיים.</w:t>
      </w:r>
      <w:r>
        <w:rPr>
          <w:rStyle w:val="FootnoteReference"/>
          <w:rFonts w:ascii="FrankRuehl" w:hAnsi="FrankRuehl" w:cs="FrankRuehl"/>
          <w:color w:val="202122"/>
          <w:sz w:val="24"/>
          <w:szCs w:val="24"/>
          <w:shd w:val="clear" w:color="auto" w:fill="FFFFFF"/>
          <w:rtl/>
        </w:rPr>
        <w:footnoteReference w:id="26"/>
      </w:r>
      <w:r>
        <w:rPr>
          <w:rFonts w:ascii="FrankRuehl" w:hAnsi="FrankRuehl" w:cs="FrankRuehl" w:hint="cs"/>
          <w:color w:val="202122"/>
          <w:sz w:val="24"/>
          <w:szCs w:val="24"/>
          <w:shd w:val="clear" w:color="auto" w:fill="FFFFFF"/>
          <w:rtl/>
        </w:rPr>
        <w:t xml:space="preserve"> אולם דומה שאין כאן אלא ניסיונות להרמוניזציה. </w:t>
      </w:r>
    </w:p>
    <w:p w14:paraId="21552672" w14:textId="77777777" w:rsidR="004D014B" w:rsidRDefault="004D014B" w:rsidP="004D014B">
      <w:pPr>
        <w:bidi/>
        <w:spacing w:line="360" w:lineRule="auto"/>
        <w:ind w:firstLine="720"/>
        <w:rPr>
          <w:rFonts w:ascii="FrankRuehl" w:hAnsi="FrankRuehl" w:cs="FrankRuehl"/>
          <w:color w:val="202122"/>
          <w:sz w:val="24"/>
          <w:szCs w:val="24"/>
          <w:shd w:val="clear" w:color="auto" w:fill="FFFFFF"/>
          <w:rtl/>
        </w:rPr>
      </w:pPr>
      <w:r>
        <w:rPr>
          <w:rFonts w:ascii="FrankRuehl" w:hAnsi="FrankRuehl" w:cs="FrankRuehl" w:hint="cs"/>
          <w:color w:val="202122"/>
          <w:sz w:val="24"/>
          <w:szCs w:val="24"/>
          <w:shd w:val="clear" w:color="auto" w:fill="FFFFFF"/>
          <w:rtl/>
        </w:rPr>
        <w:t xml:space="preserve">לאור כל שצוין לעיל אני מבקש להציע כי האיסור </w:t>
      </w:r>
      <w:r>
        <w:rPr>
          <w:rFonts w:ascii="FrankRuehl" w:hAnsi="FrankRuehl" w:cs="FrankRuehl" w:hint="cs"/>
          <w:sz w:val="24"/>
          <w:szCs w:val="24"/>
          <w:rtl/>
        </w:rPr>
        <w:t>'</w:t>
      </w:r>
      <w:r w:rsidRPr="003D5453">
        <w:rPr>
          <w:rFonts w:ascii="FrankRuehl" w:hAnsi="FrankRuehl" w:cs="FrankRuehl"/>
          <w:color w:val="202122"/>
          <w:sz w:val="24"/>
          <w:szCs w:val="24"/>
          <w:shd w:val="clear" w:color="auto" w:fill="FFFFFF"/>
          <w:rtl/>
        </w:rPr>
        <w:t xml:space="preserve">לֹא </w:t>
      </w:r>
      <w:proofErr w:type="spellStart"/>
      <w:r w:rsidRPr="003D5453">
        <w:rPr>
          <w:rFonts w:ascii="FrankRuehl" w:hAnsi="FrankRuehl" w:cs="FrankRuehl"/>
          <w:color w:val="202122"/>
          <w:sz w:val="24"/>
          <w:szCs w:val="24"/>
          <w:shd w:val="clear" w:color="auto" w:fill="FFFFFF"/>
          <w:rtl/>
        </w:rPr>
        <w:t>תַחֲרֹש</w:t>
      </w:r>
      <w:proofErr w:type="spellEnd"/>
      <w:r w:rsidRPr="003D5453">
        <w:rPr>
          <w:rFonts w:ascii="FrankRuehl" w:hAnsi="FrankRuehl" w:cs="FrankRuehl"/>
          <w:color w:val="202122"/>
          <w:sz w:val="24"/>
          <w:szCs w:val="24"/>
          <w:shd w:val="clear" w:color="auto" w:fill="FFFFFF"/>
          <w:rtl/>
        </w:rPr>
        <w:t>ׁ בְּשׁוֹר וּבַחֲמֹר יַחְדָּו</w:t>
      </w:r>
      <w:r>
        <w:rPr>
          <w:rFonts w:ascii="FrankRuehl" w:hAnsi="FrankRuehl" w:cs="FrankRuehl" w:hint="cs"/>
          <w:color w:val="202122"/>
          <w:sz w:val="24"/>
          <w:szCs w:val="24"/>
          <w:shd w:val="clear" w:color="auto" w:fill="FFFFFF"/>
          <w:rtl/>
        </w:rPr>
        <w:t>' הוא ביטוי להתמודדות ישירה עם מסורת חוק האוסרת על כלאי בהמה</w:t>
      </w:r>
      <w:r>
        <w:rPr>
          <w:rFonts w:ascii="FrankRuehl" w:hAnsi="FrankRuehl" w:cs="FrankRuehl" w:hint="cs"/>
          <w:sz w:val="24"/>
          <w:szCs w:val="24"/>
          <w:rtl/>
        </w:rPr>
        <w:t xml:space="preserve">, שכאמור השפעתו על מציאות החיים </w:t>
      </w:r>
      <w:r>
        <w:rPr>
          <w:rFonts w:ascii="FrankRuehl" w:hAnsi="FrankRuehl" w:cs="FrankRuehl"/>
          <w:sz w:val="24"/>
          <w:szCs w:val="24"/>
          <w:rtl/>
        </w:rPr>
        <w:t>–</w:t>
      </w:r>
      <w:r>
        <w:rPr>
          <w:rFonts w:ascii="FrankRuehl" w:hAnsi="FrankRuehl" w:cs="FrankRuehl" w:hint="cs"/>
          <w:sz w:val="24"/>
          <w:szCs w:val="24"/>
          <w:rtl/>
        </w:rPr>
        <w:t xml:space="preserve"> מניעתם של פרדים </w:t>
      </w:r>
      <w:proofErr w:type="spellStart"/>
      <w:r>
        <w:rPr>
          <w:rFonts w:ascii="FrankRuehl" w:hAnsi="FrankRuehl" w:cs="FrankRuehl" w:hint="cs"/>
          <w:sz w:val="24"/>
          <w:szCs w:val="24"/>
          <w:rtl/>
        </w:rPr>
        <w:t>וסוסיות</w:t>
      </w:r>
      <w:proofErr w:type="spellEnd"/>
      <w:r>
        <w:rPr>
          <w:rFonts w:ascii="FrankRuehl" w:hAnsi="FrankRuehl" w:cs="FrankRuehl" w:hint="cs"/>
          <w:sz w:val="24"/>
          <w:szCs w:val="24"/>
          <w:rtl/>
        </w:rPr>
        <w:t xml:space="preserve"> </w:t>
      </w:r>
      <w:r>
        <w:rPr>
          <w:rFonts w:ascii="FrankRuehl" w:hAnsi="FrankRuehl" w:cs="FrankRuehl"/>
          <w:sz w:val="24"/>
          <w:szCs w:val="24"/>
          <w:rtl/>
        </w:rPr>
        <w:t>–</w:t>
      </w:r>
      <w:r>
        <w:rPr>
          <w:rFonts w:ascii="FrankRuehl" w:hAnsi="FrankRuehl" w:cs="FrankRuehl" w:hint="cs"/>
          <w:sz w:val="24"/>
          <w:szCs w:val="24"/>
          <w:rtl/>
        </w:rPr>
        <w:t xml:space="preserve"> מן הסתם עוררה התנגדות</w:t>
      </w:r>
      <w:r>
        <w:rPr>
          <w:rFonts w:ascii="FrankRuehl" w:hAnsi="FrankRuehl" w:cs="FrankRuehl" w:hint="cs"/>
          <w:color w:val="202122"/>
          <w:sz w:val="24"/>
          <w:szCs w:val="24"/>
          <w:shd w:val="clear" w:color="auto" w:fill="FFFFFF"/>
          <w:rtl/>
        </w:rPr>
        <w:t xml:space="preserve">. זאת נעשה בעזרת ניסוח של חוק חדש, שבו הדים קלים אך מחושבים היטב, לחוק המקורי שאולי לא היה שונה ביותר מנוסח האיסור </w:t>
      </w:r>
      <w:proofErr w:type="spellStart"/>
      <w:r>
        <w:rPr>
          <w:rFonts w:ascii="FrankRuehl" w:hAnsi="FrankRuehl" w:cs="FrankRuehl" w:hint="cs"/>
          <w:color w:val="202122"/>
          <w:sz w:val="24"/>
          <w:szCs w:val="24"/>
          <w:shd w:val="clear" w:color="auto" w:fill="FFFFFF"/>
          <w:rtl/>
        </w:rPr>
        <w:t>שבויקרא</w:t>
      </w:r>
      <w:proofErr w:type="spellEnd"/>
      <w:r>
        <w:rPr>
          <w:rFonts w:ascii="FrankRuehl" w:hAnsi="FrankRuehl" w:cs="FrankRuehl" w:hint="cs"/>
          <w:color w:val="202122"/>
          <w:sz w:val="24"/>
          <w:szCs w:val="24"/>
          <w:shd w:val="clear" w:color="auto" w:fill="FFFFFF"/>
          <w:rtl/>
        </w:rPr>
        <w:t xml:space="preserve"> </w:t>
      </w:r>
      <w:proofErr w:type="spellStart"/>
      <w:r>
        <w:rPr>
          <w:rFonts w:ascii="FrankRuehl" w:hAnsi="FrankRuehl" w:cs="FrankRuehl" w:hint="cs"/>
          <w:color w:val="202122"/>
          <w:sz w:val="24"/>
          <w:szCs w:val="24"/>
          <w:shd w:val="clear" w:color="auto" w:fill="FFFFFF"/>
          <w:rtl/>
        </w:rPr>
        <w:t>יט</w:t>
      </w:r>
      <w:proofErr w:type="spellEnd"/>
      <w:r>
        <w:rPr>
          <w:rFonts w:ascii="FrankRuehl" w:hAnsi="FrankRuehl" w:cs="FrankRuehl" w:hint="cs"/>
          <w:color w:val="202122"/>
          <w:sz w:val="24"/>
          <w:szCs w:val="24"/>
          <w:shd w:val="clear" w:color="auto" w:fill="FFFFFF"/>
          <w:rtl/>
        </w:rPr>
        <w:t xml:space="preserve"> 19 שלפנינו. שור וחמור מדייקים את המונח הכללי </w:t>
      </w:r>
      <w:r>
        <w:rPr>
          <w:rFonts w:ascii="FrankRuehl" w:hAnsi="FrankRuehl" w:cs="FrankRuehl" w:hint="cs"/>
          <w:sz w:val="24"/>
          <w:szCs w:val="24"/>
          <w:rtl/>
        </w:rPr>
        <w:t>'</w:t>
      </w:r>
      <w:proofErr w:type="spellStart"/>
      <w:r w:rsidRPr="00DC1128">
        <w:rPr>
          <w:rFonts w:ascii="FrankRuehl" w:hAnsi="FrankRuehl" w:cs="FrankRuehl"/>
          <w:sz w:val="24"/>
          <w:szCs w:val="24"/>
          <w:rtl/>
        </w:rPr>
        <w:t>בְּהֶמְתְּך</w:t>
      </w:r>
      <w:proofErr w:type="spellEnd"/>
      <w:r w:rsidRPr="00DC1128">
        <w:rPr>
          <w:rFonts w:ascii="FrankRuehl" w:hAnsi="FrankRuehl" w:cs="FrankRuehl"/>
          <w:sz w:val="24"/>
          <w:szCs w:val="24"/>
          <w:rtl/>
        </w:rPr>
        <w:t>ָ</w:t>
      </w:r>
      <w:r>
        <w:rPr>
          <w:rFonts w:ascii="FrankRuehl" w:hAnsi="FrankRuehl" w:cs="FrankRuehl" w:hint="cs"/>
          <w:sz w:val="24"/>
          <w:szCs w:val="24"/>
          <w:rtl/>
        </w:rPr>
        <w:t>'</w:t>
      </w:r>
      <w:r>
        <w:rPr>
          <w:rFonts w:ascii="FrankRuehl" w:hAnsi="FrankRuehl" w:cs="FrankRuehl" w:hint="cs"/>
          <w:color w:val="202122"/>
          <w:sz w:val="24"/>
          <w:szCs w:val="24"/>
          <w:shd w:val="clear" w:color="auto" w:fill="FFFFFF"/>
          <w:rtl/>
        </w:rPr>
        <w:t xml:space="preserve"> ומשמרים, בהליכתם המשותפת לאורך התלם, את תמונת ההתקרבות והזיווג של הרבעת כלאיים. תמונת החרישה הלקוחה ממציאות החיים הריאלית, מתקנת את תמונת הרבעת הבהמות, שכאמור אינה מוכרת אלא בין סוסים וחמורים. אפשר שהבחירה בפעולת החרישה דווקא משמרת משהו מהקונוטציה המינית שבפעולת ההרבעה</w:t>
      </w:r>
      <w:r w:rsidRPr="00A71529">
        <w:rPr>
          <w:rFonts w:ascii="FrankRuehl" w:hAnsi="FrankRuehl" w:cs="FrankRuehl" w:hint="cs"/>
          <w:color w:val="202122"/>
          <w:sz w:val="24"/>
          <w:szCs w:val="24"/>
          <w:shd w:val="clear" w:color="auto" w:fill="FFFFFF"/>
          <w:rtl/>
        </w:rPr>
        <w:t xml:space="preserve"> </w:t>
      </w:r>
      <w:r>
        <w:rPr>
          <w:rFonts w:ascii="FrankRuehl" w:hAnsi="FrankRuehl" w:cs="FrankRuehl" w:hint="cs"/>
          <w:color w:val="202122"/>
          <w:sz w:val="24"/>
          <w:szCs w:val="24"/>
          <w:shd w:val="clear" w:color="auto" w:fill="FFFFFF"/>
          <w:rtl/>
        </w:rPr>
        <w:t>או על כל פנים של מגע בין פרטים שאינו ראוי</w:t>
      </w:r>
      <w:r w:rsidRPr="002A430D">
        <w:rPr>
          <w:rFonts w:ascii="FrankRuehl" w:hAnsi="FrankRuehl" w:cs="FrankRuehl"/>
          <w:color w:val="202122"/>
          <w:sz w:val="24"/>
          <w:szCs w:val="24"/>
          <w:shd w:val="clear" w:color="auto" w:fill="FFFFFF"/>
          <w:rtl/>
        </w:rPr>
        <w:t xml:space="preserve"> (</w:t>
      </w:r>
      <w:r>
        <w:rPr>
          <w:rFonts w:ascii="FrankRuehl" w:hAnsi="FrankRuehl" w:cs="FrankRuehl" w:hint="cs"/>
          <w:color w:val="202122"/>
          <w:sz w:val="24"/>
          <w:szCs w:val="24"/>
          <w:shd w:val="clear" w:color="auto" w:fill="FFFFFF"/>
          <w:rtl/>
        </w:rPr>
        <w:t xml:space="preserve">השוו: </w:t>
      </w:r>
      <w:r w:rsidRPr="002A430D">
        <w:rPr>
          <w:rFonts w:ascii="FrankRuehl" w:hAnsi="FrankRuehl" w:cs="FrankRuehl"/>
          <w:color w:val="202122"/>
          <w:sz w:val="24"/>
          <w:szCs w:val="24"/>
          <w:shd w:val="clear" w:color="auto" w:fill="FFFFFF"/>
          <w:rtl/>
        </w:rPr>
        <w:t>'</w:t>
      </w:r>
      <w:proofErr w:type="spellStart"/>
      <w:r w:rsidRPr="002A430D">
        <w:rPr>
          <w:rFonts w:ascii="FrankRuehl" w:hAnsi="FrankRuehl" w:cs="FrankRuehl"/>
          <w:color w:val="000000"/>
          <w:sz w:val="24"/>
          <w:szCs w:val="24"/>
          <w:rtl/>
        </w:rPr>
        <w:t>לוּלֵא</w:t>
      </w:r>
      <w:proofErr w:type="spellEnd"/>
      <w:r w:rsidRPr="002A430D">
        <w:rPr>
          <w:rFonts w:ascii="FrankRuehl" w:hAnsi="FrankRuehl" w:cs="FrankRuehl"/>
          <w:color w:val="000000"/>
          <w:sz w:val="24"/>
          <w:szCs w:val="24"/>
          <w:rtl/>
        </w:rPr>
        <w:t xml:space="preserve"> </w:t>
      </w:r>
      <w:proofErr w:type="spellStart"/>
      <w:r w:rsidRPr="002A430D">
        <w:rPr>
          <w:rFonts w:ascii="FrankRuehl" w:hAnsi="FrankRuehl" w:cs="FrankRuehl"/>
          <w:color w:val="000000"/>
          <w:sz w:val="24"/>
          <w:szCs w:val="24"/>
          <w:rtl/>
        </w:rPr>
        <w:t>חֲרַשְׁתֶּם</w:t>
      </w:r>
      <w:proofErr w:type="spellEnd"/>
      <w:r w:rsidRPr="002A430D">
        <w:rPr>
          <w:rFonts w:ascii="FrankRuehl" w:hAnsi="FrankRuehl" w:cs="FrankRuehl"/>
          <w:color w:val="000000"/>
          <w:sz w:val="24"/>
          <w:szCs w:val="24"/>
          <w:rtl/>
        </w:rPr>
        <w:t xml:space="preserve"> </w:t>
      </w:r>
      <w:proofErr w:type="spellStart"/>
      <w:r w:rsidRPr="002A430D">
        <w:rPr>
          <w:rFonts w:ascii="FrankRuehl" w:hAnsi="FrankRuehl" w:cs="FrankRuehl"/>
          <w:color w:val="000000"/>
          <w:sz w:val="24"/>
          <w:szCs w:val="24"/>
          <w:rtl/>
        </w:rPr>
        <w:t>בְּעֶגְלָתִי</w:t>
      </w:r>
      <w:proofErr w:type="spellEnd"/>
      <w:r w:rsidRPr="002A430D">
        <w:rPr>
          <w:rFonts w:ascii="FrankRuehl" w:hAnsi="FrankRuehl" w:cs="FrankRuehl"/>
          <w:color w:val="000000"/>
          <w:sz w:val="24"/>
          <w:szCs w:val="24"/>
          <w:rtl/>
        </w:rPr>
        <w:t xml:space="preserve">', </w:t>
      </w:r>
      <w:proofErr w:type="spellStart"/>
      <w:r w:rsidRPr="002A430D">
        <w:rPr>
          <w:rFonts w:ascii="FrankRuehl" w:hAnsi="FrankRuehl" w:cs="FrankRuehl"/>
          <w:color w:val="000000"/>
          <w:sz w:val="24"/>
          <w:szCs w:val="24"/>
          <w:rtl/>
        </w:rPr>
        <w:t>שו</w:t>
      </w:r>
      <w:proofErr w:type="spellEnd"/>
      <w:r w:rsidRPr="002A430D">
        <w:rPr>
          <w:rFonts w:ascii="FrankRuehl" w:hAnsi="FrankRuehl" w:cs="FrankRuehl"/>
          <w:color w:val="000000"/>
          <w:sz w:val="24"/>
          <w:szCs w:val="24"/>
          <w:rtl/>
        </w:rPr>
        <w:t>' יד 18</w:t>
      </w:r>
      <w:r w:rsidRPr="002A430D">
        <w:rPr>
          <w:rFonts w:ascii="FrankRuehl" w:hAnsi="FrankRuehl" w:cs="FrankRuehl"/>
          <w:color w:val="202122"/>
          <w:sz w:val="24"/>
          <w:szCs w:val="24"/>
          <w:shd w:val="clear" w:color="auto" w:fill="FFFFFF"/>
          <w:rtl/>
        </w:rPr>
        <w:t>)</w:t>
      </w:r>
      <w:r>
        <w:rPr>
          <w:rFonts w:ascii="FrankRuehl" w:hAnsi="FrankRuehl" w:cs="FrankRuehl" w:hint="cs"/>
          <w:color w:val="202122"/>
          <w:sz w:val="24"/>
          <w:szCs w:val="24"/>
          <w:shd w:val="clear" w:color="auto" w:fill="FFFFFF"/>
          <w:rtl/>
        </w:rPr>
        <w:t>.</w:t>
      </w:r>
      <w:r>
        <w:rPr>
          <w:rStyle w:val="FootnoteReference"/>
          <w:rFonts w:ascii="FrankRuehl" w:hAnsi="FrankRuehl" w:cs="FrankRuehl"/>
          <w:color w:val="202122"/>
          <w:sz w:val="24"/>
          <w:szCs w:val="24"/>
          <w:shd w:val="clear" w:color="auto" w:fill="FFFFFF"/>
          <w:rtl/>
        </w:rPr>
        <w:footnoteReference w:id="27"/>
      </w:r>
      <w:r>
        <w:rPr>
          <w:rFonts w:ascii="FrankRuehl" w:hAnsi="FrankRuehl" w:cs="FrankRuehl" w:hint="cs"/>
          <w:color w:val="202122"/>
          <w:sz w:val="24"/>
          <w:szCs w:val="24"/>
          <w:shd w:val="clear" w:color="auto" w:fill="FFFFFF"/>
          <w:rtl/>
        </w:rPr>
        <w:t xml:space="preserve"> הבחירה להזכיר חמור לצדו של השור בוודאי שאינה מקרית ואין לומר כי היא שיקוף </w:t>
      </w:r>
      <w:r w:rsidRPr="005A3141">
        <w:rPr>
          <w:rFonts w:ascii="FrankRuehl" w:hAnsi="FrankRuehl" w:cs="FrankRuehl" w:hint="cs"/>
          <w:color w:val="202122"/>
          <w:sz w:val="24"/>
          <w:szCs w:val="24"/>
          <w:shd w:val="clear" w:color="auto" w:fill="FFFFFF"/>
          <w:rtl/>
        </w:rPr>
        <w:t xml:space="preserve">למציאות </w:t>
      </w:r>
      <w:r w:rsidRPr="005A3141">
        <w:rPr>
          <w:rFonts w:ascii="FrankRuehl" w:hAnsi="FrankRuehl" w:cs="FrankRuehl" w:hint="cs"/>
          <w:sz w:val="24"/>
          <w:szCs w:val="24"/>
          <w:rtl/>
        </w:rPr>
        <w:t>חרישה שכיחה ושגרתית.</w:t>
      </w:r>
      <w:r w:rsidRPr="005A3141">
        <w:rPr>
          <w:rStyle w:val="FootnoteReference"/>
          <w:rFonts w:ascii="FrankRuehl" w:hAnsi="FrankRuehl" w:cs="FrankRuehl"/>
          <w:sz w:val="24"/>
          <w:szCs w:val="24"/>
          <w:rtl/>
        </w:rPr>
        <w:footnoteReference w:id="28"/>
      </w:r>
      <w:r w:rsidRPr="005A3141">
        <w:rPr>
          <w:rFonts w:ascii="FrankRuehl" w:hAnsi="FrankRuehl" w:cs="FrankRuehl" w:hint="cs"/>
          <w:color w:val="202122"/>
          <w:sz w:val="24"/>
          <w:szCs w:val="24"/>
          <w:shd w:val="clear" w:color="auto" w:fill="FFFFFF"/>
          <w:rtl/>
        </w:rPr>
        <w:t xml:space="preserve"> חרישת השדה נעשתה בראש ובראשונה באמצעות </w:t>
      </w:r>
      <w:r w:rsidRPr="005A3141">
        <w:rPr>
          <w:rFonts w:ascii="FrankRuehl" w:hAnsi="FrankRuehl" w:cs="FrankRuehl"/>
          <w:color w:val="202122"/>
          <w:sz w:val="24"/>
          <w:szCs w:val="24"/>
          <w:shd w:val="clear" w:color="auto" w:fill="FFFFFF"/>
          <w:rtl/>
        </w:rPr>
        <w:t>שוורים</w:t>
      </w:r>
      <w:r w:rsidRPr="005A3141">
        <w:rPr>
          <w:rFonts w:ascii="FrankRuehl" w:hAnsi="FrankRuehl" w:cs="FrankRuehl" w:hint="cs"/>
          <w:color w:val="202122"/>
          <w:sz w:val="24"/>
          <w:szCs w:val="24"/>
          <w:shd w:val="clear" w:color="auto" w:fill="FFFFFF"/>
          <w:rtl/>
        </w:rPr>
        <w:t xml:space="preserve"> (השוו מל"א </w:t>
      </w:r>
      <w:proofErr w:type="spellStart"/>
      <w:r w:rsidRPr="005A3141">
        <w:rPr>
          <w:rFonts w:ascii="FrankRuehl" w:hAnsi="FrankRuehl" w:cs="FrankRuehl" w:hint="cs"/>
          <w:color w:val="202122"/>
          <w:sz w:val="24"/>
          <w:szCs w:val="24"/>
          <w:shd w:val="clear" w:color="auto" w:fill="FFFFFF"/>
          <w:rtl/>
        </w:rPr>
        <w:t>יט</w:t>
      </w:r>
      <w:proofErr w:type="spellEnd"/>
      <w:r w:rsidRPr="005A3141">
        <w:rPr>
          <w:rFonts w:ascii="FrankRuehl" w:hAnsi="FrankRuehl" w:cs="FrankRuehl" w:hint="cs"/>
          <w:color w:val="202122"/>
          <w:sz w:val="24"/>
          <w:szCs w:val="24"/>
          <w:shd w:val="clear" w:color="auto" w:fill="FFFFFF"/>
          <w:rtl/>
        </w:rPr>
        <w:t xml:space="preserve"> 19</w:t>
      </w:r>
      <w:r w:rsidRPr="005A3141">
        <w:rPr>
          <w:rFonts w:ascii="FrankRuehl" w:hAnsi="FrankRuehl" w:cs="FrankRuehl"/>
          <w:color w:val="202122"/>
          <w:sz w:val="24"/>
          <w:szCs w:val="24"/>
          <w:shd w:val="clear" w:color="auto" w:fill="FFFFFF"/>
          <w:rtl/>
        </w:rPr>
        <w:t>–</w:t>
      </w:r>
      <w:r w:rsidRPr="005A3141">
        <w:rPr>
          <w:rFonts w:ascii="FrankRuehl" w:hAnsi="FrankRuehl" w:cs="FrankRuehl" w:hint="cs"/>
          <w:color w:val="202122"/>
          <w:sz w:val="24"/>
          <w:szCs w:val="24"/>
          <w:shd w:val="clear" w:color="auto" w:fill="FFFFFF"/>
          <w:rtl/>
        </w:rPr>
        <w:t xml:space="preserve">21; </w:t>
      </w:r>
      <w:r w:rsidRPr="005A3141">
        <w:rPr>
          <w:rFonts w:ascii="FrankRuehl" w:hAnsi="FrankRuehl" w:cs="FrankRuehl"/>
          <w:color w:val="202122"/>
          <w:sz w:val="24"/>
          <w:szCs w:val="24"/>
          <w:shd w:val="clear" w:color="auto" w:fill="FFFFFF"/>
          <w:rtl/>
        </w:rPr>
        <w:t>מש' יד 4</w:t>
      </w:r>
      <w:r w:rsidRPr="005A3141">
        <w:rPr>
          <w:rFonts w:ascii="FrankRuehl" w:hAnsi="FrankRuehl" w:cs="FrankRuehl" w:hint="cs"/>
          <w:color w:val="000000"/>
          <w:sz w:val="24"/>
          <w:szCs w:val="24"/>
          <w:shd w:val="clear" w:color="auto" w:fill="FFFFFF"/>
          <w:rtl/>
        </w:rPr>
        <w:t xml:space="preserve">), וכך </w:t>
      </w:r>
      <w:r>
        <w:rPr>
          <w:rFonts w:ascii="FrankRuehl" w:hAnsi="FrankRuehl" w:cs="FrankRuehl" w:hint="cs"/>
          <w:color w:val="000000"/>
          <w:sz w:val="24"/>
          <w:szCs w:val="24"/>
          <w:shd w:val="clear" w:color="auto" w:fill="FFFFFF"/>
          <w:rtl/>
        </w:rPr>
        <w:t>הדבר אף ב</w:t>
      </w:r>
      <w:r w:rsidRPr="005A3141">
        <w:rPr>
          <w:rFonts w:ascii="FrankRuehl" w:hAnsi="FrankRuehl" w:cs="FrankRuehl" w:hint="cs"/>
          <w:color w:val="000000"/>
          <w:sz w:val="24"/>
          <w:szCs w:val="24"/>
          <w:shd w:val="clear" w:color="auto" w:fill="FFFFFF"/>
          <w:rtl/>
        </w:rPr>
        <w:t>ימינו</w:t>
      </w:r>
      <w:r>
        <w:rPr>
          <w:rFonts w:ascii="FrankRuehl" w:hAnsi="FrankRuehl" w:cs="FrankRuehl" w:hint="cs"/>
          <w:color w:val="000000"/>
          <w:sz w:val="24"/>
          <w:szCs w:val="24"/>
          <w:shd w:val="clear" w:color="auto" w:fill="FFFFFF"/>
          <w:rtl/>
        </w:rPr>
        <w:t xml:space="preserve"> בישראל ובסביבתה הגיאוגרפית</w:t>
      </w:r>
      <w:r w:rsidRPr="005A3141">
        <w:rPr>
          <w:rFonts w:ascii="FrankRuehl" w:hAnsi="FrankRuehl" w:cs="FrankRuehl" w:hint="cs"/>
          <w:color w:val="000000"/>
          <w:sz w:val="24"/>
          <w:szCs w:val="24"/>
          <w:shd w:val="clear" w:color="auto" w:fill="FFFFFF"/>
          <w:rtl/>
        </w:rPr>
        <w:t>, כש</w:t>
      </w:r>
      <w:r>
        <w:rPr>
          <w:rFonts w:ascii="FrankRuehl" w:hAnsi="FrankRuehl" w:cs="FrankRuehl" w:hint="cs"/>
          <w:color w:val="000000"/>
          <w:sz w:val="24"/>
          <w:szCs w:val="24"/>
          <w:shd w:val="clear" w:color="auto" w:fill="FFFFFF"/>
          <w:rtl/>
        </w:rPr>
        <w:t xml:space="preserve">אין באפשרותו של </w:t>
      </w:r>
      <w:r w:rsidRPr="005A3141">
        <w:rPr>
          <w:rFonts w:ascii="FrankRuehl" w:hAnsi="FrankRuehl" w:cs="FrankRuehl" w:hint="cs"/>
          <w:color w:val="000000"/>
          <w:sz w:val="24"/>
          <w:szCs w:val="24"/>
          <w:shd w:val="clear" w:color="auto" w:fill="FFFFFF"/>
          <w:rtl/>
        </w:rPr>
        <w:t xml:space="preserve">החקלאי </w:t>
      </w:r>
      <w:r>
        <w:rPr>
          <w:rFonts w:ascii="FrankRuehl" w:hAnsi="FrankRuehl" w:cs="FrankRuehl" w:hint="cs"/>
          <w:color w:val="000000"/>
          <w:sz w:val="24"/>
          <w:szCs w:val="24"/>
          <w:shd w:val="clear" w:color="auto" w:fill="FFFFFF"/>
          <w:rtl/>
        </w:rPr>
        <w:t>להסתמך</w:t>
      </w:r>
      <w:r w:rsidRPr="005A3141">
        <w:rPr>
          <w:rFonts w:ascii="FrankRuehl" w:hAnsi="FrankRuehl" w:cs="FrankRuehl" w:hint="cs"/>
          <w:color w:val="000000"/>
          <w:sz w:val="24"/>
          <w:szCs w:val="24"/>
          <w:shd w:val="clear" w:color="auto" w:fill="FFFFFF"/>
          <w:rtl/>
        </w:rPr>
        <w:t xml:space="preserve"> על כלי ממונע</w:t>
      </w:r>
      <w:r>
        <w:rPr>
          <w:rFonts w:ascii="FrankRuehl" w:hAnsi="FrankRuehl" w:cs="FrankRuehl" w:hint="cs"/>
          <w:color w:val="000000"/>
          <w:sz w:val="24"/>
          <w:szCs w:val="24"/>
          <w:shd w:val="clear" w:color="auto" w:fill="FFFFFF"/>
          <w:rtl/>
        </w:rPr>
        <w:t>. כן שכיח שימוש ב</w:t>
      </w:r>
      <w:r w:rsidRPr="008B1A5D">
        <w:rPr>
          <w:rFonts w:ascii="FrankRuehl" w:hAnsi="FrankRuehl" w:cs="FrankRuehl" w:hint="cs"/>
          <w:color w:val="000000"/>
          <w:sz w:val="24"/>
          <w:szCs w:val="24"/>
          <w:shd w:val="clear" w:color="auto" w:fill="FFFFFF"/>
          <w:rtl/>
        </w:rPr>
        <w:t>פ</w:t>
      </w:r>
      <w:r w:rsidRPr="008B1A5D">
        <w:rPr>
          <w:rFonts w:ascii="Arial" w:hAnsi="Arial" w:cs="FrankRuehl"/>
          <w:sz w:val="24"/>
          <w:szCs w:val="24"/>
          <w:rtl/>
        </w:rPr>
        <w:t>ּ</w:t>
      </w:r>
      <w:r w:rsidRPr="008B1A5D">
        <w:rPr>
          <w:rFonts w:ascii="FrankRuehl" w:hAnsi="FrankRuehl" w:cs="FrankRuehl" w:hint="cs"/>
          <w:color w:val="000000"/>
          <w:sz w:val="24"/>
          <w:szCs w:val="24"/>
          <w:shd w:val="clear" w:color="auto" w:fill="FFFFFF"/>
          <w:rtl/>
        </w:rPr>
        <w:t>רד</w:t>
      </w:r>
      <w:r>
        <w:rPr>
          <w:rFonts w:ascii="FrankRuehl" w:hAnsi="FrankRuehl" w:cs="FrankRuehl" w:hint="cs"/>
          <w:color w:val="000000"/>
          <w:sz w:val="24"/>
          <w:szCs w:val="24"/>
          <w:shd w:val="clear" w:color="auto" w:fill="FFFFFF"/>
          <w:rtl/>
        </w:rPr>
        <w:t xml:space="preserve"> ובסוסיה למשיכת מחרשה, ולפנינו עדויות מצולמות מסוף המאה התשע עשרה וראשית המאה העשרים לחרישה משולבת בעזרת </w:t>
      </w:r>
      <w:r w:rsidRPr="007473E0">
        <w:rPr>
          <w:rFonts w:ascii="FrankRuehl" w:hAnsi="FrankRuehl" w:cs="FrankRuehl" w:hint="cs"/>
          <w:color w:val="000000"/>
          <w:sz w:val="24"/>
          <w:szCs w:val="24"/>
          <w:shd w:val="clear" w:color="auto" w:fill="FFFFFF"/>
          <w:rtl/>
        </w:rPr>
        <w:t>שור ופ</w:t>
      </w:r>
      <w:r w:rsidRPr="007473E0">
        <w:rPr>
          <w:rFonts w:ascii="Arial" w:hAnsi="Arial" w:cs="FrankRuehl"/>
          <w:sz w:val="24"/>
          <w:szCs w:val="24"/>
          <w:rtl/>
        </w:rPr>
        <w:t>ּ</w:t>
      </w:r>
      <w:r w:rsidRPr="007473E0">
        <w:rPr>
          <w:rFonts w:ascii="FrankRuehl" w:hAnsi="FrankRuehl" w:cs="FrankRuehl" w:hint="cs"/>
          <w:color w:val="000000"/>
          <w:sz w:val="24"/>
          <w:szCs w:val="24"/>
          <w:shd w:val="clear" w:color="auto" w:fill="FFFFFF"/>
          <w:rtl/>
        </w:rPr>
        <w:t>רד</w:t>
      </w:r>
      <w:r>
        <w:rPr>
          <w:rFonts w:ascii="FrankRuehl" w:hAnsi="FrankRuehl" w:cs="FrankRuehl" w:hint="cs"/>
          <w:color w:val="000000"/>
          <w:sz w:val="24"/>
          <w:szCs w:val="24"/>
          <w:shd w:val="clear" w:color="auto" w:fill="FFFFFF"/>
          <w:rtl/>
        </w:rPr>
        <w:t>/סוסיה. אף שאין מניעה מעשית לרתום חמור למחרשה, ובאין חלופה אחרת חקלאי יעשה כן, כוחו הגופני המוגבל של החמור יקשה עליו להתמיד בעבודת החריש</w:t>
      </w:r>
      <w:r w:rsidRPr="005A3141">
        <w:rPr>
          <w:rFonts w:ascii="FrankRuehl" w:hAnsi="FrankRuehl" w:cs="FrankRuehl" w:hint="cs"/>
          <w:color w:val="000000"/>
          <w:sz w:val="24"/>
          <w:szCs w:val="24"/>
          <w:shd w:val="clear" w:color="auto" w:fill="FFFFFF"/>
          <w:rtl/>
        </w:rPr>
        <w:t xml:space="preserve">. </w:t>
      </w:r>
      <w:r>
        <w:rPr>
          <w:rFonts w:ascii="FrankRuehl" w:hAnsi="FrankRuehl" w:cs="FrankRuehl" w:hint="cs"/>
          <w:color w:val="000000"/>
          <w:sz w:val="24"/>
          <w:szCs w:val="24"/>
          <w:shd w:val="clear" w:color="auto" w:fill="FFFFFF"/>
          <w:rtl/>
        </w:rPr>
        <w:t>ואומנם</w:t>
      </w:r>
      <w:r w:rsidRPr="005A3141">
        <w:rPr>
          <w:rFonts w:ascii="FrankRuehl" w:hAnsi="FrankRuehl" w:cs="FrankRuehl" w:hint="cs"/>
          <w:color w:val="000000"/>
          <w:sz w:val="24"/>
          <w:szCs w:val="24"/>
          <w:shd w:val="clear" w:color="auto" w:fill="FFFFFF"/>
          <w:rtl/>
        </w:rPr>
        <w:t xml:space="preserve">, </w:t>
      </w:r>
      <w:r w:rsidRPr="005A3141">
        <w:rPr>
          <w:rFonts w:ascii="FrankRuehl" w:hAnsi="FrankRuehl" w:cs="FrankRuehl" w:hint="cs"/>
          <w:color w:val="202122"/>
          <w:sz w:val="24"/>
          <w:szCs w:val="24"/>
          <w:shd w:val="clear" w:color="auto" w:fill="FFFFFF"/>
          <w:rtl/>
        </w:rPr>
        <w:t>באיוב א 14, עולה תמונה חקלאית ריאלית שבה ניגוד בין השוורים החורשים והחמורים (האתונות) ה</w:t>
      </w:r>
      <w:r w:rsidRPr="005A3141">
        <w:rPr>
          <w:rFonts w:ascii="FrankRuehl" w:hAnsi="FrankRuehl" w:cs="FrankRuehl"/>
          <w:color w:val="202122"/>
          <w:sz w:val="24"/>
          <w:szCs w:val="24"/>
          <w:shd w:val="clear" w:color="auto" w:fill="FFFFFF"/>
          <w:rtl/>
        </w:rPr>
        <w:t>רועות</w:t>
      </w:r>
      <w:r w:rsidRPr="005A3141">
        <w:rPr>
          <w:rFonts w:ascii="FrankRuehl" w:hAnsi="FrankRuehl" w:cs="FrankRuehl" w:hint="cs"/>
          <w:color w:val="202122"/>
          <w:sz w:val="24"/>
          <w:szCs w:val="24"/>
          <w:shd w:val="clear" w:color="auto" w:fill="FFFFFF"/>
          <w:rtl/>
        </w:rPr>
        <w:t xml:space="preserve"> </w:t>
      </w:r>
      <w:proofErr w:type="spellStart"/>
      <w:r w:rsidRPr="005A3141">
        <w:rPr>
          <w:rFonts w:ascii="FrankRuehl" w:hAnsi="FrankRuehl" w:cs="FrankRuehl" w:hint="cs"/>
          <w:color w:val="202122"/>
          <w:sz w:val="24"/>
          <w:szCs w:val="24"/>
          <w:shd w:val="clear" w:color="auto" w:fill="FFFFFF"/>
          <w:rtl/>
        </w:rPr>
        <w:t>לצדם</w:t>
      </w:r>
      <w:proofErr w:type="spellEnd"/>
      <w:r w:rsidRPr="005A3141">
        <w:rPr>
          <w:rFonts w:ascii="FrankRuehl" w:hAnsi="FrankRuehl" w:cs="FrankRuehl"/>
          <w:color w:val="202122"/>
          <w:sz w:val="24"/>
          <w:szCs w:val="24"/>
          <w:shd w:val="clear" w:color="auto" w:fill="FFFFFF"/>
          <w:rtl/>
        </w:rPr>
        <w:t>: '</w:t>
      </w:r>
      <w:r w:rsidRPr="005A3141">
        <w:rPr>
          <w:rFonts w:ascii="FrankRuehl" w:hAnsi="FrankRuehl" w:cs="FrankRuehl"/>
          <w:color w:val="000000"/>
          <w:sz w:val="24"/>
          <w:szCs w:val="24"/>
          <w:shd w:val="clear" w:color="auto" w:fill="FFFFFF"/>
          <w:rtl/>
        </w:rPr>
        <w:t xml:space="preserve">הַבָּקָר הָיוּ חֹרְשׁוֹת </w:t>
      </w:r>
      <w:proofErr w:type="spellStart"/>
      <w:r w:rsidRPr="005A3141">
        <w:rPr>
          <w:rFonts w:ascii="FrankRuehl" w:hAnsi="FrankRuehl" w:cs="FrankRuehl"/>
          <w:color w:val="000000"/>
          <w:sz w:val="24"/>
          <w:szCs w:val="24"/>
          <w:shd w:val="clear" w:color="auto" w:fill="FFFFFF"/>
          <w:rtl/>
        </w:rPr>
        <w:t>וְהָאֲתֹנוֹת</w:t>
      </w:r>
      <w:proofErr w:type="spellEnd"/>
      <w:r w:rsidRPr="005A3141">
        <w:rPr>
          <w:rFonts w:ascii="FrankRuehl" w:hAnsi="FrankRuehl" w:cs="FrankRuehl"/>
          <w:color w:val="000000"/>
          <w:sz w:val="24"/>
          <w:szCs w:val="24"/>
          <w:shd w:val="clear" w:color="auto" w:fill="FFFFFF"/>
          <w:rtl/>
        </w:rPr>
        <w:t xml:space="preserve"> רֹעוֹת עַל-יְדֵיהֶם'</w:t>
      </w:r>
      <w:r>
        <w:rPr>
          <w:rFonts w:ascii="FrankRuehl" w:hAnsi="FrankRuehl" w:cs="FrankRuehl" w:hint="cs"/>
          <w:color w:val="000000"/>
          <w:sz w:val="24"/>
          <w:szCs w:val="24"/>
          <w:shd w:val="clear" w:color="auto" w:fill="FFFFFF"/>
          <w:rtl/>
        </w:rPr>
        <w:t>.</w:t>
      </w:r>
      <w:r>
        <w:rPr>
          <w:rStyle w:val="FootnoteReference"/>
          <w:rFonts w:ascii="FrankRuehl" w:hAnsi="FrankRuehl" w:cs="FrankRuehl"/>
          <w:color w:val="202122"/>
          <w:sz w:val="24"/>
          <w:szCs w:val="24"/>
          <w:shd w:val="clear" w:color="auto" w:fill="FFFFFF"/>
          <w:rtl/>
        </w:rPr>
        <w:footnoteReference w:id="29"/>
      </w:r>
      <w:r>
        <w:rPr>
          <w:rFonts w:ascii="FrankRuehl" w:hAnsi="FrankRuehl" w:cs="FrankRuehl" w:hint="cs"/>
          <w:color w:val="202122"/>
          <w:sz w:val="24"/>
          <w:szCs w:val="24"/>
          <w:shd w:val="clear" w:color="auto" w:fill="FFFFFF"/>
          <w:rtl/>
        </w:rPr>
        <w:t xml:space="preserve"> אפשר אפוא שאזכורו של החמור לצדו של השור בדב' </w:t>
      </w:r>
      <w:proofErr w:type="spellStart"/>
      <w:r>
        <w:rPr>
          <w:rFonts w:ascii="FrankRuehl" w:hAnsi="FrankRuehl" w:cs="FrankRuehl" w:hint="cs"/>
          <w:color w:val="202122"/>
          <w:sz w:val="24"/>
          <w:szCs w:val="24"/>
          <w:shd w:val="clear" w:color="auto" w:fill="FFFFFF"/>
          <w:rtl/>
        </w:rPr>
        <w:t>כב</w:t>
      </w:r>
      <w:proofErr w:type="spellEnd"/>
      <w:r>
        <w:rPr>
          <w:rFonts w:ascii="FrankRuehl" w:hAnsi="FrankRuehl" w:cs="FrankRuehl" w:hint="cs"/>
          <w:color w:val="202122"/>
          <w:sz w:val="24"/>
          <w:szCs w:val="24"/>
          <w:shd w:val="clear" w:color="auto" w:fill="FFFFFF"/>
          <w:rtl/>
        </w:rPr>
        <w:t xml:space="preserve"> 10 בא לשמר הד להרבעת חמורים וסוסים, זיווג שהוא כאמור העומד בלב איסור כלאי בהמה.</w:t>
      </w:r>
    </w:p>
    <w:p w14:paraId="5AB0A473" w14:textId="77777777" w:rsidR="004D014B" w:rsidRPr="00E95387" w:rsidRDefault="004D014B" w:rsidP="004D014B">
      <w:pPr>
        <w:bidi/>
        <w:spacing w:line="360" w:lineRule="auto"/>
        <w:ind w:firstLine="720"/>
        <w:rPr>
          <w:rFonts w:ascii="FrankRuehl" w:hAnsi="FrankRuehl" w:cs="FrankRuehl"/>
          <w:sz w:val="24"/>
          <w:szCs w:val="24"/>
          <w:lang w:val="en-US"/>
        </w:rPr>
      </w:pPr>
      <w:r>
        <w:rPr>
          <w:rFonts w:ascii="FrankRuehl" w:hAnsi="FrankRuehl" w:cs="FrankRuehl" w:hint="cs"/>
          <w:color w:val="202122"/>
          <w:sz w:val="24"/>
          <w:szCs w:val="24"/>
          <w:shd w:val="clear" w:color="auto" w:fill="FFFFFF"/>
          <w:rtl/>
        </w:rPr>
        <w:t xml:space="preserve">פרשנים וחוקרים שבחנו את האיסור על חרישה משותפת בשור ובחמור במנותק מהאיסור על כלאי בהמה </w:t>
      </w:r>
      <w:proofErr w:type="spellStart"/>
      <w:r>
        <w:rPr>
          <w:rFonts w:ascii="FrankRuehl" w:hAnsi="FrankRuehl" w:cs="FrankRuehl" w:hint="cs"/>
          <w:color w:val="202122"/>
          <w:sz w:val="24"/>
          <w:szCs w:val="24"/>
          <w:shd w:val="clear" w:color="auto" w:fill="FFFFFF"/>
          <w:rtl/>
        </w:rPr>
        <w:t>שבויקרא</w:t>
      </w:r>
      <w:proofErr w:type="spellEnd"/>
      <w:r>
        <w:rPr>
          <w:rFonts w:ascii="FrankRuehl" w:hAnsi="FrankRuehl" w:cs="FrankRuehl" w:hint="cs"/>
          <w:color w:val="202122"/>
          <w:sz w:val="24"/>
          <w:szCs w:val="24"/>
          <w:shd w:val="clear" w:color="auto" w:fill="FFFFFF"/>
          <w:rtl/>
        </w:rPr>
        <w:t xml:space="preserve"> </w:t>
      </w:r>
      <w:proofErr w:type="spellStart"/>
      <w:r>
        <w:rPr>
          <w:rFonts w:ascii="FrankRuehl" w:hAnsi="FrankRuehl" w:cs="FrankRuehl" w:hint="cs"/>
          <w:color w:val="202122"/>
          <w:sz w:val="24"/>
          <w:szCs w:val="24"/>
          <w:shd w:val="clear" w:color="auto" w:fill="FFFFFF"/>
          <w:rtl/>
        </w:rPr>
        <w:t>יט</w:t>
      </w:r>
      <w:proofErr w:type="spellEnd"/>
      <w:r>
        <w:rPr>
          <w:rFonts w:ascii="FrankRuehl" w:hAnsi="FrankRuehl" w:cs="FrankRuehl" w:hint="cs"/>
          <w:color w:val="202122"/>
          <w:sz w:val="24"/>
          <w:szCs w:val="24"/>
          <w:shd w:val="clear" w:color="auto" w:fill="FFFFFF"/>
          <w:rtl/>
        </w:rPr>
        <w:t xml:space="preserve">, חיפשו אחר היגיון העומד ביסודו. כאן הודגש הבדל הכוח שבין שור ובין חמור ואף הוצע שהאיסור הוא </w:t>
      </w:r>
      <w:r w:rsidRPr="007D0D6E">
        <w:rPr>
          <w:rFonts w:ascii="FrankRuehl" w:hAnsi="FrankRuehl" w:cs="FrankRuehl"/>
          <w:color w:val="202122"/>
          <w:sz w:val="24"/>
          <w:szCs w:val="24"/>
          <w:shd w:val="clear" w:color="auto" w:fill="FFFFFF"/>
          <w:rtl/>
        </w:rPr>
        <w:t xml:space="preserve">ביטוי לחמלה מסוימת </w:t>
      </w:r>
      <w:r>
        <w:rPr>
          <w:rFonts w:ascii="FrankRuehl" w:hAnsi="FrankRuehl" w:cs="FrankRuehl" w:hint="cs"/>
          <w:color w:val="202122"/>
          <w:sz w:val="24"/>
          <w:szCs w:val="24"/>
          <w:shd w:val="clear" w:color="auto" w:fill="FFFFFF"/>
          <w:rtl/>
        </w:rPr>
        <w:t xml:space="preserve">כלפי </w:t>
      </w:r>
      <w:r w:rsidRPr="007D0D6E">
        <w:rPr>
          <w:rFonts w:ascii="FrankRuehl" w:hAnsi="FrankRuehl" w:cs="FrankRuehl"/>
          <w:color w:val="202122"/>
          <w:sz w:val="24"/>
          <w:szCs w:val="24"/>
          <w:shd w:val="clear" w:color="auto" w:fill="FFFFFF"/>
          <w:rtl/>
        </w:rPr>
        <w:t>בעלי חיים</w:t>
      </w:r>
      <w:r>
        <w:rPr>
          <w:rFonts w:ascii="FrankRuehl" w:hAnsi="FrankRuehl" w:cs="FrankRuehl" w:hint="cs"/>
          <w:color w:val="202122"/>
          <w:sz w:val="24"/>
          <w:szCs w:val="24"/>
          <w:shd w:val="clear" w:color="auto" w:fill="FFFFFF"/>
          <w:rtl/>
        </w:rPr>
        <w:t xml:space="preserve">, וברוחם של כמה חוקים ואיסורים נוספים שגם בהם מצאו הפרשנים והחוקרים </w:t>
      </w:r>
      <w:r w:rsidRPr="008C0DFD">
        <w:rPr>
          <w:rFonts w:ascii="FrankRuehl" w:hAnsi="FrankRuehl" w:cs="FrankRuehl"/>
          <w:color w:val="202122"/>
          <w:sz w:val="24"/>
          <w:szCs w:val="24"/>
          <w:shd w:val="clear" w:color="auto" w:fill="FFFFFF"/>
          <w:rtl/>
        </w:rPr>
        <w:lastRenderedPageBreak/>
        <w:t>ביטוי לחמלה דומה.</w:t>
      </w:r>
      <w:r w:rsidRPr="008C0DFD">
        <w:rPr>
          <w:rStyle w:val="FootnoteReference"/>
          <w:rFonts w:ascii="FrankRuehl" w:hAnsi="FrankRuehl" w:cs="FrankRuehl"/>
          <w:color w:val="202122"/>
          <w:sz w:val="24"/>
          <w:szCs w:val="24"/>
          <w:shd w:val="clear" w:color="auto" w:fill="FFFFFF"/>
          <w:rtl/>
        </w:rPr>
        <w:footnoteReference w:id="30"/>
      </w:r>
      <w:r w:rsidRPr="008C0DFD">
        <w:rPr>
          <w:rFonts w:ascii="FrankRuehl" w:hAnsi="FrankRuehl" w:cs="FrankRuehl"/>
          <w:color w:val="202122"/>
          <w:sz w:val="24"/>
          <w:szCs w:val="24"/>
          <w:shd w:val="clear" w:color="auto" w:fill="FFFFFF"/>
          <w:rtl/>
        </w:rPr>
        <w:t xml:space="preserve"> </w:t>
      </w:r>
      <w:r>
        <w:rPr>
          <w:rFonts w:ascii="FrankRuehl" w:hAnsi="FrankRuehl" w:cs="FrankRuehl" w:hint="cs"/>
          <w:color w:val="202122"/>
          <w:sz w:val="24"/>
          <w:szCs w:val="24"/>
          <w:shd w:val="clear" w:color="auto" w:fill="FFFFFF"/>
          <w:rtl/>
        </w:rPr>
        <w:t>בה</w:t>
      </w:r>
      <w:r w:rsidRPr="002A430D">
        <w:rPr>
          <w:rFonts w:ascii="FrankRuehl" w:hAnsi="FrankRuehl" w:cs="FrankRuehl"/>
          <w:color w:val="000000"/>
          <w:sz w:val="24"/>
          <w:szCs w:val="24"/>
          <w:rtl/>
        </w:rPr>
        <w:t>ֶ</w:t>
      </w:r>
      <w:r>
        <w:rPr>
          <w:rFonts w:ascii="FrankRuehl" w:hAnsi="FrankRuehl" w:cs="FrankRuehl" w:hint="cs"/>
          <w:color w:val="202122"/>
          <w:sz w:val="24"/>
          <w:szCs w:val="24"/>
          <w:shd w:val="clear" w:color="auto" w:fill="FFFFFF"/>
          <w:rtl/>
        </w:rPr>
        <w:t>קשר זה יש לומר</w:t>
      </w:r>
      <w:r w:rsidRPr="008C0DFD">
        <w:rPr>
          <w:rFonts w:ascii="FrankRuehl" w:hAnsi="FrankRuehl" w:cs="FrankRuehl"/>
          <w:color w:val="202122"/>
          <w:sz w:val="24"/>
          <w:szCs w:val="24"/>
          <w:shd w:val="clear" w:color="auto" w:fill="FFFFFF"/>
          <w:rtl/>
        </w:rPr>
        <w:t xml:space="preserve"> כי להוציא את הא</w:t>
      </w:r>
      <w:r>
        <w:rPr>
          <w:rFonts w:ascii="FrankRuehl" w:hAnsi="FrankRuehl" w:cs="FrankRuehl" w:hint="cs"/>
          <w:color w:val="202122"/>
          <w:sz w:val="24"/>
          <w:szCs w:val="24"/>
          <w:shd w:val="clear" w:color="auto" w:fill="FFFFFF"/>
          <w:rtl/>
        </w:rPr>
        <w:t>י</w:t>
      </w:r>
      <w:r w:rsidRPr="008C0DFD">
        <w:rPr>
          <w:rFonts w:ascii="FrankRuehl" w:hAnsi="FrankRuehl" w:cs="FrankRuehl"/>
          <w:color w:val="202122"/>
          <w:sz w:val="24"/>
          <w:szCs w:val="24"/>
          <w:shd w:val="clear" w:color="auto" w:fill="FFFFFF"/>
          <w:rtl/>
        </w:rPr>
        <w:t>סור '</w:t>
      </w:r>
      <w:proofErr w:type="spellStart"/>
      <w:r w:rsidRPr="008C0DFD">
        <w:rPr>
          <w:rFonts w:ascii="FrankRuehl" w:hAnsi="FrankRuehl" w:cs="FrankRuehl"/>
          <w:color w:val="000000"/>
          <w:sz w:val="24"/>
          <w:szCs w:val="24"/>
          <w:rtl/>
        </w:rPr>
        <w:t>לֹא־תַחְסֹם</w:t>
      </w:r>
      <w:proofErr w:type="spellEnd"/>
      <w:r w:rsidRPr="008C0DFD">
        <w:rPr>
          <w:rFonts w:ascii="FrankRuehl" w:hAnsi="FrankRuehl" w:cs="FrankRuehl"/>
          <w:color w:val="000000"/>
          <w:sz w:val="24"/>
          <w:szCs w:val="24"/>
          <w:rtl/>
        </w:rPr>
        <w:t xml:space="preserve"> </w:t>
      </w:r>
      <w:proofErr w:type="spellStart"/>
      <w:r w:rsidRPr="008C0DFD">
        <w:rPr>
          <w:rFonts w:ascii="FrankRuehl" w:hAnsi="FrankRuehl" w:cs="FrankRuehl"/>
          <w:color w:val="000000"/>
          <w:sz w:val="24"/>
          <w:szCs w:val="24"/>
          <w:rtl/>
        </w:rPr>
        <w:t>שׁוֹר</w:t>
      </w:r>
      <w:proofErr w:type="spellEnd"/>
      <w:r w:rsidRPr="008C0DFD">
        <w:rPr>
          <w:rFonts w:ascii="FrankRuehl" w:hAnsi="FrankRuehl" w:cs="FrankRuehl"/>
          <w:color w:val="000000"/>
          <w:sz w:val="24"/>
          <w:szCs w:val="24"/>
          <w:rtl/>
        </w:rPr>
        <w:t xml:space="preserve"> </w:t>
      </w:r>
      <w:proofErr w:type="spellStart"/>
      <w:r w:rsidRPr="008C0DFD">
        <w:rPr>
          <w:rFonts w:ascii="FrankRuehl" w:hAnsi="FrankRuehl" w:cs="FrankRuehl"/>
          <w:color w:val="000000"/>
          <w:sz w:val="24"/>
          <w:szCs w:val="24"/>
          <w:rtl/>
        </w:rPr>
        <w:t>בְּדִישׁוֹ</w:t>
      </w:r>
      <w:proofErr w:type="spellEnd"/>
      <w:r w:rsidRPr="008C0DFD">
        <w:rPr>
          <w:rFonts w:ascii="FrankRuehl" w:hAnsi="FrankRuehl" w:cs="FrankRuehl"/>
          <w:color w:val="000000"/>
          <w:sz w:val="24"/>
          <w:szCs w:val="24"/>
          <w:rtl/>
        </w:rPr>
        <w:t>'</w:t>
      </w:r>
      <w:r w:rsidRPr="008C0DFD">
        <w:rPr>
          <w:rFonts w:ascii="FrankRuehl" w:hAnsi="FrankRuehl" w:cs="FrankRuehl"/>
          <w:color w:val="202122"/>
          <w:sz w:val="24"/>
          <w:szCs w:val="24"/>
          <w:shd w:val="clear" w:color="auto" w:fill="FFFFFF"/>
          <w:rtl/>
        </w:rPr>
        <w:t xml:space="preserve"> (דב'</w:t>
      </w:r>
      <w:r>
        <w:rPr>
          <w:rFonts w:ascii="FrankRuehl" w:hAnsi="FrankRuehl" w:cs="FrankRuehl" w:hint="cs"/>
          <w:color w:val="202122"/>
          <w:sz w:val="24"/>
          <w:szCs w:val="24"/>
          <w:shd w:val="clear" w:color="auto" w:fill="FFFFFF"/>
          <w:rtl/>
        </w:rPr>
        <w:t xml:space="preserve"> כה 4), כל יתר החוקים והאיסורים שצוין לגביהם כי הם מקדמים חמלה כלפי בעלי חיים מציגים תמונה ברורה בהרבה של התאכזרות והרג.</w:t>
      </w:r>
      <w:r>
        <w:rPr>
          <w:rStyle w:val="FootnoteReference"/>
          <w:rFonts w:ascii="FrankRuehl" w:hAnsi="FrankRuehl" w:cs="FrankRuehl"/>
          <w:color w:val="202122"/>
          <w:sz w:val="24"/>
          <w:szCs w:val="24"/>
          <w:shd w:val="clear" w:color="auto" w:fill="FFFFFF"/>
          <w:rtl/>
        </w:rPr>
        <w:footnoteReference w:id="31"/>
      </w:r>
      <w:r>
        <w:rPr>
          <w:rFonts w:ascii="FrankRuehl" w:hAnsi="FrankRuehl" w:cs="FrankRuehl" w:hint="cs"/>
          <w:color w:val="202122"/>
          <w:sz w:val="24"/>
          <w:szCs w:val="24"/>
          <w:shd w:val="clear" w:color="auto" w:fill="FFFFFF"/>
          <w:rtl/>
        </w:rPr>
        <w:t xml:space="preserve"> ועוד יש לציין כי אין סיבה של ממש להניח שחרישה משותפת באמצעות שור וחמור תזיק לאחד מהם, לא לחמור החלש שבין השניים ולא לשור החזק ממנו</w:t>
      </w:r>
      <w:r w:rsidRPr="00502804">
        <w:rPr>
          <w:rFonts w:ascii="FrankRuehl" w:hAnsi="FrankRuehl" w:cs="FrankRuehl"/>
          <w:sz w:val="24"/>
          <w:szCs w:val="24"/>
          <w:rtl/>
        </w:rPr>
        <w:t>.</w:t>
      </w:r>
      <w:r>
        <w:rPr>
          <w:rFonts w:ascii="FrankRuehl" w:hAnsi="FrankRuehl" w:cs="FrankRuehl" w:hint="cs"/>
          <w:sz w:val="24"/>
          <w:szCs w:val="24"/>
          <w:rtl/>
        </w:rPr>
        <w:t xml:space="preserve"> כל שיש לומר הוא כי חרישה בעזרת שני בעלי חיים שכוחותיהם אינם שקולים, מומלצת פחות מחרישה באמצעות בעלי חיים שקולים בכוחם, שכן המחרשה תינט</w:t>
      </w:r>
      <w:r>
        <w:rPr>
          <w:rFonts w:ascii="FrankRuehl" w:hAnsi="FrankRuehl" w:cs="FrankRuehl" w:hint="eastAsia"/>
          <w:sz w:val="24"/>
          <w:szCs w:val="24"/>
          <w:rtl/>
        </w:rPr>
        <w:t>ה</w:t>
      </w:r>
      <w:r>
        <w:rPr>
          <w:rFonts w:ascii="FrankRuehl" w:hAnsi="FrankRuehl" w:cs="FrankRuehl" w:hint="cs"/>
          <w:sz w:val="24"/>
          <w:szCs w:val="24"/>
          <w:rtl/>
        </w:rPr>
        <w:t xml:space="preserve"> אל כיוונה של החיה שמשיכת גופה חזקה יותר. לאיסור זה, כך נדמה לי, אין סיבה מוסרית וביסודו לכל היותר היגיון פרודוקטיבי, אולי בכיוונה של העצה: </w:t>
      </w:r>
      <w:r w:rsidRPr="0072708D">
        <w:rPr>
          <w:rFonts w:asciiTheme="majorBidi" w:hAnsiTheme="majorBidi" w:cstheme="majorBidi"/>
          <w:sz w:val="20"/>
          <w:szCs w:val="20"/>
          <w:lang w:val="en-US"/>
        </w:rPr>
        <w:t>‘Mind well the looks of your flock, pay attention to the herds’ (Prov 27:23)</w:t>
      </w:r>
      <w:r>
        <w:rPr>
          <w:rFonts w:ascii="FrankRuehl" w:hAnsi="FrankRuehl" w:cs="FrankRuehl" w:hint="cs"/>
          <w:sz w:val="24"/>
          <w:szCs w:val="24"/>
          <w:rtl/>
        </w:rPr>
        <w:t xml:space="preserve">, וכן: </w:t>
      </w:r>
      <w:r w:rsidRPr="000F5AE8">
        <w:rPr>
          <w:rFonts w:asciiTheme="majorBidi" w:hAnsiTheme="majorBidi" w:cstheme="majorBidi"/>
          <w:lang w:val="en-US"/>
        </w:rPr>
        <w:t>‘Take thought for your livestock, remember the pl</w:t>
      </w:r>
      <w:r>
        <w:rPr>
          <w:rFonts w:asciiTheme="majorBidi" w:hAnsiTheme="majorBidi" w:cstheme="majorBidi"/>
          <w:lang w:val="en-US"/>
        </w:rPr>
        <w:t>ow</w:t>
      </w:r>
      <w:r w:rsidRPr="000F5AE8">
        <w:rPr>
          <w:rFonts w:asciiTheme="majorBidi" w:hAnsiTheme="majorBidi" w:cstheme="majorBidi"/>
          <w:lang w:val="en-US"/>
        </w:rPr>
        <w:t>ing</w:t>
      </w:r>
      <w:r>
        <w:rPr>
          <w:rFonts w:asciiTheme="majorBidi" w:hAnsiTheme="majorBidi" w:cstheme="majorBidi"/>
          <w:lang w:val="en-US"/>
        </w:rPr>
        <w:t xml:space="preserve"> [</w:t>
      </w:r>
      <w:r w:rsidRPr="004B2AEC">
        <w:rPr>
          <w:rFonts w:asciiTheme="majorBidi" w:hAnsiTheme="majorBidi" w:cstheme="majorBidi"/>
          <w:i/>
          <w:iCs/>
          <w:lang w:val="en-US"/>
        </w:rPr>
        <w:t>e-re-</w:t>
      </w:r>
      <w:proofErr w:type="spellStart"/>
      <w:r w:rsidRPr="004B2AEC">
        <w:rPr>
          <w:rFonts w:asciiTheme="majorBidi" w:hAnsiTheme="majorBidi" w:cstheme="majorBidi"/>
          <w:i/>
          <w:iCs/>
          <w:lang w:val="en-US"/>
        </w:rPr>
        <w:t>šá</w:t>
      </w:r>
      <w:proofErr w:type="spellEnd"/>
      <w:r>
        <w:rPr>
          <w:rFonts w:asciiTheme="majorBidi" w:hAnsiTheme="majorBidi" w:cstheme="majorBidi"/>
          <w:lang w:val="en-US"/>
        </w:rPr>
        <w:t>]</w:t>
      </w:r>
      <w:r w:rsidRPr="000F5AE8">
        <w:rPr>
          <w:rFonts w:asciiTheme="majorBidi" w:hAnsiTheme="majorBidi" w:cstheme="majorBidi"/>
          <w:lang w:val="en-US"/>
        </w:rPr>
        <w:t>’</w:t>
      </w:r>
      <w:r>
        <w:rPr>
          <w:rFonts w:ascii="FrankRuehl" w:hAnsi="FrankRuehl" w:cs="FrankRuehl" w:hint="cs"/>
          <w:sz w:val="24"/>
          <w:szCs w:val="24"/>
          <w:rtl/>
        </w:rPr>
        <w:t>,</w:t>
      </w:r>
      <w:r>
        <w:rPr>
          <w:rStyle w:val="FootnoteReference"/>
          <w:rFonts w:ascii="FrankRuehl" w:hAnsi="FrankRuehl" w:cs="FrankRuehl"/>
          <w:sz w:val="24"/>
          <w:szCs w:val="24"/>
          <w:rtl/>
        </w:rPr>
        <w:footnoteReference w:id="32"/>
      </w:r>
      <w:r>
        <w:rPr>
          <w:rFonts w:ascii="FrankRuehl" w:hAnsi="FrankRuehl" w:cs="FrankRuehl" w:hint="cs"/>
          <w:sz w:val="24"/>
          <w:szCs w:val="24"/>
          <w:rtl/>
        </w:rPr>
        <w:t xml:space="preserve"> ואף קרוב מכך: </w:t>
      </w:r>
      <w:r>
        <w:rPr>
          <w:rFonts w:asciiTheme="majorBidi" w:hAnsiTheme="majorBidi" w:cstheme="majorBidi"/>
        </w:rPr>
        <w:t>‘The proper kind of ox to be purchased for ploughing [...] they should be powerful and equally matched, so that the stronger will not excused the weaker when they work together’</w:t>
      </w:r>
      <w:r>
        <w:rPr>
          <w:rFonts w:ascii="FrankRuehl" w:hAnsi="FrankRuehl" w:cs="FrankRuehl" w:hint="cs"/>
          <w:sz w:val="24"/>
          <w:szCs w:val="24"/>
          <w:rtl/>
        </w:rPr>
        <w:t>.</w:t>
      </w:r>
      <w:r>
        <w:rPr>
          <w:rStyle w:val="FootnoteReference"/>
          <w:rFonts w:ascii="FrankRuehl" w:hAnsi="FrankRuehl" w:cs="FrankRuehl"/>
          <w:sz w:val="24"/>
          <w:szCs w:val="24"/>
          <w:rtl/>
        </w:rPr>
        <w:footnoteReference w:id="33"/>
      </w:r>
      <w:r>
        <w:rPr>
          <w:rFonts w:ascii="FrankRuehl" w:hAnsi="FrankRuehl" w:cs="FrankRuehl" w:hint="cs"/>
          <w:sz w:val="24"/>
          <w:szCs w:val="24"/>
          <w:rtl/>
        </w:rPr>
        <w:t xml:space="preserve"> ואומנם, האיסור במידה רבה תואם את הגדרתם הכוללת של חוקרים אחדים למאפייניה התוכניים של ספרות החוכמה – ספרות המתאפיינת בידע מעשי לגבי החיים והעולם המתבסס על הניסיון האנושי.</w:t>
      </w:r>
      <w:r>
        <w:rPr>
          <w:rStyle w:val="FootnoteReference"/>
          <w:rFonts w:ascii="FrankRuehl" w:hAnsi="FrankRuehl" w:cs="FrankRuehl"/>
          <w:sz w:val="24"/>
          <w:szCs w:val="24"/>
          <w:rtl/>
        </w:rPr>
        <w:footnoteReference w:id="34"/>
      </w:r>
      <w:r>
        <w:rPr>
          <w:rFonts w:ascii="FrankRuehl" w:hAnsi="FrankRuehl" w:cs="FrankRuehl" w:hint="cs"/>
          <w:sz w:val="24"/>
          <w:szCs w:val="24"/>
          <w:rtl/>
        </w:rPr>
        <w:t xml:space="preserve"> ואם נכון הדבר, ברור הוא כי ניסוח של מה שנדמה כהצעת יעילות לחקלאי במבנה של חוק </w:t>
      </w:r>
      <w:proofErr w:type="spellStart"/>
      <w:r w:rsidRPr="00E95387">
        <w:rPr>
          <w:rFonts w:ascii="FrankRuehl" w:hAnsi="FrankRuehl" w:cs="FrankRuehl" w:hint="cs"/>
          <w:sz w:val="24"/>
          <w:szCs w:val="24"/>
          <w:rtl/>
        </w:rPr>
        <w:t>אפודיקטי</w:t>
      </w:r>
      <w:proofErr w:type="spellEnd"/>
      <w:r w:rsidRPr="00E95387">
        <w:rPr>
          <w:rFonts w:ascii="FrankRuehl" w:hAnsi="FrankRuehl" w:cs="FrankRuehl" w:hint="cs"/>
          <w:sz w:val="24"/>
          <w:szCs w:val="24"/>
          <w:rtl/>
        </w:rPr>
        <w:t>, הוא מעשה ספרותי מלאכותי.</w:t>
      </w:r>
      <w:r>
        <w:rPr>
          <w:rStyle w:val="FootnoteReference"/>
          <w:rFonts w:ascii="FrankRuehl" w:hAnsi="FrankRuehl" w:cs="FrankRuehl"/>
          <w:sz w:val="24"/>
          <w:szCs w:val="24"/>
          <w:rtl/>
        </w:rPr>
        <w:footnoteReference w:id="35"/>
      </w:r>
    </w:p>
    <w:p w14:paraId="45A1C318" w14:textId="77777777" w:rsidR="004D014B" w:rsidRDefault="004D014B" w:rsidP="004D014B">
      <w:pPr>
        <w:bidi/>
        <w:spacing w:line="360" w:lineRule="auto"/>
        <w:ind w:firstLine="720"/>
        <w:rPr>
          <w:rFonts w:ascii="FrankRuehl" w:hAnsi="FrankRuehl" w:cs="FrankRuehl"/>
          <w:sz w:val="24"/>
          <w:szCs w:val="24"/>
          <w:shd w:val="clear" w:color="auto" w:fill="FFFFFF"/>
          <w:rtl/>
        </w:rPr>
      </w:pPr>
      <w:r w:rsidRPr="00E95387">
        <w:rPr>
          <w:rFonts w:ascii="FrankRuehl" w:hAnsi="FrankRuehl" w:cs="FrankRuehl" w:hint="cs"/>
          <w:sz w:val="24"/>
          <w:szCs w:val="24"/>
          <w:shd w:val="clear" w:color="auto" w:fill="FFFFFF"/>
          <w:rtl/>
        </w:rPr>
        <w:t xml:space="preserve">שלושת האיסורים שבדברים </w:t>
      </w:r>
      <w:proofErr w:type="spellStart"/>
      <w:r w:rsidRPr="00E95387">
        <w:rPr>
          <w:rFonts w:ascii="FrankRuehl" w:hAnsi="FrankRuehl" w:cs="FrankRuehl" w:hint="cs"/>
          <w:sz w:val="24"/>
          <w:szCs w:val="24"/>
          <w:shd w:val="clear" w:color="auto" w:fill="FFFFFF"/>
          <w:rtl/>
        </w:rPr>
        <w:t>כב</w:t>
      </w:r>
      <w:proofErr w:type="spellEnd"/>
      <w:r w:rsidRPr="00E95387">
        <w:rPr>
          <w:rFonts w:ascii="FrankRuehl" w:hAnsi="FrankRuehl" w:cs="FrankRuehl" w:hint="cs"/>
          <w:sz w:val="24"/>
          <w:szCs w:val="24"/>
          <w:shd w:val="clear" w:color="auto" w:fill="FFFFFF"/>
          <w:rtl/>
        </w:rPr>
        <w:t xml:space="preserve"> שומרים על יסוד תבניתי ניכר לעין: </w:t>
      </w:r>
      <w:r w:rsidRPr="00E95387">
        <w:rPr>
          <w:rFonts w:ascii="FrankRuehl" w:hAnsi="FrankRuehl" w:cs="FrankRuehl" w:hint="cs"/>
          <w:sz w:val="24"/>
          <w:szCs w:val="24"/>
          <w:rtl/>
        </w:rPr>
        <w:t>'</w:t>
      </w:r>
      <w:r w:rsidRPr="00E95387">
        <w:rPr>
          <w:rFonts w:ascii="FrankRuehl" w:hAnsi="FrankRuehl" w:cs="FrankRuehl"/>
          <w:sz w:val="24"/>
          <w:szCs w:val="24"/>
          <w:shd w:val="clear" w:color="auto" w:fill="FFFFFF"/>
          <w:rtl/>
        </w:rPr>
        <w:t>לֹא תִזְרַע</w:t>
      </w:r>
      <w:r w:rsidRPr="00E95387">
        <w:rPr>
          <w:rFonts w:ascii="FrankRuehl" w:hAnsi="FrankRuehl" w:cs="FrankRuehl" w:hint="cs"/>
          <w:sz w:val="24"/>
          <w:szCs w:val="24"/>
          <w:shd w:val="clear" w:color="auto" w:fill="FFFFFF"/>
          <w:rtl/>
        </w:rPr>
        <w:t>', '</w:t>
      </w:r>
      <w:r w:rsidRPr="00E95387">
        <w:rPr>
          <w:rFonts w:ascii="FrankRuehl" w:hAnsi="FrankRuehl" w:cs="FrankRuehl"/>
          <w:sz w:val="24"/>
          <w:szCs w:val="24"/>
          <w:shd w:val="clear" w:color="auto" w:fill="FFFFFF"/>
          <w:rtl/>
        </w:rPr>
        <w:t xml:space="preserve">לֹא </w:t>
      </w:r>
      <w:proofErr w:type="spellStart"/>
      <w:r w:rsidRPr="00E95387">
        <w:rPr>
          <w:rFonts w:ascii="FrankRuehl" w:hAnsi="FrankRuehl" w:cs="FrankRuehl"/>
          <w:sz w:val="24"/>
          <w:szCs w:val="24"/>
          <w:shd w:val="clear" w:color="auto" w:fill="FFFFFF"/>
          <w:rtl/>
        </w:rPr>
        <w:t>תַחֲרֹש</w:t>
      </w:r>
      <w:proofErr w:type="spellEnd"/>
      <w:r w:rsidRPr="00E95387">
        <w:rPr>
          <w:rFonts w:ascii="FrankRuehl" w:hAnsi="FrankRuehl" w:cs="FrankRuehl"/>
          <w:sz w:val="24"/>
          <w:szCs w:val="24"/>
          <w:shd w:val="clear" w:color="auto" w:fill="FFFFFF"/>
          <w:rtl/>
        </w:rPr>
        <w:t>ׁ</w:t>
      </w:r>
      <w:r w:rsidRPr="00E95387">
        <w:rPr>
          <w:rFonts w:ascii="FrankRuehl" w:hAnsi="FrankRuehl" w:cs="FrankRuehl" w:hint="cs"/>
          <w:sz w:val="24"/>
          <w:szCs w:val="24"/>
          <w:shd w:val="clear" w:color="auto" w:fill="FFFFFF"/>
          <w:rtl/>
        </w:rPr>
        <w:t>', '</w:t>
      </w:r>
      <w:r w:rsidRPr="00E95387">
        <w:rPr>
          <w:rFonts w:ascii="FrankRuehl" w:hAnsi="FrankRuehl" w:cs="FrankRuehl"/>
          <w:sz w:val="24"/>
          <w:szCs w:val="24"/>
          <w:shd w:val="clear" w:color="auto" w:fill="FFFFFF"/>
          <w:rtl/>
        </w:rPr>
        <w:t>לֹא תִלְבַּשׁ</w:t>
      </w:r>
      <w:r w:rsidRPr="00E95387">
        <w:rPr>
          <w:rFonts w:ascii="FrankRuehl" w:hAnsi="FrankRuehl" w:cs="FrankRuehl" w:hint="cs"/>
          <w:sz w:val="24"/>
          <w:szCs w:val="24"/>
          <w:shd w:val="clear" w:color="auto" w:fill="FFFFFF"/>
          <w:rtl/>
        </w:rPr>
        <w:t>'</w:t>
      </w:r>
      <w:r>
        <w:rPr>
          <w:rFonts w:ascii="FrankRuehl" w:hAnsi="FrankRuehl" w:cs="FrankRuehl" w:hint="cs"/>
          <w:sz w:val="24"/>
          <w:szCs w:val="24"/>
          <w:shd w:val="clear" w:color="auto" w:fill="FFFFFF"/>
          <w:rtl/>
        </w:rPr>
        <w:t>.</w:t>
      </w:r>
      <w:r w:rsidRPr="00E95387">
        <w:rPr>
          <w:rFonts w:ascii="FrankRuehl" w:hAnsi="FrankRuehl" w:cs="FrankRuehl" w:hint="cs"/>
          <w:sz w:val="24"/>
          <w:szCs w:val="24"/>
          <w:shd w:val="clear" w:color="auto" w:fill="FFFFFF"/>
          <w:rtl/>
        </w:rPr>
        <w:t xml:space="preserve"> החוק האוסר על חרישה בשור ובחמור נוצק בתבנית האיסור על שעטנז הבא לצדו: '</w:t>
      </w:r>
      <w:r w:rsidRPr="00E95387">
        <w:rPr>
          <w:rFonts w:ascii="FrankRuehl" w:hAnsi="FrankRuehl" w:cs="FrankRuehl"/>
          <w:sz w:val="24"/>
          <w:szCs w:val="24"/>
          <w:shd w:val="clear" w:color="auto" w:fill="FFFFFF"/>
          <w:rtl/>
        </w:rPr>
        <w:t xml:space="preserve">לֹא </w:t>
      </w:r>
      <w:proofErr w:type="spellStart"/>
      <w:r w:rsidRPr="00E95387">
        <w:rPr>
          <w:rFonts w:ascii="FrankRuehl" w:hAnsi="FrankRuehl" w:cs="FrankRuehl"/>
          <w:sz w:val="24"/>
          <w:szCs w:val="24"/>
          <w:shd w:val="clear" w:color="auto" w:fill="FFFFFF"/>
          <w:rtl/>
        </w:rPr>
        <w:t>תַחֲרֹש</w:t>
      </w:r>
      <w:proofErr w:type="spellEnd"/>
      <w:r w:rsidRPr="00E95387">
        <w:rPr>
          <w:rFonts w:ascii="FrankRuehl" w:hAnsi="FrankRuehl" w:cs="FrankRuehl"/>
          <w:sz w:val="24"/>
          <w:szCs w:val="24"/>
          <w:shd w:val="clear" w:color="auto" w:fill="FFFFFF"/>
          <w:rtl/>
        </w:rPr>
        <w:t>ׁ בְּשׁוֹר וּבַחֲמֹר יַחְדָּו</w:t>
      </w:r>
      <w:r w:rsidRPr="00E95387">
        <w:rPr>
          <w:rFonts w:ascii="FrankRuehl" w:hAnsi="FrankRuehl" w:cs="FrankRuehl" w:hint="cs"/>
          <w:sz w:val="24"/>
          <w:szCs w:val="24"/>
          <w:shd w:val="clear" w:color="auto" w:fill="FFFFFF"/>
          <w:rtl/>
        </w:rPr>
        <w:t>' // '</w:t>
      </w:r>
      <w:r w:rsidRPr="00E95387">
        <w:rPr>
          <w:rFonts w:ascii="FrankRuehl" w:hAnsi="FrankRuehl" w:cs="FrankRuehl"/>
          <w:sz w:val="24"/>
          <w:szCs w:val="24"/>
          <w:shd w:val="clear" w:color="auto" w:fill="FFFFFF"/>
          <w:rtl/>
        </w:rPr>
        <w:t xml:space="preserve">לֹא תִלְבַּשׁ </w:t>
      </w:r>
      <w:r w:rsidRPr="00E95387">
        <w:rPr>
          <w:rFonts w:ascii="FrankRuehl" w:hAnsi="FrankRuehl" w:cs="FrankRuehl" w:hint="cs"/>
          <w:sz w:val="24"/>
          <w:szCs w:val="24"/>
          <w:shd w:val="clear" w:color="auto" w:fill="FFFFFF"/>
          <w:rtl/>
        </w:rPr>
        <w:t>[...]</w:t>
      </w:r>
      <w:r w:rsidRPr="00E95387">
        <w:rPr>
          <w:rFonts w:ascii="FrankRuehl" w:hAnsi="FrankRuehl" w:cs="FrankRuehl"/>
          <w:sz w:val="24"/>
          <w:szCs w:val="24"/>
          <w:shd w:val="clear" w:color="auto" w:fill="FFFFFF"/>
          <w:rtl/>
        </w:rPr>
        <w:t xml:space="preserve"> צֶמֶר וּפִשְׁתִּים יַחְדָּו</w:t>
      </w:r>
      <w:r w:rsidRPr="00E95387">
        <w:rPr>
          <w:rFonts w:ascii="FrankRuehl" w:hAnsi="FrankRuehl" w:cs="FrankRuehl" w:hint="cs"/>
          <w:sz w:val="24"/>
          <w:szCs w:val="24"/>
          <w:shd w:val="clear" w:color="auto" w:fill="FFFFFF"/>
          <w:rtl/>
        </w:rPr>
        <w:t xml:space="preserve">'. שלא במקרה, </w:t>
      </w:r>
      <w:r>
        <w:rPr>
          <w:rFonts w:ascii="FrankRuehl" w:hAnsi="FrankRuehl" w:cs="FrankRuehl" w:hint="cs"/>
          <w:sz w:val="24"/>
          <w:szCs w:val="24"/>
          <w:shd w:val="clear" w:color="auto" w:fill="FFFFFF"/>
          <w:rtl/>
        </w:rPr>
        <w:t xml:space="preserve">האיסור על חרישה בשור ובחמור </w:t>
      </w:r>
      <w:r w:rsidRPr="00E95387">
        <w:rPr>
          <w:rFonts w:ascii="FrankRuehl" w:hAnsi="FrankRuehl" w:cs="FrankRuehl" w:hint="cs"/>
          <w:sz w:val="24"/>
          <w:szCs w:val="24"/>
          <w:shd w:val="clear" w:color="auto" w:fill="FFFFFF"/>
          <w:rtl/>
        </w:rPr>
        <w:t xml:space="preserve">מובא בין איסור זריעת כלאיים ואיסור לבישת שעטנז, ובשונה ממקומו </w:t>
      </w:r>
      <w:proofErr w:type="spellStart"/>
      <w:r w:rsidRPr="00E95387">
        <w:rPr>
          <w:rFonts w:ascii="FrankRuehl" w:hAnsi="FrankRuehl" w:cs="FrankRuehl" w:hint="cs"/>
          <w:sz w:val="24"/>
          <w:szCs w:val="24"/>
          <w:shd w:val="clear" w:color="auto" w:fill="FFFFFF"/>
          <w:rtl/>
        </w:rPr>
        <w:t>בויקרא</w:t>
      </w:r>
      <w:proofErr w:type="spellEnd"/>
      <w:r w:rsidRPr="00E95387">
        <w:rPr>
          <w:rFonts w:ascii="FrankRuehl" w:hAnsi="FrankRuehl" w:cs="FrankRuehl" w:hint="cs"/>
          <w:sz w:val="24"/>
          <w:szCs w:val="24"/>
          <w:shd w:val="clear" w:color="auto" w:fill="FFFFFF"/>
          <w:rtl/>
        </w:rPr>
        <w:t xml:space="preserve"> </w:t>
      </w:r>
      <w:proofErr w:type="spellStart"/>
      <w:r w:rsidRPr="00E95387">
        <w:rPr>
          <w:rFonts w:ascii="FrankRuehl" w:hAnsi="FrankRuehl" w:cs="FrankRuehl" w:hint="cs"/>
          <w:sz w:val="24"/>
          <w:szCs w:val="24"/>
          <w:shd w:val="clear" w:color="auto" w:fill="FFFFFF"/>
          <w:rtl/>
        </w:rPr>
        <w:t>יט</w:t>
      </w:r>
      <w:proofErr w:type="spellEnd"/>
      <w:r w:rsidRPr="00E95387">
        <w:rPr>
          <w:rFonts w:ascii="FrankRuehl" w:hAnsi="FrankRuehl" w:cs="FrankRuehl" w:hint="cs"/>
          <w:sz w:val="24"/>
          <w:szCs w:val="24"/>
          <w:shd w:val="clear" w:color="auto" w:fill="FFFFFF"/>
          <w:rtl/>
        </w:rPr>
        <w:t xml:space="preserve"> בראש שלושת האיסורים. המבנה המוקפד</w:t>
      </w:r>
      <w:r>
        <w:rPr>
          <w:rFonts w:ascii="FrankRuehl" w:hAnsi="FrankRuehl" w:cs="FrankRuehl" w:hint="cs"/>
          <w:sz w:val="24"/>
          <w:szCs w:val="24"/>
          <w:shd w:val="clear" w:color="auto" w:fill="FFFFFF"/>
          <w:rtl/>
        </w:rPr>
        <w:t xml:space="preserve"> של שלושת האיסורים</w:t>
      </w:r>
      <w:r w:rsidRPr="00E95387">
        <w:rPr>
          <w:rFonts w:ascii="FrankRuehl" w:hAnsi="FrankRuehl" w:cs="FrankRuehl" w:hint="cs"/>
          <w:sz w:val="24"/>
          <w:szCs w:val="24"/>
          <w:shd w:val="clear" w:color="auto" w:fill="FFFFFF"/>
          <w:rtl/>
        </w:rPr>
        <w:t>, הדמיון המבני והסגנוני לאיסור לבישת שעטנז, ומיקומו של החוק בתווך בין שני האיסורים האחרים – כל אלה באים לעמעם את העובדה שלאיסור על חריש</w:t>
      </w:r>
      <w:r>
        <w:rPr>
          <w:rFonts w:ascii="FrankRuehl" w:hAnsi="FrankRuehl" w:cs="FrankRuehl" w:hint="cs"/>
          <w:sz w:val="24"/>
          <w:szCs w:val="24"/>
          <w:shd w:val="clear" w:color="auto" w:fill="FFFFFF"/>
          <w:rtl/>
        </w:rPr>
        <w:t>ה</w:t>
      </w:r>
      <w:r w:rsidRPr="00E95387">
        <w:rPr>
          <w:rFonts w:ascii="FrankRuehl" w:hAnsi="FrankRuehl" w:cs="FrankRuehl" w:hint="cs"/>
          <w:sz w:val="24"/>
          <w:szCs w:val="24"/>
          <w:shd w:val="clear" w:color="auto" w:fill="FFFFFF"/>
          <w:rtl/>
        </w:rPr>
        <w:t xml:space="preserve"> </w:t>
      </w:r>
      <w:r>
        <w:rPr>
          <w:rFonts w:ascii="FrankRuehl" w:hAnsi="FrankRuehl" w:cs="FrankRuehl" w:hint="cs"/>
          <w:sz w:val="24"/>
          <w:szCs w:val="24"/>
          <w:shd w:val="clear" w:color="auto" w:fill="FFFFFF"/>
          <w:rtl/>
        </w:rPr>
        <w:t>ב</w:t>
      </w:r>
      <w:r w:rsidRPr="00E95387">
        <w:rPr>
          <w:rFonts w:ascii="FrankRuehl" w:hAnsi="FrankRuehl" w:cs="FrankRuehl" w:hint="cs"/>
          <w:sz w:val="24"/>
          <w:szCs w:val="24"/>
          <w:shd w:val="clear" w:color="auto" w:fill="FFFFFF"/>
          <w:rtl/>
        </w:rPr>
        <w:t>שור ו</w:t>
      </w:r>
      <w:r>
        <w:rPr>
          <w:rFonts w:ascii="FrankRuehl" w:hAnsi="FrankRuehl" w:cs="FrankRuehl" w:hint="cs"/>
          <w:sz w:val="24"/>
          <w:szCs w:val="24"/>
          <w:shd w:val="clear" w:color="auto" w:fill="FFFFFF"/>
          <w:rtl/>
        </w:rPr>
        <w:t>ב</w:t>
      </w:r>
      <w:r w:rsidRPr="00E95387">
        <w:rPr>
          <w:rFonts w:ascii="FrankRuehl" w:hAnsi="FrankRuehl" w:cs="FrankRuehl" w:hint="cs"/>
          <w:sz w:val="24"/>
          <w:szCs w:val="24"/>
          <w:shd w:val="clear" w:color="auto" w:fill="FFFFFF"/>
          <w:rtl/>
        </w:rPr>
        <w:t xml:space="preserve">חמור יחדיו, למעשה, כבר אין כל קשר לזיווג ולכלאיים. חוק זה הוא מלאכותי מבחינת תוכנו, ואף כל מגעו עם שני האיסורים האחרים מעיד על מלאכותיות. </w:t>
      </w:r>
    </w:p>
    <w:p w14:paraId="69C63819" w14:textId="77777777" w:rsidR="004D014B" w:rsidRDefault="004D014B" w:rsidP="004D014B">
      <w:pPr>
        <w:bidi/>
        <w:spacing w:line="360" w:lineRule="auto"/>
        <w:ind w:firstLine="720"/>
        <w:rPr>
          <w:rFonts w:ascii="FrankRuehl" w:hAnsi="FrankRuehl" w:cs="FrankRuehl"/>
          <w:sz w:val="24"/>
          <w:szCs w:val="24"/>
          <w:shd w:val="clear" w:color="auto" w:fill="FFFFFF"/>
          <w:rtl/>
        </w:rPr>
      </w:pPr>
      <w:r>
        <w:rPr>
          <w:rFonts w:ascii="FrankRuehl" w:hAnsi="FrankRuehl" w:cs="FrankRuehl" w:hint="cs"/>
          <w:color w:val="202122"/>
          <w:sz w:val="24"/>
          <w:szCs w:val="24"/>
          <w:shd w:val="clear" w:color="auto" w:fill="FFFFFF"/>
          <w:rtl/>
        </w:rPr>
        <w:t xml:space="preserve">כמקובל בספרות המקרא ובספרות הבית השני, התנגדות למסורת קדומה נעשית, לא פעם, בעזרת </w:t>
      </w:r>
      <w:proofErr w:type="spellStart"/>
      <w:r>
        <w:rPr>
          <w:rFonts w:ascii="FrankRuehl" w:hAnsi="FrankRuehl" w:cs="FrankRuehl" w:hint="cs"/>
          <w:color w:val="202122"/>
          <w:sz w:val="24"/>
          <w:szCs w:val="24"/>
          <w:shd w:val="clear" w:color="auto" w:fill="FFFFFF"/>
          <w:rtl/>
        </w:rPr>
        <w:t>ש</w:t>
      </w:r>
      <w:r w:rsidRPr="003D5453">
        <w:rPr>
          <w:rFonts w:ascii="FrankRuehl" w:hAnsi="FrankRuehl" w:cs="FrankRuehl"/>
          <w:color w:val="202122"/>
          <w:sz w:val="24"/>
          <w:szCs w:val="24"/>
          <w:shd w:val="clear" w:color="auto" w:fill="FFFFFF"/>
          <w:rtl/>
        </w:rPr>
        <w:t>ִ</w:t>
      </w:r>
      <w:r>
        <w:rPr>
          <w:rFonts w:ascii="FrankRuehl" w:hAnsi="FrankRuehl" w:cs="FrankRuehl" w:hint="cs"/>
          <w:color w:val="202122"/>
          <w:sz w:val="24"/>
          <w:szCs w:val="24"/>
          <w:shd w:val="clear" w:color="auto" w:fill="FFFFFF"/>
          <w:rtl/>
        </w:rPr>
        <w:t>כת</w:t>
      </w:r>
      <w:r w:rsidRPr="002A430D">
        <w:rPr>
          <w:rFonts w:ascii="FrankRuehl" w:hAnsi="FrankRuehl" w:cs="FrankRuehl"/>
          <w:color w:val="000000"/>
          <w:sz w:val="24"/>
          <w:szCs w:val="24"/>
          <w:rtl/>
        </w:rPr>
        <w:t>וּ</w:t>
      </w:r>
      <w:r>
        <w:rPr>
          <w:rFonts w:ascii="FrankRuehl" w:hAnsi="FrankRuehl" w:cs="FrankRuehl" w:hint="cs"/>
          <w:color w:val="202122"/>
          <w:sz w:val="24"/>
          <w:szCs w:val="24"/>
          <w:shd w:val="clear" w:color="auto" w:fill="FFFFFF"/>
          <w:rtl/>
        </w:rPr>
        <w:t>בה</w:t>
      </w:r>
      <w:proofErr w:type="spellEnd"/>
      <w:r>
        <w:rPr>
          <w:rFonts w:ascii="FrankRuehl" w:hAnsi="FrankRuehl" w:cs="FrankRuehl" w:hint="cs"/>
          <w:color w:val="202122"/>
          <w:sz w:val="24"/>
          <w:szCs w:val="24"/>
          <w:shd w:val="clear" w:color="auto" w:fill="FFFFFF"/>
          <w:rtl/>
        </w:rPr>
        <w:t>.</w:t>
      </w:r>
      <w:r>
        <w:rPr>
          <w:rStyle w:val="FootnoteReference"/>
          <w:rFonts w:ascii="FrankRuehl" w:hAnsi="FrankRuehl" w:cs="FrankRuehl"/>
          <w:color w:val="202122"/>
          <w:sz w:val="24"/>
          <w:szCs w:val="24"/>
          <w:shd w:val="clear" w:color="auto" w:fill="FFFFFF"/>
          <w:rtl/>
        </w:rPr>
        <w:footnoteReference w:id="36"/>
      </w:r>
      <w:r>
        <w:rPr>
          <w:rFonts w:ascii="FrankRuehl" w:hAnsi="FrankRuehl" w:cs="FrankRuehl" w:hint="cs"/>
          <w:color w:val="202122"/>
          <w:sz w:val="24"/>
          <w:szCs w:val="24"/>
          <w:shd w:val="clear" w:color="auto" w:fill="FFFFFF"/>
          <w:rtl/>
        </w:rPr>
        <w:t xml:space="preserve"> עומקו של </w:t>
      </w:r>
      <w:proofErr w:type="spellStart"/>
      <w:r>
        <w:rPr>
          <w:rFonts w:ascii="FrankRuehl" w:hAnsi="FrankRuehl" w:cs="FrankRuehl" w:hint="cs"/>
          <w:color w:val="202122"/>
          <w:sz w:val="24"/>
          <w:szCs w:val="24"/>
          <w:shd w:val="clear" w:color="auto" w:fill="FFFFFF"/>
          <w:rtl/>
        </w:rPr>
        <w:t>הש</w:t>
      </w:r>
      <w:r w:rsidRPr="003D5453">
        <w:rPr>
          <w:rFonts w:ascii="FrankRuehl" w:hAnsi="FrankRuehl" w:cs="FrankRuehl"/>
          <w:color w:val="202122"/>
          <w:sz w:val="24"/>
          <w:szCs w:val="24"/>
          <w:shd w:val="clear" w:color="auto" w:fill="FFFFFF"/>
          <w:rtl/>
        </w:rPr>
        <w:t>ִ</w:t>
      </w:r>
      <w:r>
        <w:rPr>
          <w:rFonts w:ascii="FrankRuehl" w:hAnsi="FrankRuehl" w:cs="FrankRuehl" w:hint="cs"/>
          <w:color w:val="202122"/>
          <w:sz w:val="24"/>
          <w:szCs w:val="24"/>
          <w:shd w:val="clear" w:color="auto" w:fill="FFFFFF"/>
          <w:rtl/>
        </w:rPr>
        <w:t>כת</w:t>
      </w:r>
      <w:r w:rsidRPr="002A430D">
        <w:rPr>
          <w:rFonts w:ascii="FrankRuehl" w:hAnsi="FrankRuehl" w:cs="FrankRuehl"/>
          <w:color w:val="000000"/>
          <w:sz w:val="24"/>
          <w:szCs w:val="24"/>
          <w:rtl/>
        </w:rPr>
        <w:t>וּ</w:t>
      </w:r>
      <w:r>
        <w:rPr>
          <w:rFonts w:ascii="FrankRuehl" w:hAnsi="FrankRuehl" w:cs="FrankRuehl" w:hint="cs"/>
          <w:color w:val="202122"/>
          <w:sz w:val="24"/>
          <w:szCs w:val="24"/>
          <w:shd w:val="clear" w:color="auto" w:fill="FFFFFF"/>
          <w:rtl/>
        </w:rPr>
        <w:t>ב</w:t>
      </w:r>
      <w:proofErr w:type="spellEnd"/>
      <w:r>
        <w:rPr>
          <w:rFonts w:ascii="FrankRuehl" w:hAnsi="FrankRuehl" w:cs="FrankRuehl" w:hint="cs"/>
          <w:color w:val="202122"/>
          <w:sz w:val="24"/>
          <w:szCs w:val="24"/>
          <w:shd w:val="clear" w:color="auto" w:fill="FFFFFF"/>
          <w:rtl/>
        </w:rPr>
        <w:t xml:space="preserve"> והיקפו אינו קבוע </w:t>
      </w:r>
      <w:r>
        <w:rPr>
          <w:rFonts w:ascii="FrankRuehl" w:hAnsi="FrankRuehl" w:cs="FrankRuehl"/>
          <w:color w:val="202122"/>
          <w:sz w:val="24"/>
          <w:szCs w:val="24"/>
          <w:shd w:val="clear" w:color="auto" w:fill="FFFFFF"/>
          <w:rtl/>
        </w:rPr>
        <w:t>–</w:t>
      </w:r>
      <w:r>
        <w:rPr>
          <w:rFonts w:ascii="FrankRuehl" w:hAnsi="FrankRuehl" w:cs="FrankRuehl" w:hint="cs"/>
          <w:color w:val="202122"/>
          <w:sz w:val="24"/>
          <w:szCs w:val="24"/>
          <w:shd w:val="clear" w:color="auto" w:fill="FFFFFF"/>
          <w:rtl/>
        </w:rPr>
        <w:t xml:space="preserve"> יש </w:t>
      </w:r>
      <w:proofErr w:type="spellStart"/>
      <w:r>
        <w:rPr>
          <w:rFonts w:ascii="FrankRuehl" w:hAnsi="FrankRuehl" w:cs="FrankRuehl" w:hint="cs"/>
          <w:color w:val="202122"/>
          <w:sz w:val="24"/>
          <w:szCs w:val="24"/>
          <w:shd w:val="clear" w:color="auto" w:fill="FFFFFF"/>
          <w:rtl/>
        </w:rPr>
        <w:t>שהש</w:t>
      </w:r>
      <w:r w:rsidRPr="003D5453">
        <w:rPr>
          <w:rFonts w:ascii="FrankRuehl" w:hAnsi="FrankRuehl" w:cs="FrankRuehl"/>
          <w:color w:val="202122"/>
          <w:sz w:val="24"/>
          <w:szCs w:val="24"/>
          <w:shd w:val="clear" w:color="auto" w:fill="FFFFFF"/>
          <w:rtl/>
        </w:rPr>
        <w:t>ִ</w:t>
      </w:r>
      <w:r>
        <w:rPr>
          <w:rFonts w:ascii="FrankRuehl" w:hAnsi="FrankRuehl" w:cs="FrankRuehl" w:hint="cs"/>
          <w:color w:val="202122"/>
          <w:sz w:val="24"/>
          <w:szCs w:val="24"/>
          <w:shd w:val="clear" w:color="auto" w:fill="FFFFFF"/>
          <w:rtl/>
        </w:rPr>
        <w:t>כת</w:t>
      </w:r>
      <w:r w:rsidRPr="002A430D">
        <w:rPr>
          <w:rFonts w:ascii="FrankRuehl" w:hAnsi="FrankRuehl" w:cs="FrankRuehl"/>
          <w:color w:val="000000"/>
          <w:sz w:val="24"/>
          <w:szCs w:val="24"/>
          <w:rtl/>
        </w:rPr>
        <w:t>וּ</w:t>
      </w:r>
      <w:r>
        <w:rPr>
          <w:rFonts w:ascii="FrankRuehl" w:hAnsi="FrankRuehl" w:cs="FrankRuehl" w:hint="cs"/>
          <w:color w:val="202122"/>
          <w:sz w:val="24"/>
          <w:szCs w:val="24"/>
          <w:shd w:val="clear" w:color="auto" w:fill="FFFFFF"/>
          <w:rtl/>
        </w:rPr>
        <w:t>ב</w:t>
      </w:r>
      <w:proofErr w:type="spellEnd"/>
      <w:r>
        <w:rPr>
          <w:rFonts w:ascii="FrankRuehl" w:hAnsi="FrankRuehl" w:cs="FrankRuehl" w:hint="cs"/>
          <w:color w:val="202122"/>
          <w:sz w:val="24"/>
          <w:szCs w:val="24"/>
          <w:shd w:val="clear" w:color="auto" w:fill="FFFFFF"/>
          <w:rtl/>
        </w:rPr>
        <w:t xml:space="preserve"> קל בלבד, ויש שהוא עמוק ומקיף, וקשריה התוכניים והלשוניים של המסורת החליפית למסורת הקדומה ניכרים במורכבות. על פי רוב עומקו של </w:t>
      </w:r>
      <w:proofErr w:type="spellStart"/>
      <w:r>
        <w:rPr>
          <w:rFonts w:ascii="FrankRuehl" w:hAnsi="FrankRuehl" w:cs="FrankRuehl" w:hint="cs"/>
          <w:color w:val="202122"/>
          <w:sz w:val="24"/>
          <w:szCs w:val="24"/>
          <w:shd w:val="clear" w:color="auto" w:fill="FFFFFF"/>
          <w:rtl/>
        </w:rPr>
        <w:t>הש</w:t>
      </w:r>
      <w:r w:rsidRPr="003D5453">
        <w:rPr>
          <w:rFonts w:ascii="FrankRuehl" w:hAnsi="FrankRuehl" w:cs="FrankRuehl"/>
          <w:color w:val="202122"/>
          <w:sz w:val="24"/>
          <w:szCs w:val="24"/>
          <w:shd w:val="clear" w:color="auto" w:fill="FFFFFF"/>
          <w:rtl/>
        </w:rPr>
        <w:t>ִ</w:t>
      </w:r>
      <w:r>
        <w:rPr>
          <w:rFonts w:ascii="FrankRuehl" w:hAnsi="FrankRuehl" w:cs="FrankRuehl" w:hint="cs"/>
          <w:color w:val="202122"/>
          <w:sz w:val="24"/>
          <w:szCs w:val="24"/>
          <w:shd w:val="clear" w:color="auto" w:fill="FFFFFF"/>
          <w:rtl/>
        </w:rPr>
        <w:t>כת</w:t>
      </w:r>
      <w:r w:rsidRPr="002A430D">
        <w:rPr>
          <w:rFonts w:ascii="FrankRuehl" w:hAnsi="FrankRuehl" w:cs="FrankRuehl"/>
          <w:color w:val="000000"/>
          <w:sz w:val="24"/>
          <w:szCs w:val="24"/>
          <w:rtl/>
        </w:rPr>
        <w:t>וּ</w:t>
      </w:r>
      <w:r>
        <w:rPr>
          <w:rFonts w:ascii="FrankRuehl" w:hAnsi="FrankRuehl" w:cs="FrankRuehl" w:hint="cs"/>
          <w:color w:val="202122"/>
          <w:sz w:val="24"/>
          <w:szCs w:val="24"/>
          <w:shd w:val="clear" w:color="auto" w:fill="FFFFFF"/>
          <w:rtl/>
        </w:rPr>
        <w:t>ב</w:t>
      </w:r>
      <w:proofErr w:type="spellEnd"/>
      <w:r>
        <w:rPr>
          <w:rFonts w:ascii="FrankRuehl" w:hAnsi="FrankRuehl" w:cs="FrankRuehl" w:hint="cs"/>
          <w:color w:val="202122"/>
          <w:sz w:val="24"/>
          <w:szCs w:val="24"/>
          <w:shd w:val="clear" w:color="auto" w:fill="FFFFFF"/>
          <w:rtl/>
        </w:rPr>
        <w:t xml:space="preserve"> תואם את יחסו של המשכת</w:t>
      </w:r>
      <w:r w:rsidRPr="003D5453">
        <w:rPr>
          <w:rFonts w:ascii="FrankRuehl" w:hAnsi="FrankRuehl" w:cs="FrankRuehl"/>
          <w:color w:val="202122"/>
          <w:sz w:val="24"/>
          <w:szCs w:val="24"/>
          <w:shd w:val="clear" w:color="auto" w:fill="FFFFFF"/>
          <w:rtl/>
        </w:rPr>
        <w:t>ֵ</w:t>
      </w:r>
      <w:r>
        <w:rPr>
          <w:rFonts w:ascii="FrankRuehl" w:hAnsi="FrankRuehl" w:cs="FrankRuehl" w:hint="cs"/>
          <w:color w:val="202122"/>
          <w:sz w:val="24"/>
          <w:szCs w:val="24"/>
          <w:shd w:val="clear" w:color="auto" w:fill="FFFFFF"/>
          <w:rtl/>
        </w:rPr>
        <w:t xml:space="preserve">ב למסורת הקדומה </w:t>
      </w:r>
      <w:r>
        <w:rPr>
          <w:rFonts w:ascii="FrankRuehl" w:hAnsi="FrankRuehl" w:cs="FrankRuehl"/>
          <w:color w:val="202122"/>
          <w:sz w:val="24"/>
          <w:szCs w:val="24"/>
          <w:shd w:val="clear" w:color="auto" w:fill="FFFFFF"/>
          <w:rtl/>
        </w:rPr>
        <w:t>–</w:t>
      </w:r>
      <w:r>
        <w:rPr>
          <w:rFonts w:ascii="FrankRuehl" w:hAnsi="FrankRuehl" w:cs="FrankRuehl" w:hint="cs"/>
          <w:color w:val="202122"/>
          <w:sz w:val="24"/>
          <w:szCs w:val="24"/>
          <w:shd w:val="clear" w:color="auto" w:fill="FFFFFF"/>
          <w:rtl/>
        </w:rPr>
        <w:t xml:space="preserve"> </w:t>
      </w:r>
      <w:proofErr w:type="spellStart"/>
      <w:r>
        <w:rPr>
          <w:rFonts w:ascii="FrankRuehl" w:hAnsi="FrankRuehl" w:cs="FrankRuehl" w:hint="cs"/>
          <w:color w:val="202122"/>
          <w:sz w:val="24"/>
          <w:szCs w:val="24"/>
          <w:shd w:val="clear" w:color="auto" w:fill="FFFFFF"/>
          <w:rtl/>
        </w:rPr>
        <w:t>ש</w:t>
      </w:r>
      <w:r w:rsidRPr="003D5453">
        <w:rPr>
          <w:rFonts w:ascii="FrankRuehl" w:hAnsi="FrankRuehl" w:cs="FrankRuehl"/>
          <w:color w:val="202122"/>
          <w:sz w:val="24"/>
          <w:szCs w:val="24"/>
          <w:shd w:val="clear" w:color="auto" w:fill="FFFFFF"/>
          <w:rtl/>
        </w:rPr>
        <w:t>ִ</w:t>
      </w:r>
      <w:r>
        <w:rPr>
          <w:rFonts w:ascii="FrankRuehl" w:hAnsi="FrankRuehl" w:cs="FrankRuehl" w:hint="cs"/>
          <w:color w:val="202122"/>
          <w:sz w:val="24"/>
          <w:szCs w:val="24"/>
          <w:shd w:val="clear" w:color="auto" w:fill="FFFFFF"/>
          <w:rtl/>
        </w:rPr>
        <w:t>כת</w:t>
      </w:r>
      <w:r w:rsidRPr="002A430D">
        <w:rPr>
          <w:rFonts w:ascii="FrankRuehl" w:hAnsi="FrankRuehl" w:cs="FrankRuehl"/>
          <w:color w:val="000000"/>
          <w:sz w:val="24"/>
          <w:szCs w:val="24"/>
          <w:rtl/>
        </w:rPr>
        <w:t>וּ</w:t>
      </w:r>
      <w:r>
        <w:rPr>
          <w:rFonts w:ascii="FrankRuehl" w:hAnsi="FrankRuehl" w:cs="FrankRuehl" w:hint="cs"/>
          <w:color w:val="202122"/>
          <w:sz w:val="24"/>
          <w:szCs w:val="24"/>
          <w:shd w:val="clear" w:color="auto" w:fill="FFFFFF"/>
          <w:rtl/>
        </w:rPr>
        <w:t>ב</w:t>
      </w:r>
      <w:proofErr w:type="spellEnd"/>
      <w:r>
        <w:rPr>
          <w:rFonts w:ascii="FrankRuehl" w:hAnsi="FrankRuehl" w:cs="FrankRuehl" w:hint="cs"/>
          <w:color w:val="202122"/>
          <w:sz w:val="24"/>
          <w:szCs w:val="24"/>
          <w:shd w:val="clear" w:color="auto" w:fill="FFFFFF"/>
          <w:rtl/>
        </w:rPr>
        <w:t xml:space="preserve"> מינורי ועדין הוא עדות עקיפה להסכמה עם רוב פרטיה של המסורת הקדומה, ואילו </w:t>
      </w:r>
      <w:proofErr w:type="spellStart"/>
      <w:r>
        <w:rPr>
          <w:rFonts w:ascii="FrankRuehl" w:hAnsi="FrankRuehl" w:cs="FrankRuehl" w:hint="cs"/>
          <w:color w:val="202122"/>
          <w:sz w:val="24"/>
          <w:szCs w:val="24"/>
          <w:shd w:val="clear" w:color="auto" w:fill="FFFFFF"/>
          <w:rtl/>
        </w:rPr>
        <w:t>ש</w:t>
      </w:r>
      <w:r w:rsidRPr="003D5453">
        <w:rPr>
          <w:rFonts w:ascii="FrankRuehl" w:hAnsi="FrankRuehl" w:cs="FrankRuehl"/>
          <w:color w:val="202122"/>
          <w:sz w:val="24"/>
          <w:szCs w:val="24"/>
          <w:shd w:val="clear" w:color="auto" w:fill="FFFFFF"/>
          <w:rtl/>
        </w:rPr>
        <w:t>ִ</w:t>
      </w:r>
      <w:r>
        <w:rPr>
          <w:rFonts w:ascii="FrankRuehl" w:hAnsi="FrankRuehl" w:cs="FrankRuehl" w:hint="cs"/>
          <w:color w:val="202122"/>
          <w:sz w:val="24"/>
          <w:szCs w:val="24"/>
          <w:shd w:val="clear" w:color="auto" w:fill="FFFFFF"/>
          <w:rtl/>
        </w:rPr>
        <w:t>כת</w:t>
      </w:r>
      <w:r w:rsidRPr="002A430D">
        <w:rPr>
          <w:rFonts w:ascii="FrankRuehl" w:hAnsi="FrankRuehl" w:cs="FrankRuehl"/>
          <w:color w:val="000000"/>
          <w:sz w:val="24"/>
          <w:szCs w:val="24"/>
          <w:rtl/>
        </w:rPr>
        <w:t>וּ</w:t>
      </w:r>
      <w:r>
        <w:rPr>
          <w:rFonts w:ascii="FrankRuehl" w:hAnsi="FrankRuehl" w:cs="FrankRuehl" w:hint="cs"/>
          <w:color w:val="202122"/>
          <w:sz w:val="24"/>
          <w:szCs w:val="24"/>
          <w:shd w:val="clear" w:color="auto" w:fill="FFFFFF"/>
          <w:rtl/>
        </w:rPr>
        <w:t>ב</w:t>
      </w:r>
      <w:proofErr w:type="spellEnd"/>
      <w:r>
        <w:rPr>
          <w:rFonts w:ascii="FrankRuehl" w:hAnsi="FrankRuehl" w:cs="FrankRuehl" w:hint="cs"/>
          <w:color w:val="202122"/>
          <w:sz w:val="24"/>
          <w:szCs w:val="24"/>
          <w:shd w:val="clear" w:color="auto" w:fill="FFFFFF"/>
          <w:rtl/>
        </w:rPr>
        <w:t xml:space="preserve"> עמוק המותיר קשר רופף בלבד למסורת המוקדמת הוא עדות עקיפה להתנגדות. המעבר מהאיסור על כלאי בהמה לאיסור על חרישה בשור ובחמור נראה כדוגמה למעשה </w:t>
      </w:r>
      <w:proofErr w:type="spellStart"/>
      <w:r>
        <w:rPr>
          <w:rFonts w:ascii="FrankRuehl" w:hAnsi="FrankRuehl" w:cs="FrankRuehl" w:hint="cs"/>
          <w:color w:val="202122"/>
          <w:sz w:val="24"/>
          <w:szCs w:val="24"/>
          <w:shd w:val="clear" w:color="auto" w:fill="FFFFFF"/>
          <w:rtl/>
        </w:rPr>
        <w:t>ש</w:t>
      </w:r>
      <w:r w:rsidRPr="003D5453">
        <w:rPr>
          <w:rFonts w:ascii="FrankRuehl" w:hAnsi="FrankRuehl" w:cs="FrankRuehl"/>
          <w:color w:val="202122"/>
          <w:sz w:val="24"/>
          <w:szCs w:val="24"/>
          <w:shd w:val="clear" w:color="auto" w:fill="FFFFFF"/>
          <w:rtl/>
        </w:rPr>
        <w:t>ִ</w:t>
      </w:r>
      <w:r>
        <w:rPr>
          <w:rFonts w:ascii="FrankRuehl" w:hAnsi="FrankRuehl" w:cs="FrankRuehl" w:hint="cs"/>
          <w:color w:val="202122"/>
          <w:sz w:val="24"/>
          <w:szCs w:val="24"/>
          <w:shd w:val="clear" w:color="auto" w:fill="FFFFFF"/>
          <w:rtl/>
        </w:rPr>
        <w:t>כת</w:t>
      </w:r>
      <w:r w:rsidRPr="002A430D">
        <w:rPr>
          <w:rFonts w:ascii="FrankRuehl" w:hAnsi="FrankRuehl" w:cs="FrankRuehl"/>
          <w:color w:val="000000"/>
          <w:sz w:val="24"/>
          <w:szCs w:val="24"/>
          <w:rtl/>
        </w:rPr>
        <w:t>וּ</w:t>
      </w:r>
      <w:r>
        <w:rPr>
          <w:rFonts w:ascii="FrankRuehl" w:hAnsi="FrankRuehl" w:cs="FrankRuehl" w:hint="cs"/>
          <w:color w:val="202122"/>
          <w:sz w:val="24"/>
          <w:szCs w:val="24"/>
          <w:shd w:val="clear" w:color="auto" w:fill="FFFFFF"/>
          <w:rtl/>
        </w:rPr>
        <w:t>ב</w:t>
      </w:r>
      <w:proofErr w:type="spellEnd"/>
      <w:r>
        <w:rPr>
          <w:rFonts w:ascii="FrankRuehl" w:hAnsi="FrankRuehl" w:cs="FrankRuehl" w:hint="cs"/>
          <w:color w:val="202122"/>
          <w:sz w:val="24"/>
          <w:szCs w:val="24"/>
          <w:shd w:val="clear" w:color="auto" w:fill="FFFFFF"/>
          <w:rtl/>
        </w:rPr>
        <w:t xml:space="preserve"> עמוק ומורכב במיוחד, שתכליתו, כך אני מבקש להציע, לבטל מסורת חוק שאינה מתקבלת על הדעת ולהציג תחתיה חוק חליפי.</w:t>
      </w:r>
    </w:p>
    <w:p w14:paraId="746302C0" w14:textId="77777777" w:rsidR="004D014B" w:rsidRDefault="004D014B" w:rsidP="004D014B">
      <w:pPr>
        <w:bidi/>
        <w:spacing w:line="360" w:lineRule="auto"/>
        <w:rPr>
          <w:rFonts w:ascii="FrankRuehl" w:hAnsi="FrankRuehl" w:cs="FrankRuehl"/>
          <w:sz w:val="24"/>
          <w:szCs w:val="24"/>
          <w:shd w:val="clear" w:color="auto" w:fill="FFFFFF"/>
          <w:rtl/>
        </w:rPr>
      </w:pPr>
    </w:p>
    <w:p w14:paraId="156D80A1" w14:textId="77777777" w:rsidR="004D014B" w:rsidRPr="00193883" w:rsidRDefault="004D014B" w:rsidP="004D014B">
      <w:pPr>
        <w:bidi/>
        <w:spacing w:line="360" w:lineRule="auto"/>
        <w:jc w:val="center"/>
        <w:rPr>
          <w:rFonts w:asciiTheme="majorBidi" w:hAnsiTheme="majorBidi" w:cstheme="majorBidi"/>
          <w:sz w:val="20"/>
          <w:szCs w:val="20"/>
          <w:shd w:val="clear" w:color="auto" w:fill="FFFFFF"/>
          <w:lang w:val="en-US"/>
        </w:rPr>
      </w:pPr>
      <w:r>
        <w:rPr>
          <w:rFonts w:asciiTheme="majorBidi" w:hAnsiTheme="majorBidi" w:cstheme="majorBidi"/>
          <w:sz w:val="20"/>
          <w:szCs w:val="20"/>
          <w:shd w:val="clear" w:color="auto" w:fill="FFFFFF"/>
          <w:lang w:val="en-US"/>
        </w:rPr>
        <w:lastRenderedPageBreak/>
        <w:t>3.</w:t>
      </w:r>
    </w:p>
    <w:p w14:paraId="24EC6427" w14:textId="77777777" w:rsidR="004D014B" w:rsidRDefault="004D014B" w:rsidP="004D014B">
      <w:pPr>
        <w:bidi/>
        <w:spacing w:line="360" w:lineRule="auto"/>
        <w:rPr>
          <w:rFonts w:ascii="FrankRuehl" w:hAnsi="FrankRuehl" w:cs="FrankRuehl"/>
          <w:color w:val="202122"/>
          <w:sz w:val="24"/>
          <w:szCs w:val="24"/>
          <w:shd w:val="clear" w:color="auto" w:fill="FFFFFF"/>
          <w:rtl/>
        </w:rPr>
      </w:pPr>
      <w:r>
        <w:rPr>
          <w:rFonts w:ascii="FrankRuehl" w:hAnsi="FrankRuehl" w:cs="FrankRuehl" w:hint="cs"/>
          <w:color w:val="202122"/>
          <w:sz w:val="24"/>
          <w:szCs w:val="24"/>
          <w:shd w:val="clear" w:color="auto" w:fill="FFFFFF"/>
          <w:rtl/>
        </w:rPr>
        <w:t xml:space="preserve">שאלת היחס שבין חוקי ספר הקדושה לחוקי ספר דברים היא מן השאלות הסבוכות בחקר התורה. שכיחה ביותר הדעה, שתחילתה בסוף המאה התשע עשרה (עם ראשית זיהויו של מקור </w:t>
      </w:r>
      <w:r w:rsidRPr="00A311D3">
        <w:rPr>
          <w:rFonts w:asciiTheme="majorBidi" w:hAnsiTheme="majorBidi" w:cstheme="majorBidi"/>
          <w:color w:val="202122"/>
          <w:sz w:val="20"/>
          <w:szCs w:val="20"/>
          <w:shd w:val="clear" w:color="auto" w:fill="FFFFFF"/>
        </w:rPr>
        <w:t>H</w:t>
      </w:r>
      <w:r>
        <w:rPr>
          <w:rFonts w:ascii="FrankRuehl" w:hAnsi="FrankRuehl" w:cs="FrankRuehl" w:hint="cs"/>
          <w:color w:val="202122"/>
          <w:sz w:val="24"/>
          <w:szCs w:val="24"/>
          <w:shd w:val="clear" w:color="auto" w:fill="FFFFFF"/>
          <w:rtl/>
        </w:rPr>
        <w:t xml:space="preserve">), כי חוקי מקור </w:t>
      </w:r>
      <w:r w:rsidRPr="00A311D3">
        <w:rPr>
          <w:rFonts w:asciiTheme="majorBidi" w:hAnsiTheme="majorBidi" w:cstheme="majorBidi"/>
          <w:color w:val="202122"/>
          <w:sz w:val="20"/>
          <w:szCs w:val="20"/>
          <w:shd w:val="clear" w:color="auto" w:fill="FFFFFF"/>
        </w:rPr>
        <w:t>H</w:t>
      </w:r>
      <w:r>
        <w:rPr>
          <w:rFonts w:ascii="FrankRuehl" w:hAnsi="FrankRuehl" w:cs="FrankRuehl" w:hint="cs"/>
          <w:color w:val="202122"/>
          <w:sz w:val="24"/>
          <w:szCs w:val="24"/>
          <w:shd w:val="clear" w:color="auto" w:fill="FFFFFF"/>
          <w:rtl/>
        </w:rPr>
        <w:t xml:space="preserve"> מלמדים על תלות בחוקי מקור </w:t>
      </w:r>
      <w:r w:rsidRPr="00A311D3">
        <w:rPr>
          <w:rFonts w:asciiTheme="majorBidi" w:hAnsiTheme="majorBidi" w:cstheme="majorBidi"/>
          <w:color w:val="202122"/>
          <w:sz w:val="20"/>
          <w:szCs w:val="20"/>
          <w:shd w:val="clear" w:color="auto" w:fill="FFFFFF"/>
        </w:rPr>
        <w:t>D</w:t>
      </w:r>
      <w:r>
        <w:rPr>
          <w:rFonts w:ascii="FrankRuehl" w:hAnsi="FrankRuehl" w:cs="FrankRuehl" w:hint="cs"/>
          <w:color w:val="202122"/>
          <w:sz w:val="24"/>
          <w:szCs w:val="24"/>
          <w:shd w:val="clear" w:color="auto" w:fill="FFFFFF"/>
          <w:rtl/>
        </w:rPr>
        <w:t>.</w:t>
      </w:r>
      <w:r>
        <w:rPr>
          <w:rStyle w:val="FootnoteReference"/>
          <w:rFonts w:ascii="FrankRuehl" w:hAnsi="FrankRuehl" w:cs="FrankRuehl"/>
          <w:color w:val="202122"/>
          <w:sz w:val="24"/>
          <w:szCs w:val="24"/>
          <w:shd w:val="clear" w:color="auto" w:fill="FFFFFF"/>
          <w:rtl/>
        </w:rPr>
        <w:footnoteReference w:id="37"/>
      </w:r>
      <w:r>
        <w:rPr>
          <w:rFonts w:ascii="FrankRuehl" w:hAnsi="FrankRuehl" w:cs="FrankRuehl" w:hint="cs"/>
          <w:color w:val="202122"/>
          <w:sz w:val="24"/>
          <w:szCs w:val="24"/>
          <w:shd w:val="clear" w:color="auto" w:fill="FFFFFF"/>
          <w:rtl/>
        </w:rPr>
        <w:t xml:space="preserve"> אך בדורות האחרונים כמה חוקרים מרכזיים הציגו כיוון הפוך של השפעה. לצד זאת, שבה ועולה העמדה הזהירה כי שני המקורות אינם ניכרים בהשפעה ישירה זה על זה, אלא שבשניהם שוקעו </w:t>
      </w:r>
      <w:r>
        <w:rPr>
          <w:rFonts w:ascii="FrankRuehl" w:hAnsi="FrankRuehl" w:cs="FrankRuehl"/>
          <w:color w:val="202122"/>
          <w:sz w:val="24"/>
          <w:szCs w:val="24"/>
          <w:shd w:val="clear" w:color="auto" w:fill="FFFFFF"/>
          <w:rtl/>
        </w:rPr>
        <w:t>–</w:t>
      </w:r>
      <w:r>
        <w:rPr>
          <w:rFonts w:ascii="FrankRuehl" w:hAnsi="FrankRuehl" w:cs="FrankRuehl" w:hint="cs"/>
          <w:color w:val="202122"/>
          <w:sz w:val="24"/>
          <w:szCs w:val="24"/>
          <w:shd w:val="clear" w:color="auto" w:fill="FFFFFF"/>
          <w:rtl/>
        </w:rPr>
        <w:t xml:space="preserve"> באופן בלתי תלוי </w:t>
      </w:r>
      <w:r>
        <w:rPr>
          <w:rFonts w:ascii="FrankRuehl" w:hAnsi="FrankRuehl" w:cs="FrankRuehl"/>
          <w:color w:val="202122"/>
          <w:sz w:val="24"/>
          <w:szCs w:val="24"/>
          <w:shd w:val="clear" w:color="auto" w:fill="FFFFFF"/>
          <w:rtl/>
        </w:rPr>
        <w:t>–</w:t>
      </w:r>
      <w:r>
        <w:rPr>
          <w:rFonts w:ascii="FrankRuehl" w:hAnsi="FrankRuehl" w:cs="FrankRuehl" w:hint="cs"/>
          <w:color w:val="202122"/>
          <w:sz w:val="24"/>
          <w:szCs w:val="24"/>
          <w:shd w:val="clear" w:color="auto" w:fill="FFFFFF"/>
          <w:rtl/>
        </w:rPr>
        <w:t xml:space="preserve"> יסודות ממסורת חוק משותפת או מסורות חוק משותפות.</w:t>
      </w:r>
      <w:r>
        <w:rPr>
          <w:rStyle w:val="FootnoteReference"/>
          <w:rFonts w:ascii="FrankRuehl" w:hAnsi="FrankRuehl" w:cs="FrankRuehl"/>
          <w:color w:val="202122"/>
          <w:sz w:val="24"/>
          <w:szCs w:val="24"/>
          <w:shd w:val="clear" w:color="auto" w:fill="FFFFFF"/>
          <w:rtl/>
        </w:rPr>
        <w:footnoteReference w:id="38"/>
      </w:r>
      <w:r>
        <w:rPr>
          <w:rFonts w:ascii="FrankRuehl" w:hAnsi="FrankRuehl" w:cs="FrankRuehl" w:hint="cs"/>
          <w:color w:val="202122"/>
          <w:sz w:val="24"/>
          <w:szCs w:val="24"/>
          <w:shd w:val="clear" w:color="auto" w:fill="FFFFFF"/>
          <w:rtl/>
        </w:rPr>
        <w:t xml:space="preserve"> </w:t>
      </w:r>
    </w:p>
    <w:p w14:paraId="1BCAE078" w14:textId="77777777" w:rsidR="004D014B" w:rsidRDefault="004D014B" w:rsidP="004D014B">
      <w:pPr>
        <w:bidi/>
        <w:spacing w:line="360" w:lineRule="auto"/>
        <w:ind w:firstLine="720"/>
        <w:rPr>
          <w:rFonts w:ascii="FrankRuehl" w:hAnsi="FrankRuehl" w:cs="FrankRuehl"/>
          <w:color w:val="202122"/>
          <w:sz w:val="24"/>
          <w:szCs w:val="24"/>
          <w:shd w:val="clear" w:color="auto" w:fill="FFFFFF"/>
          <w:rtl/>
        </w:rPr>
      </w:pPr>
      <w:r>
        <w:rPr>
          <w:rFonts w:ascii="FrankRuehl" w:hAnsi="FrankRuehl" w:cs="FrankRuehl" w:hint="cs"/>
          <w:color w:val="202122"/>
          <w:sz w:val="24"/>
          <w:szCs w:val="24"/>
          <w:shd w:val="clear" w:color="auto" w:fill="FFFFFF"/>
          <w:rtl/>
        </w:rPr>
        <w:t xml:space="preserve">השוואת איסורי הכלאיים שבוי' </w:t>
      </w:r>
      <w:proofErr w:type="spellStart"/>
      <w:r>
        <w:rPr>
          <w:rFonts w:ascii="FrankRuehl" w:hAnsi="FrankRuehl" w:cs="FrankRuehl" w:hint="cs"/>
          <w:color w:val="202122"/>
          <w:sz w:val="24"/>
          <w:szCs w:val="24"/>
          <w:shd w:val="clear" w:color="auto" w:fill="FFFFFF"/>
          <w:rtl/>
        </w:rPr>
        <w:t>יט</w:t>
      </w:r>
      <w:proofErr w:type="spellEnd"/>
      <w:r>
        <w:rPr>
          <w:rFonts w:ascii="FrankRuehl" w:hAnsi="FrankRuehl" w:cs="FrankRuehl" w:hint="cs"/>
          <w:color w:val="202122"/>
          <w:sz w:val="24"/>
          <w:szCs w:val="24"/>
          <w:shd w:val="clear" w:color="auto" w:fill="FFFFFF"/>
          <w:rtl/>
        </w:rPr>
        <w:t xml:space="preserve"> 19 לאיסורים שבדב' </w:t>
      </w:r>
      <w:proofErr w:type="spellStart"/>
      <w:r>
        <w:rPr>
          <w:rFonts w:ascii="FrankRuehl" w:hAnsi="FrankRuehl" w:cs="FrankRuehl" w:hint="cs"/>
          <w:color w:val="202122"/>
          <w:sz w:val="24"/>
          <w:szCs w:val="24"/>
          <w:shd w:val="clear" w:color="auto" w:fill="FFFFFF"/>
          <w:rtl/>
        </w:rPr>
        <w:t>כב</w:t>
      </w:r>
      <w:proofErr w:type="spellEnd"/>
      <w:r>
        <w:rPr>
          <w:rFonts w:ascii="FrankRuehl" w:hAnsi="FrankRuehl" w:cs="FrankRuehl" w:hint="cs"/>
          <w:color w:val="202122"/>
          <w:sz w:val="24"/>
          <w:szCs w:val="24"/>
          <w:shd w:val="clear" w:color="auto" w:fill="FFFFFF"/>
          <w:rtl/>
        </w:rPr>
        <w:t xml:space="preserve"> 9</w:t>
      </w:r>
      <w:r>
        <w:rPr>
          <w:rFonts w:ascii="FrankRuehl" w:hAnsi="FrankRuehl" w:cs="FrankRuehl" w:hint="eastAsia"/>
          <w:color w:val="202122"/>
          <w:sz w:val="24"/>
          <w:szCs w:val="24"/>
          <w:shd w:val="clear" w:color="auto" w:fill="FFFFFF"/>
          <w:rtl/>
        </w:rPr>
        <w:t>–</w:t>
      </w:r>
      <w:r>
        <w:rPr>
          <w:rFonts w:ascii="FrankRuehl" w:hAnsi="FrankRuehl" w:cs="FrankRuehl" w:hint="cs"/>
          <w:color w:val="202122"/>
          <w:sz w:val="24"/>
          <w:szCs w:val="24"/>
          <w:shd w:val="clear" w:color="auto" w:fill="FFFFFF"/>
          <w:rtl/>
        </w:rPr>
        <w:t xml:space="preserve">11 הוסברה בהתאם לאחת משלוש הדעות הללו. כאן שכיח במיוחד בין החוקרים לתמוך את עמדתם בהבחנת תחולתם של האיסורים. האיסורים </w:t>
      </w:r>
      <w:proofErr w:type="spellStart"/>
      <w:r>
        <w:rPr>
          <w:rFonts w:ascii="FrankRuehl" w:hAnsi="FrankRuehl" w:cs="FrankRuehl" w:hint="cs"/>
          <w:color w:val="202122"/>
          <w:sz w:val="24"/>
          <w:szCs w:val="24"/>
          <w:shd w:val="clear" w:color="auto" w:fill="FFFFFF"/>
          <w:rtl/>
        </w:rPr>
        <w:t>שבויקרא</w:t>
      </w:r>
      <w:proofErr w:type="spellEnd"/>
      <w:r>
        <w:rPr>
          <w:rFonts w:ascii="FrankRuehl" w:hAnsi="FrankRuehl" w:cs="FrankRuehl" w:hint="cs"/>
          <w:color w:val="202122"/>
          <w:sz w:val="24"/>
          <w:szCs w:val="24"/>
          <w:shd w:val="clear" w:color="auto" w:fill="FFFFFF"/>
          <w:rtl/>
        </w:rPr>
        <w:t xml:space="preserve"> מתייחסים לכל בהמה, לכל שדה ולכל שילוב של לבוש מהצומח ומהחי, ואילו האיסורים שבדברים ניכרים בניסוח מובחן וספציפי </w:t>
      </w:r>
      <w:r>
        <w:rPr>
          <w:rFonts w:ascii="FrankRuehl" w:hAnsi="FrankRuehl" w:cs="FrankRuehl"/>
          <w:color w:val="202122"/>
          <w:sz w:val="24"/>
          <w:szCs w:val="24"/>
          <w:shd w:val="clear" w:color="auto" w:fill="FFFFFF"/>
          <w:rtl/>
        </w:rPr>
        <w:t>–</w:t>
      </w:r>
      <w:r>
        <w:rPr>
          <w:rFonts w:ascii="FrankRuehl" w:hAnsi="FrankRuehl" w:cs="FrankRuehl" w:hint="cs"/>
          <w:color w:val="202122"/>
          <w:sz w:val="24"/>
          <w:szCs w:val="24"/>
          <w:shd w:val="clear" w:color="auto" w:fill="FFFFFF"/>
          <w:rtl/>
        </w:rPr>
        <w:t xml:space="preserve"> זריעת כלאיים בכרם, איסור חרישה בשור ובחמור, ואיסור לבישת צמר ופשתים. בהתאם לעמדתם היסודית של החוקרים בשאלת היחס שבין מקור </w:t>
      </w:r>
      <w:r w:rsidRPr="00A311D3">
        <w:rPr>
          <w:rFonts w:asciiTheme="majorBidi" w:hAnsiTheme="majorBidi" w:cstheme="majorBidi"/>
          <w:color w:val="202122"/>
          <w:sz w:val="20"/>
          <w:szCs w:val="20"/>
          <w:shd w:val="clear" w:color="auto" w:fill="FFFFFF"/>
        </w:rPr>
        <w:t>H</w:t>
      </w:r>
      <w:r>
        <w:rPr>
          <w:rFonts w:ascii="FrankRuehl" w:hAnsi="FrankRuehl" w:cs="FrankRuehl" w:hint="cs"/>
          <w:color w:val="202122"/>
          <w:sz w:val="24"/>
          <w:szCs w:val="24"/>
          <w:shd w:val="clear" w:color="auto" w:fill="FFFFFF"/>
          <w:rtl/>
        </w:rPr>
        <w:t xml:space="preserve"> למקור </w:t>
      </w:r>
      <w:r w:rsidRPr="00A311D3">
        <w:rPr>
          <w:rFonts w:asciiTheme="majorBidi" w:hAnsiTheme="majorBidi" w:cstheme="majorBidi"/>
          <w:color w:val="202122"/>
          <w:sz w:val="20"/>
          <w:szCs w:val="20"/>
          <w:shd w:val="clear" w:color="auto" w:fill="FFFFFF"/>
        </w:rPr>
        <w:t>D</w:t>
      </w:r>
      <w:r>
        <w:rPr>
          <w:rFonts w:ascii="FrankRuehl" w:hAnsi="FrankRuehl" w:cs="FrankRuehl" w:hint="cs"/>
          <w:color w:val="202122"/>
          <w:sz w:val="24"/>
          <w:szCs w:val="24"/>
          <w:shd w:val="clear" w:color="auto" w:fill="FFFFFF"/>
          <w:rtl/>
        </w:rPr>
        <w:t xml:space="preserve">, יש שהציעו כי מקור </w:t>
      </w:r>
      <w:r w:rsidRPr="00A311D3">
        <w:rPr>
          <w:rFonts w:asciiTheme="majorBidi" w:hAnsiTheme="majorBidi" w:cstheme="majorBidi"/>
          <w:color w:val="202122"/>
          <w:sz w:val="20"/>
          <w:szCs w:val="20"/>
          <w:shd w:val="clear" w:color="auto" w:fill="FFFFFF"/>
        </w:rPr>
        <w:t>H</w:t>
      </w:r>
      <w:r>
        <w:rPr>
          <w:rFonts w:ascii="FrankRuehl" w:hAnsi="FrankRuehl" w:cs="FrankRuehl" w:hint="cs"/>
          <w:color w:val="202122"/>
          <w:sz w:val="24"/>
          <w:szCs w:val="24"/>
          <w:shd w:val="clear" w:color="auto" w:fill="FFFFFF"/>
          <w:rtl/>
        </w:rPr>
        <w:t xml:space="preserve"> המאוחר בא להרחיב את איסורי מקור </w:t>
      </w:r>
      <w:r w:rsidRPr="00A311D3">
        <w:rPr>
          <w:rFonts w:asciiTheme="majorBidi" w:hAnsiTheme="majorBidi" w:cstheme="majorBidi"/>
          <w:color w:val="202122"/>
          <w:sz w:val="20"/>
          <w:szCs w:val="20"/>
          <w:shd w:val="clear" w:color="auto" w:fill="FFFFFF"/>
        </w:rPr>
        <w:t>D</w:t>
      </w:r>
      <w:r>
        <w:rPr>
          <w:rFonts w:ascii="FrankRuehl" w:hAnsi="FrankRuehl" w:cs="FrankRuehl" w:hint="cs"/>
          <w:color w:val="202122"/>
          <w:sz w:val="24"/>
          <w:szCs w:val="24"/>
          <w:shd w:val="clear" w:color="auto" w:fill="FFFFFF"/>
          <w:rtl/>
        </w:rPr>
        <w:t xml:space="preserve"> המוקדם ממנו.</w:t>
      </w:r>
      <w:r>
        <w:rPr>
          <w:rStyle w:val="FootnoteReference"/>
          <w:rFonts w:ascii="FrankRuehl" w:hAnsi="FrankRuehl" w:cs="FrankRuehl"/>
          <w:color w:val="202122"/>
          <w:sz w:val="24"/>
          <w:szCs w:val="24"/>
          <w:shd w:val="clear" w:color="auto" w:fill="FFFFFF"/>
          <w:rtl/>
        </w:rPr>
        <w:footnoteReference w:id="39"/>
      </w:r>
      <w:r>
        <w:rPr>
          <w:rFonts w:ascii="FrankRuehl" w:hAnsi="FrankRuehl" w:cs="FrankRuehl" w:hint="cs"/>
          <w:color w:val="202122"/>
          <w:sz w:val="24"/>
          <w:szCs w:val="24"/>
          <w:shd w:val="clear" w:color="auto" w:fill="FFFFFF"/>
          <w:rtl/>
        </w:rPr>
        <w:t xml:space="preserve"> לעומתם יש שהציעו כיוון השפעה מנוגד ותכלית ספרותית נבדלת </w:t>
      </w:r>
      <w:r>
        <w:rPr>
          <w:rFonts w:ascii="FrankRuehl" w:hAnsi="FrankRuehl" w:cs="FrankRuehl"/>
          <w:color w:val="202122"/>
          <w:sz w:val="24"/>
          <w:szCs w:val="24"/>
          <w:shd w:val="clear" w:color="auto" w:fill="FFFFFF"/>
          <w:rtl/>
        </w:rPr>
        <w:t>–</w:t>
      </w:r>
      <w:r>
        <w:rPr>
          <w:rFonts w:ascii="FrankRuehl" w:hAnsi="FrankRuehl" w:cs="FrankRuehl" w:hint="cs"/>
          <w:color w:val="202122"/>
          <w:sz w:val="24"/>
          <w:szCs w:val="24"/>
          <w:shd w:val="clear" w:color="auto" w:fill="FFFFFF"/>
          <w:rtl/>
        </w:rPr>
        <w:t xml:space="preserve"> מקור </w:t>
      </w:r>
      <w:r>
        <w:rPr>
          <w:rFonts w:asciiTheme="majorBidi" w:hAnsiTheme="majorBidi" w:cstheme="majorBidi" w:hint="cs"/>
          <w:color w:val="202122"/>
          <w:sz w:val="20"/>
          <w:szCs w:val="20"/>
          <w:shd w:val="clear" w:color="auto" w:fill="FFFFFF"/>
        </w:rPr>
        <w:t>D</w:t>
      </w:r>
      <w:r>
        <w:rPr>
          <w:rFonts w:ascii="FrankRuehl" w:hAnsi="FrankRuehl" w:cs="FrankRuehl" w:hint="cs"/>
          <w:color w:val="202122"/>
          <w:sz w:val="24"/>
          <w:szCs w:val="24"/>
          <w:shd w:val="clear" w:color="auto" w:fill="FFFFFF"/>
          <w:rtl/>
        </w:rPr>
        <w:t xml:space="preserve"> המאוחר בא לדייק ולפרש את מקור </w:t>
      </w:r>
      <w:r>
        <w:rPr>
          <w:rFonts w:asciiTheme="majorBidi" w:hAnsiTheme="majorBidi" w:cstheme="majorBidi" w:hint="cs"/>
          <w:color w:val="202122"/>
          <w:sz w:val="20"/>
          <w:szCs w:val="20"/>
          <w:shd w:val="clear" w:color="auto" w:fill="FFFFFF"/>
        </w:rPr>
        <w:t>H</w:t>
      </w:r>
      <w:r>
        <w:rPr>
          <w:rFonts w:ascii="FrankRuehl" w:hAnsi="FrankRuehl" w:cs="FrankRuehl" w:hint="cs"/>
          <w:color w:val="202122"/>
          <w:sz w:val="24"/>
          <w:szCs w:val="24"/>
          <w:shd w:val="clear" w:color="auto" w:fill="FFFFFF"/>
          <w:rtl/>
        </w:rPr>
        <w:t xml:space="preserve"> המוקדם ממנו.</w:t>
      </w:r>
      <w:r>
        <w:rPr>
          <w:rStyle w:val="FootnoteReference"/>
          <w:rFonts w:ascii="FrankRuehl" w:hAnsi="FrankRuehl" w:cs="FrankRuehl"/>
          <w:color w:val="202122"/>
          <w:sz w:val="24"/>
          <w:szCs w:val="24"/>
          <w:shd w:val="clear" w:color="auto" w:fill="FFFFFF"/>
          <w:rtl/>
        </w:rPr>
        <w:footnoteReference w:id="40"/>
      </w:r>
      <w:r>
        <w:rPr>
          <w:rFonts w:ascii="FrankRuehl" w:hAnsi="FrankRuehl" w:cs="FrankRuehl" w:hint="cs"/>
          <w:color w:val="202122"/>
          <w:sz w:val="24"/>
          <w:szCs w:val="24"/>
          <w:shd w:val="clear" w:color="auto" w:fill="FFFFFF"/>
          <w:rtl/>
        </w:rPr>
        <w:t xml:space="preserve"> לצד שתי גישות אלו, יש שהדגישו כי ההבדלים אינם מלמדים על כיוון מובחן של התפתחות ותלות אלא על מסורת חוק משותפת שהתקבעה באופן בלתי תלוי ושוקעה בשני מקורות נבדלים.</w:t>
      </w:r>
      <w:r>
        <w:rPr>
          <w:rStyle w:val="FootnoteReference"/>
          <w:rFonts w:ascii="FrankRuehl" w:hAnsi="FrankRuehl" w:cs="FrankRuehl"/>
          <w:color w:val="202122"/>
          <w:sz w:val="24"/>
          <w:szCs w:val="24"/>
          <w:shd w:val="clear" w:color="auto" w:fill="FFFFFF"/>
          <w:rtl/>
        </w:rPr>
        <w:footnoteReference w:id="41"/>
      </w:r>
      <w:r w:rsidRPr="00D172ED">
        <w:rPr>
          <w:rFonts w:ascii="FrankRuehl" w:hAnsi="FrankRuehl" w:cs="FrankRuehl" w:hint="cs"/>
          <w:color w:val="202122"/>
          <w:sz w:val="24"/>
          <w:szCs w:val="24"/>
          <w:shd w:val="clear" w:color="auto" w:fill="FFFFFF"/>
          <w:rtl/>
        </w:rPr>
        <w:t xml:space="preserve"> </w:t>
      </w:r>
    </w:p>
    <w:p w14:paraId="78F98876" w14:textId="4C469EB9" w:rsidR="004D014B" w:rsidRDefault="004D014B" w:rsidP="0013504B">
      <w:pPr>
        <w:bidi/>
        <w:spacing w:line="360" w:lineRule="auto"/>
        <w:ind w:firstLine="720"/>
        <w:rPr>
          <w:rFonts w:ascii="FrankRuehl" w:hAnsi="FrankRuehl" w:cs="FrankRuehl"/>
          <w:color w:val="202122"/>
          <w:sz w:val="24"/>
          <w:szCs w:val="24"/>
          <w:shd w:val="clear" w:color="auto" w:fill="FFFFFF"/>
          <w:rtl/>
        </w:rPr>
      </w:pPr>
      <w:r>
        <w:rPr>
          <w:rFonts w:ascii="FrankRuehl" w:hAnsi="FrankRuehl" w:cs="FrankRuehl" w:hint="cs"/>
          <w:color w:val="202122"/>
          <w:sz w:val="24"/>
          <w:szCs w:val="24"/>
          <w:shd w:val="clear" w:color="auto" w:fill="FFFFFF"/>
          <w:rtl/>
        </w:rPr>
        <w:t xml:space="preserve">דומני שבכל הנוגע לאיסורי זריעת כלאיים ולבישת כלאיים, קשה להציג כיוון התפתחות מוסכם ומשכנע, והשוואתם של החוקים </w:t>
      </w:r>
      <w:proofErr w:type="spellStart"/>
      <w:r>
        <w:rPr>
          <w:rFonts w:ascii="FrankRuehl" w:hAnsi="FrankRuehl" w:cs="FrankRuehl" w:hint="cs"/>
          <w:color w:val="202122"/>
          <w:sz w:val="24"/>
          <w:szCs w:val="24"/>
          <w:shd w:val="clear" w:color="auto" w:fill="FFFFFF"/>
          <w:rtl/>
        </w:rPr>
        <w:t>בויקרא</w:t>
      </w:r>
      <w:proofErr w:type="spellEnd"/>
      <w:r>
        <w:rPr>
          <w:rFonts w:ascii="FrankRuehl" w:hAnsi="FrankRuehl" w:cs="FrankRuehl" w:hint="cs"/>
          <w:color w:val="202122"/>
          <w:sz w:val="24"/>
          <w:szCs w:val="24"/>
          <w:shd w:val="clear" w:color="auto" w:fill="FFFFFF"/>
          <w:rtl/>
        </w:rPr>
        <w:t xml:space="preserve"> ובדברים אומנם עשויה לקדם מסקנות מנוגדות. לעומת זאת, אם נכונים דבריי שלעיל והאיסור על כלאי בהמה למעשה רלוונטי </w:t>
      </w:r>
      <w:r w:rsidRPr="001B7A26">
        <w:rPr>
          <w:rFonts w:ascii="FrankRuehl" w:hAnsi="FrankRuehl" w:cs="FrankRuehl" w:hint="cs"/>
          <w:color w:val="202122"/>
          <w:sz w:val="24"/>
          <w:szCs w:val="24"/>
          <w:shd w:val="clear" w:color="auto" w:fill="FFFFFF"/>
          <w:rtl/>
        </w:rPr>
        <w:t>לפ</w:t>
      </w:r>
      <w:r w:rsidRPr="001B7A26">
        <w:rPr>
          <w:rFonts w:ascii="Arial" w:hAnsi="Arial" w:cs="FrankRuehl"/>
          <w:sz w:val="24"/>
          <w:szCs w:val="24"/>
          <w:rtl/>
        </w:rPr>
        <w:t>ּ</w:t>
      </w:r>
      <w:r w:rsidRPr="001B7A26">
        <w:rPr>
          <w:rFonts w:ascii="FrankRuehl" w:hAnsi="FrankRuehl" w:cs="FrankRuehl" w:hint="cs"/>
          <w:color w:val="202122"/>
          <w:sz w:val="24"/>
          <w:szCs w:val="24"/>
          <w:shd w:val="clear" w:color="auto" w:fill="FFFFFF"/>
          <w:rtl/>
        </w:rPr>
        <w:t>ר</w:t>
      </w:r>
      <w:r>
        <w:rPr>
          <w:rFonts w:ascii="FrankRuehl" w:hAnsi="FrankRuehl" w:cs="FrankRuehl" w:hint="cs"/>
          <w:color w:val="202122"/>
          <w:sz w:val="24"/>
          <w:szCs w:val="24"/>
          <w:shd w:val="clear" w:color="auto" w:fill="FFFFFF"/>
          <w:rtl/>
        </w:rPr>
        <w:t xml:space="preserve">ד ולסוסיה בלבד על כל המשתמע מכך, הרי שהשוואה של איסור זה </w:t>
      </w:r>
      <w:r>
        <w:rPr>
          <w:rFonts w:ascii="FrankRuehl" w:hAnsi="FrankRuehl" w:cs="FrankRuehl" w:hint="cs"/>
          <w:sz w:val="24"/>
          <w:szCs w:val="24"/>
          <w:shd w:val="clear" w:color="auto" w:fill="FFFFFF"/>
          <w:rtl/>
        </w:rPr>
        <w:t xml:space="preserve">לאיסור על חרישה בשור ובחמור מלמדת על כיוון התפתחות מובחן בהרבה. ניתן להציע כי האיסור על חרישה בשור ובחמור בא לבטל את האיסור על כלאי בהמה, שבשונה מאיסורי זריעת כלאיים ולבישת כלאיים מקשה על </w:t>
      </w:r>
      <w:proofErr w:type="spellStart"/>
      <w:r>
        <w:rPr>
          <w:rFonts w:ascii="FrankRuehl" w:hAnsi="FrankRuehl" w:cs="FrankRuehl" w:hint="cs"/>
          <w:sz w:val="24"/>
          <w:szCs w:val="24"/>
          <w:shd w:val="clear" w:color="auto" w:fill="FFFFFF"/>
          <w:rtl/>
        </w:rPr>
        <w:t>כלכלתו</w:t>
      </w:r>
      <w:proofErr w:type="spellEnd"/>
      <w:r>
        <w:rPr>
          <w:rFonts w:ascii="FrankRuehl" w:hAnsi="FrankRuehl" w:cs="FrankRuehl" w:hint="cs"/>
          <w:sz w:val="24"/>
          <w:szCs w:val="24"/>
          <w:shd w:val="clear" w:color="auto" w:fill="FFFFFF"/>
          <w:rtl/>
        </w:rPr>
        <w:t xml:space="preserve"> של החקלאי. לעומת זאת יקשה להסביר את היחס של שני האיסורים כהתפתחות בכיוון הפוך. אין אומר הדבר שאיסורי הכלאיים בדברים </w:t>
      </w:r>
      <w:proofErr w:type="spellStart"/>
      <w:r>
        <w:rPr>
          <w:rFonts w:ascii="FrankRuehl" w:hAnsi="FrankRuehl" w:cs="FrankRuehl" w:hint="cs"/>
          <w:sz w:val="24"/>
          <w:szCs w:val="24"/>
          <w:shd w:val="clear" w:color="auto" w:fill="FFFFFF"/>
          <w:rtl/>
        </w:rPr>
        <w:t>כב</w:t>
      </w:r>
      <w:proofErr w:type="spellEnd"/>
      <w:r>
        <w:rPr>
          <w:rFonts w:ascii="FrankRuehl" w:hAnsi="FrankRuehl" w:cs="FrankRuehl" w:hint="cs"/>
          <w:sz w:val="24"/>
          <w:szCs w:val="24"/>
          <w:shd w:val="clear" w:color="auto" w:fill="FFFFFF"/>
          <w:rtl/>
        </w:rPr>
        <w:t xml:space="preserve"> מיוסדים במישרין על איסורי הכלאיים </w:t>
      </w:r>
      <w:proofErr w:type="spellStart"/>
      <w:r>
        <w:rPr>
          <w:rFonts w:ascii="FrankRuehl" w:hAnsi="FrankRuehl" w:cs="FrankRuehl" w:hint="cs"/>
          <w:sz w:val="24"/>
          <w:szCs w:val="24"/>
          <w:shd w:val="clear" w:color="auto" w:fill="FFFFFF"/>
          <w:rtl/>
        </w:rPr>
        <w:t>שבויקרא</w:t>
      </w:r>
      <w:proofErr w:type="spellEnd"/>
      <w:r>
        <w:rPr>
          <w:rFonts w:ascii="FrankRuehl" w:hAnsi="FrankRuehl" w:cs="FrankRuehl" w:hint="cs"/>
          <w:sz w:val="24"/>
          <w:szCs w:val="24"/>
          <w:shd w:val="clear" w:color="auto" w:fill="FFFFFF"/>
          <w:rtl/>
        </w:rPr>
        <w:t xml:space="preserve"> </w:t>
      </w:r>
      <w:proofErr w:type="spellStart"/>
      <w:r>
        <w:rPr>
          <w:rFonts w:ascii="FrankRuehl" w:hAnsi="FrankRuehl" w:cs="FrankRuehl" w:hint="cs"/>
          <w:sz w:val="24"/>
          <w:szCs w:val="24"/>
          <w:shd w:val="clear" w:color="auto" w:fill="FFFFFF"/>
          <w:rtl/>
        </w:rPr>
        <w:t>יט</w:t>
      </w:r>
      <w:proofErr w:type="spellEnd"/>
      <w:r>
        <w:rPr>
          <w:rFonts w:ascii="FrankRuehl" w:hAnsi="FrankRuehl" w:cs="FrankRuehl" w:hint="cs"/>
          <w:sz w:val="24"/>
          <w:szCs w:val="24"/>
          <w:shd w:val="clear" w:color="auto" w:fill="FFFFFF"/>
          <w:rtl/>
        </w:rPr>
        <w:t xml:space="preserve">, אלא אפשר, שבהתאם לעמדת המחקר הנזכרת, ביסודם של האיסורים מסורת חוק משותפת. אם כך הוא, הרי שיש מקום לשער שאיסור כלאי בהמה במסורת חוק קדומה ומשוערת זו מנוסח היה בדומה לניסוחו של האיסור </w:t>
      </w:r>
      <w:proofErr w:type="spellStart"/>
      <w:r>
        <w:rPr>
          <w:rFonts w:ascii="FrankRuehl" w:hAnsi="FrankRuehl" w:cs="FrankRuehl" w:hint="cs"/>
          <w:sz w:val="24"/>
          <w:szCs w:val="24"/>
          <w:shd w:val="clear" w:color="auto" w:fill="FFFFFF"/>
          <w:rtl/>
        </w:rPr>
        <w:t>בויקרא</w:t>
      </w:r>
      <w:proofErr w:type="spellEnd"/>
      <w:r>
        <w:rPr>
          <w:rFonts w:ascii="FrankRuehl" w:hAnsi="FrankRuehl" w:cs="FrankRuehl" w:hint="cs"/>
          <w:sz w:val="24"/>
          <w:szCs w:val="24"/>
          <w:shd w:val="clear" w:color="auto" w:fill="FFFFFF"/>
          <w:rtl/>
        </w:rPr>
        <w:t xml:space="preserve"> </w:t>
      </w:r>
      <w:proofErr w:type="spellStart"/>
      <w:r>
        <w:rPr>
          <w:rFonts w:ascii="FrankRuehl" w:hAnsi="FrankRuehl" w:cs="FrankRuehl" w:hint="cs"/>
          <w:sz w:val="24"/>
          <w:szCs w:val="24"/>
          <w:shd w:val="clear" w:color="auto" w:fill="FFFFFF"/>
          <w:rtl/>
        </w:rPr>
        <w:t>יט</w:t>
      </w:r>
      <w:proofErr w:type="spellEnd"/>
      <w:r>
        <w:rPr>
          <w:rFonts w:ascii="FrankRuehl" w:hAnsi="FrankRuehl" w:cs="FrankRuehl" w:hint="cs"/>
          <w:sz w:val="24"/>
          <w:szCs w:val="24"/>
          <w:shd w:val="clear" w:color="auto" w:fill="FFFFFF"/>
          <w:rtl/>
        </w:rPr>
        <w:t xml:space="preserve"> 19.</w:t>
      </w:r>
    </w:p>
    <w:p w14:paraId="629F995F" w14:textId="77777777" w:rsidR="00330751" w:rsidRDefault="00330751" w:rsidP="004D014B">
      <w:pPr>
        <w:bidi/>
      </w:pPr>
    </w:p>
    <w:sectPr w:rsidR="0033075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F7CFE" w14:textId="77777777" w:rsidR="00570D90" w:rsidRDefault="00570D90" w:rsidP="004D014B">
      <w:pPr>
        <w:spacing w:after="0" w:line="240" w:lineRule="auto"/>
      </w:pPr>
      <w:r>
        <w:separator/>
      </w:r>
    </w:p>
  </w:endnote>
  <w:endnote w:type="continuationSeparator" w:id="0">
    <w:p w14:paraId="51298317" w14:textId="77777777" w:rsidR="00570D90" w:rsidRDefault="00570D90" w:rsidP="004D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FrankRuehl" w:hAnsi="FrankRuehl" w:cs="FrankRuehl"/>
      </w:rPr>
      <w:id w:val="-550925269"/>
      <w:docPartObj>
        <w:docPartGallery w:val="Page Numbers (Bottom of Page)"/>
        <w:docPartUnique/>
      </w:docPartObj>
    </w:sdtPr>
    <w:sdtEndPr>
      <w:rPr>
        <w:noProof/>
      </w:rPr>
    </w:sdtEndPr>
    <w:sdtContent>
      <w:p w14:paraId="378B8AF2" w14:textId="77777777" w:rsidR="007016F7" w:rsidRPr="007016F7" w:rsidRDefault="006A1CA5">
        <w:pPr>
          <w:pStyle w:val="Footer"/>
          <w:jc w:val="center"/>
          <w:rPr>
            <w:rFonts w:ascii="FrankRuehl" w:hAnsi="FrankRuehl" w:cs="FrankRuehl"/>
          </w:rPr>
        </w:pPr>
        <w:r w:rsidRPr="007016F7">
          <w:rPr>
            <w:rFonts w:ascii="FrankRuehl" w:hAnsi="FrankRuehl" w:cs="FrankRuehl"/>
          </w:rPr>
          <w:fldChar w:fldCharType="begin"/>
        </w:r>
        <w:r w:rsidRPr="007016F7">
          <w:rPr>
            <w:rFonts w:ascii="FrankRuehl" w:hAnsi="FrankRuehl" w:cs="FrankRuehl"/>
          </w:rPr>
          <w:instrText xml:space="preserve"> PAGE   \* MERGEFORMAT </w:instrText>
        </w:r>
        <w:r w:rsidRPr="007016F7">
          <w:rPr>
            <w:rFonts w:ascii="FrankRuehl" w:hAnsi="FrankRuehl" w:cs="FrankRuehl"/>
          </w:rPr>
          <w:fldChar w:fldCharType="separate"/>
        </w:r>
        <w:r w:rsidRPr="007016F7">
          <w:rPr>
            <w:rFonts w:ascii="FrankRuehl" w:hAnsi="FrankRuehl" w:cs="FrankRuehl"/>
            <w:noProof/>
          </w:rPr>
          <w:t>2</w:t>
        </w:r>
        <w:r w:rsidRPr="007016F7">
          <w:rPr>
            <w:rFonts w:ascii="FrankRuehl" w:hAnsi="FrankRuehl" w:cs="FrankRuehl"/>
            <w:noProof/>
          </w:rPr>
          <w:fldChar w:fldCharType="end"/>
        </w:r>
      </w:p>
    </w:sdtContent>
  </w:sdt>
  <w:p w14:paraId="7F5E29CC" w14:textId="77777777" w:rsidR="007016F7" w:rsidRPr="007016F7" w:rsidRDefault="00570D90">
    <w:pPr>
      <w:pStyle w:val="Footer"/>
      <w:rPr>
        <w:rFonts w:ascii="FrankRuehl" w:hAnsi="FrankRuehl" w:cs="FrankRueh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FB544" w14:textId="77777777" w:rsidR="00570D90" w:rsidRDefault="00570D90" w:rsidP="004D014B">
      <w:pPr>
        <w:spacing w:after="0" w:line="240" w:lineRule="auto"/>
      </w:pPr>
      <w:r>
        <w:separator/>
      </w:r>
    </w:p>
  </w:footnote>
  <w:footnote w:type="continuationSeparator" w:id="0">
    <w:p w14:paraId="0D156453" w14:textId="77777777" w:rsidR="00570D90" w:rsidRDefault="00570D90" w:rsidP="004D014B">
      <w:pPr>
        <w:spacing w:after="0" w:line="240" w:lineRule="auto"/>
      </w:pPr>
      <w:r>
        <w:continuationSeparator/>
      </w:r>
    </w:p>
  </w:footnote>
  <w:footnote w:id="1">
    <w:p w14:paraId="17F50CBB" w14:textId="12DC5A0D" w:rsidR="004D014B" w:rsidRDefault="004D014B" w:rsidP="004D014B">
      <w:pPr>
        <w:pStyle w:val="FootnoteText"/>
        <w:bidi/>
        <w:rPr>
          <w:rtl/>
        </w:rPr>
      </w:pPr>
      <w:r w:rsidRPr="00D177B2">
        <w:rPr>
          <w:rStyle w:val="FootnoteReference"/>
          <w:rFonts w:ascii="FrankRuehl" w:hAnsi="FrankRuehl" w:cs="FrankRuehl"/>
          <w:sz w:val="22"/>
          <w:szCs w:val="22"/>
        </w:rPr>
        <w:footnoteRef/>
      </w:r>
      <w:r>
        <w:rPr>
          <w:rFonts w:ascii="FrankRuehl" w:hAnsi="FrankRuehl" w:cs="FrankRuehl"/>
          <w:sz w:val="22"/>
          <w:szCs w:val="22"/>
        </w:rPr>
        <w:t xml:space="preserve"> </w:t>
      </w:r>
      <w:r w:rsidR="004F6203">
        <w:rPr>
          <w:rFonts w:asciiTheme="majorBidi" w:hAnsiTheme="majorBidi" w:cstheme="majorBidi" w:hint="cs"/>
          <w:rtl/>
        </w:rPr>
        <w:t>...</w:t>
      </w:r>
      <w:r>
        <w:rPr>
          <w:rFonts w:ascii="FrankRuehl" w:hAnsi="FrankRuehl" w:cs="FrankRuehl" w:hint="cs"/>
          <w:sz w:val="22"/>
          <w:szCs w:val="22"/>
          <w:rtl/>
        </w:rPr>
        <w:t xml:space="preserve"> </w:t>
      </w:r>
      <w:r w:rsidRPr="00DA2DA7">
        <w:rPr>
          <w:rFonts w:ascii="FrankRuehl" w:hAnsi="FrankRuehl" w:cs="FrankRuehl" w:hint="cs"/>
          <w:sz w:val="22"/>
          <w:szCs w:val="22"/>
          <w:rtl/>
        </w:rPr>
        <w:t>'</w:t>
      </w:r>
      <w:proofErr w:type="spellStart"/>
      <w:r w:rsidRPr="00DA2DA7">
        <w:rPr>
          <w:rFonts w:ascii="FrankRuehl" w:hAnsi="FrankRuehl" w:cs="FrankRuehl"/>
          <w:sz w:val="22"/>
          <w:szCs w:val="22"/>
          <w:rtl/>
        </w:rPr>
        <w:t>כִּלְאַיִם</w:t>
      </w:r>
      <w:proofErr w:type="spellEnd"/>
      <w:r w:rsidRPr="00DA2DA7">
        <w:rPr>
          <w:rFonts w:ascii="FrankRuehl" w:hAnsi="FrankRuehl" w:cs="FrankRuehl" w:hint="cs"/>
          <w:sz w:val="22"/>
          <w:szCs w:val="22"/>
          <w:rtl/>
        </w:rPr>
        <w:t>'</w:t>
      </w:r>
      <w:r>
        <w:rPr>
          <w:rFonts w:ascii="FrankRuehl" w:hAnsi="FrankRuehl" w:cs="FrankRuehl" w:hint="cs"/>
          <w:sz w:val="22"/>
          <w:szCs w:val="22"/>
          <w:rtl/>
        </w:rPr>
        <w:t xml:space="preserve"> משמר את העיצורים </w:t>
      </w:r>
      <w:r w:rsidRPr="00013543">
        <w:rPr>
          <w:rFonts w:asciiTheme="majorBidi" w:eastAsia="Times New Roman" w:hAnsiTheme="majorBidi" w:cstheme="majorBidi"/>
          <w:i/>
          <w:iCs/>
        </w:rPr>
        <w:t>k-l-’</w:t>
      </w:r>
      <w:r>
        <w:rPr>
          <w:rFonts w:ascii="FrankRuehl" w:eastAsia="Times New Roman" w:hAnsi="FrankRuehl" w:cs="FrankRuehl" w:hint="cs"/>
          <w:sz w:val="22"/>
          <w:szCs w:val="22"/>
          <w:rtl/>
        </w:rPr>
        <w:t xml:space="preserve"> שמשמעותם בשפות שמיות שונות </w:t>
      </w:r>
      <w:r w:rsidRPr="009231CC">
        <w:rPr>
          <w:rFonts w:asciiTheme="majorBidi" w:eastAsia="Times New Roman" w:hAnsiTheme="majorBidi" w:cstheme="majorBidi"/>
        </w:rPr>
        <w:t>both</w:t>
      </w:r>
      <w:r w:rsidR="004F6203">
        <w:rPr>
          <w:rFonts w:ascii="FrankRuehl" w:eastAsia="Times New Roman" w:hAnsi="FrankRuehl" w:cs="FrankRuehl" w:hint="cs"/>
          <w:sz w:val="22"/>
          <w:szCs w:val="22"/>
          <w:rtl/>
        </w:rPr>
        <w:t xml:space="preserve"> ...</w:t>
      </w:r>
      <w:r>
        <w:rPr>
          <w:rFonts w:asciiTheme="majorBidi" w:hAnsiTheme="majorBidi" w:cstheme="majorBidi"/>
          <w:rtl/>
        </w:rPr>
        <w:t xml:space="preserve"> </w:t>
      </w:r>
      <w:r w:rsidRPr="000D2F4F">
        <w:rPr>
          <w:rFonts w:ascii="FrankRuehl" w:hAnsi="FrankRuehl" w:cs="FrankRuehl" w:hint="cs"/>
          <w:sz w:val="22"/>
          <w:szCs w:val="22"/>
          <w:rtl/>
        </w:rPr>
        <w:t xml:space="preserve"> </w:t>
      </w:r>
    </w:p>
  </w:footnote>
  <w:footnote w:id="2">
    <w:p w14:paraId="2EF63122" w14:textId="1C8D3D00" w:rsidR="004D014B" w:rsidRPr="008E7ABB" w:rsidRDefault="004D014B" w:rsidP="004D014B">
      <w:pPr>
        <w:pStyle w:val="FootnoteText"/>
        <w:bidi/>
        <w:rPr>
          <w:rFonts w:ascii="FrankRuehl" w:hAnsi="FrankRuehl" w:cs="FrankRuehl"/>
          <w:sz w:val="22"/>
          <w:szCs w:val="22"/>
          <w:rtl/>
        </w:rPr>
      </w:pPr>
      <w:r w:rsidRPr="001C14A3">
        <w:rPr>
          <w:rStyle w:val="FootnoteReference"/>
          <w:rFonts w:ascii="FrankRuehl" w:hAnsi="FrankRuehl" w:cs="FrankRuehl"/>
          <w:sz w:val="22"/>
          <w:szCs w:val="22"/>
        </w:rPr>
        <w:footnoteRef/>
      </w:r>
      <w:r>
        <w:rPr>
          <w:rFonts w:ascii="FrankRuehl" w:hAnsi="FrankRuehl" w:cs="FrankRuehl"/>
          <w:sz w:val="22"/>
          <w:szCs w:val="22"/>
        </w:rPr>
        <w:t xml:space="preserve"> </w:t>
      </w:r>
      <w:r w:rsidR="004F6203">
        <w:rPr>
          <w:rFonts w:ascii="FrankRuehl" w:hAnsi="FrankRuehl" w:cs="FrankRuehl" w:hint="cs"/>
          <w:sz w:val="22"/>
          <w:szCs w:val="22"/>
          <w:rtl/>
        </w:rPr>
        <w:t xml:space="preserve">... </w:t>
      </w:r>
      <w:r>
        <w:rPr>
          <w:rFonts w:ascii="FrankRuehl" w:hAnsi="FrankRuehl" w:cs="FrankRuehl" w:hint="cs"/>
          <w:sz w:val="22"/>
          <w:szCs w:val="22"/>
          <w:rtl/>
        </w:rPr>
        <w:t>החוקרים מצביעים על קרבתו האטימולוגית של 'שעטנז' למילה (או מילים) במצרית עתיקה ובקופטית</w:t>
      </w:r>
      <w:r w:rsidR="004F6203">
        <w:rPr>
          <w:rFonts w:ascii="FrankRuehl" w:hAnsi="FrankRuehl" w:cs="FrankRuehl" w:hint="cs"/>
          <w:sz w:val="22"/>
          <w:szCs w:val="22"/>
          <w:rtl/>
        </w:rPr>
        <w:t xml:space="preserve"> ...</w:t>
      </w:r>
    </w:p>
  </w:footnote>
  <w:footnote w:id="3">
    <w:p w14:paraId="35C7BEF7" w14:textId="73B16C73" w:rsidR="004D014B" w:rsidRPr="007A0EFB" w:rsidRDefault="004D014B" w:rsidP="004D014B">
      <w:pPr>
        <w:pStyle w:val="FootnoteText"/>
        <w:bidi/>
        <w:rPr>
          <w:rFonts w:ascii="FrankRuehl" w:hAnsi="FrankRuehl" w:cs="FrankRuehl"/>
          <w:sz w:val="22"/>
          <w:szCs w:val="22"/>
          <w:rtl/>
        </w:rPr>
      </w:pPr>
      <w:r w:rsidRPr="007A0EFB">
        <w:rPr>
          <w:rStyle w:val="FootnoteReference"/>
          <w:rFonts w:ascii="FrankRuehl" w:hAnsi="FrankRuehl" w:cs="FrankRuehl"/>
          <w:sz w:val="22"/>
          <w:szCs w:val="22"/>
        </w:rPr>
        <w:footnoteRef/>
      </w:r>
      <w:r>
        <w:rPr>
          <w:rFonts w:ascii="FrankRuehl" w:hAnsi="FrankRuehl" w:cs="FrankRuehl"/>
          <w:sz w:val="22"/>
          <w:szCs w:val="22"/>
          <w:rtl/>
        </w:rPr>
        <w:t xml:space="preserve"> </w:t>
      </w:r>
      <w:r w:rsidR="004F6203">
        <w:rPr>
          <w:rFonts w:asciiTheme="majorBidi" w:hAnsiTheme="majorBidi" w:cstheme="majorBidi" w:hint="cs"/>
          <w:rtl/>
        </w:rPr>
        <w:t>...</w:t>
      </w:r>
      <w:r>
        <w:rPr>
          <w:rFonts w:asciiTheme="majorBidi" w:hAnsiTheme="majorBidi" w:cstheme="majorBidi"/>
          <w:rtl/>
        </w:rPr>
        <w:t xml:space="preserve"> </w:t>
      </w:r>
    </w:p>
  </w:footnote>
  <w:footnote w:id="4">
    <w:p w14:paraId="4AF5ECDC" w14:textId="39BA519D" w:rsidR="004D014B" w:rsidRPr="00973323" w:rsidRDefault="004D014B" w:rsidP="004D014B">
      <w:pPr>
        <w:pStyle w:val="FootnoteText"/>
        <w:bidi/>
        <w:rPr>
          <w:rFonts w:ascii="FrankRuehl" w:hAnsi="FrankRuehl" w:cs="FrankRuehl"/>
          <w:sz w:val="22"/>
          <w:szCs w:val="22"/>
          <w:rtl/>
        </w:rPr>
      </w:pPr>
      <w:r w:rsidRPr="007A0EFB">
        <w:rPr>
          <w:rStyle w:val="FootnoteReference"/>
          <w:rFonts w:ascii="FrankRuehl" w:hAnsi="FrankRuehl" w:cs="FrankRuehl"/>
          <w:sz w:val="22"/>
          <w:szCs w:val="22"/>
        </w:rPr>
        <w:footnoteRef/>
      </w:r>
      <w:r>
        <w:rPr>
          <w:rFonts w:ascii="FrankRuehl" w:hAnsi="FrankRuehl" w:cs="FrankRuehl"/>
          <w:sz w:val="22"/>
          <w:szCs w:val="22"/>
        </w:rPr>
        <w:t xml:space="preserve"> </w:t>
      </w:r>
      <w:r w:rsidR="004F6203">
        <w:rPr>
          <w:rFonts w:asciiTheme="majorBidi" w:hAnsiTheme="majorBidi" w:cstheme="majorBidi" w:hint="cs"/>
          <w:rtl/>
        </w:rPr>
        <w:t>...</w:t>
      </w:r>
    </w:p>
  </w:footnote>
  <w:footnote w:id="5">
    <w:p w14:paraId="578C99AC" w14:textId="16835472" w:rsidR="004D014B" w:rsidRPr="008A2B2D" w:rsidRDefault="004D014B" w:rsidP="004D014B">
      <w:pPr>
        <w:pStyle w:val="FootnoteText"/>
        <w:bidi/>
        <w:rPr>
          <w:rFonts w:ascii="FrankRuehl" w:hAnsi="FrankRuehl" w:cs="FrankRuehl"/>
          <w:sz w:val="22"/>
          <w:szCs w:val="22"/>
        </w:rPr>
      </w:pPr>
      <w:r w:rsidRPr="00973323">
        <w:rPr>
          <w:rStyle w:val="FootnoteReference"/>
          <w:rFonts w:ascii="FrankRuehl" w:hAnsi="FrankRuehl" w:cs="FrankRuehl"/>
          <w:sz w:val="22"/>
          <w:szCs w:val="22"/>
        </w:rPr>
        <w:footnoteRef/>
      </w:r>
      <w:r w:rsidRPr="00973323">
        <w:rPr>
          <w:rFonts w:ascii="FrankRuehl" w:hAnsi="FrankRuehl" w:cs="FrankRuehl"/>
          <w:sz w:val="22"/>
          <w:szCs w:val="22"/>
          <w:rtl/>
        </w:rPr>
        <w:t xml:space="preserve"> </w:t>
      </w:r>
      <w:r w:rsidR="004F6203">
        <w:rPr>
          <w:rFonts w:asciiTheme="majorBidi" w:hAnsiTheme="majorBidi" w:cstheme="majorBidi" w:hint="cs"/>
          <w:rtl/>
        </w:rPr>
        <w:t>...</w:t>
      </w:r>
    </w:p>
  </w:footnote>
  <w:footnote w:id="6">
    <w:p w14:paraId="47F04EF3" w14:textId="2D706AE4" w:rsidR="004D014B" w:rsidRPr="007A0EFB" w:rsidRDefault="004D014B" w:rsidP="004D014B">
      <w:pPr>
        <w:pStyle w:val="FootnoteText"/>
        <w:bidi/>
        <w:rPr>
          <w:rFonts w:ascii="FrankRuehl" w:hAnsi="FrankRuehl" w:cs="FrankRuehl"/>
          <w:sz w:val="22"/>
          <w:szCs w:val="22"/>
        </w:rPr>
      </w:pPr>
      <w:r w:rsidRPr="00C75C6A">
        <w:rPr>
          <w:rStyle w:val="FootnoteReference"/>
          <w:rFonts w:ascii="FrankRuehl" w:hAnsi="FrankRuehl" w:cs="FrankRuehl"/>
          <w:sz w:val="22"/>
          <w:szCs w:val="22"/>
        </w:rPr>
        <w:footnoteRef/>
      </w:r>
      <w:r w:rsidRPr="00C75C6A">
        <w:rPr>
          <w:rFonts w:ascii="FrankRuehl" w:hAnsi="FrankRuehl" w:cs="FrankRuehl"/>
          <w:sz w:val="22"/>
          <w:szCs w:val="22"/>
          <w:rtl/>
        </w:rPr>
        <w:t xml:space="preserve"> </w:t>
      </w:r>
      <w:r w:rsidRPr="00C75C6A">
        <w:rPr>
          <w:rFonts w:ascii="FrankRuehl" w:hAnsi="FrankRuehl" w:cs="FrankRuehl"/>
          <w:sz w:val="22"/>
          <w:szCs w:val="22"/>
          <w:rtl/>
        </w:rPr>
        <w:t>סדר הציטוטים</w:t>
      </w:r>
      <w:r w:rsidR="004F6203">
        <w:rPr>
          <w:rFonts w:ascii="FrankRuehl" w:hAnsi="FrankRuehl" w:cs="FrankRuehl" w:hint="cs"/>
          <w:sz w:val="22"/>
          <w:szCs w:val="22"/>
          <w:rtl/>
        </w:rPr>
        <w:t xml:space="preserve"> ...</w:t>
      </w:r>
      <w:r>
        <w:rPr>
          <w:rFonts w:ascii="FrankRuehl" w:hAnsi="FrankRuehl" w:cs="FrankRuehl" w:hint="cs"/>
          <w:sz w:val="22"/>
          <w:szCs w:val="22"/>
          <w:rtl/>
        </w:rPr>
        <w:t xml:space="preserve"> </w:t>
      </w:r>
    </w:p>
  </w:footnote>
  <w:footnote w:id="7">
    <w:p w14:paraId="69119698" w14:textId="66743A9E" w:rsidR="004D014B" w:rsidRPr="00064A11" w:rsidRDefault="004D014B" w:rsidP="004D014B">
      <w:pPr>
        <w:pStyle w:val="FootnoteText"/>
        <w:bidi/>
        <w:rPr>
          <w:rFonts w:ascii="FrankRuehl" w:hAnsi="FrankRuehl" w:cs="FrankRuehl"/>
          <w:sz w:val="22"/>
          <w:szCs w:val="22"/>
          <w:rtl/>
        </w:rPr>
      </w:pPr>
      <w:r w:rsidRPr="008A2B2D">
        <w:rPr>
          <w:rStyle w:val="FootnoteReference"/>
          <w:rFonts w:ascii="FrankRuehl" w:hAnsi="FrankRuehl" w:cs="FrankRuehl"/>
          <w:sz w:val="22"/>
          <w:szCs w:val="22"/>
        </w:rPr>
        <w:footnoteRef/>
      </w:r>
      <w:r w:rsidRPr="008A2B2D">
        <w:rPr>
          <w:rFonts w:ascii="FrankRuehl" w:hAnsi="FrankRuehl" w:cs="FrankRuehl"/>
          <w:sz w:val="22"/>
          <w:szCs w:val="22"/>
        </w:rPr>
        <w:t xml:space="preserve"> </w:t>
      </w:r>
      <w:r w:rsidRPr="008A2B2D">
        <w:rPr>
          <w:rFonts w:ascii="FrankRuehl" w:hAnsi="FrankRuehl" w:cs="FrankRuehl"/>
          <w:sz w:val="22"/>
          <w:szCs w:val="22"/>
          <w:rtl/>
        </w:rPr>
        <w:t xml:space="preserve">מובן הוא כי זריעה של שני מיני זרעים יחד אינה יוצרת </w:t>
      </w:r>
      <w:r>
        <w:rPr>
          <w:rFonts w:ascii="FrankRuehl" w:hAnsi="FrankRuehl" w:cs="FrankRuehl" w:hint="cs"/>
          <w:sz w:val="22"/>
          <w:szCs w:val="22"/>
          <w:rtl/>
        </w:rPr>
        <w:t>זן</w:t>
      </w:r>
      <w:r w:rsidRPr="008A2B2D">
        <w:rPr>
          <w:rFonts w:ascii="FrankRuehl" w:hAnsi="FrankRuehl" w:cs="FrankRuehl"/>
          <w:sz w:val="22"/>
          <w:szCs w:val="22"/>
          <w:rtl/>
        </w:rPr>
        <w:t xml:space="preserve"> חדש</w:t>
      </w:r>
      <w:r>
        <w:rPr>
          <w:rFonts w:ascii="FrankRuehl" w:hAnsi="FrankRuehl" w:cs="FrankRuehl" w:hint="cs"/>
          <w:sz w:val="22"/>
          <w:szCs w:val="22"/>
          <w:rtl/>
        </w:rPr>
        <w:t xml:space="preserve"> – על דיוק זה ראו </w:t>
      </w:r>
      <w:r w:rsidR="004F6203">
        <w:rPr>
          <w:rFonts w:ascii="FrankRuehl" w:hAnsi="FrankRuehl" w:cs="FrankRuehl" w:hint="cs"/>
          <w:sz w:val="22"/>
          <w:szCs w:val="22"/>
          <w:rtl/>
        </w:rPr>
        <w:t>...</w:t>
      </w:r>
      <w:r w:rsidRPr="008A2B2D">
        <w:rPr>
          <w:rFonts w:ascii="FrankRuehl" w:hAnsi="FrankRuehl" w:cs="FrankRuehl"/>
          <w:sz w:val="22"/>
          <w:szCs w:val="22"/>
          <w:rtl/>
        </w:rPr>
        <w:t>, ו</w:t>
      </w:r>
      <w:r>
        <w:rPr>
          <w:rFonts w:ascii="FrankRuehl" w:hAnsi="FrankRuehl" w:cs="FrankRuehl" w:hint="cs"/>
          <w:sz w:val="22"/>
          <w:szCs w:val="22"/>
          <w:rtl/>
        </w:rPr>
        <w:t xml:space="preserve">על כן </w:t>
      </w:r>
      <w:r w:rsidRPr="008A2B2D">
        <w:rPr>
          <w:rFonts w:ascii="FrankRuehl" w:hAnsi="FrankRuehl" w:cs="FrankRuehl"/>
          <w:sz w:val="22"/>
          <w:szCs w:val="22"/>
          <w:rtl/>
        </w:rPr>
        <w:t>החוקרים על פי רוב ר</w:t>
      </w:r>
      <w:r w:rsidRPr="00064A11">
        <w:rPr>
          <w:rFonts w:ascii="FrankRuehl" w:hAnsi="FrankRuehl" w:cs="FrankRuehl"/>
          <w:sz w:val="22"/>
          <w:szCs w:val="22"/>
          <w:rtl/>
        </w:rPr>
        <w:t>או באיסור זה ביטוי סמלי להפרד</w:t>
      </w:r>
      <w:r>
        <w:rPr>
          <w:rFonts w:ascii="FrankRuehl" w:hAnsi="FrankRuehl" w:cs="FrankRuehl" w:hint="cs"/>
          <w:sz w:val="22"/>
          <w:szCs w:val="22"/>
          <w:rtl/>
        </w:rPr>
        <w:t>ת המינים והזנים</w:t>
      </w:r>
      <w:r w:rsidRPr="00064A11">
        <w:rPr>
          <w:rFonts w:ascii="FrankRuehl" w:hAnsi="FrankRuehl" w:cs="FrankRuehl"/>
          <w:sz w:val="22"/>
          <w:szCs w:val="22"/>
          <w:rtl/>
        </w:rPr>
        <w:t xml:space="preserve"> הנדרשת.</w:t>
      </w:r>
    </w:p>
  </w:footnote>
  <w:footnote w:id="8">
    <w:p w14:paraId="62CB28A6" w14:textId="4C95E848" w:rsidR="004D014B" w:rsidRPr="00064A11" w:rsidRDefault="004D014B" w:rsidP="004D014B">
      <w:pPr>
        <w:pStyle w:val="FootnoteText"/>
        <w:bidi/>
      </w:pPr>
      <w:r w:rsidRPr="00064A11">
        <w:rPr>
          <w:rStyle w:val="FootnoteReference"/>
          <w:rFonts w:ascii="FrankRuehl" w:hAnsi="FrankRuehl" w:cs="FrankRuehl"/>
          <w:sz w:val="22"/>
          <w:szCs w:val="22"/>
        </w:rPr>
        <w:footnoteRef/>
      </w:r>
      <w:r w:rsidRPr="00064A11">
        <w:rPr>
          <w:rFonts w:ascii="FrankRuehl" w:hAnsi="FrankRuehl" w:cs="FrankRuehl"/>
          <w:sz w:val="22"/>
          <w:szCs w:val="22"/>
        </w:rPr>
        <w:t xml:space="preserve"> </w:t>
      </w:r>
      <w:r w:rsidRPr="00064A11">
        <w:rPr>
          <w:rFonts w:ascii="FrankRuehl" w:hAnsi="FrankRuehl" w:cs="FrankRuehl"/>
          <w:sz w:val="22"/>
          <w:szCs w:val="22"/>
          <w:rtl/>
        </w:rPr>
        <w:t xml:space="preserve">אשר </w:t>
      </w:r>
      <w:r>
        <w:rPr>
          <w:rFonts w:ascii="FrankRuehl" w:hAnsi="FrankRuehl" w:cs="FrankRuehl" w:hint="cs"/>
          <w:sz w:val="22"/>
          <w:szCs w:val="22"/>
          <w:rtl/>
        </w:rPr>
        <w:t xml:space="preserve">למקדש – השעטנז נמצא ביריעות התחתונות של המשכן והפרוכת שמכסה את הדביר (שמ' </w:t>
      </w:r>
      <w:proofErr w:type="spellStart"/>
      <w:r>
        <w:rPr>
          <w:rFonts w:ascii="FrankRuehl" w:hAnsi="FrankRuehl" w:cs="FrankRuehl" w:hint="cs"/>
          <w:sz w:val="22"/>
          <w:szCs w:val="22"/>
          <w:rtl/>
        </w:rPr>
        <w:t>כו</w:t>
      </w:r>
      <w:proofErr w:type="spellEnd"/>
      <w:r>
        <w:rPr>
          <w:rFonts w:ascii="FrankRuehl" w:hAnsi="FrankRuehl" w:cs="FrankRuehl" w:hint="cs"/>
          <w:sz w:val="22"/>
          <w:szCs w:val="22"/>
          <w:rtl/>
        </w:rPr>
        <w:t xml:space="preserve"> 1, 31), ואשר </w:t>
      </w:r>
      <w:r w:rsidRPr="00064A11">
        <w:rPr>
          <w:rFonts w:ascii="FrankRuehl" w:hAnsi="FrankRuehl" w:cs="FrankRuehl"/>
          <w:sz w:val="22"/>
          <w:szCs w:val="22"/>
          <w:rtl/>
        </w:rPr>
        <w:t>למשרתי הקודש</w:t>
      </w:r>
      <w:r>
        <w:rPr>
          <w:rFonts w:ascii="FrankRuehl" w:hAnsi="FrankRuehl" w:cs="FrankRuehl" w:hint="cs"/>
          <w:sz w:val="22"/>
          <w:szCs w:val="22"/>
          <w:rtl/>
        </w:rPr>
        <w:t xml:space="preserve"> –</w:t>
      </w:r>
      <w:r w:rsidRPr="00064A11">
        <w:rPr>
          <w:rFonts w:ascii="FrankRuehl" w:hAnsi="FrankRuehl" w:cs="FrankRuehl"/>
          <w:sz w:val="22"/>
          <w:szCs w:val="22"/>
          <w:rtl/>
        </w:rPr>
        <w:t xml:space="preserve"> </w:t>
      </w:r>
      <w:r>
        <w:rPr>
          <w:rFonts w:ascii="FrankRuehl" w:hAnsi="FrankRuehl" w:cs="FrankRuehl" w:hint="cs"/>
          <w:sz w:val="22"/>
          <w:szCs w:val="22"/>
          <w:rtl/>
        </w:rPr>
        <w:t xml:space="preserve">השעטנז נמצא באפוד החושן ובאבנט של הכהן הגדול (ראו שמ' </w:t>
      </w:r>
      <w:proofErr w:type="spellStart"/>
      <w:r>
        <w:rPr>
          <w:rFonts w:ascii="FrankRuehl" w:hAnsi="FrankRuehl" w:cs="FrankRuehl" w:hint="cs"/>
          <w:sz w:val="22"/>
          <w:szCs w:val="22"/>
          <w:rtl/>
        </w:rPr>
        <w:t>כח</w:t>
      </w:r>
      <w:proofErr w:type="spellEnd"/>
      <w:r>
        <w:rPr>
          <w:rFonts w:ascii="FrankRuehl" w:hAnsi="FrankRuehl" w:cs="FrankRuehl" w:hint="cs"/>
          <w:sz w:val="22"/>
          <w:szCs w:val="22"/>
          <w:rtl/>
        </w:rPr>
        <w:t xml:space="preserve"> 6, 15; לט 29 [בפס' 29 התייחסות לכוהנים בכללם]), ולמול זאת ישראל מסתפק בפתיל תכלת (</w:t>
      </w:r>
      <w:proofErr w:type="spellStart"/>
      <w:r>
        <w:rPr>
          <w:rFonts w:ascii="FrankRuehl" w:hAnsi="FrankRuehl" w:cs="FrankRuehl" w:hint="cs"/>
          <w:sz w:val="22"/>
          <w:szCs w:val="22"/>
          <w:rtl/>
        </w:rPr>
        <w:t>במ</w:t>
      </w:r>
      <w:proofErr w:type="spellEnd"/>
      <w:r>
        <w:rPr>
          <w:rFonts w:ascii="FrankRuehl" w:hAnsi="FrankRuehl" w:cs="FrankRuehl" w:hint="cs"/>
          <w:sz w:val="22"/>
          <w:szCs w:val="22"/>
          <w:rtl/>
        </w:rPr>
        <w:t xml:space="preserve">' טו 39); </w:t>
      </w:r>
      <w:r w:rsidR="004F6203">
        <w:rPr>
          <w:rFonts w:asciiTheme="majorBidi" w:hAnsiTheme="majorBidi" w:cstheme="majorBidi" w:hint="cs"/>
          <w:rtl/>
        </w:rPr>
        <w:t>...</w:t>
      </w:r>
    </w:p>
  </w:footnote>
  <w:footnote w:id="9">
    <w:p w14:paraId="26E34392" w14:textId="36165EB7" w:rsidR="004D014B" w:rsidRPr="006645D8" w:rsidRDefault="004D014B" w:rsidP="004D014B">
      <w:pPr>
        <w:pStyle w:val="FootnoteText"/>
        <w:bidi/>
        <w:rPr>
          <w:rFonts w:ascii="FrankRuehl" w:hAnsi="FrankRuehl" w:cs="FrankRuehl"/>
          <w:sz w:val="22"/>
          <w:szCs w:val="22"/>
          <w:rtl/>
        </w:rPr>
      </w:pPr>
      <w:r w:rsidRPr="00ED406D">
        <w:rPr>
          <w:rStyle w:val="FootnoteReference"/>
          <w:rFonts w:ascii="FrankRuehl" w:hAnsi="FrankRuehl" w:cs="FrankRuehl"/>
          <w:sz w:val="22"/>
          <w:szCs w:val="22"/>
        </w:rPr>
        <w:footnoteRef/>
      </w:r>
      <w:r w:rsidRPr="00ED406D">
        <w:rPr>
          <w:rFonts w:ascii="FrankRuehl" w:hAnsi="FrankRuehl" w:cs="FrankRuehl"/>
          <w:sz w:val="22"/>
          <w:szCs w:val="22"/>
          <w:rtl/>
        </w:rPr>
        <w:t xml:space="preserve"> </w:t>
      </w:r>
      <w:r>
        <w:rPr>
          <w:rFonts w:ascii="FrankRuehl" w:hAnsi="FrankRuehl" w:cs="FrankRuehl" w:hint="cs"/>
          <w:sz w:val="22"/>
          <w:szCs w:val="22"/>
          <w:rtl/>
        </w:rPr>
        <w:t>כיוונים ראשונים להסבר זה לחוקי הכלאיים נמצא כבר בעת העתיקה</w:t>
      </w:r>
      <w:r w:rsidR="004F6203">
        <w:rPr>
          <w:rFonts w:ascii="FrankRuehl" w:hAnsi="FrankRuehl" w:cs="FrankRuehl" w:hint="cs"/>
          <w:sz w:val="22"/>
          <w:szCs w:val="22"/>
          <w:rtl/>
        </w:rPr>
        <w:t xml:space="preserve"> ... </w:t>
      </w:r>
      <w:r>
        <w:rPr>
          <w:rFonts w:ascii="FrankRuehl" w:hAnsi="FrankRuehl" w:cs="FrankRuehl" w:hint="cs"/>
          <w:sz w:val="22"/>
          <w:szCs w:val="22"/>
          <w:rtl/>
        </w:rPr>
        <w:t xml:space="preserve">, והוא רווח בפרשנות הקלאסית, </w:t>
      </w:r>
      <w:r w:rsidR="004F6203">
        <w:rPr>
          <w:rFonts w:ascii="FrankRuehl" w:hAnsi="FrankRuehl" w:cs="FrankRuehl" w:hint="cs"/>
          <w:sz w:val="22"/>
          <w:szCs w:val="22"/>
          <w:rtl/>
        </w:rPr>
        <w:t>...</w:t>
      </w:r>
      <w:r>
        <w:rPr>
          <w:rFonts w:ascii="FrankRuehl" w:hAnsi="FrankRuehl" w:cs="FrankRuehl" w:hint="cs"/>
          <w:sz w:val="22"/>
          <w:szCs w:val="22"/>
          <w:rtl/>
        </w:rPr>
        <w:t xml:space="preserve">, ושם הפניות למחקרים נוספים. </w:t>
      </w:r>
    </w:p>
  </w:footnote>
  <w:footnote w:id="10">
    <w:p w14:paraId="77A3F4A7" w14:textId="14A79760" w:rsidR="004D014B" w:rsidRPr="004A5075" w:rsidRDefault="004D014B" w:rsidP="004D014B">
      <w:pPr>
        <w:pStyle w:val="FootnoteText"/>
        <w:bidi/>
        <w:rPr>
          <w:rFonts w:ascii="FrankRuehl" w:hAnsi="FrankRuehl" w:cs="FrankRuehl"/>
          <w:sz w:val="22"/>
          <w:szCs w:val="22"/>
          <w:rtl/>
        </w:rPr>
      </w:pPr>
      <w:r w:rsidRPr="004A5075">
        <w:rPr>
          <w:rStyle w:val="FootnoteReference"/>
          <w:rFonts w:ascii="FrankRuehl" w:hAnsi="FrankRuehl" w:cs="FrankRuehl"/>
          <w:sz w:val="22"/>
          <w:szCs w:val="22"/>
        </w:rPr>
        <w:footnoteRef/>
      </w:r>
      <w:r w:rsidRPr="004A5075">
        <w:rPr>
          <w:rFonts w:ascii="FrankRuehl" w:hAnsi="FrankRuehl" w:cs="FrankRuehl"/>
          <w:sz w:val="22"/>
          <w:szCs w:val="22"/>
        </w:rPr>
        <w:t xml:space="preserve"> </w:t>
      </w:r>
      <w:r>
        <w:rPr>
          <w:rFonts w:ascii="FrankRuehl" w:hAnsi="FrankRuehl" w:cs="FrankRuehl" w:hint="cs"/>
          <w:sz w:val="22"/>
          <w:szCs w:val="22"/>
          <w:rtl/>
        </w:rPr>
        <w:t>כך איסורי הכלאיים הוצגו כביטוי</w:t>
      </w:r>
      <w:r w:rsidRPr="001A727A">
        <w:rPr>
          <w:rFonts w:ascii="FrankRuehl" w:hAnsi="FrankRuehl" w:cs="FrankRuehl"/>
          <w:sz w:val="22"/>
          <w:szCs w:val="22"/>
          <w:rtl/>
        </w:rPr>
        <w:t xml:space="preserve"> לכל עירוב פסול של יסודות שאין לערבם – עולם תחתון ועולם עליון</w:t>
      </w:r>
      <w:r w:rsidRPr="001A727A">
        <w:rPr>
          <w:rFonts w:ascii="FrankRuehl" w:hAnsi="FrankRuehl" w:cs="FrankRuehl" w:hint="cs"/>
          <w:sz w:val="22"/>
          <w:szCs w:val="22"/>
          <w:rtl/>
        </w:rPr>
        <w:t>, דין ורחמים, טומאה ו</w:t>
      </w:r>
      <w:r>
        <w:rPr>
          <w:rFonts w:ascii="FrankRuehl" w:hAnsi="FrankRuehl" w:cs="FrankRuehl" w:hint="cs"/>
          <w:sz w:val="22"/>
          <w:szCs w:val="22"/>
          <w:rtl/>
        </w:rPr>
        <w:t xml:space="preserve">טהרה, וכיוצא בזה, הנופלים בקטגוריית </w:t>
      </w:r>
      <w:r w:rsidRPr="00614755">
        <w:rPr>
          <w:rFonts w:ascii="FrankRuehl" w:hAnsi="FrankRuehl" w:cs="FrankRuehl" w:hint="cs"/>
          <w:sz w:val="22"/>
          <w:szCs w:val="22"/>
          <w:rtl/>
        </w:rPr>
        <w:t>'</w:t>
      </w:r>
      <w:r w:rsidRPr="00614755">
        <w:rPr>
          <w:rFonts w:ascii="FrankRuehl" w:hAnsi="FrankRuehl" w:cs="FrankRuehl"/>
          <w:color w:val="000000"/>
          <w:sz w:val="22"/>
          <w:szCs w:val="22"/>
          <w:shd w:val="clear" w:color="auto" w:fill="FFFFFF"/>
          <w:rtl/>
        </w:rPr>
        <w:t xml:space="preserve">איסור כלאים וערבוב </w:t>
      </w:r>
      <w:proofErr w:type="spellStart"/>
      <w:r w:rsidRPr="00614755">
        <w:rPr>
          <w:rFonts w:ascii="FrankRuehl" w:hAnsi="FrankRuehl" w:cs="FrankRuehl"/>
          <w:color w:val="000000"/>
          <w:sz w:val="22"/>
          <w:szCs w:val="22"/>
          <w:shd w:val="clear" w:color="auto" w:fill="FFFFFF"/>
          <w:rtl/>
        </w:rPr>
        <w:t>הכ</w:t>
      </w:r>
      <w:r w:rsidRPr="00614755">
        <w:rPr>
          <w:rFonts w:ascii="Arial" w:hAnsi="Arial" w:cs="FrankRuehl"/>
          <w:sz w:val="22"/>
          <w:szCs w:val="22"/>
          <w:rtl/>
        </w:rPr>
        <w:t>ֹּ</w:t>
      </w:r>
      <w:r w:rsidRPr="00614755">
        <w:rPr>
          <w:rFonts w:ascii="FrankRuehl" w:hAnsi="FrankRuehl" w:cs="FrankRuehl"/>
          <w:color w:val="000000"/>
          <w:sz w:val="22"/>
          <w:szCs w:val="22"/>
          <w:shd w:val="clear" w:color="auto" w:fill="FFFFFF"/>
          <w:rtl/>
        </w:rPr>
        <w:t>חות</w:t>
      </w:r>
      <w:proofErr w:type="spellEnd"/>
      <w:r w:rsidRPr="00614755">
        <w:rPr>
          <w:rFonts w:ascii="FrankRuehl" w:hAnsi="FrankRuehl" w:cs="FrankRuehl" w:hint="cs"/>
          <w:color w:val="000000"/>
          <w:sz w:val="22"/>
          <w:szCs w:val="22"/>
          <w:shd w:val="clear" w:color="auto" w:fill="FFFFFF"/>
          <w:rtl/>
        </w:rPr>
        <w:t>'</w:t>
      </w:r>
      <w:r>
        <w:rPr>
          <w:rFonts w:ascii="FrankRuehl" w:hAnsi="FrankRuehl" w:cs="FrankRuehl" w:hint="cs"/>
          <w:color w:val="000000"/>
          <w:sz w:val="22"/>
          <w:szCs w:val="22"/>
          <w:shd w:val="clear" w:color="auto" w:fill="FFFFFF"/>
          <w:rtl/>
        </w:rPr>
        <w:t xml:space="preserve"> </w:t>
      </w:r>
      <w:r w:rsidR="004F6203">
        <w:rPr>
          <w:rFonts w:ascii="FrankRuehl" w:hAnsi="FrankRuehl" w:cs="FrankRuehl" w:hint="cs"/>
          <w:color w:val="000000"/>
          <w:sz w:val="22"/>
          <w:szCs w:val="22"/>
          <w:shd w:val="clear" w:color="auto" w:fill="FFFFFF"/>
          <w:rtl/>
        </w:rPr>
        <w:t>...</w:t>
      </w:r>
      <w:r>
        <w:rPr>
          <w:rFonts w:ascii="FrankRuehl" w:hAnsi="FrankRuehl" w:cs="FrankRuehl" w:hint="cs"/>
          <w:color w:val="000000"/>
          <w:sz w:val="22"/>
          <w:szCs w:val="22"/>
          <w:shd w:val="clear" w:color="auto" w:fill="FFFFFF"/>
          <w:rtl/>
        </w:rPr>
        <w:t>;</w:t>
      </w:r>
      <w:r w:rsidRPr="00614755">
        <w:rPr>
          <w:rFonts w:ascii="FrankRuehl" w:hAnsi="FrankRuehl" w:cs="FrankRuehl"/>
          <w:sz w:val="22"/>
          <w:szCs w:val="22"/>
          <w:rtl/>
        </w:rPr>
        <w:t xml:space="preserve"> </w:t>
      </w:r>
      <w:r>
        <w:rPr>
          <w:rFonts w:ascii="FrankRuehl" w:hAnsi="FrankRuehl" w:cs="FrankRuehl" w:hint="cs"/>
          <w:sz w:val="22"/>
          <w:szCs w:val="22"/>
          <w:rtl/>
        </w:rPr>
        <w:t xml:space="preserve">ובכיוון זה וברוח המחקר הדתי-אנתרופולוגי המודרני, </w:t>
      </w:r>
      <w:r w:rsidR="004F6203">
        <w:rPr>
          <w:rFonts w:ascii="FrankRuehl" w:hAnsi="FrankRuehl" w:cs="FrankRuehl" w:hint="cs"/>
          <w:sz w:val="22"/>
          <w:szCs w:val="22"/>
          <w:rtl/>
        </w:rPr>
        <w:t>...</w:t>
      </w:r>
      <w:r w:rsidRPr="00E0362E">
        <w:rPr>
          <w:rFonts w:cs="FrankRuehl" w:hint="cs"/>
          <w:sz w:val="22"/>
          <w:szCs w:val="22"/>
          <w:rtl/>
        </w:rPr>
        <w:t xml:space="preserve">; </w:t>
      </w:r>
      <w:r>
        <w:rPr>
          <w:rFonts w:cs="FrankRuehl" w:hint="cs"/>
          <w:sz w:val="22"/>
          <w:szCs w:val="22"/>
          <w:rtl/>
        </w:rPr>
        <w:t xml:space="preserve">עוד אציין כי כבר בסוף ימי הבית השני שימשו </w:t>
      </w:r>
      <w:r>
        <w:rPr>
          <w:rFonts w:ascii="FrankRuehl" w:hAnsi="FrankRuehl" w:cs="FrankRuehl" w:hint="cs"/>
          <w:sz w:val="22"/>
          <w:szCs w:val="22"/>
          <w:rtl/>
        </w:rPr>
        <w:t>איסורי הכלאיים כבסיס להלכות נישואין, ו</w:t>
      </w:r>
      <w:r w:rsidRPr="00B7165A">
        <w:rPr>
          <w:rFonts w:ascii="FrankRuehl" w:hAnsi="FrankRuehl" w:cs="FrankRuehl"/>
          <w:sz w:val="22"/>
          <w:szCs w:val="22"/>
          <w:rtl/>
        </w:rPr>
        <w:t>ראו ריכוז</w:t>
      </w:r>
      <w:r>
        <w:rPr>
          <w:rFonts w:ascii="FrankRuehl" w:hAnsi="FrankRuehl" w:cs="FrankRuehl" w:hint="cs"/>
          <w:sz w:val="22"/>
          <w:szCs w:val="22"/>
          <w:rtl/>
        </w:rPr>
        <w:t xml:space="preserve"> המקורות </w:t>
      </w:r>
      <w:r w:rsidRPr="0037174C">
        <w:rPr>
          <w:rFonts w:ascii="FrankRuehl" w:hAnsi="FrankRuehl" w:cs="FrankRuehl" w:hint="cs"/>
          <w:sz w:val="22"/>
          <w:szCs w:val="22"/>
          <w:rtl/>
        </w:rPr>
        <w:t>הרלוונטיים</w:t>
      </w:r>
      <w:r w:rsidRPr="0037174C">
        <w:rPr>
          <w:rFonts w:ascii="FrankRuehl" w:hAnsi="FrankRuehl" w:cs="FrankRuehl"/>
          <w:sz w:val="22"/>
          <w:szCs w:val="22"/>
          <w:rtl/>
        </w:rPr>
        <w:t xml:space="preserve"> </w:t>
      </w:r>
      <w:r>
        <w:rPr>
          <w:rFonts w:ascii="FrankRuehl" w:hAnsi="FrankRuehl" w:cs="FrankRuehl" w:hint="cs"/>
          <w:sz w:val="22"/>
          <w:szCs w:val="22"/>
          <w:rtl/>
        </w:rPr>
        <w:t xml:space="preserve">אצל </w:t>
      </w:r>
      <w:r w:rsidR="004F6203">
        <w:rPr>
          <w:rFonts w:asciiTheme="majorBidi" w:hAnsiTheme="majorBidi" w:cstheme="majorBidi" w:hint="cs"/>
          <w:rtl/>
        </w:rPr>
        <w:t>...</w:t>
      </w:r>
      <w:r w:rsidRPr="0037174C">
        <w:rPr>
          <w:rFonts w:ascii="FrankRuehl" w:hAnsi="FrankRuehl" w:cs="FrankRuehl" w:hint="cs"/>
          <w:sz w:val="22"/>
          <w:szCs w:val="22"/>
          <w:rtl/>
        </w:rPr>
        <w:t xml:space="preserve">, </w:t>
      </w:r>
      <w:r>
        <w:rPr>
          <w:rFonts w:ascii="FrankRuehl" w:hAnsi="FrankRuehl" w:cs="FrankRuehl" w:hint="cs"/>
          <w:sz w:val="22"/>
          <w:szCs w:val="22"/>
          <w:rtl/>
        </w:rPr>
        <w:t xml:space="preserve">ולכיוון זה במחקר (וללא תלות במקורות המוקדמים) </w:t>
      </w:r>
      <w:r w:rsidR="004F6203">
        <w:rPr>
          <w:rFonts w:ascii="FrankRuehl" w:hAnsi="FrankRuehl" w:cs="FrankRuehl" w:hint="cs"/>
          <w:sz w:val="22"/>
          <w:szCs w:val="22"/>
          <w:rtl/>
        </w:rPr>
        <w:t>...</w:t>
      </w:r>
    </w:p>
  </w:footnote>
  <w:footnote w:id="11">
    <w:p w14:paraId="67EDA8D8" w14:textId="0EA40C14" w:rsidR="004D014B" w:rsidRPr="00761097" w:rsidRDefault="004D014B" w:rsidP="004D014B">
      <w:pPr>
        <w:pStyle w:val="FootnoteText"/>
        <w:bidi/>
        <w:rPr>
          <w:rtl/>
        </w:rPr>
      </w:pPr>
      <w:r w:rsidRPr="00761097">
        <w:rPr>
          <w:rStyle w:val="FootnoteReference"/>
          <w:rFonts w:ascii="FrankRuehl" w:hAnsi="FrankRuehl" w:cs="FrankRuehl"/>
          <w:sz w:val="22"/>
          <w:szCs w:val="22"/>
        </w:rPr>
        <w:footnoteRef/>
      </w:r>
      <w:r>
        <w:rPr>
          <w:rFonts w:ascii="FrankRuehl" w:hAnsi="FrankRuehl" w:cs="FrankRuehl"/>
          <w:sz w:val="22"/>
          <w:szCs w:val="22"/>
          <w:rtl/>
        </w:rPr>
        <w:t xml:space="preserve"> </w:t>
      </w:r>
      <w:r>
        <w:rPr>
          <w:rFonts w:ascii="FrankRuehl" w:hAnsi="FrankRuehl" w:cs="FrankRuehl" w:hint="cs"/>
          <w:sz w:val="22"/>
          <w:szCs w:val="22"/>
          <w:rtl/>
        </w:rPr>
        <w:t xml:space="preserve">כך לוויכוח גלוי </w:t>
      </w:r>
      <w:r w:rsidRPr="00761097">
        <w:rPr>
          <w:rFonts w:ascii="FrankRuehl" w:hAnsi="FrankRuehl" w:cs="FrankRuehl"/>
          <w:sz w:val="22"/>
          <w:szCs w:val="22"/>
          <w:rtl/>
        </w:rPr>
        <w:t>עם מחקריו של</w:t>
      </w:r>
      <w:r w:rsidR="004F6203">
        <w:rPr>
          <w:rFonts w:ascii="FrankRuehl" w:hAnsi="FrankRuehl" w:cs="FrankRuehl" w:hint="cs"/>
          <w:sz w:val="22"/>
          <w:szCs w:val="22"/>
          <w:rtl/>
        </w:rPr>
        <w:t xml:space="preserve"> ...</w:t>
      </w:r>
    </w:p>
  </w:footnote>
  <w:footnote w:id="12">
    <w:p w14:paraId="2373622D" w14:textId="326D7A12" w:rsidR="004D014B" w:rsidRPr="00FD39F6" w:rsidRDefault="004D014B" w:rsidP="004D014B">
      <w:pPr>
        <w:pStyle w:val="FootnoteText"/>
        <w:bidi/>
        <w:rPr>
          <w:rFonts w:asciiTheme="majorBidi" w:hAnsiTheme="majorBidi" w:cstheme="majorBidi"/>
        </w:rPr>
      </w:pPr>
      <w:r w:rsidRPr="00FA6EC2">
        <w:rPr>
          <w:rStyle w:val="FootnoteReference"/>
          <w:rFonts w:ascii="FrankRuehl" w:hAnsi="FrankRuehl" w:cs="FrankRuehl"/>
          <w:sz w:val="22"/>
          <w:szCs w:val="22"/>
        </w:rPr>
        <w:footnoteRef/>
      </w:r>
      <w:r>
        <w:rPr>
          <w:rFonts w:ascii="FrankRuehl" w:hAnsi="FrankRuehl" w:cs="FrankRuehl" w:hint="cs"/>
          <w:sz w:val="22"/>
          <w:szCs w:val="22"/>
          <w:rtl/>
        </w:rPr>
        <w:t xml:space="preserve"> </w:t>
      </w:r>
      <w:r>
        <w:rPr>
          <w:rFonts w:ascii="FrankRuehl" w:hAnsi="FrankRuehl" w:cs="FrankRuehl" w:hint="cs"/>
          <w:sz w:val="22"/>
          <w:szCs w:val="22"/>
          <w:rtl/>
        </w:rPr>
        <w:t xml:space="preserve">'כל מין הפרדות אחד', ולמול זה: 'כל שאזניו קטנות </w:t>
      </w:r>
      <w:proofErr w:type="spellStart"/>
      <w:r>
        <w:rPr>
          <w:rFonts w:ascii="FrankRuehl" w:hAnsi="FrankRuehl" w:cs="FrankRuehl" w:hint="cs"/>
          <w:sz w:val="22"/>
          <w:szCs w:val="22"/>
          <w:rtl/>
        </w:rPr>
        <w:t>אמו</w:t>
      </w:r>
      <w:proofErr w:type="spellEnd"/>
      <w:r>
        <w:rPr>
          <w:rFonts w:ascii="FrankRuehl" w:hAnsi="FrankRuehl" w:cs="FrankRuehl" w:hint="cs"/>
          <w:sz w:val="22"/>
          <w:szCs w:val="22"/>
          <w:rtl/>
        </w:rPr>
        <w:t xml:space="preserve"> סוסה ואבו חמור. גדולות </w:t>
      </w:r>
      <w:r>
        <w:rPr>
          <w:rFonts w:ascii="FrankRuehl" w:hAnsi="FrankRuehl" w:cs="FrankRuehl"/>
          <w:sz w:val="22"/>
          <w:szCs w:val="22"/>
          <w:rtl/>
        </w:rPr>
        <w:t>–</w:t>
      </w:r>
      <w:r>
        <w:rPr>
          <w:rFonts w:ascii="FrankRuehl" w:hAnsi="FrankRuehl" w:cs="FrankRuehl" w:hint="cs"/>
          <w:sz w:val="22"/>
          <w:szCs w:val="22"/>
          <w:rtl/>
        </w:rPr>
        <w:t xml:space="preserve"> </w:t>
      </w:r>
      <w:proofErr w:type="spellStart"/>
      <w:r>
        <w:rPr>
          <w:rFonts w:ascii="FrankRuehl" w:hAnsi="FrankRuehl" w:cs="FrankRuehl" w:hint="cs"/>
          <w:sz w:val="22"/>
          <w:szCs w:val="22"/>
          <w:rtl/>
        </w:rPr>
        <w:t>אמו</w:t>
      </w:r>
      <w:proofErr w:type="spellEnd"/>
      <w:r>
        <w:rPr>
          <w:rFonts w:ascii="FrankRuehl" w:hAnsi="FrankRuehl" w:cs="FrankRuehl" w:hint="cs"/>
          <w:sz w:val="22"/>
          <w:szCs w:val="22"/>
          <w:rtl/>
        </w:rPr>
        <w:t xml:space="preserve"> חמורה ואביו סוס'</w:t>
      </w:r>
      <w:r w:rsidR="004F6203">
        <w:rPr>
          <w:rFonts w:ascii="FrankRuehl" w:hAnsi="FrankRuehl" w:cs="FrankRuehl" w:hint="cs"/>
          <w:sz w:val="22"/>
          <w:szCs w:val="22"/>
          <w:rtl/>
        </w:rPr>
        <w:t xml:space="preserve"> ..</w:t>
      </w:r>
      <w:r w:rsidRPr="00FA6EC2">
        <w:rPr>
          <w:rFonts w:ascii="FrankRuehl" w:hAnsi="FrankRuehl" w:cs="FrankRuehl"/>
          <w:sz w:val="22"/>
          <w:szCs w:val="22"/>
          <w:rtl/>
        </w:rPr>
        <w:t>.</w:t>
      </w:r>
      <w:r>
        <w:rPr>
          <w:rFonts w:ascii="FrankRuehl" w:hAnsi="FrankRuehl" w:cs="FrankRuehl" w:hint="cs"/>
          <w:sz w:val="22"/>
          <w:szCs w:val="22"/>
          <w:rtl/>
        </w:rPr>
        <w:t xml:space="preserve"> יש לציין </w:t>
      </w:r>
      <w:r w:rsidRPr="0046637E">
        <w:rPr>
          <w:rFonts w:ascii="FrankRuehl" w:hAnsi="FrankRuehl" w:cs="FrankRuehl" w:hint="cs"/>
          <w:sz w:val="22"/>
          <w:szCs w:val="22"/>
          <w:rtl/>
        </w:rPr>
        <w:t xml:space="preserve">כי פרדים </w:t>
      </w:r>
      <w:proofErr w:type="spellStart"/>
      <w:r w:rsidRPr="0046637E">
        <w:rPr>
          <w:rFonts w:ascii="FrankRuehl" w:hAnsi="FrankRuehl" w:cs="FrankRuehl" w:hint="cs"/>
          <w:sz w:val="22"/>
          <w:szCs w:val="22"/>
          <w:rtl/>
        </w:rPr>
        <w:t>וסוסיות</w:t>
      </w:r>
      <w:proofErr w:type="spellEnd"/>
      <w:r w:rsidRPr="0046637E">
        <w:rPr>
          <w:rFonts w:ascii="FrankRuehl" w:hAnsi="FrankRuehl" w:cs="FrankRuehl" w:hint="cs"/>
          <w:sz w:val="22"/>
          <w:szCs w:val="22"/>
          <w:rtl/>
        </w:rPr>
        <w:t xml:space="preserve"> הם תוצר מלאכותי, ובטבע </w:t>
      </w:r>
      <w:r>
        <w:rPr>
          <w:rFonts w:ascii="FrankRuehl" w:hAnsi="FrankRuehl" w:cs="FrankRuehl" w:hint="cs"/>
          <w:sz w:val="22"/>
          <w:szCs w:val="22"/>
          <w:rtl/>
        </w:rPr>
        <w:t xml:space="preserve">סוסים וחמורים </w:t>
      </w:r>
      <w:r w:rsidRPr="0046637E">
        <w:rPr>
          <w:rFonts w:ascii="FrankRuehl" w:hAnsi="FrankRuehl" w:cs="FrankRuehl" w:hint="cs"/>
          <w:sz w:val="22"/>
          <w:szCs w:val="22"/>
          <w:rtl/>
        </w:rPr>
        <w:t>לא יבחרו להתרבות</w:t>
      </w:r>
      <w:r>
        <w:rPr>
          <w:rFonts w:ascii="FrankRuehl" w:hAnsi="FrankRuehl" w:cs="FrankRuehl" w:hint="cs"/>
          <w:sz w:val="22"/>
          <w:szCs w:val="22"/>
          <w:rtl/>
        </w:rPr>
        <w:t xml:space="preserve"> זה עם זה;</w:t>
      </w:r>
      <w:r w:rsidR="004F6203">
        <w:rPr>
          <w:rFonts w:ascii="FrankRuehl" w:hAnsi="FrankRuehl" w:cs="FrankRuehl" w:hint="cs"/>
          <w:sz w:val="22"/>
          <w:szCs w:val="22"/>
          <w:rtl/>
        </w:rPr>
        <w:t xml:space="preserve"> ...</w:t>
      </w:r>
    </w:p>
  </w:footnote>
  <w:footnote w:id="13">
    <w:p w14:paraId="1C8A2DEB" w14:textId="10C27AFB" w:rsidR="004D014B" w:rsidRPr="003465C4" w:rsidRDefault="004D014B" w:rsidP="004D014B">
      <w:pPr>
        <w:pStyle w:val="FootnoteText"/>
        <w:bidi/>
        <w:rPr>
          <w:rFonts w:ascii="FrankRuehl" w:hAnsi="FrankRuehl" w:cs="FrankRuehl"/>
          <w:sz w:val="22"/>
          <w:szCs w:val="22"/>
          <w:rtl/>
        </w:rPr>
      </w:pPr>
      <w:r w:rsidRPr="00282D99">
        <w:rPr>
          <w:rStyle w:val="FootnoteReference"/>
          <w:rFonts w:ascii="FrankRuehl" w:hAnsi="FrankRuehl" w:cs="FrankRuehl"/>
          <w:sz w:val="22"/>
          <w:szCs w:val="22"/>
        </w:rPr>
        <w:footnoteRef/>
      </w:r>
      <w:r>
        <w:rPr>
          <w:rFonts w:ascii="FrankRuehl" w:hAnsi="FrankRuehl" w:cs="FrankRuehl"/>
          <w:sz w:val="22"/>
          <w:szCs w:val="22"/>
          <w:rtl/>
        </w:rPr>
        <w:t xml:space="preserve"> </w:t>
      </w:r>
      <w:r w:rsidRPr="00282D99">
        <w:rPr>
          <w:rFonts w:ascii="FrankRuehl" w:hAnsi="FrankRuehl" w:cs="FrankRuehl" w:hint="cs"/>
          <w:color w:val="202122"/>
          <w:sz w:val="22"/>
          <w:szCs w:val="22"/>
          <w:shd w:val="clear" w:color="auto" w:fill="FFFFFF"/>
          <w:rtl/>
        </w:rPr>
        <w:t xml:space="preserve">במסכתות שונות </w:t>
      </w:r>
      <w:r w:rsidRPr="00D86107">
        <w:rPr>
          <w:rFonts w:ascii="FrankRuehl" w:hAnsi="FrankRuehl" w:cs="FrankRuehl" w:hint="cs"/>
          <w:color w:val="202122"/>
          <w:sz w:val="22"/>
          <w:szCs w:val="22"/>
          <w:shd w:val="clear" w:color="auto" w:fill="FFFFFF"/>
          <w:rtl/>
        </w:rPr>
        <w:t>במ</w:t>
      </w:r>
      <w:r w:rsidRPr="00D86107">
        <w:rPr>
          <w:rFonts w:ascii="Arial" w:hAnsi="Arial" w:cs="FrankRuehl"/>
          <w:sz w:val="22"/>
          <w:szCs w:val="22"/>
          <w:rtl/>
        </w:rPr>
        <w:t>ִ</w:t>
      </w:r>
      <w:r w:rsidRPr="00D86107">
        <w:rPr>
          <w:rFonts w:ascii="FrankRuehl" w:hAnsi="FrankRuehl" w:cs="FrankRuehl" w:hint="cs"/>
          <w:color w:val="202122"/>
          <w:sz w:val="22"/>
          <w:szCs w:val="22"/>
          <w:shd w:val="clear" w:color="auto" w:fill="FFFFFF"/>
          <w:rtl/>
        </w:rPr>
        <w:t xml:space="preserve">שנה נידונה חיה בשם </w:t>
      </w:r>
      <w:proofErr w:type="spellStart"/>
      <w:r w:rsidRPr="00D86107">
        <w:rPr>
          <w:rFonts w:ascii="FrankRuehl" w:hAnsi="FrankRuehl" w:cs="FrankRuehl" w:hint="cs"/>
          <w:color w:val="202122"/>
          <w:sz w:val="22"/>
          <w:szCs w:val="22"/>
          <w:shd w:val="clear" w:color="auto" w:fill="FFFFFF"/>
          <w:rtl/>
        </w:rPr>
        <w:t>כ</w:t>
      </w:r>
      <w:r w:rsidRPr="00D86107">
        <w:rPr>
          <w:rFonts w:ascii="Arial" w:hAnsi="Arial" w:cs="FrankRuehl"/>
          <w:sz w:val="22"/>
          <w:szCs w:val="22"/>
          <w:rtl/>
        </w:rPr>
        <w:t>ּ</w:t>
      </w:r>
      <w:r w:rsidRPr="00D86107">
        <w:rPr>
          <w:rFonts w:ascii="FrankRuehl" w:hAnsi="FrankRuehl" w:cs="FrankRuehl" w:hint="cs"/>
          <w:color w:val="202122"/>
          <w:sz w:val="22"/>
          <w:szCs w:val="22"/>
          <w:shd w:val="clear" w:color="auto" w:fill="FFFFFF"/>
          <w:rtl/>
        </w:rPr>
        <w:t>ו</w:t>
      </w:r>
      <w:r w:rsidRPr="00D86107">
        <w:rPr>
          <w:rFonts w:ascii="Arial" w:hAnsi="Arial" w:cs="FrankRuehl"/>
          <w:sz w:val="22"/>
          <w:szCs w:val="22"/>
          <w:rtl/>
        </w:rPr>
        <w:t>ֹ</w:t>
      </w:r>
      <w:r w:rsidRPr="00D86107">
        <w:rPr>
          <w:rFonts w:ascii="FrankRuehl" w:hAnsi="FrankRuehl" w:cs="FrankRuehl" w:hint="cs"/>
          <w:color w:val="202122"/>
          <w:sz w:val="22"/>
          <w:szCs w:val="22"/>
          <w:shd w:val="clear" w:color="auto" w:fill="FFFFFF"/>
          <w:rtl/>
        </w:rPr>
        <w:t>י</w:t>
      </w:r>
      <w:proofErr w:type="spellEnd"/>
      <w:r>
        <w:rPr>
          <w:rFonts w:ascii="FrankRuehl" w:hAnsi="FrankRuehl" w:cs="FrankRuehl" w:hint="cs"/>
          <w:color w:val="202122"/>
          <w:sz w:val="22"/>
          <w:szCs w:val="22"/>
          <w:shd w:val="clear" w:color="auto" w:fill="FFFFFF"/>
          <w:rtl/>
        </w:rPr>
        <w:t xml:space="preserve"> (</w:t>
      </w:r>
      <w:proofErr w:type="spellStart"/>
      <w:r>
        <w:rPr>
          <w:rFonts w:asciiTheme="majorBidi" w:hAnsiTheme="majorBidi" w:cstheme="majorBidi"/>
          <w:color w:val="202122"/>
          <w:shd w:val="clear" w:color="auto" w:fill="FFFFFF"/>
        </w:rPr>
        <w:t>koy</w:t>
      </w:r>
      <w:proofErr w:type="spellEnd"/>
      <w:r>
        <w:rPr>
          <w:rFonts w:ascii="FrankRuehl" w:hAnsi="FrankRuehl" w:cs="FrankRuehl" w:hint="cs"/>
          <w:color w:val="202122"/>
          <w:sz w:val="22"/>
          <w:szCs w:val="22"/>
          <w:shd w:val="clear" w:color="auto" w:fill="FFFFFF"/>
          <w:rtl/>
        </w:rPr>
        <w:t>)</w:t>
      </w:r>
      <w:r w:rsidRPr="00D86107">
        <w:rPr>
          <w:rFonts w:ascii="FrankRuehl" w:hAnsi="FrankRuehl" w:cs="FrankRuehl" w:hint="cs"/>
          <w:color w:val="202122"/>
          <w:sz w:val="22"/>
          <w:szCs w:val="22"/>
          <w:shd w:val="clear" w:color="auto" w:fill="FFFFFF"/>
          <w:rtl/>
        </w:rPr>
        <w:t>, שלפי אחת הדעות היא תוצר הכלאה של תיש וצבייה (ו</w:t>
      </w:r>
      <w:r>
        <w:rPr>
          <w:rFonts w:ascii="FrankRuehl" w:hAnsi="FrankRuehl" w:cs="FrankRuehl" w:hint="cs"/>
          <w:color w:val="202122"/>
          <w:sz w:val="22"/>
          <w:szCs w:val="22"/>
          <w:shd w:val="clear" w:color="auto" w:fill="FFFFFF"/>
          <w:rtl/>
        </w:rPr>
        <w:t xml:space="preserve">בהתאמה לחוק איסור כלאיים </w:t>
      </w:r>
      <w:r w:rsidRPr="00D86107">
        <w:rPr>
          <w:rFonts w:ascii="FrankRuehl" w:hAnsi="FrankRuehl" w:cs="FrankRuehl" w:hint="cs"/>
          <w:color w:val="202122"/>
          <w:sz w:val="22"/>
          <w:szCs w:val="22"/>
          <w:shd w:val="clear" w:color="auto" w:fill="FFFFFF"/>
          <w:rtl/>
        </w:rPr>
        <w:t>מחויב שצבייה זו גדלה בשבי ונופלת תחת הה</w:t>
      </w:r>
      <w:r w:rsidRPr="00792FE6">
        <w:rPr>
          <w:rFonts w:ascii="FrankRuehl" w:hAnsi="FrankRuehl" w:cs="FrankRuehl" w:hint="cs"/>
          <w:color w:val="202122"/>
          <w:sz w:val="22"/>
          <w:szCs w:val="22"/>
          <w:shd w:val="clear" w:color="auto" w:fill="FFFFFF"/>
          <w:rtl/>
        </w:rPr>
        <w:t xml:space="preserve">גדרה </w:t>
      </w:r>
      <w:r w:rsidRPr="00792FE6">
        <w:rPr>
          <w:rFonts w:ascii="FrankRuehl" w:hAnsi="FrankRuehl" w:cs="FrankRuehl" w:hint="cs"/>
          <w:sz w:val="22"/>
          <w:szCs w:val="22"/>
          <w:rtl/>
        </w:rPr>
        <w:t>'</w:t>
      </w:r>
      <w:proofErr w:type="spellStart"/>
      <w:r w:rsidRPr="00792FE6">
        <w:rPr>
          <w:rFonts w:ascii="FrankRuehl" w:hAnsi="FrankRuehl" w:cs="FrankRuehl"/>
          <w:sz w:val="22"/>
          <w:szCs w:val="22"/>
          <w:rtl/>
        </w:rPr>
        <w:t>בְּהֶמְתְּך</w:t>
      </w:r>
      <w:proofErr w:type="spellEnd"/>
      <w:r w:rsidRPr="00792FE6">
        <w:rPr>
          <w:rFonts w:ascii="FrankRuehl" w:hAnsi="FrankRuehl" w:cs="FrankRuehl"/>
          <w:sz w:val="22"/>
          <w:szCs w:val="22"/>
          <w:rtl/>
        </w:rPr>
        <w:t>ָ</w:t>
      </w:r>
      <w:r w:rsidRPr="00792FE6">
        <w:rPr>
          <w:rFonts w:ascii="FrankRuehl" w:hAnsi="FrankRuehl" w:cs="FrankRuehl" w:hint="cs"/>
          <w:sz w:val="22"/>
          <w:szCs w:val="22"/>
          <w:rtl/>
        </w:rPr>
        <w:t>'</w:t>
      </w:r>
      <w:r>
        <w:rPr>
          <w:rFonts w:ascii="FrankRuehl" w:hAnsi="FrankRuehl" w:cs="FrankRuehl" w:hint="cs"/>
          <w:color w:val="202122"/>
          <w:sz w:val="22"/>
          <w:szCs w:val="22"/>
          <w:shd w:val="clear" w:color="auto" w:fill="FFFFFF"/>
          <w:rtl/>
        </w:rPr>
        <w:t xml:space="preserve">), </w:t>
      </w:r>
      <w:r w:rsidRPr="00282D99">
        <w:rPr>
          <w:rFonts w:ascii="FrankRuehl" w:hAnsi="FrankRuehl" w:cs="FrankRuehl" w:hint="cs"/>
          <w:color w:val="202122"/>
          <w:sz w:val="22"/>
          <w:szCs w:val="22"/>
          <w:shd w:val="clear" w:color="auto" w:fill="FFFFFF"/>
          <w:rtl/>
        </w:rPr>
        <w:t xml:space="preserve">אך דומה </w:t>
      </w:r>
      <w:r>
        <w:rPr>
          <w:rFonts w:ascii="FrankRuehl" w:hAnsi="FrankRuehl" w:cs="FrankRuehl" w:hint="cs"/>
          <w:color w:val="202122"/>
          <w:sz w:val="22"/>
          <w:szCs w:val="22"/>
          <w:shd w:val="clear" w:color="auto" w:fill="FFFFFF"/>
          <w:rtl/>
        </w:rPr>
        <w:t>שאין כאן אלא ביטוי לוויכוח</w:t>
      </w:r>
      <w:r w:rsidRPr="00282D99">
        <w:rPr>
          <w:rFonts w:ascii="FrankRuehl" w:hAnsi="FrankRuehl" w:cs="FrankRuehl" w:hint="cs"/>
          <w:color w:val="202122"/>
          <w:sz w:val="22"/>
          <w:szCs w:val="22"/>
          <w:shd w:val="clear" w:color="auto" w:fill="FFFFFF"/>
          <w:rtl/>
        </w:rPr>
        <w:t xml:space="preserve"> תיאורטי, </w:t>
      </w:r>
      <w:proofErr w:type="spellStart"/>
      <w:r w:rsidRPr="00282D99">
        <w:rPr>
          <w:rFonts w:ascii="FrankRuehl" w:hAnsi="FrankRuehl" w:cs="FrankRuehl" w:hint="cs"/>
          <w:color w:val="202122"/>
          <w:sz w:val="22"/>
          <w:szCs w:val="22"/>
          <w:shd w:val="clear" w:color="auto" w:fill="FFFFFF"/>
          <w:rtl/>
        </w:rPr>
        <w:t>וה</w:t>
      </w:r>
      <w:r w:rsidRPr="00D86107">
        <w:rPr>
          <w:rFonts w:ascii="FrankRuehl" w:hAnsi="FrankRuehl" w:cs="FrankRuehl" w:hint="cs"/>
          <w:color w:val="202122"/>
          <w:sz w:val="22"/>
          <w:szCs w:val="22"/>
          <w:shd w:val="clear" w:color="auto" w:fill="FFFFFF"/>
          <w:rtl/>
        </w:rPr>
        <w:t>כ</w:t>
      </w:r>
      <w:r w:rsidRPr="00D86107">
        <w:rPr>
          <w:rFonts w:ascii="Arial" w:hAnsi="Arial" w:cs="FrankRuehl"/>
          <w:sz w:val="22"/>
          <w:szCs w:val="22"/>
          <w:rtl/>
        </w:rPr>
        <w:t>ּ</w:t>
      </w:r>
      <w:r w:rsidRPr="00D86107">
        <w:rPr>
          <w:rFonts w:ascii="FrankRuehl" w:hAnsi="FrankRuehl" w:cs="FrankRuehl" w:hint="cs"/>
          <w:color w:val="202122"/>
          <w:sz w:val="22"/>
          <w:szCs w:val="22"/>
          <w:shd w:val="clear" w:color="auto" w:fill="FFFFFF"/>
          <w:rtl/>
        </w:rPr>
        <w:t>ו</w:t>
      </w:r>
      <w:r w:rsidRPr="00D86107">
        <w:rPr>
          <w:rFonts w:ascii="Arial" w:hAnsi="Arial" w:cs="FrankRuehl"/>
          <w:sz w:val="22"/>
          <w:szCs w:val="22"/>
          <w:rtl/>
        </w:rPr>
        <w:t>ֹ</w:t>
      </w:r>
      <w:r w:rsidRPr="00D86107">
        <w:rPr>
          <w:rFonts w:ascii="FrankRuehl" w:hAnsi="FrankRuehl" w:cs="FrankRuehl" w:hint="cs"/>
          <w:color w:val="202122"/>
          <w:sz w:val="22"/>
          <w:szCs w:val="22"/>
          <w:shd w:val="clear" w:color="auto" w:fill="FFFFFF"/>
          <w:rtl/>
        </w:rPr>
        <w:t>י</w:t>
      </w:r>
      <w:proofErr w:type="spellEnd"/>
      <w:r w:rsidRPr="00282D99">
        <w:rPr>
          <w:rFonts w:ascii="FrankRuehl" w:hAnsi="FrankRuehl" w:cs="FrankRuehl" w:hint="cs"/>
          <w:color w:val="202122"/>
          <w:sz w:val="22"/>
          <w:szCs w:val="22"/>
          <w:shd w:val="clear" w:color="auto" w:fill="FFFFFF"/>
          <w:rtl/>
        </w:rPr>
        <w:t xml:space="preserve"> הובא כמקרה מבחן רב-עניין לבעל חיים שלא ברור אם יש לזהותו עם בהמה או עם חיה. </w:t>
      </w:r>
      <w:r>
        <w:rPr>
          <w:rFonts w:ascii="FrankRuehl" w:hAnsi="FrankRuehl" w:cs="FrankRuehl" w:hint="cs"/>
          <w:color w:val="202122"/>
          <w:sz w:val="22"/>
          <w:szCs w:val="22"/>
          <w:shd w:val="clear" w:color="auto" w:fill="FFFFFF"/>
          <w:rtl/>
        </w:rPr>
        <w:t xml:space="preserve">לכך יש להוסיף כי </w:t>
      </w:r>
      <w:r w:rsidRPr="00282D99">
        <w:rPr>
          <w:rFonts w:ascii="FrankRuehl" w:hAnsi="FrankRuehl" w:cs="FrankRuehl" w:hint="cs"/>
          <w:color w:val="202122"/>
          <w:sz w:val="22"/>
          <w:szCs w:val="22"/>
          <w:shd w:val="clear" w:color="auto" w:fill="FFFFFF"/>
          <w:rtl/>
        </w:rPr>
        <w:t xml:space="preserve">קיימת הסכמה רחבה כי </w:t>
      </w:r>
      <w:proofErr w:type="spellStart"/>
      <w:r w:rsidRPr="00282D99">
        <w:rPr>
          <w:rFonts w:ascii="FrankRuehl" w:hAnsi="FrankRuehl" w:cs="FrankRuehl" w:hint="cs"/>
          <w:color w:val="202122"/>
          <w:sz w:val="22"/>
          <w:szCs w:val="22"/>
          <w:shd w:val="clear" w:color="auto" w:fill="FFFFFF"/>
          <w:rtl/>
        </w:rPr>
        <w:t>ה</w:t>
      </w:r>
      <w:r w:rsidRPr="00D86107">
        <w:rPr>
          <w:rFonts w:ascii="FrankRuehl" w:hAnsi="FrankRuehl" w:cs="FrankRuehl" w:hint="cs"/>
          <w:color w:val="202122"/>
          <w:sz w:val="22"/>
          <w:szCs w:val="22"/>
          <w:shd w:val="clear" w:color="auto" w:fill="FFFFFF"/>
          <w:rtl/>
        </w:rPr>
        <w:t>כ</w:t>
      </w:r>
      <w:r w:rsidRPr="00D86107">
        <w:rPr>
          <w:rFonts w:ascii="Arial" w:hAnsi="Arial" w:cs="FrankRuehl"/>
          <w:sz w:val="22"/>
          <w:szCs w:val="22"/>
          <w:rtl/>
        </w:rPr>
        <w:t>ּ</w:t>
      </w:r>
      <w:r w:rsidRPr="00D86107">
        <w:rPr>
          <w:rFonts w:ascii="FrankRuehl" w:hAnsi="FrankRuehl" w:cs="FrankRuehl" w:hint="cs"/>
          <w:color w:val="202122"/>
          <w:sz w:val="22"/>
          <w:szCs w:val="22"/>
          <w:shd w:val="clear" w:color="auto" w:fill="FFFFFF"/>
          <w:rtl/>
        </w:rPr>
        <w:t>ו</w:t>
      </w:r>
      <w:r w:rsidRPr="00D86107">
        <w:rPr>
          <w:rFonts w:ascii="Arial" w:hAnsi="Arial" w:cs="FrankRuehl"/>
          <w:sz w:val="22"/>
          <w:szCs w:val="22"/>
          <w:rtl/>
        </w:rPr>
        <w:t>ֹ</w:t>
      </w:r>
      <w:r w:rsidRPr="00D86107">
        <w:rPr>
          <w:rFonts w:ascii="FrankRuehl" w:hAnsi="FrankRuehl" w:cs="FrankRuehl" w:hint="cs"/>
          <w:color w:val="202122"/>
          <w:sz w:val="22"/>
          <w:szCs w:val="22"/>
          <w:shd w:val="clear" w:color="auto" w:fill="FFFFFF"/>
          <w:rtl/>
        </w:rPr>
        <w:t>י</w:t>
      </w:r>
      <w:proofErr w:type="spellEnd"/>
      <w:r w:rsidRPr="00282D99">
        <w:rPr>
          <w:rFonts w:ascii="FrankRuehl" w:hAnsi="FrankRuehl" w:cs="FrankRuehl" w:hint="cs"/>
          <w:color w:val="202122"/>
          <w:sz w:val="22"/>
          <w:szCs w:val="22"/>
          <w:shd w:val="clear" w:color="auto" w:fill="FFFFFF"/>
          <w:rtl/>
        </w:rPr>
        <w:t xml:space="preserve"> </w:t>
      </w:r>
      <w:r>
        <w:rPr>
          <w:rFonts w:ascii="FrankRuehl" w:hAnsi="FrankRuehl" w:cs="FrankRuehl" w:hint="cs"/>
          <w:color w:val="202122"/>
          <w:sz w:val="22"/>
          <w:szCs w:val="22"/>
          <w:shd w:val="clear" w:color="auto" w:fill="FFFFFF"/>
          <w:rtl/>
        </w:rPr>
        <w:t xml:space="preserve">(ככל הנראה ג'מוס) </w:t>
      </w:r>
      <w:r w:rsidRPr="00282D99">
        <w:rPr>
          <w:rFonts w:ascii="FrankRuehl" w:hAnsi="FrankRuehl" w:cs="FrankRuehl" w:hint="cs"/>
          <w:color w:val="202122"/>
          <w:sz w:val="22"/>
          <w:szCs w:val="22"/>
          <w:shd w:val="clear" w:color="auto" w:fill="FFFFFF"/>
          <w:rtl/>
        </w:rPr>
        <w:t xml:space="preserve">הובא לישראל בשלב מאוחר יחסית, ורק לקראת סוף </w:t>
      </w:r>
      <w:r>
        <w:rPr>
          <w:rFonts w:ascii="FrankRuehl" w:hAnsi="FrankRuehl" w:cs="FrankRuehl" w:hint="cs"/>
          <w:color w:val="202122"/>
          <w:sz w:val="22"/>
          <w:szCs w:val="22"/>
          <w:shd w:val="clear" w:color="auto" w:fill="FFFFFF"/>
          <w:rtl/>
        </w:rPr>
        <w:t xml:space="preserve">ימי </w:t>
      </w:r>
      <w:r w:rsidRPr="00282D99">
        <w:rPr>
          <w:rFonts w:ascii="FrankRuehl" w:hAnsi="FrankRuehl" w:cs="FrankRuehl" w:hint="cs"/>
          <w:color w:val="202122"/>
          <w:sz w:val="22"/>
          <w:szCs w:val="22"/>
          <w:shd w:val="clear" w:color="auto" w:fill="FFFFFF"/>
          <w:rtl/>
        </w:rPr>
        <w:t>הבית השני</w:t>
      </w:r>
      <w:r w:rsidRPr="00792FE6">
        <w:rPr>
          <w:rFonts w:ascii="FrankRuehl" w:hAnsi="FrankRuehl" w:cs="FrankRuehl" w:hint="cs"/>
          <w:sz w:val="22"/>
          <w:szCs w:val="22"/>
          <w:rtl/>
        </w:rPr>
        <w:t>;</w:t>
      </w:r>
      <w:r w:rsidRPr="00792FE6">
        <w:rPr>
          <w:rFonts w:ascii="FrankRuehl" w:hAnsi="FrankRuehl" w:cs="FrankRuehl" w:hint="cs"/>
          <w:color w:val="202122"/>
          <w:sz w:val="22"/>
          <w:szCs w:val="22"/>
          <w:shd w:val="clear" w:color="auto" w:fill="FFFFFF"/>
          <w:rtl/>
        </w:rPr>
        <w:t xml:space="preserve"> </w:t>
      </w:r>
      <w:r w:rsidRPr="00792FE6">
        <w:rPr>
          <w:rFonts w:ascii="FrankRuehl" w:hAnsi="FrankRuehl" w:cs="FrankRuehl"/>
          <w:sz w:val="22"/>
          <w:szCs w:val="22"/>
          <w:rtl/>
        </w:rPr>
        <w:t>לדיון</w:t>
      </w:r>
      <w:r w:rsidRPr="000E06FB">
        <w:rPr>
          <w:rFonts w:ascii="FrankRuehl" w:hAnsi="FrankRuehl" w:cs="FrankRuehl"/>
          <w:sz w:val="22"/>
          <w:szCs w:val="22"/>
          <w:rtl/>
        </w:rPr>
        <w:t xml:space="preserve"> מפורט בזיהויו של </w:t>
      </w:r>
      <w:proofErr w:type="spellStart"/>
      <w:r w:rsidRPr="000E06FB">
        <w:rPr>
          <w:rFonts w:ascii="FrankRuehl" w:hAnsi="FrankRuehl" w:cs="FrankRuehl"/>
          <w:sz w:val="22"/>
          <w:szCs w:val="22"/>
          <w:rtl/>
        </w:rPr>
        <w:t>ה</w:t>
      </w:r>
      <w:r w:rsidRPr="00D86107">
        <w:rPr>
          <w:rFonts w:ascii="FrankRuehl" w:hAnsi="FrankRuehl" w:cs="FrankRuehl" w:hint="cs"/>
          <w:color w:val="202122"/>
          <w:sz w:val="22"/>
          <w:szCs w:val="22"/>
          <w:shd w:val="clear" w:color="auto" w:fill="FFFFFF"/>
          <w:rtl/>
        </w:rPr>
        <w:t>כ</w:t>
      </w:r>
      <w:r w:rsidRPr="00D86107">
        <w:rPr>
          <w:rFonts w:ascii="Arial" w:hAnsi="Arial" w:cs="FrankRuehl"/>
          <w:sz w:val="22"/>
          <w:szCs w:val="22"/>
          <w:rtl/>
        </w:rPr>
        <w:t>ּ</w:t>
      </w:r>
      <w:r w:rsidRPr="00D86107">
        <w:rPr>
          <w:rFonts w:ascii="FrankRuehl" w:hAnsi="FrankRuehl" w:cs="FrankRuehl" w:hint="cs"/>
          <w:color w:val="202122"/>
          <w:sz w:val="22"/>
          <w:szCs w:val="22"/>
          <w:shd w:val="clear" w:color="auto" w:fill="FFFFFF"/>
          <w:rtl/>
        </w:rPr>
        <w:t>ו</w:t>
      </w:r>
      <w:r w:rsidRPr="00D86107">
        <w:rPr>
          <w:rFonts w:ascii="Arial" w:hAnsi="Arial" w:cs="FrankRuehl"/>
          <w:sz w:val="22"/>
          <w:szCs w:val="22"/>
          <w:rtl/>
        </w:rPr>
        <w:t>ֹ</w:t>
      </w:r>
      <w:r w:rsidRPr="00D86107">
        <w:rPr>
          <w:rFonts w:ascii="FrankRuehl" w:hAnsi="FrankRuehl" w:cs="FrankRuehl" w:hint="cs"/>
          <w:color w:val="202122"/>
          <w:sz w:val="22"/>
          <w:szCs w:val="22"/>
          <w:shd w:val="clear" w:color="auto" w:fill="FFFFFF"/>
          <w:rtl/>
        </w:rPr>
        <w:t>י</w:t>
      </w:r>
      <w:proofErr w:type="spellEnd"/>
      <w:r w:rsidRPr="000E06FB">
        <w:rPr>
          <w:rFonts w:ascii="FrankRuehl" w:hAnsi="FrankRuehl" w:cs="FrankRuehl"/>
          <w:sz w:val="22"/>
          <w:szCs w:val="22"/>
          <w:rtl/>
        </w:rPr>
        <w:t>, ולסיכום הדעות השונות שנאמרו</w:t>
      </w:r>
      <w:r w:rsidRPr="0084688A">
        <w:rPr>
          <w:rFonts w:ascii="FrankRuehl" w:hAnsi="FrankRuehl" w:cs="FrankRuehl"/>
          <w:sz w:val="22"/>
          <w:szCs w:val="22"/>
          <w:rtl/>
        </w:rPr>
        <w:t xml:space="preserve"> בעניינו במסורת ובמחקר </w:t>
      </w:r>
      <w:r w:rsidR="004F6203">
        <w:rPr>
          <w:rFonts w:ascii="FrankRuehl" w:hAnsi="FrankRuehl" w:cs="FrankRuehl" w:hint="cs"/>
          <w:sz w:val="22"/>
          <w:szCs w:val="22"/>
          <w:rtl/>
        </w:rPr>
        <w:t>...</w:t>
      </w:r>
      <w:r w:rsidRPr="0084688A">
        <w:rPr>
          <w:rFonts w:ascii="FrankRuehl" w:hAnsi="FrankRuehl" w:cs="FrankRuehl"/>
          <w:sz w:val="22"/>
          <w:szCs w:val="22"/>
          <w:rtl/>
        </w:rPr>
        <w:t xml:space="preserve">, ועל הדעה כי מדובר </w:t>
      </w:r>
      <w:r w:rsidRPr="003465C4">
        <w:rPr>
          <w:rFonts w:ascii="FrankRuehl" w:hAnsi="FrankRuehl" w:cs="FrankRuehl"/>
          <w:sz w:val="22"/>
          <w:szCs w:val="22"/>
          <w:rtl/>
        </w:rPr>
        <w:t xml:space="preserve">בהכלאה </w:t>
      </w:r>
      <w:r w:rsidR="004F6203">
        <w:rPr>
          <w:rFonts w:ascii="FrankRuehl" w:hAnsi="FrankRuehl" w:cs="FrankRuehl" w:hint="cs"/>
          <w:sz w:val="22"/>
          <w:szCs w:val="22"/>
          <w:rtl/>
        </w:rPr>
        <w:t>...</w:t>
      </w:r>
    </w:p>
  </w:footnote>
  <w:footnote w:id="14">
    <w:p w14:paraId="7C10547A" w14:textId="77777777" w:rsidR="004D014B" w:rsidRPr="000E06FB" w:rsidRDefault="004D014B" w:rsidP="004D014B">
      <w:pPr>
        <w:pStyle w:val="FootnoteText"/>
        <w:bidi/>
        <w:rPr>
          <w:rFonts w:ascii="FrankRuehl" w:hAnsi="FrankRuehl" w:cs="FrankRuehl"/>
          <w:sz w:val="22"/>
          <w:szCs w:val="22"/>
          <w:rtl/>
        </w:rPr>
      </w:pPr>
      <w:r w:rsidRPr="008E7ABB">
        <w:rPr>
          <w:rStyle w:val="FootnoteReference"/>
          <w:rFonts w:ascii="FrankRuehl" w:hAnsi="FrankRuehl" w:cs="FrankRuehl"/>
          <w:sz w:val="22"/>
          <w:szCs w:val="22"/>
        </w:rPr>
        <w:footnoteRef/>
      </w:r>
      <w:r w:rsidRPr="008E7ABB">
        <w:rPr>
          <w:rFonts w:ascii="FrankRuehl" w:hAnsi="FrankRuehl" w:cs="FrankRuehl"/>
          <w:sz w:val="22"/>
          <w:szCs w:val="22"/>
        </w:rPr>
        <w:t xml:space="preserve"> </w:t>
      </w:r>
      <w:r w:rsidRPr="003465C4">
        <w:rPr>
          <w:rFonts w:ascii="FrankRuehl" w:hAnsi="FrankRuehl" w:cs="FrankRuehl"/>
          <w:sz w:val="22"/>
          <w:szCs w:val="22"/>
          <w:rtl/>
        </w:rPr>
        <w:t xml:space="preserve">במשנה כלאיים נמנו זיווגים שונים כגון זאב וכלב, כלב בר ותן, עז בר וכבשה </w:t>
      </w:r>
      <w:r>
        <w:rPr>
          <w:rFonts w:ascii="FrankRuehl" w:hAnsi="FrankRuehl" w:cs="FrankRuehl" w:hint="cs"/>
          <w:sz w:val="22"/>
          <w:szCs w:val="22"/>
          <w:rtl/>
        </w:rPr>
        <w:t xml:space="preserve">ועוד (לריכוז הנתונים ראו </w:t>
      </w:r>
      <w:r>
        <w:rPr>
          <w:rFonts w:asciiTheme="majorBidi" w:hAnsiTheme="majorBidi" w:cstheme="majorBidi"/>
        </w:rPr>
        <w:t>M</w:t>
      </w:r>
      <w:r w:rsidRPr="003465C4">
        <w:rPr>
          <w:rFonts w:asciiTheme="majorBidi" w:hAnsiTheme="majorBidi" w:cstheme="majorBidi"/>
        </w:rPr>
        <w:t>ilgrom, Law</w:t>
      </w:r>
      <w:r>
        <w:rPr>
          <w:rFonts w:asciiTheme="majorBidi" w:hAnsiTheme="majorBidi" w:cstheme="majorBidi"/>
        </w:rPr>
        <w:t>, 545</w:t>
      </w:r>
      <w:r>
        <w:rPr>
          <w:rFonts w:ascii="FrankRuehl" w:hAnsi="FrankRuehl" w:cs="FrankRuehl" w:hint="cs"/>
          <w:sz w:val="22"/>
          <w:szCs w:val="22"/>
          <w:rtl/>
        </w:rPr>
        <w:t>);</w:t>
      </w:r>
      <w:r w:rsidRPr="003465C4">
        <w:rPr>
          <w:rFonts w:ascii="FrankRuehl" w:hAnsi="FrankRuehl" w:cs="FrankRuehl"/>
          <w:sz w:val="22"/>
          <w:szCs w:val="22"/>
          <w:rtl/>
        </w:rPr>
        <w:t xml:space="preserve"> </w:t>
      </w:r>
      <w:r>
        <w:rPr>
          <w:rFonts w:ascii="FrankRuehl" w:hAnsi="FrankRuehl" w:cs="FrankRuehl" w:hint="cs"/>
          <w:sz w:val="22"/>
          <w:szCs w:val="22"/>
          <w:rtl/>
        </w:rPr>
        <w:t xml:space="preserve">גם אם נקבל את האפשרות שהחכמים הניחו שאלו הם </w:t>
      </w:r>
      <w:r w:rsidRPr="003465C4">
        <w:rPr>
          <w:rFonts w:ascii="FrankRuehl" w:hAnsi="FrankRuehl" w:cs="FrankRuehl"/>
          <w:sz w:val="22"/>
          <w:szCs w:val="22"/>
          <w:rtl/>
        </w:rPr>
        <w:t xml:space="preserve">זיווגים אפשריים, </w:t>
      </w:r>
      <w:r>
        <w:rPr>
          <w:rFonts w:ascii="FrankRuehl" w:hAnsi="FrankRuehl" w:cs="FrankRuehl" w:hint="cs"/>
          <w:sz w:val="22"/>
          <w:szCs w:val="22"/>
          <w:rtl/>
        </w:rPr>
        <w:t>הרי שבעלי חיים אלו אינ</w:t>
      </w:r>
      <w:r w:rsidRPr="003465C4">
        <w:rPr>
          <w:rFonts w:ascii="FrankRuehl" w:hAnsi="FrankRuehl" w:cs="FrankRuehl"/>
          <w:sz w:val="22"/>
          <w:szCs w:val="22"/>
          <w:rtl/>
        </w:rPr>
        <w:t xml:space="preserve">ם נופלים תחת </w:t>
      </w:r>
      <w:r w:rsidRPr="00792FE6">
        <w:rPr>
          <w:rFonts w:ascii="FrankRuehl" w:hAnsi="FrankRuehl" w:cs="FrankRuehl" w:hint="cs"/>
          <w:color w:val="202122"/>
          <w:sz w:val="22"/>
          <w:szCs w:val="22"/>
          <w:shd w:val="clear" w:color="auto" w:fill="FFFFFF"/>
          <w:rtl/>
        </w:rPr>
        <w:t xml:space="preserve">ההגדרה </w:t>
      </w:r>
      <w:r w:rsidRPr="00792FE6">
        <w:rPr>
          <w:rFonts w:ascii="FrankRuehl" w:hAnsi="FrankRuehl" w:cs="FrankRuehl" w:hint="cs"/>
          <w:sz w:val="22"/>
          <w:szCs w:val="22"/>
          <w:rtl/>
        </w:rPr>
        <w:t>'</w:t>
      </w:r>
      <w:proofErr w:type="spellStart"/>
      <w:r w:rsidRPr="00792FE6">
        <w:rPr>
          <w:rFonts w:ascii="FrankRuehl" w:hAnsi="FrankRuehl" w:cs="FrankRuehl"/>
          <w:sz w:val="22"/>
          <w:szCs w:val="22"/>
          <w:rtl/>
        </w:rPr>
        <w:t>בְּהֶמְתְּך</w:t>
      </w:r>
      <w:proofErr w:type="spellEnd"/>
      <w:r w:rsidRPr="00792FE6">
        <w:rPr>
          <w:rFonts w:ascii="FrankRuehl" w:hAnsi="FrankRuehl" w:cs="FrankRuehl"/>
          <w:sz w:val="22"/>
          <w:szCs w:val="22"/>
          <w:rtl/>
        </w:rPr>
        <w:t>ָ</w:t>
      </w:r>
      <w:r w:rsidRPr="00792FE6">
        <w:rPr>
          <w:rFonts w:ascii="FrankRuehl" w:hAnsi="FrankRuehl" w:cs="FrankRuehl" w:hint="cs"/>
          <w:sz w:val="22"/>
          <w:szCs w:val="22"/>
          <w:rtl/>
        </w:rPr>
        <w:t>'</w:t>
      </w:r>
      <w:r>
        <w:rPr>
          <w:rFonts w:ascii="FrankRuehl" w:hAnsi="FrankRuehl" w:cs="FrankRuehl" w:hint="cs"/>
          <w:sz w:val="22"/>
          <w:szCs w:val="22"/>
          <w:rtl/>
        </w:rPr>
        <w:t>, כלומר בהמה מבויתת או בהמה הגדלה בשבי. אציין ש</w:t>
      </w:r>
      <w:r w:rsidRPr="008E7ABB">
        <w:rPr>
          <w:rFonts w:ascii="FrankRuehl" w:hAnsi="FrankRuehl" w:cs="FrankRuehl"/>
          <w:sz w:val="22"/>
          <w:szCs w:val="22"/>
          <w:rtl/>
        </w:rPr>
        <w:t>בשנות</w:t>
      </w:r>
      <w:r>
        <w:rPr>
          <w:rFonts w:ascii="FrankRuehl" w:hAnsi="FrankRuehl" w:cs="FrankRuehl" w:hint="cs"/>
          <w:sz w:val="22"/>
          <w:szCs w:val="22"/>
          <w:rtl/>
        </w:rPr>
        <w:t xml:space="preserve"> השמונים של המאה העשרים נעשו מניפולציות שונות להכלאת יעלים </w:t>
      </w:r>
      <w:r w:rsidRPr="0084688A">
        <w:rPr>
          <w:rFonts w:ascii="FrankRuehl" w:hAnsi="FrankRuehl" w:cs="FrankRuehl"/>
          <w:sz w:val="22"/>
          <w:szCs w:val="22"/>
          <w:rtl/>
        </w:rPr>
        <w:t xml:space="preserve">ועזים – </w:t>
      </w:r>
      <w:r>
        <w:rPr>
          <w:rFonts w:ascii="FrankRuehl" w:hAnsi="FrankRuehl" w:cs="FrankRuehl" w:hint="cs"/>
          <w:sz w:val="22"/>
          <w:szCs w:val="22"/>
          <w:rtl/>
        </w:rPr>
        <w:t xml:space="preserve">עדר </w:t>
      </w:r>
      <w:proofErr w:type="spellStart"/>
      <w:r w:rsidRPr="0084688A">
        <w:rPr>
          <w:rFonts w:ascii="FrankRuehl" w:hAnsi="FrankRuehl" w:cs="FrankRuehl"/>
          <w:sz w:val="22"/>
          <w:szCs w:val="22"/>
          <w:rtl/>
        </w:rPr>
        <w:t>היעזים</w:t>
      </w:r>
      <w:proofErr w:type="spellEnd"/>
      <w:r w:rsidRPr="0084688A">
        <w:rPr>
          <w:rFonts w:ascii="FrankRuehl" w:hAnsi="FrankRuehl" w:cs="FrankRuehl"/>
          <w:sz w:val="22"/>
          <w:szCs w:val="22"/>
          <w:rtl/>
        </w:rPr>
        <w:t xml:space="preserve"> בני הכלאי</w:t>
      </w:r>
      <w:r>
        <w:rPr>
          <w:rFonts w:ascii="FrankRuehl" w:hAnsi="FrankRuehl" w:cs="FrankRuehl" w:hint="cs"/>
          <w:sz w:val="22"/>
          <w:szCs w:val="22"/>
          <w:rtl/>
        </w:rPr>
        <w:t>י</w:t>
      </w:r>
      <w:r w:rsidRPr="0084688A">
        <w:rPr>
          <w:rFonts w:ascii="FrankRuehl" w:hAnsi="FrankRuehl" w:cs="FrankRuehl"/>
          <w:sz w:val="22"/>
          <w:szCs w:val="22"/>
          <w:rtl/>
        </w:rPr>
        <w:t xml:space="preserve">ם </w:t>
      </w:r>
      <w:r>
        <w:rPr>
          <w:rFonts w:ascii="FrankRuehl" w:hAnsi="FrankRuehl" w:cs="FrankRuehl" w:hint="cs"/>
          <w:sz w:val="22"/>
          <w:szCs w:val="22"/>
          <w:rtl/>
        </w:rPr>
        <w:t>(</w:t>
      </w:r>
      <w:r w:rsidRPr="00EE06DD">
        <w:rPr>
          <w:rFonts w:asciiTheme="majorBidi" w:hAnsiTheme="majorBidi" w:cstheme="majorBidi"/>
          <w:shd w:val="clear" w:color="auto" w:fill="FFFFFF"/>
        </w:rPr>
        <w:t xml:space="preserve">Capra </w:t>
      </w:r>
      <w:proofErr w:type="spellStart"/>
      <w:r w:rsidRPr="00EE06DD">
        <w:rPr>
          <w:rFonts w:asciiTheme="majorBidi" w:hAnsiTheme="majorBidi" w:cstheme="majorBidi"/>
          <w:shd w:val="clear" w:color="auto" w:fill="FFFFFF"/>
        </w:rPr>
        <w:t>Hircus</w:t>
      </w:r>
      <w:proofErr w:type="spellEnd"/>
      <w:r w:rsidRPr="00EE06DD">
        <w:rPr>
          <w:rFonts w:asciiTheme="majorBidi" w:hAnsiTheme="majorBidi" w:cstheme="majorBidi"/>
          <w:shd w:val="clear" w:color="auto" w:fill="FFFFFF"/>
        </w:rPr>
        <w:t xml:space="preserve"> X Capra Ibex</w:t>
      </w:r>
      <w:r>
        <w:rPr>
          <w:rFonts w:ascii="FrankRuehl" w:hAnsi="FrankRuehl" w:cs="FrankRuehl" w:hint="cs"/>
          <w:sz w:val="22"/>
          <w:szCs w:val="22"/>
          <w:rtl/>
        </w:rPr>
        <w:t xml:space="preserve">) </w:t>
      </w:r>
      <w:r w:rsidRPr="0084688A">
        <w:rPr>
          <w:rFonts w:ascii="FrankRuehl" w:hAnsi="FrankRuehl" w:cs="FrankRuehl"/>
          <w:sz w:val="22"/>
          <w:szCs w:val="22"/>
          <w:rtl/>
        </w:rPr>
        <w:t>הושמד בסופו של דבר בשל מחלה</w:t>
      </w:r>
      <w:r w:rsidRPr="000E06FB">
        <w:rPr>
          <w:rFonts w:ascii="FrankRuehl" w:hAnsi="FrankRuehl" w:cs="FrankRuehl"/>
          <w:sz w:val="22"/>
          <w:szCs w:val="22"/>
          <w:rtl/>
        </w:rPr>
        <w:t>. מכול מקום, לא ידוע על תקדים להכלאה זו.</w:t>
      </w:r>
    </w:p>
  </w:footnote>
  <w:footnote w:id="15">
    <w:p w14:paraId="1985D0CC" w14:textId="2FF5382A" w:rsidR="004D014B" w:rsidRPr="003A48A2" w:rsidRDefault="004D014B" w:rsidP="004D014B">
      <w:pPr>
        <w:pStyle w:val="FootnoteText"/>
        <w:bidi/>
        <w:rPr>
          <w:rFonts w:ascii="FrankRuehl" w:hAnsi="FrankRuehl" w:cs="FrankRuehl"/>
          <w:sz w:val="22"/>
          <w:szCs w:val="22"/>
        </w:rPr>
      </w:pPr>
      <w:r w:rsidRPr="003A48A2">
        <w:rPr>
          <w:rStyle w:val="FootnoteReference"/>
          <w:rFonts w:ascii="FrankRuehl" w:hAnsi="FrankRuehl" w:cs="FrankRuehl"/>
          <w:sz w:val="22"/>
          <w:szCs w:val="22"/>
        </w:rPr>
        <w:footnoteRef/>
      </w:r>
      <w:r>
        <w:rPr>
          <w:rFonts w:ascii="FrankRuehl" w:hAnsi="FrankRuehl" w:cs="FrankRuehl"/>
          <w:sz w:val="22"/>
          <w:szCs w:val="22"/>
          <w:rtl/>
        </w:rPr>
        <w:t xml:space="preserve"> </w:t>
      </w:r>
      <w:r w:rsidRPr="003A48A2">
        <w:rPr>
          <w:rFonts w:ascii="FrankRuehl" w:hAnsi="FrankRuehl" w:cs="FrankRuehl"/>
          <w:sz w:val="22"/>
          <w:szCs w:val="22"/>
          <w:rtl/>
        </w:rPr>
        <w:t xml:space="preserve">לניתוח </w:t>
      </w:r>
      <w:r>
        <w:rPr>
          <w:rFonts w:ascii="FrankRuehl" w:hAnsi="FrankRuehl" w:cs="FrankRuehl" w:hint="cs"/>
          <w:sz w:val="22"/>
          <w:szCs w:val="22"/>
          <w:rtl/>
        </w:rPr>
        <w:t xml:space="preserve">מפורט של </w:t>
      </w:r>
      <w:r w:rsidRPr="003A48A2">
        <w:rPr>
          <w:rFonts w:ascii="FrankRuehl" w:hAnsi="FrankRuehl" w:cs="FrankRuehl"/>
          <w:sz w:val="22"/>
          <w:szCs w:val="22"/>
          <w:rtl/>
        </w:rPr>
        <w:t xml:space="preserve">מבנה הפסוק </w:t>
      </w:r>
      <w:r w:rsidR="004F6203">
        <w:rPr>
          <w:rFonts w:ascii="FrankRuehl" w:hAnsi="FrankRuehl" w:cs="FrankRuehl" w:hint="cs"/>
          <w:sz w:val="22"/>
          <w:szCs w:val="22"/>
          <w:rtl/>
        </w:rPr>
        <w:t>...</w:t>
      </w:r>
      <w:r w:rsidRPr="003A48A2">
        <w:rPr>
          <w:rFonts w:ascii="FrankRuehl" w:hAnsi="FrankRuehl" w:cs="FrankRuehl"/>
          <w:sz w:val="22"/>
          <w:szCs w:val="22"/>
          <w:rtl/>
        </w:rPr>
        <w:t>, ושם בהערה אזכור הצעות קריאה ותיקון קודמות</w:t>
      </w:r>
      <w:r>
        <w:rPr>
          <w:rFonts w:ascii="FrankRuehl" w:hAnsi="FrankRuehl" w:cs="FrankRuehl" w:hint="cs"/>
          <w:sz w:val="22"/>
          <w:szCs w:val="22"/>
          <w:rtl/>
        </w:rPr>
        <w:t>.</w:t>
      </w:r>
    </w:p>
  </w:footnote>
  <w:footnote w:id="16">
    <w:p w14:paraId="3DA7DAFB" w14:textId="235FA1D6" w:rsidR="004D014B" w:rsidRPr="009201F9" w:rsidRDefault="004D014B" w:rsidP="004D014B">
      <w:pPr>
        <w:pStyle w:val="FootnoteText"/>
        <w:bidi/>
        <w:rPr>
          <w:rFonts w:ascii="FrankRuehl" w:hAnsi="FrankRuehl" w:cs="FrankRuehl"/>
          <w:sz w:val="22"/>
          <w:szCs w:val="22"/>
          <w:rtl/>
        </w:rPr>
      </w:pPr>
      <w:r w:rsidRPr="00441094">
        <w:rPr>
          <w:rStyle w:val="FootnoteReference"/>
          <w:rFonts w:ascii="FrankRuehl" w:hAnsi="FrankRuehl" w:cs="FrankRuehl"/>
          <w:sz w:val="22"/>
          <w:szCs w:val="22"/>
        </w:rPr>
        <w:footnoteRef/>
      </w:r>
      <w:r w:rsidRPr="00441094">
        <w:rPr>
          <w:rFonts w:ascii="FrankRuehl" w:hAnsi="FrankRuehl" w:cs="FrankRuehl"/>
          <w:sz w:val="22"/>
          <w:szCs w:val="22"/>
        </w:rPr>
        <w:t xml:space="preserve"> </w:t>
      </w:r>
      <w:r>
        <w:rPr>
          <w:rFonts w:ascii="FrankRuehl" w:hAnsi="FrankRuehl" w:cs="FrankRuehl" w:hint="cs"/>
          <w:sz w:val="22"/>
          <w:szCs w:val="22"/>
          <w:rtl/>
        </w:rPr>
        <w:t xml:space="preserve">להסברים מטריאליסטיים כעין אלו </w:t>
      </w:r>
      <w:r w:rsidR="004F6203">
        <w:rPr>
          <w:rFonts w:ascii="FrankRuehl" w:hAnsi="FrankRuehl" w:cs="FrankRuehl" w:hint="cs"/>
          <w:sz w:val="22"/>
          <w:szCs w:val="22"/>
          <w:rtl/>
        </w:rPr>
        <w:t>...</w:t>
      </w:r>
    </w:p>
  </w:footnote>
  <w:footnote w:id="17">
    <w:p w14:paraId="6B88A3DA" w14:textId="77777777" w:rsidR="004D014B" w:rsidRPr="009201F9" w:rsidRDefault="004D014B" w:rsidP="004D014B">
      <w:pPr>
        <w:pStyle w:val="FootnoteText"/>
        <w:bidi/>
        <w:rPr>
          <w:rFonts w:ascii="FrankRuehl" w:hAnsi="FrankRuehl" w:cs="FrankRuehl"/>
          <w:sz w:val="22"/>
          <w:szCs w:val="22"/>
          <w:rtl/>
        </w:rPr>
      </w:pPr>
      <w:r w:rsidRPr="0046726F">
        <w:rPr>
          <w:rStyle w:val="FootnoteReference"/>
          <w:rFonts w:ascii="FrankRuehl" w:hAnsi="FrankRuehl" w:cs="FrankRuehl"/>
          <w:sz w:val="22"/>
          <w:szCs w:val="22"/>
        </w:rPr>
        <w:footnoteRef/>
      </w:r>
      <w:r w:rsidRPr="0046726F">
        <w:rPr>
          <w:rFonts w:ascii="FrankRuehl" w:hAnsi="FrankRuehl" w:cs="FrankRuehl"/>
          <w:sz w:val="22"/>
          <w:szCs w:val="22"/>
        </w:rPr>
        <w:t xml:space="preserve"> </w:t>
      </w:r>
      <w:r w:rsidRPr="0046726F">
        <w:rPr>
          <w:rFonts w:ascii="FrankRuehl" w:hAnsi="FrankRuehl" w:cs="FrankRuehl" w:hint="cs"/>
          <w:sz w:val="22"/>
          <w:szCs w:val="22"/>
          <w:rtl/>
        </w:rPr>
        <w:t>כך או כך, אין כל קושי לחלק את השדה לשטחי זריעה נבדלים ומתוחמים בהתאם לסוגי הזרעים, ו</w:t>
      </w:r>
      <w:r w:rsidRPr="0046726F">
        <w:rPr>
          <w:rFonts w:ascii="FrankRuehl" w:hAnsi="FrankRuehl" w:cs="FrankRuehl"/>
          <w:sz w:val="22"/>
          <w:szCs w:val="22"/>
          <w:rtl/>
        </w:rPr>
        <w:t>השוו משנה</w:t>
      </w:r>
      <w:r w:rsidRPr="0046726F">
        <w:rPr>
          <w:rFonts w:ascii="FrankRuehl" w:hAnsi="FrankRuehl" w:cs="FrankRuehl" w:hint="cs"/>
          <w:sz w:val="22"/>
          <w:szCs w:val="22"/>
          <w:rtl/>
        </w:rPr>
        <w:t xml:space="preserve"> כלאיים, פרקים</w:t>
      </w:r>
      <w:r>
        <w:rPr>
          <w:rFonts w:ascii="FrankRuehl" w:hAnsi="FrankRuehl" w:cs="FrankRuehl" w:hint="cs"/>
          <w:sz w:val="22"/>
          <w:szCs w:val="22"/>
          <w:rtl/>
        </w:rPr>
        <w:t xml:space="preserve"> א</w:t>
      </w:r>
      <w:r>
        <w:rPr>
          <w:rFonts w:ascii="FrankRuehl" w:hAnsi="FrankRuehl" w:cs="FrankRuehl"/>
          <w:sz w:val="22"/>
          <w:szCs w:val="22"/>
          <w:rtl/>
        </w:rPr>
        <w:t>–</w:t>
      </w:r>
      <w:r>
        <w:rPr>
          <w:rFonts w:ascii="FrankRuehl" w:hAnsi="FrankRuehl" w:cs="FrankRuehl" w:hint="cs"/>
          <w:sz w:val="22"/>
          <w:szCs w:val="22"/>
          <w:rtl/>
        </w:rPr>
        <w:t>ב, וביסוד פרטי ההלכה שם עומדת גם השאיפה להקטין למינימום את הפגיעה בחקלאי</w:t>
      </w:r>
      <w:r w:rsidRPr="009201F9">
        <w:rPr>
          <w:rFonts w:ascii="FrankRuehl" w:hAnsi="FrankRuehl" w:cs="FrankRuehl"/>
          <w:sz w:val="22"/>
          <w:szCs w:val="22"/>
          <w:rtl/>
        </w:rPr>
        <w:t>.</w:t>
      </w:r>
    </w:p>
  </w:footnote>
  <w:footnote w:id="18">
    <w:p w14:paraId="7402C5C6" w14:textId="180AA4A9" w:rsidR="004D014B" w:rsidRPr="00B906CB" w:rsidRDefault="004D014B" w:rsidP="004D014B">
      <w:pPr>
        <w:pStyle w:val="FootnoteText"/>
        <w:bidi/>
        <w:rPr>
          <w:rFonts w:ascii="FrankRuehl" w:hAnsi="FrankRuehl" w:cs="FrankRuehl"/>
          <w:sz w:val="22"/>
          <w:szCs w:val="22"/>
        </w:rPr>
      </w:pPr>
      <w:r w:rsidRPr="0049329E">
        <w:rPr>
          <w:rStyle w:val="FootnoteReference"/>
          <w:rFonts w:ascii="FrankRuehl" w:hAnsi="FrankRuehl" w:cs="FrankRuehl"/>
          <w:sz w:val="22"/>
          <w:szCs w:val="22"/>
        </w:rPr>
        <w:footnoteRef/>
      </w:r>
      <w:r w:rsidRPr="0049329E">
        <w:rPr>
          <w:rFonts w:ascii="FrankRuehl" w:hAnsi="FrankRuehl" w:cs="FrankRuehl"/>
          <w:sz w:val="22"/>
          <w:szCs w:val="22"/>
        </w:rPr>
        <w:t xml:space="preserve"> </w:t>
      </w:r>
      <w:r w:rsidRPr="004E438D">
        <w:rPr>
          <w:rFonts w:ascii="FrankRuehl" w:hAnsi="FrankRuehl" w:cs="FrankRuehl" w:hint="cs"/>
          <w:sz w:val="22"/>
          <w:szCs w:val="22"/>
          <w:rtl/>
        </w:rPr>
        <w:t>פ</w:t>
      </w:r>
      <w:r w:rsidRPr="004E438D">
        <w:rPr>
          <w:rFonts w:ascii="Arial" w:hAnsi="Arial" w:cs="FrankRuehl"/>
          <w:sz w:val="22"/>
          <w:szCs w:val="22"/>
          <w:rtl/>
        </w:rPr>
        <w:t>ּ</w:t>
      </w:r>
      <w:r w:rsidRPr="004E438D">
        <w:rPr>
          <w:rFonts w:ascii="FrankRuehl" w:hAnsi="FrankRuehl" w:cs="FrankRuehl" w:hint="cs"/>
          <w:sz w:val="22"/>
          <w:szCs w:val="22"/>
          <w:rtl/>
        </w:rPr>
        <w:t xml:space="preserve">רד לנשיאה: מל"ב ה 17; דה"א </w:t>
      </w:r>
      <w:proofErr w:type="spellStart"/>
      <w:r w:rsidRPr="004E438D">
        <w:rPr>
          <w:rFonts w:ascii="FrankRuehl" w:hAnsi="FrankRuehl" w:cs="FrankRuehl" w:hint="cs"/>
          <w:sz w:val="22"/>
          <w:szCs w:val="22"/>
          <w:rtl/>
        </w:rPr>
        <w:t>יב</w:t>
      </w:r>
      <w:proofErr w:type="spellEnd"/>
      <w:r w:rsidRPr="004E438D">
        <w:rPr>
          <w:rFonts w:ascii="FrankRuehl" w:hAnsi="FrankRuehl" w:cs="FrankRuehl" w:hint="cs"/>
          <w:sz w:val="22"/>
          <w:szCs w:val="22"/>
          <w:rtl/>
        </w:rPr>
        <w:t xml:space="preserve"> 41. פ</w:t>
      </w:r>
      <w:r w:rsidRPr="004E438D">
        <w:rPr>
          <w:rFonts w:ascii="Arial" w:hAnsi="Arial" w:cs="FrankRuehl"/>
          <w:sz w:val="22"/>
          <w:szCs w:val="22"/>
          <w:rtl/>
        </w:rPr>
        <w:t>ּ</w:t>
      </w:r>
      <w:r w:rsidRPr="004E438D">
        <w:rPr>
          <w:rFonts w:ascii="FrankRuehl" w:hAnsi="FrankRuehl" w:cs="FrankRuehl" w:hint="cs"/>
          <w:sz w:val="22"/>
          <w:szCs w:val="22"/>
          <w:rtl/>
        </w:rPr>
        <w:t>רד לרכיבה: שמ</w:t>
      </w:r>
      <w:r>
        <w:rPr>
          <w:rFonts w:ascii="FrankRuehl" w:hAnsi="FrankRuehl" w:cs="FrankRuehl" w:hint="cs"/>
          <w:sz w:val="22"/>
          <w:szCs w:val="22"/>
          <w:rtl/>
        </w:rPr>
        <w:t xml:space="preserve">"ב </w:t>
      </w:r>
      <w:proofErr w:type="spellStart"/>
      <w:r>
        <w:rPr>
          <w:rFonts w:ascii="FrankRuehl" w:hAnsi="FrankRuehl" w:cs="FrankRuehl" w:hint="cs"/>
          <w:sz w:val="22"/>
          <w:szCs w:val="22"/>
          <w:rtl/>
        </w:rPr>
        <w:t>יג</w:t>
      </w:r>
      <w:proofErr w:type="spellEnd"/>
      <w:r>
        <w:rPr>
          <w:rFonts w:ascii="FrankRuehl" w:hAnsi="FrankRuehl" w:cs="FrankRuehl" w:hint="cs"/>
          <w:sz w:val="22"/>
          <w:szCs w:val="22"/>
          <w:rtl/>
        </w:rPr>
        <w:t xml:space="preserve"> 29; </w:t>
      </w:r>
      <w:proofErr w:type="spellStart"/>
      <w:r>
        <w:rPr>
          <w:rFonts w:ascii="FrankRuehl" w:hAnsi="FrankRuehl" w:cs="FrankRuehl" w:hint="cs"/>
          <w:sz w:val="22"/>
          <w:szCs w:val="22"/>
          <w:rtl/>
        </w:rPr>
        <w:t>יח</w:t>
      </w:r>
      <w:proofErr w:type="spellEnd"/>
      <w:r>
        <w:rPr>
          <w:rFonts w:ascii="FrankRuehl" w:hAnsi="FrankRuehl" w:cs="FrankRuehl" w:hint="cs"/>
          <w:sz w:val="22"/>
          <w:szCs w:val="22"/>
          <w:rtl/>
        </w:rPr>
        <w:t xml:space="preserve"> 9; מל"א א 33, 38, 44; יש' </w:t>
      </w:r>
      <w:proofErr w:type="spellStart"/>
      <w:r>
        <w:rPr>
          <w:rFonts w:ascii="FrankRuehl" w:hAnsi="FrankRuehl" w:cs="FrankRuehl" w:hint="cs"/>
          <w:sz w:val="22"/>
          <w:szCs w:val="22"/>
          <w:rtl/>
        </w:rPr>
        <w:t>סו</w:t>
      </w:r>
      <w:proofErr w:type="spellEnd"/>
      <w:r>
        <w:rPr>
          <w:rFonts w:ascii="FrankRuehl" w:hAnsi="FrankRuehl" w:cs="FrankRuehl" w:hint="cs"/>
          <w:sz w:val="22"/>
          <w:szCs w:val="22"/>
          <w:rtl/>
        </w:rPr>
        <w:t xml:space="preserve"> 20. וראו עוד: מל"א י 25; דה"ב ט 24 (מ</w:t>
      </w:r>
      <w:r w:rsidRPr="00F73F9A">
        <w:rPr>
          <w:rFonts w:ascii="FrankRuehl" w:hAnsi="FrankRuehl" w:cs="FrankRuehl"/>
          <w:color w:val="000000"/>
          <w:sz w:val="22"/>
          <w:szCs w:val="22"/>
          <w:rtl/>
        </w:rPr>
        <w:t>ִ</w:t>
      </w:r>
      <w:r>
        <w:rPr>
          <w:rFonts w:ascii="FrankRuehl" w:hAnsi="FrankRuehl" w:cs="FrankRuehl" w:hint="cs"/>
          <w:sz w:val="22"/>
          <w:szCs w:val="22"/>
          <w:rtl/>
        </w:rPr>
        <w:t xml:space="preserve">נחה למלך), יח' </w:t>
      </w:r>
      <w:proofErr w:type="spellStart"/>
      <w:r>
        <w:rPr>
          <w:rFonts w:ascii="FrankRuehl" w:hAnsi="FrankRuehl" w:cs="FrankRuehl" w:hint="cs"/>
          <w:sz w:val="22"/>
          <w:szCs w:val="22"/>
          <w:rtl/>
        </w:rPr>
        <w:t>כז</w:t>
      </w:r>
      <w:proofErr w:type="spellEnd"/>
      <w:r>
        <w:rPr>
          <w:rFonts w:ascii="FrankRuehl" w:hAnsi="FrankRuehl" w:cs="FrankRuehl" w:hint="cs"/>
          <w:sz w:val="22"/>
          <w:szCs w:val="22"/>
          <w:rtl/>
        </w:rPr>
        <w:t xml:space="preserve"> 14 (</w:t>
      </w:r>
      <w:r w:rsidRPr="00AB793C">
        <w:rPr>
          <w:rFonts w:ascii="FrankRuehl" w:hAnsi="FrankRuehl" w:cs="FrankRuehl"/>
          <w:sz w:val="22"/>
          <w:szCs w:val="22"/>
          <w:rtl/>
        </w:rPr>
        <w:t xml:space="preserve">סחר </w:t>
      </w:r>
      <w:r>
        <w:rPr>
          <w:rFonts w:ascii="FrankRuehl" w:hAnsi="FrankRuehl" w:cs="FrankRuehl" w:hint="cs"/>
          <w:sz w:val="22"/>
          <w:szCs w:val="22"/>
          <w:rtl/>
        </w:rPr>
        <w:t>מ</w:t>
      </w:r>
      <w:r w:rsidRPr="00AB793C">
        <w:rPr>
          <w:rFonts w:ascii="FrankRuehl" w:hAnsi="FrankRuehl" w:cs="FrankRuehl"/>
          <w:sz w:val="22"/>
          <w:szCs w:val="22"/>
          <w:rtl/>
        </w:rPr>
        <w:t xml:space="preserve">בית </w:t>
      </w:r>
      <w:proofErr w:type="spellStart"/>
      <w:r w:rsidRPr="00AB793C">
        <w:rPr>
          <w:rFonts w:ascii="FrankRuehl" w:hAnsi="FrankRuehl" w:cs="FrankRuehl"/>
          <w:color w:val="000000"/>
          <w:sz w:val="22"/>
          <w:szCs w:val="22"/>
          <w:rtl/>
        </w:rPr>
        <w:t>תּוֹגַרְמָה</w:t>
      </w:r>
      <w:proofErr w:type="spellEnd"/>
      <w:r>
        <w:rPr>
          <w:rFonts w:ascii="FrankRuehl" w:hAnsi="FrankRuehl" w:cs="FrankRuehl" w:hint="cs"/>
          <w:color w:val="000000"/>
          <w:sz w:val="22"/>
          <w:szCs w:val="22"/>
          <w:rtl/>
        </w:rPr>
        <w:t xml:space="preserve"> [</w:t>
      </w:r>
      <w:r>
        <w:rPr>
          <w:rFonts w:asciiTheme="majorBidi" w:hAnsiTheme="majorBidi" w:cstheme="majorBidi"/>
          <w:color w:val="000000"/>
        </w:rPr>
        <w:t>Beth-</w:t>
      </w:r>
      <w:proofErr w:type="spellStart"/>
      <w:r>
        <w:rPr>
          <w:rFonts w:asciiTheme="majorBidi" w:hAnsiTheme="majorBidi" w:cstheme="majorBidi"/>
          <w:color w:val="000000"/>
        </w:rPr>
        <w:t>togarmah</w:t>
      </w:r>
      <w:proofErr w:type="spellEnd"/>
      <w:r>
        <w:rPr>
          <w:rFonts w:ascii="FrankRuehl" w:hAnsi="FrankRuehl" w:cs="FrankRuehl" w:hint="cs"/>
          <w:color w:val="000000"/>
          <w:sz w:val="22"/>
          <w:szCs w:val="22"/>
          <w:rtl/>
        </w:rPr>
        <w:t>]</w:t>
      </w:r>
      <w:r w:rsidRPr="00AB793C">
        <w:rPr>
          <w:rFonts w:ascii="FrankRuehl" w:hAnsi="FrankRuehl" w:cs="FrankRuehl"/>
          <w:sz w:val="22"/>
          <w:szCs w:val="22"/>
          <w:rtl/>
        </w:rPr>
        <w:t xml:space="preserve">). </w:t>
      </w:r>
      <w:r>
        <w:rPr>
          <w:rFonts w:ascii="FrankRuehl" w:hAnsi="FrankRuehl" w:cs="FrankRuehl" w:hint="cs"/>
          <w:sz w:val="22"/>
          <w:szCs w:val="22"/>
          <w:rtl/>
        </w:rPr>
        <w:t xml:space="preserve">יתרונותיו הגופניים של </w:t>
      </w:r>
      <w:r w:rsidRPr="004E438D">
        <w:rPr>
          <w:rFonts w:ascii="FrankRuehl" w:hAnsi="FrankRuehl" w:cs="FrankRuehl" w:hint="cs"/>
          <w:sz w:val="22"/>
          <w:szCs w:val="22"/>
          <w:rtl/>
        </w:rPr>
        <w:t>הפ</w:t>
      </w:r>
      <w:r w:rsidRPr="004E438D">
        <w:rPr>
          <w:rFonts w:ascii="Arial" w:hAnsi="Arial" w:cs="FrankRuehl"/>
          <w:sz w:val="22"/>
          <w:szCs w:val="22"/>
          <w:rtl/>
        </w:rPr>
        <w:t>ּ</w:t>
      </w:r>
      <w:r w:rsidRPr="004E438D">
        <w:rPr>
          <w:rFonts w:ascii="FrankRuehl" w:hAnsi="FrankRuehl" w:cs="FrankRuehl" w:hint="cs"/>
          <w:sz w:val="22"/>
          <w:szCs w:val="22"/>
          <w:rtl/>
        </w:rPr>
        <w:t>רד והפופולאריות</w:t>
      </w:r>
      <w:r>
        <w:rPr>
          <w:rFonts w:ascii="FrankRuehl" w:hAnsi="FrankRuehl" w:cs="FrankRuehl" w:hint="cs"/>
          <w:sz w:val="22"/>
          <w:szCs w:val="22"/>
          <w:rtl/>
        </w:rPr>
        <w:t xml:space="preserve"> של השימוש בו הודגשו כבר בעת העתיקה</w:t>
      </w:r>
      <w:r w:rsidR="004F6203">
        <w:rPr>
          <w:rFonts w:ascii="FrankRuehl" w:hAnsi="FrankRuehl" w:cs="FrankRuehl" w:hint="cs"/>
          <w:sz w:val="22"/>
          <w:szCs w:val="22"/>
          <w:rtl/>
        </w:rPr>
        <w:t>...</w:t>
      </w:r>
    </w:p>
  </w:footnote>
  <w:footnote w:id="19">
    <w:p w14:paraId="296A2635" w14:textId="21705184" w:rsidR="004D014B" w:rsidRPr="00C017EC" w:rsidRDefault="004D014B" w:rsidP="004D014B">
      <w:pPr>
        <w:pStyle w:val="FootnoteText"/>
        <w:bidi/>
        <w:rPr>
          <w:rtl/>
        </w:rPr>
      </w:pPr>
      <w:r w:rsidRPr="00CE79AE">
        <w:rPr>
          <w:rStyle w:val="FootnoteReference"/>
          <w:rFonts w:ascii="FrankRuehl" w:hAnsi="FrankRuehl" w:cs="FrankRuehl"/>
          <w:sz w:val="22"/>
          <w:szCs w:val="22"/>
        </w:rPr>
        <w:footnoteRef/>
      </w:r>
      <w:r>
        <w:t xml:space="preserve"> </w:t>
      </w:r>
      <w:r>
        <w:rPr>
          <w:rFonts w:hint="cs"/>
          <w:rtl/>
        </w:rPr>
        <w:t xml:space="preserve"> </w:t>
      </w:r>
      <w:r w:rsidR="004F6203">
        <w:rPr>
          <w:rFonts w:asciiTheme="majorBidi" w:hAnsiTheme="majorBidi" w:cstheme="majorBidi" w:hint="cs"/>
          <w:rtl/>
        </w:rPr>
        <w:t>...</w:t>
      </w:r>
      <w:r w:rsidRPr="00FA2182">
        <w:rPr>
          <w:rFonts w:ascii="FrankRuehl" w:hAnsi="FrankRuehl" w:cs="FrankRuehl"/>
          <w:sz w:val="22"/>
          <w:szCs w:val="22"/>
          <w:rtl/>
        </w:rPr>
        <w:t xml:space="preserve"> </w:t>
      </w:r>
      <w:r w:rsidRPr="004E438D">
        <w:rPr>
          <w:rFonts w:ascii="FrankRuehl" w:hAnsi="FrankRuehl" w:cs="FrankRuehl" w:hint="cs"/>
          <w:sz w:val="22"/>
          <w:szCs w:val="22"/>
          <w:rtl/>
        </w:rPr>
        <w:t>הפ</w:t>
      </w:r>
      <w:r w:rsidRPr="004E438D">
        <w:rPr>
          <w:rFonts w:ascii="Arial" w:hAnsi="Arial" w:cs="FrankRuehl"/>
          <w:sz w:val="22"/>
          <w:szCs w:val="22"/>
          <w:rtl/>
        </w:rPr>
        <w:t>ּ</w:t>
      </w:r>
      <w:r w:rsidRPr="004E438D">
        <w:rPr>
          <w:rFonts w:ascii="FrankRuehl" w:hAnsi="FrankRuehl" w:cs="FrankRuehl" w:hint="cs"/>
          <w:sz w:val="22"/>
          <w:szCs w:val="22"/>
          <w:rtl/>
        </w:rPr>
        <w:t>רד</w:t>
      </w:r>
      <w:r w:rsidRPr="004E438D">
        <w:rPr>
          <w:rFonts w:ascii="FrankRuehl" w:hAnsi="FrankRuehl" w:cs="FrankRuehl"/>
          <w:sz w:val="22"/>
          <w:szCs w:val="22"/>
          <w:rtl/>
        </w:rPr>
        <w:t xml:space="preserve"> </w:t>
      </w:r>
      <w:proofErr w:type="spellStart"/>
      <w:r w:rsidRPr="004E438D">
        <w:rPr>
          <w:rFonts w:ascii="FrankRuehl" w:hAnsi="FrankRuehl" w:cs="FrankRuehl"/>
          <w:sz w:val="22"/>
          <w:szCs w:val="22"/>
          <w:rtl/>
        </w:rPr>
        <w:t>ו</w:t>
      </w:r>
      <w:r w:rsidRPr="004E438D">
        <w:rPr>
          <w:rFonts w:ascii="FrankRuehl" w:hAnsi="FrankRuehl" w:cs="FrankRuehl" w:hint="cs"/>
          <w:sz w:val="22"/>
          <w:szCs w:val="22"/>
          <w:rtl/>
        </w:rPr>
        <w:t>ה</w:t>
      </w:r>
      <w:r w:rsidRPr="004E438D">
        <w:rPr>
          <w:rFonts w:ascii="FrankRuehl" w:hAnsi="FrankRuehl" w:cs="FrankRuehl"/>
          <w:sz w:val="22"/>
          <w:szCs w:val="22"/>
          <w:rtl/>
        </w:rPr>
        <w:t>סוסיה</w:t>
      </w:r>
      <w:proofErr w:type="spellEnd"/>
      <w:r w:rsidRPr="00FA2182">
        <w:rPr>
          <w:rFonts w:ascii="FrankRuehl" w:hAnsi="FrankRuehl" w:cs="FrankRuehl"/>
          <w:sz w:val="22"/>
          <w:szCs w:val="22"/>
          <w:rtl/>
        </w:rPr>
        <w:t xml:space="preserve"> </w:t>
      </w:r>
      <w:r>
        <w:rPr>
          <w:rFonts w:ascii="FrankRuehl" w:hAnsi="FrankRuehl" w:cs="FrankRuehl" w:hint="cs"/>
          <w:sz w:val="22"/>
          <w:szCs w:val="22"/>
          <w:rtl/>
        </w:rPr>
        <w:t xml:space="preserve">הוצגו כנבדלים זה מזה הן בממדי גופם הן </w:t>
      </w:r>
      <w:r w:rsidRPr="00FA2182">
        <w:rPr>
          <w:rFonts w:ascii="FrankRuehl" w:hAnsi="FrankRuehl" w:cs="FrankRuehl"/>
          <w:sz w:val="22"/>
          <w:szCs w:val="22"/>
          <w:rtl/>
        </w:rPr>
        <w:t>באופיים</w:t>
      </w:r>
      <w:r>
        <w:rPr>
          <w:rFonts w:ascii="FrankRuehl" w:hAnsi="FrankRuehl" w:cs="FrankRuehl" w:hint="cs"/>
          <w:sz w:val="22"/>
          <w:szCs w:val="22"/>
          <w:rtl/>
        </w:rPr>
        <w:t>, אך ממצאים אמפיריים מלמדים כי מדובר</w:t>
      </w:r>
      <w:r w:rsidRPr="00FA2182">
        <w:rPr>
          <w:rFonts w:ascii="FrankRuehl" w:hAnsi="FrankRuehl" w:cs="FrankRuehl"/>
          <w:sz w:val="22"/>
          <w:szCs w:val="22"/>
          <w:rtl/>
        </w:rPr>
        <w:t xml:space="preserve"> בקונספציות מוטעות; וראו שם.</w:t>
      </w:r>
    </w:p>
  </w:footnote>
  <w:footnote w:id="20">
    <w:p w14:paraId="68487AAB" w14:textId="6A85C7A0" w:rsidR="004D014B" w:rsidRPr="004F61D1" w:rsidRDefault="004D014B" w:rsidP="004D014B">
      <w:pPr>
        <w:pStyle w:val="FootnoteText"/>
        <w:bidi/>
        <w:rPr>
          <w:rFonts w:ascii="FrankRuehl" w:hAnsi="FrankRuehl" w:cs="FrankRuehl"/>
          <w:sz w:val="22"/>
          <w:szCs w:val="22"/>
          <w:rtl/>
          <w:lang w:val="en-IL"/>
        </w:rPr>
      </w:pPr>
      <w:r w:rsidRPr="00B906CB">
        <w:rPr>
          <w:rStyle w:val="FootnoteReference"/>
          <w:rFonts w:ascii="FrankRuehl" w:hAnsi="FrankRuehl" w:cs="FrankRuehl"/>
          <w:sz w:val="22"/>
          <w:szCs w:val="22"/>
        </w:rPr>
        <w:footnoteRef/>
      </w:r>
      <w:r w:rsidRPr="00B906CB">
        <w:rPr>
          <w:rFonts w:ascii="FrankRuehl" w:hAnsi="FrankRuehl" w:cs="FrankRuehl"/>
          <w:sz w:val="22"/>
          <w:szCs w:val="22"/>
        </w:rPr>
        <w:t xml:space="preserve"> </w:t>
      </w:r>
      <w:r w:rsidRPr="00234E6D">
        <w:rPr>
          <w:rFonts w:ascii="FrankRuehl" w:hAnsi="FrankRuehl" w:cs="FrankRuehl"/>
          <w:sz w:val="22"/>
          <w:szCs w:val="22"/>
          <w:rtl/>
        </w:rPr>
        <w:t>לפ</w:t>
      </w:r>
      <w:r w:rsidRPr="00234E6D">
        <w:rPr>
          <w:rFonts w:ascii="Arial" w:hAnsi="Arial" w:cs="FrankRuehl"/>
          <w:sz w:val="22"/>
          <w:szCs w:val="22"/>
          <w:rtl/>
        </w:rPr>
        <w:t>ּ</w:t>
      </w:r>
      <w:r w:rsidRPr="00234E6D">
        <w:rPr>
          <w:rFonts w:ascii="FrankRuehl" w:hAnsi="FrankRuehl" w:cs="FrankRuehl"/>
          <w:sz w:val="22"/>
          <w:szCs w:val="22"/>
          <w:rtl/>
        </w:rPr>
        <w:t>רד</w:t>
      </w:r>
      <w:r w:rsidRPr="00234E6D">
        <w:rPr>
          <w:rFonts w:ascii="FrankRuehl" w:hAnsi="FrankRuehl" w:cs="FrankRuehl" w:hint="cs"/>
          <w:sz w:val="22"/>
          <w:szCs w:val="22"/>
          <w:rtl/>
        </w:rPr>
        <w:t xml:space="preserve"> ו</w:t>
      </w:r>
      <w:r>
        <w:rPr>
          <w:rFonts w:ascii="FrankRuehl" w:hAnsi="FrankRuehl" w:cs="FrankRuehl" w:hint="cs"/>
          <w:sz w:val="22"/>
          <w:szCs w:val="22"/>
          <w:rtl/>
        </w:rPr>
        <w:t>ל</w:t>
      </w:r>
      <w:r w:rsidRPr="00234E6D">
        <w:rPr>
          <w:rFonts w:ascii="FrankRuehl" w:hAnsi="FrankRuehl" w:cs="FrankRuehl" w:hint="cs"/>
          <w:sz w:val="22"/>
          <w:szCs w:val="22"/>
          <w:rtl/>
        </w:rPr>
        <w:t>סוסיה (וכן לחמור</w:t>
      </w:r>
      <w:r w:rsidRPr="00234E6D">
        <w:rPr>
          <w:rFonts w:ascii="FrankRuehl" w:hAnsi="FrankRuehl" w:cs="FrankRuehl"/>
          <w:sz w:val="22"/>
          <w:szCs w:val="22"/>
          <w:rtl/>
        </w:rPr>
        <w:t xml:space="preserve">) מערכת עיכול יעילה יותר </w:t>
      </w:r>
      <w:r w:rsidRPr="00234E6D">
        <w:rPr>
          <w:rFonts w:ascii="FrankRuehl" w:hAnsi="FrankRuehl" w:cs="FrankRuehl" w:hint="cs"/>
          <w:sz w:val="22"/>
          <w:szCs w:val="22"/>
          <w:rtl/>
        </w:rPr>
        <w:t>מזו של הסוס, והפ</w:t>
      </w:r>
      <w:r w:rsidRPr="00234E6D">
        <w:rPr>
          <w:rFonts w:ascii="Arial" w:hAnsi="Arial" w:cs="FrankRuehl"/>
          <w:sz w:val="22"/>
          <w:szCs w:val="22"/>
          <w:rtl/>
        </w:rPr>
        <w:t>ּ</w:t>
      </w:r>
      <w:r w:rsidRPr="00234E6D">
        <w:rPr>
          <w:rFonts w:ascii="FrankRuehl" w:hAnsi="FrankRuehl" w:cs="FrankRuehl" w:hint="cs"/>
          <w:sz w:val="22"/>
          <w:szCs w:val="22"/>
          <w:rtl/>
        </w:rPr>
        <w:t xml:space="preserve">רד </w:t>
      </w:r>
      <w:proofErr w:type="spellStart"/>
      <w:r w:rsidRPr="00234E6D">
        <w:rPr>
          <w:rFonts w:ascii="FrankRuehl" w:hAnsi="FrankRuehl" w:cs="FrankRuehl" w:hint="cs"/>
          <w:sz w:val="22"/>
          <w:szCs w:val="22"/>
          <w:rtl/>
        </w:rPr>
        <w:t>והסוסיה</w:t>
      </w:r>
      <w:proofErr w:type="spellEnd"/>
      <w:r>
        <w:rPr>
          <w:rFonts w:ascii="FrankRuehl" w:hAnsi="FrankRuehl" w:cs="FrankRuehl" w:hint="cs"/>
          <w:sz w:val="22"/>
          <w:szCs w:val="22"/>
          <w:rtl/>
        </w:rPr>
        <w:t xml:space="preserve"> </w:t>
      </w:r>
      <w:r w:rsidRPr="00B906CB">
        <w:rPr>
          <w:rFonts w:ascii="FrankRuehl" w:hAnsi="FrankRuehl" w:cs="FrankRuehl"/>
          <w:sz w:val="22"/>
          <w:szCs w:val="22"/>
          <w:rtl/>
        </w:rPr>
        <w:t>מתמודד</w:t>
      </w:r>
      <w:r>
        <w:rPr>
          <w:rFonts w:ascii="FrankRuehl" w:hAnsi="FrankRuehl" w:cs="FrankRuehl" w:hint="cs"/>
          <w:sz w:val="22"/>
          <w:szCs w:val="22"/>
          <w:rtl/>
        </w:rPr>
        <w:t>ים</w:t>
      </w:r>
      <w:r w:rsidRPr="00B906CB">
        <w:rPr>
          <w:rFonts w:ascii="FrankRuehl" w:hAnsi="FrankRuehl" w:cs="FrankRuehl"/>
          <w:sz w:val="22"/>
          <w:szCs w:val="22"/>
          <w:rtl/>
        </w:rPr>
        <w:t xml:space="preserve"> טוב</w:t>
      </w:r>
      <w:r>
        <w:rPr>
          <w:rFonts w:ascii="FrankRuehl" w:hAnsi="FrankRuehl" w:cs="FrankRuehl" w:hint="cs"/>
          <w:sz w:val="22"/>
          <w:szCs w:val="22"/>
          <w:rtl/>
        </w:rPr>
        <w:t xml:space="preserve"> יותר</w:t>
      </w:r>
      <w:r w:rsidRPr="00B906CB">
        <w:rPr>
          <w:rFonts w:ascii="FrankRuehl" w:hAnsi="FrankRuehl" w:cs="FrankRuehl"/>
          <w:sz w:val="22"/>
          <w:szCs w:val="22"/>
          <w:rtl/>
        </w:rPr>
        <w:t xml:space="preserve"> עם מזון דל </w:t>
      </w:r>
      <w:r>
        <w:rPr>
          <w:rFonts w:ascii="FrankRuehl" w:hAnsi="FrankRuehl" w:cs="FrankRuehl" w:hint="cs"/>
          <w:sz w:val="22"/>
          <w:szCs w:val="22"/>
          <w:rtl/>
        </w:rPr>
        <w:t>ו</w:t>
      </w:r>
      <w:r w:rsidRPr="00B906CB">
        <w:rPr>
          <w:rFonts w:ascii="FrankRuehl" w:hAnsi="FrankRuehl" w:cs="FrankRuehl"/>
          <w:sz w:val="22"/>
          <w:szCs w:val="22"/>
          <w:rtl/>
        </w:rPr>
        <w:t>עתיר סיבים</w:t>
      </w:r>
      <w:r>
        <w:rPr>
          <w:rFonts w:ascii="FrankRuehl" w:hAnsi="FrankRuehl" w:cs="FrankRuehl" w:hint="cs"/>
          <w:sz w:val="22"/>
          <w:szCs w:val="22"/>
          <w:rtl/>
        </w:rPr>
        <w:t xml:space="preserve">; </w:t>
      </w:r>
      <w:r w:rsidR="004F6203">
        <w:rPr>
          <w:rFonts w:asciiTheme="majorBidi" w:hAnsiTheme="majorBidi" w:cstheme="majorBidi" w:hint="cs"/>
          <w:rtl/>
        </w:rPr>
        <w:t>...</w:t>
      </w:r>
    </w:p>
  </w:footnote>
  <w:footnote w:id="21">
    <w:p w14:paraId="3F96F3E6" w14:textId="77777777" w:rsidR="004D014B" w:rsidRPr="00CC6204" w:rsidRDefault="004D014B" w:rsidP="004D014B">
      <w:pPr>
        <w:pStyle w:val="FootnoteText"/>
        <w:bidi/>
        <w:rPr>
          <w:rFonts w:ascii="FrankRuehl" w:hAnsi="FrankRuehl" w:cs="FrankRuehl"/>
          <w:sz w:val="22"/>
          <w:szCs w:val="22"/>
          <w:rtl/>
        </w:rPr>
      </w:pPr>
      <w:r w:rsidRPr="00CE79AE">
        <w:rPr>
          <w:rStyle w:val="FootnoteReference"/>
          <w:rFonts w:ascii="FrankRuehl" w:hAnsi="FrankRuehl" w:cs="FrankRuehl"/>
          <w:sz w:val="22"/>
          <w:szCs w:val="22"/>
        </w:rPr>
        <w:footnoteRef/>
      </w:r>
      <w:r w:rsidRPr="00CE79AE">
        <w:rPr>
          <w:rFonts w:ascii="FrankRuehl" w:hAnsi="FrankRuehl" w:cs="FrankRuehl"/>
          <w:sz w:val="22"/>
          <w:szCs w:val="22"/>
        </w:rPr>
        <w:t xml:space="preserve"> </w:t>
      </w:r>
      <w:r w:rsidRPr="00CE79AE">
        <w:rPr>
          <w:rFonts w:ascii="FrankRuehl" w:hAnsi="FrankRuehl" w:cs="FrankRuehl"/>
          <w:sz w:val="22"/>
          <w:szCs w:val="22"/>
          <w:rtl/>
        </w:rPr>
        <w:t>בין היתר לצרכים צבאיים (</w:t>
      </w:r>
      <w:r w:rsidRPr="001B542B">
        <w:rPr>
          <w:rFonts w:ascii="FrankRuehl" w:hAnsi="FrankRuehl" w:cs="FrankRuehl"/>
        </w:rPr>
        <w:t>mule corps</w:t>
      </w:r>
      <w:r w:rsidRPr="00CE79AE">
        <w:rPr>
          <w:rFonts w:ascii="FrankRuehl" w:hAnsi="FrankRuehl" w:cs="FrankRuehl"/>
          <w:sz w:val="22"/>
          <w:szCs w:val="22"/>
          <w:rtl/>
        </w:rPr>
        <w:t xml:space="preserve">) </w:t>
      </w:r>
      <w:r w:rsidRPr="00CC6204">
        <w:rPr>
          <w:rFonts w:ascii="FrankRuehl" w:hAnsi="FrankRuehl" w:cs="FrankRuehl"/>
          <w:sz w:val="22"/>
          <w:szCs w:val="22"/>
          <w:rtl/>
        </w:rPr>
        <w:t xml:space="preserve">בראשית המאה העשרים ובמלחמת העולם הראשונה. </w:t>
      </w:r>
    </w:p>
  </w:footnote>
  <w:footnote w:id="22">
    <w:p w14:paraId="1D17891C" w14:textId="0B54FBEC" w:rsidR="004D014B" w:rsidRPr="00CC6204" w:rsidRDefault="004D014B" w:rsidP="004D014B">
      <w:pPr>
        <w:pStyle w:val="FootnoteText"/>
        <w:bidi/>
        <w:rPr>
          <w:rFonts w:ascii="FrankRuehl" w:hAnsi="FrankRuehl" w:cs="FrankRuehl"/>
          <w:sz w:val="22"/>
          <w:szCs w:val="22"/>
          <w:rtl/>
        </w:rPr>
      </w:pPr>
      <w:r w:rsidRPr="00CC6204">
        <w:rPr>
          <w:rStyle w:val="FootnoteReference"/>
          <w:rFonts w:ascii="FrankRuehl" w:hAnsi="FrankRuehl" w:cs="FrankRuehl"/>
          <w:sz w:val="22"/>
          <w:szCs w:val="22"/>
        </w:rPr>
        <w:footnoteRef/>
      </w:r>
      <w:r w:rsidRPr="00CC6204">
        <w:rPr>
          <w:rFonts w:ascii="FrankRuehl" w:hAnsi="FrankRuehl" w:cs="FrankRuehl"/>
          <w:sz w:val="22"/>
          <w:szCs w:val="22"/>
        </w:rPr>
        <w:t xml:space="preserve"> </w:t>
      </w:r>
      <w:r w:rsidR="004F6203">
        <w:rPr>
          <w:rFonts w:asciiTheme="majorBidi" w:hAnsiTheme="majorBidi" w:cstheme="majorBidi" w:hint="cs"/>
          <w:rtl/>
        </w:rPr>
        <w:t>...</w:t>
      </w:r>
      <w:r w:rsidRPr="00CC0735">
        <w:rPr>
          <w:rFonts w:asciiTheme="majorBidi" w:hAnsiTheme="majorBidi" w:cstheme="majorBidi"/>
        </w:rPr>
        <w:t xml:space="preserve"> </w:t>
      </w:r>
    </w:p>
  </w:footnote>
  <w:footnote w:id="23">
    <w:p w14:paraId="2AF3C6BF" w14:textId="2460B960" w:rsidR="004D014B" w:rsidRPr="00F73F9A" w:rsidRDefault="004D014B" w:rsidP="004D014B">
      <w:pPr>
        <w:pStyle w:val="FootnoteText"/>
        <w:bidi/>
        <w:rPr>
          <w:rFonts w:ascii="FrankRuehl" w:hAnsi="FrankRuehl" w:cs="FrankRuehl"/>
          <w:sz w:val="22"/>
          <w:szCs w:val="22"/>
          <w:rtl/>
        </w:rPr>
      </w:pPr>
      <w:r w:rsidRPr="00F73F9A">
        <w:rPr>
          <w:rStyle w:val="FootnoteReference"/>
          <w:rFonts w:ascii="FrankRuehl" w:hAnsi="FrankRuehl" w:cs="FrankRuehl"/>
          <w:sz w:val="22"/>
          <w:szCs w:val="22"/>
        </w:rPr>
        <w:footnoteRef/>
      </w:r>
      <w:r>
        <w:rPr>
          <w:rFonts w:ascii="FrankRuehl" w:hAnsi="FrankRuehl" w:cs="FrankRuehl"/>
          <w:sz w:val="22"/>
          <w:szCs w:val="22"/>
          <w:rtl/>
        </w:rPr>
        <w:t xml:space="preserve"> </w:t>
      </w:r>
      <w:r>
        <w:rPr>
          <w:rFonts w:ascii="FrankRuehl" w:hAnsi="FrankRuehl" w:cs="FrankRuehl" w:hint="cs"/>
          <w:sz w:val="22"/>
          <w:szCs w:val="22"/>
          <w:rtl/>
        </w:rPr>
        <w:t xml:space="preserve">זאת נלמד בעקיפין מפסוק התוכחה </w:t>
      </w:r>
      <w:r w:rsidRPr="00F73F9A">
        <w:rPr>
          <w:rFonts w:ascii="FrankRuehl" w:hAnsi="FrankRuehl" w:cs="FrankRuehl"/>
          <w:sz w:val="22"/>
          <w:szCs w:val="22"/>
          <w:rtl/>
        </w:rPr>
        <w:t>'</w:t>
      </w:r>
      <w:r w:rsidRPr="00F73F9A">
        <w:rPr>
          <w:rFonts w:ascii="FrankRuehl" w:hAnsi="FrankRuehl" w:cs="FrankRuehl"/>
          <w:color w:val="000000"/>
          <w:sz w:val="22"/>
          <w:szCs w:val="22"/>
          <w:rtl/>
        </w:rPr>
        <w:t>הֵם עִם</w:t>
      </w:r>
      <w:r>
        <w:rPr>
          <w:rFonts w:ascii="FrankRuehl" w:hAnsi="FrankRuehl" w:cs="FrankRuehl"/>
          <w:color w:val="000000"/>
          <w:sz w:val="22"/>
          <w:szCs w:val="22"/>
        </w:rPr>
        <w:t xml:space="preserve"> </w:t>
      </w:r>
      <w:proofErr w:type="spellStart"/>
      <w:r w:rsidRPr="00F73F9A">
        <w:rPr>
          <w:rFonts w:ascii="FrankRuehl" w:hAnsi="FrankRuehl" w:cs="FrankRuehl"/>
          <w:color w:val="000000"/>
          <w:sz w:val="22"/>
          <w:szCs w:val="22"/>
          <w:rtl/>
        </w:rPr>
        <w:t>הַזֹּנוֹת</w:t>
      </w:r>
      <w:proofErr w:type="spellEnd"/>
      <w:r w:rsidRPr="00F73F9A">
        <w:rPr>
          <w:rFonts w:ascii="FrankRuehl" w:hAnsi="FrankRuehl" w:cs="FrankRuehl"/>
          <w:color w:val="000000"/>
          <w:sz w:val="22"/>
          <w:szCs w:val="22"/>
          <w:rtl/>
        </w:rPr>
        <w:t xml:space="preserve"> </w:t>
      </w:r>
      <w:proofErr w:type="spellStart"/>
      <w:r w:rsidRPr="00F73F9A">
        <w:rPr>
          <w:rFonts w:ascii="FrankRuehl" w:hAnsi="FrankRuehl" w:cs="FrankRuehl"/>
          <w:b/>
          <w:bCs/>
          <w:color w:val="000000"/>
          <w:sz w:val="22"/>
          <w:szCs w:val="22"/>
          <w:rtl/>
        </w:rPr>
        <w:t>יְפָרֵדוּ</w:t>
      </w:r>
      <w:proofErr w:type="spellEnd"/>
      <w:r w:rsidRPr="00F73F9A">
        <w:rPr>
          <w:rFonts w:ascii="FrankRuehl" w:hAnsi="FrankRuehl" w:cs="FrankRuehl"/>
          <w:color w:val="000000"/>
          <w:sz w:val="22"/>
          <w:szCs w:val="22"/>
          <w:rtl/>
        </w:rPr>
        <w:t>'</w:t>
      </w:r>
      <w:r w:rsidRPr="00F73F9A">
        <w:rPr>
          <w:rFonts w:ascii="FrankRuehl" w:hAnsi="FrankRuehl" w:cs="FrankRuehl"/>
          <w:sz w:val="22"/>
          <w:szCs w:val="22"/>
          <w:rtl/>
        </w:rPr>
        <w:t xml:space="preserve"> (הושע ד 14)</w:t>
      </w:r>
      <w:r>
        <w:rPr>
          <w:rFonts w:ascii="FrankRuehl" w:hAnsi="FrankRuehl" w:cs="FrankRuehl" w:hint="cs"/>
          <w:sz w:val="22"/>
          <w:szCs w:val="22"/>
          <w:rtl/>
        </w:rPr>
        <w:t>, ככל הנראה פועל הנגזר מ</w:t>
      </w:r>
      <w:r w:rsidRPr="008F1E3F">
        <w:rPr>
          <w:rFonts w:ascii="FrankRuehl" w:hAnsi="FrankRuehl" w:cs="FrankRuehl" w:hint="cs"/>
          <w:sz w:val="22"/>
          <w:szCs w:val="22"/>
          <w:rtl/>
        </w:rPr>
        <w:t>פ</w:t>
      </w:r>
      <w:r w:rsidRPr="008F1E3F">
        <w:rPr>
          <w:rFonts w:ascii="Arial" w:hAnsi="Arial" w:cs="FrankRuehl"/>
          <w:sz w:val="22"/>
          <w:szCs w:val="22"/>
          <w:rtl/>
        </w:rPr>
        <w:t>ּ</w:t>
      </w:r>
      <w:r w:rsidRPr="008F1E3F">
        <w:rPr>
          <w:rFonts w:ascii="FrankRuehl" w:hAnsi="FrankRuehl" w:cs="FrankRuehl"/>
          <w:color w:val="202122"/>
          <w:sz w:val="22"/>
          <w:szCs w:val="22"/>
          <w:shd w:val="clear" w:color="auto" w:fill="FFFFFF"/>
          <w:rtl/>
        </w:rPr>
        <w:t>ֶ</w:t>
      </w:r>
      <w:r w:rsidRPr="008F1E3F">
        <w:rPr>
          <w:rFonts w:ascii="FrankRuehl" w:hAnsi="FrankRuehl" w:cs="FrankRuehl" w:hint="cs"/>
          <w:sz w:val="22"/>
          <w:szCs w:val="22"/>
          <w:rtl/>
        </w:rPr>
        <w:t>ר</w:t>
      </w:r>
      <w:r w:rsidRPr="008F1E3F">
        <w:rPr>
          <w:rFonts w:ascii="FrankRuehl" w:hAnsi="FrankRuehl" w:cs="FrankRuehl"/>
          <w:color w:val="202122"/>
          <w:sz w:val="22"/>
          <w:szCs w:val="22"/>
          <w:shd w:val="clear" w:color="auto" w:fill="FFFFFF"/>
          <w:rtl/>
        </w:rPr>
        <w:t>ֶ</w:t>
      </w:r>
      <w:r>
        <w:rPr>
          <w:rFonts w:ascii="FrankRuehl" w:hAnsi="FrankRuehl" w:cs="FrankRuehl" w:hint="cs"/>
          <w:sz w:val="22"/>
          <w:szCs w:val="22"/>
          <w:rtl/>
        </w:rPr>
        <w:t xml:space="preserve">ד ובא לציין קיום יחסי מין שלא על מנת להעמיד צאצאים, </w:t>
      </w:r>
      <w:r w:rsidR="004F6203">
        <w:rPr>
          <w:rFonts w:ascii="FrankRuehl" w:hAnsi="FrankRuehl" w:cs="FrankRuehl" w:hint="cs"/>
          <w:sz w:val="22"/>
          <w:szCs w:val="22"/>
          <w:rtl/>
        </w:rPr>
        <w:t>...</w:t>
      </w:r>
      <w:r>
        <w:rPr>
          <w:rFonts w:ascii="FrankRuehl" w:hAnsi="FrankRuehl" w:cs="FrankRuehl" w:hint="cs"/>
          <w:sz w:val="22"/>
          <w:szCs w:val="22"/>
          <w:rtl/>
        </w:rPr>
        <w:t>.</w:t>
      </w:r>
      <w:r w:rsidRPr="00F73F9A">
        <w:rPr>
          <w:rFonts w:ascii="FrankRuehl" w:hAnsi="FrankRuehl" w:cs="FrankRuehl"/>
          <w:sz w:val="22"/>
          <w:szCs w:val="22"/>
          <w:rtl/>
        </w:rPr>
        <w:t xml:space="preserve"> </w:t>
      </w:r>
      <w:r>
        <w:rPr>
          <w:rFonts w:ascii="FrankRuehl" w:hAnsi="FrankRuehl" w:cs="FrankRuehl" w:hint="cs"/>
          <w:sz w:val="22"/>
          <w:szCs w:val="22"/>
          <w:rtl/>
        </w:rPr>
        <w:t xml:space="preserve">ובהתאם לכך, </w:t>
      </w:r>
      <w:r w:rsidRPr="00F73F9A">
        <w:rPr>
          <w:rFonts w:ascii="FrankRuehl" w:hAnsi="FrankRuehl" w:cs="FrankRuehl"/>
          <w:sz w:val="22"/>
          <w:szCs w:val="22"/>
          <w:rtl/>
        </w:rPr>
        <w:t>דיווח</w:t>
      </w:r>
      <w:r>
        <w:rPr>
          <w:rFonts w:ascii="FrankRuehl" w:hAnsi="FrankRuehl" w:cs="FrankRuehl" w:hint="cs"/>
          <w:sz w:val="22"/>
          <w:szCs w:val="22"/>
          <w:rtl/>
        </w:rPr>
        <w:t xml:space="preserve"> </w:t>
      </w:r>
      <w:r w:rsidRPr="00F73F9A">
        <w:rPr>
          <w:rFonts w:ascii="FrankRuehl" w:hAnsi="FrankRuehl" w:cs="FrankRuehl"/>
          <w:sz w:val="22"/>
          <w:szCs w:val="22"/>
          <w:rtl/>
        </w:rPr>
        <w:t>על צאצאי פ</w:t>
      </w:r>
      <w:r w:rsidRPr="003B2B57">
        <w:rPr>
          <w:rFonts w:ascii="Arial" w:hAnsi="Arial" w:cs="FrankRuehl"/>
          <w:sz w:val="22"/>
          <w:szCs w:val="22"/>
          <w:rtl/>
        </w:rPr>
        <w:t>ּ</w:t>
      </w:r>
      <w:r w:rsidRPr="00F73F9A">
        <w:rPr>
          <w:rFonts w:ascii="FrankRuehl" w:hAnsi="FrankRuehl" w:cs="FrankRuehl"/>
          <w:sz w:val="22"/>
          <w:szCs w:val="22"/>
          <w:rtl/>
        </w:rPr>
        <w:t>רד הוא לעולם בגדר מקרה פלא</w:t>
      </w:r>
      <w:r w:rsidRPr="00F73F9A">
        <w:rPr>
          <w:rFonts w:ascii="FrankRuehl" w:hAnsi="FrankRuehl" w:cs="FrankRuehl"/>
          <w:color w:val="000000"/>
          <w:sz w:val="22"/>
          <w:szCs w:val="22"/>
          <w:rtl/>
        </w:rPr>
        <w:t>ִ</w:t>
      </w:r>
      <w:r w:rsidRPr="00F73F9A">
        <w:rPr>
          <w:rFonts w:ascii="FrankRuehl" w:hAnsi="FrankRuehl" w:cs="FrankRuehl"/>
          <w:sz w:val="22"/>
          <w:szCs w:val="22"/>
          <w:rtl/>
        </w:rPr>
        <w:t xml:space="preserve">י, </w:t>
      </w:r>
      <w:r w:rsidR="004F6203">
        <w:rPr>
          <w:rFonts w:ascii="FrankRuehl" w:hAnsi="FrankRuehl" w:cs="FrankRuehl" w:hint="cs"/>
          <w:sz w:val="22"/>
          <w:szCs w:val="22"/>
          <w:rtl/>
        </w:rPr>
        <w:t>...</w:t>
      </w:r>
    </w:p>
  </w:footnote>
  <w:footnote w:id="24">
    <w:p w14:paraId="651C637A" w14:textId="3B2BF2CD" w:rsidR="004D014B" w:rsidRPr="00055F91" w:rsidRDefault="004D014B" w:rsidP="004D014B">
      <w:pPr>
        <w:pStyle w:val="FootnoteText"/>
        <w:bidi/>
        <w:rPr>
          <w:rtl/>
        </w:rPr>
      </w:pPr>
      <w:r w:rsidRPr="00055F91">
        <w:rPr>
          <w:rStyle w:val="FootnoteReference"/>
          <w:rFonts w:ascii="FrankRuehl" w:hAnsi="FrankRuehl" w:cs="FrankRuehl"/>
          <w:sz w:val="22"/>
          <w:szCs w:val="22"/>
        </w:rPr>
        <w:footnoteRef/>
      </w:r>
      <w:r w:rsidRPr="00055F91">
        <w:rPr>
          <w:rFonts w:ascii="FrankRuehl" w:hAnsi="FrankRuehl" w:cs="FrankRuehl"/>
          <w:sz w:val="22"/>
          <w:szCs w:val="22"/>
        </w:rPr>
        <w:t xml:space="preserve"> </w:t>
      </w:r>
      <w:r>
        <w:rPr>
          <w:rFonts w:ascii="FrankRuehl" w:hAnsi="FrankRuehl" w:cs="FrankRuehl" w:hint="cs"/>
          <w:sz w:val="22"/>
          <w:szCs w:val="22"/>
          <w:rtl/>
        </w:rPr>
        <w:t>לפירוט הזיקות וההבדלים שבין</w:t>
      </w:r>
      <w:r w:rsidRPr="00055F91">
        <w:rPr>
          <w:rFonts w:ascii="FrankRuehl" w:hAnsi="FrankRuehl" w:cs="FrankRuehl"/>
          <w:sz w:val="22"/>
          <w:szCs w:val="22"/>
          <w:rtl/>
        </w:rPr>
        <w:t xml:space="preserve"> וי' </w:t>
      </w:r>
      <w:proofErr w:type="spellStart"/>
      <w:r w:rsidRPr="00055F91">
        <w:rPr>
          <w:rFonts w:ascii="FrankRuehl" w:hAnsi="FrankRuehl" w:cs="FrankRuehl"/>
          <w:sz w:val="22"/>
          <w:szCs w:val="22"/>
          <w:rtl/>
        </w:rPr>
        <w:t>יט</w:t>
      </w:r>
      <w:proofErr w:type="spellEnd"/>
      <w:r w:rsidRPr="00055F91">
        <w:rPr>
          <w:rFonts w:ascii="FrankRuehl" w:hAnsi="FrankRuehl" w:cs="FrankRuehl"/>
          <w:sz w:val="22"/>
          <w:szCs w:val="22"/>
          <w:rtl/>
        </w:rPr>
        <w:t xml:space="preserve"> 19 </w:t>
      </w:r>
      <w:r>
        <w:rPr>
          <w:rFonts w:ascii="FrankRuehl" w:hAnsi="FrankRuehl" w:cs="FrankRuehl" w:hint="cs"/>
          <w:sz w:val="22"/>
          <w:szCs w:val="22"/>
          <w:rtl/>
        </w:rPr>
        <w:t>ל</w:t>
      </w:r>
      <w:r w:rsidRPr="00055F91">
        <w:rPr>
          <w:rFonts w:ascii="FrankRuehl" w:hAnsi="FrankRuehl" w:cs="FrankRuehl"/>
          <w:sz w:val="22"/>
          <w:szCs w:val="22"/>
          <w:rtl/>
        </w:rPr>
        <w:t xml:space="preserve">דב' </w:t>
      </w:r>
      <w:proofErr w:type="spellStart"/>
      <w:r w:rsidRPr="00055F91">
        <w:rPr>
          <w:rFonts w:ascii="FrankRuehl" w:hAnsi="FrankRuehl" w:cs="FrankRuehl"/>
          <w:sz w:val="22"/>
          <w:szCs w:val="22"/>
          <w:rtl/>
        </w:rPr>
        <w:t>כב</w:t>
      </w:r>
      <w:proofErr w:type="spellEnd"/>
      <w:r w:rsidRPr="00055F91">
        <w:rPr>
          <w:rFonts w:ascii="FrankRuehl" w:hAnsi="FrankRuehl" w:cs="FrankRuehl"/>
          <w:sz w:val="22"/>
          <w:szCs w:val="22"/>
          <w:rtl/>
        </w:rPr>
        <w:t xml:space="preserve"> 9–11 </w:t>
      </w:r>
      <w:r w:rsidR="0013504B">
        <w:rPr>
          <w:rFonts w:ascii="FrankRuehl" w:hAnsi="FrankRuehl" w:cs="FrankRuehl" w:hint="cs"/>
          <w:sz w:val="22"/>
          <w:szCs w:val="22"/>
          <w:rtl/>
        </w:rPr>
        <w:t>...</w:t>
      </w:r>
      <w:r>
        <w:rPr>
          <w:rFonts w:ascii="FrankRuehl" w:hAnsi="FrankRuehl" w:cs="FrankRuehl" w:hint="cs"/>
          <w:sz w:val="22"/>
          <w:szCs w:val="22"/>
          <w:rtl/>
        </w:rPr>
        <w:t xml:space="preserve">, ובפירושים המודרניים </w:t>
      </w:r>
      <w:proofErr w:type="spellStart"/>
      <w:r>
        <w:rPr>
          <w:rFonts w:ascii="FrankRuehl" w:hAnsi="FrankRuehl" w:cs="FrankRuehl" w:hint="cs"/>
          <w:sz w:val="22"/>
          <w:szCs w:val="22"/>
          <w:rtl/>
        </w:rPr>
        <w:t>לויקרא</w:t>
      </w:r>
      <w:proofErr w:type="spellEnd"/>
      <w:r>
        <w:rPr>
          <w:rFonts w:ascii="FrankRuehl" w:hAnsi="FrankRuehl" w:cs="FrankRuehl" w:hint="cs"/>
          <w:sz w:val="22"/>
          <w:szCs w:val="22"/>
          <w:rtl/>
        </w:rPr>
        <w:t xml:space="preserve"> ולדברים. כיוון שהחוקרים לא לקחו בחשבון כי האיסור על כלאי בהמה מתייחס, למעשה, ל</w:t>
      </w:r>
      <w:r w:rsidRPr="003B2B57">
        <w:rPr>
          <w:rFonts w:ascii="FrankRuehl" w:hAnsi="FrankRuehl" w:cs="FrankRuehl" w:hint="cs"/>
          <w:sz w:val="22"/>
          <w:szCs w:val="22"/>
          <w:rtl/>
        </w:rPr>
        <w:t>פ</w:t>
      </w:r>
      <w:r w:rsidRPr="003B2B57">
        <w:rPr>
          <w:rFonts w:ascii="Arial" w:hAnsi="Arial" w:cs="FrankRuehl"/>
          <w:sz w:val="22"/>
          <w:szCs w:val="22"/>
          <w:rtl/>
        </w:rPr>
        <w:t>ּ</w:t>
      </w:r>
      <w:r w:rsidRPr="003B2B57">
        <w:rPr>
          <w:rFonts w:ascii="FrankRuehl" w:hAnsi="FrankRuehl" w:cs="FrankRuehl" w:hint="cs"/>
          <w:sz w:val="22"/>
          <w:szCs w:val="22"/>
          <w:rtl/>
        </w:rPr>
        <w:t>ר</w:t>
      </w:r>
      <w:r>
        <w:rPr>
          <w:rFonts w:ascii="FrankRuehl" w:hAnsi="FrankRuehl" w:cs="FrankRuehl" w:hint="cs"/>
          <w:sz w:val="22"/>
          <w:szCs w:val="22"/>
          <w:rtl/>
        </w:rPr>
        <w:t xml:space="preserve">ד ולסוסיה בלבד, שיקוליהם שונים מאלה המובאים כאן. </w:t>
      </w:r>
    </w:p>
  </w:footnote>
  <w:footnote w:id="25">
    <w:p w14:paraId="0D213436" w14:textId="43FC935E" w:rsidR="004D014B" w:rsidRPr="002D3A42" w:rsidRDefault="004D014B" w:rsidP="004D014B">
      <w:pPr>
        <w:pStyle w:val="FootnoteText"/>
        <w:bidi/>
        <w:rPr>
          <w:rFonts w:ascii="FrankRuehl" w:hAnsi="FrankRuehl" w:cs="FrankRuehl"/>
          <w:sz w:val="22"/>
          <w:szCs w:val="22"/>
          <w:rtl/>
        </w:rPr>
      </w:pPr>
      <w:r w:rsidRPr="002D3A42">
        <w:rPr>
          <w:rStyle w:val="FootnoteReference"/>
          <w:rFonts w:ascii="FrankRuehl" w:hAnsi="FrankRuehl" w:cs="FrankRuehl"/>
          <w:sz w:val="22"/>
          <w:szCs w:val="22"/>
        </w:rPr>
        <w:footnoteRef/>
      </w:r>
      <w:r>
        <w:rPr>
          <w:rFonts w:ascii="FrankRuehl" w:hAnsi="FrankRuehl" w:cs="FrankRuehl"/>
          <w:sz w:val="22"/>
          <w:szCs w:val="22"/>
        </w:rPr>
        <w:t xml:space="preserve"> </w:t>
      </w:r>
      <w:r w:rsidR="0013504B">
        <w:rPr>
          <w:rFonts w:asciiTheme="majorBidi" w:hAnsiTheme="majorBidi" w:cstheme="majorBidi" w:hint="cs"/>
          <w:rtl/>
        </w:rPr>
        <w:t xml:space="preserve"> </w:t>
      </w:r>
      <w:r w:rsidR="0013504B">
        <w:rPr>
          <w:rFonts w:asciiTheme="majorBidi" w:hAnsiTheme="majorBidi" w:cstheme="majorBidi" w:hint="cs"/>
          <w:rtl/>
        </w:rPr>
        <w:t xml:space="preserve">... </w:t>
      </w:r>
      <w:r>
        <w:rPr>
          <w:rFonts w:ascii="FrankRuehl" w:hAnsi="FrankRuehl" w:cs="FrankRuehl" w:hint="cs"/>
          <w:sz w:val="22"/>
          <w:szCs w:val="22"/>
          <w:rtl/>
        </w:rPr>
        <w:t xml:space="preserve">וראו נוסח השבעים לפסוק (להלן, הערה </w:t>
      </w:r>
      <w:r>
        <w:rPr>
          <w:rFonts w:ascii="FrankRuehl" w:hAnsi="FrankRuehl" w:cs="FrankRuehl" w:hint="cs"/>
          <w:color w:val="FF0000"/>
          <w:sz w:val="22"/>
          <w:szCs w:val="22"/>
          <w:rtl/>
        </w:rPr>
        <w:t>000</w:t>
      </w:r>
      <w:r>
        <w:rPr>
          <w:rFonts w:ascii="FrankRuehl" w:hAnsi="FrankRuehl" w:cs="FrankRuehl" w:hint="cs"/>
          <w:sz w:val="22"/>
          <w:szCs w:val="22"/>
          <w:rtl/>
        </w:rPr>
        <w:t>).</w:t>
      </w:r>
      <w:r w:rsidRPr="002D3A42">
        <w:rPr>
          <w:rFonts w:ascii="FrankRuehl" w:hAnsi="FrankRuehl" w:cs="FrankRuehl"/>
          <w:sz w:val="22"/>
          <w:szCs w:val="22"/>
          <w:rtl/>
        </w:rPr>
        <w:t xml:space="preserve"> ב</w:t>
      </w:r>
      <w:r>
        <w:rPr>
          <w:rFonts w:ascii="FrankRuehl" w:hAnsi="FrankRuehl" w:cs="FrankRuehl" w:hint="cs"/>
          <w:sz w:val="22"/>
          <w:szCs w:val="22"/>
          <w:rtl/>
        </w:rPr>
        <w:t>התחשב</w:t>
      </w:r>
      <w:r w:rsidRPr="002D3A42">
        <w:rPr>
          <w:rFonts w:ascii="FrankRuehl" w:hAnsi="FrankRuehl" w:cs="FrankRuehl"/>
          <w:sz w:val="22"/>
          <w:szCs w:val="22"/>
          <w:rtl/>
        </w:rPr>
        <w:t xml:space="preserve"> </w:t>
      </w:r>
      <w:r>
        <w:rPr>
          <w:rFonts w:ascii="FrankRuehl" w:hAnsi="FrankRuehl" w:cs="FrankRuehl" w:hint="cs"/>
          <w:sz w:val="22"/>
          <w:szCs w:val="22"/>
          <w:rtl/>
        </w:rPr>
        <w:t>ב</w:t>
      </w:r>
      <w:r w:rsidRPr="002D3A42">
        <w:rPr>
          <w:rFonts w:ascii="FrankRuehl" w:hAnsi="FrankRuehl" w:cs="FrankRuehl"/>
          <w:sz w:val="22"/>
          <w:szCs w:val="22"/>
          <w:rtl/>
        </w:rPr>
        <w:t>צירוף '</w:t>
      </w:r>
      <w:proofErr w:type="spellStart"/>
      <w:r w:rsidRPr="002D3A42">
        <w:rPr>
          <w:rFonts w:ascii="FrankRuehl" w:hAnsi="FrankRuehl" w:cs="FrankRuehl"/>
          <w:color w:val="000000"/>
          <w:sz w:val="22"/>
          <w:szCs w:val="22"/>
          <w:rtl/>
          <w:lang w:val="en-IL"/>
        </w:rPr>
        <w:t>כֶּרֶם</w:t>
      </w:r>
      <w:proofErr w:type="spellEnd"/>
      <w:r w:rsidRPr="002D3A42">
        <w:rPr>
          <w:rFonts w:ascii="FrankRuehl" w:hAnsi="FrankRuehl" w:cs="FrankRuehl"/>
          <w:color w:val="000000"/>
          <w:sz w:val="22"/>
          <w:szCs w:val="22"/>
          <w:rtl/>
          <w:lang w:val="en-IL"/>
        </w:rPr>
        <w:t xml:space="preserve"> זָיִת'</w:t>
      </w:r>
      <w:r w:rsidRPr="002D3A42">
        <w:rPr>
          <w:rFonts w:ascii="FrankRuehl" w:hAnsi="FrankRuehl" w:cs="FrankRuehl"/>
          <w:sz w:val="22"/>
          <w:szCs w:val="22"/>
          <w:rtl/>
        </w:rPr>
        <w:t xml:space="preserve"> </w:t>
      </w:r>
      <w:r w:rsidRPr="002D3A42">
        <w:rPr>
          <w:rFonts w:ascii="FrankRuehl" w:hAnsi="FrankRuehl" w:cs="FrankRuehl"/>
          <w:color w:val="202122"/>
          <w:sz w:val="22"/>
          <w:szCs w:val="22"/>
          <w:shd w:val="clear" w:color="auto" w:fill="FFFFFF"/>
          <w:rtl/>
        </w:rPr>
        <w:t>(</w:t>
      </w:r>
      <w:proofErr w:type="spellStart"/>
      <w:r w:rsidRPr="002D3A42">
        <w:rPr>
          <w:rFonts w:ascii="FrankRuehl" w:hAnsi="FrankRuehl" w:cs="FrankRuehl"/>
          <w:color w:val="202122"/>
          <w:sz w:val="22"/>
          <w:szCs w:val="22"/>
          <w:shd w:val="clear" w:color="auto" w:fill="FFFFFF"/>
          <w:rtl/>
        </w:rPr>
        <w:t>שו</w:t>
      </w:r>
      <w:proofErr w:type="spellEnd"/>
      <w:r w:rsidRPr="002D3A42">
        <w:rPr>
          <w:rFonts w:ascii="FrankRuehl" w:hAnsi="FrankRuehl" w:cs="FrankRuehl"/>
          <w:color w:val="202122"/>
          <w:sz w:val="22"/>
          <w:szCs w:val="22"/>
          <w:shd w:val="clear" w:color="auto" w:fill="FFFFFF"/>
          <w:rtl/>
        </w:rPr>
        <w:t xml:space="preserve">' טו 5) הוצע כי 'כרם' עשוי לכוון גם לחלקת אדמה נטועה זיתים, ואם כך הוא הרי </w:t>
      </w:r>
      <w:r>
        <w:rPr>
          <w:rFonts w:ascii="FrankRuehl" w:hAnsi="FrankRuehl" w:cs="FrankRuehl" w:hint="cs"/>
          <w:color w:val="202122"/>
          <w:sz w:val="22"/>
          <w:szCs w:val="22"/>
          <w:shd w:val="clear" w:color="auto" w:fill="FFFFFF"/>
          <w:rtl/>
        </w:rPr>
        <w:t>אפשר שהאיסור נוגע לנטיעה משולבת של</w:t>
      </w:r>
      <w:r w:rsidRPr="002D3A42">
        <w:rPr>
          <w:rFonts w:ascii="FrankRuehl" w:hAnsi="FrankRuehl" w:cs="FrankRuehl"/>
          <w:color w:val="202122"/>
          <w:sz w:val="22"/>
          <w:szCs w:val="22"/>
          <w:shd w:val="clear" w:color="auto" w:fill="FFFFFF"/>
          <w:rtl/>
        </w:rPr>
        <w:t xml:space="preserve"> גפנים וזיתים</w:t>
      </w:r>
      <w:r>
        <w:rPr>
          <w:rFonts w:ascii="FrankRuehl" w:hAnsi="FrankRuehl" w:cs="FrankRuehl" w:hint="cs"/>
          <w:color w:val="202122"/>
          <w:sz w:val="22"/>
          <w:szCs w:val="22"/>
          <w:shd w:val="clear" w:color="auto" w:fill="FFFFFF"/>
          <w:rtl/>
        </w:rPr>
        <w:t xml:space="preserve"> בחלקת כרם אחת; </w:t>
      </w:r>
      <w:r w:rsidR="0013504B">
        <w:rPr>
          <w:rFonts w:asciiTheme="majorBidi" w:hAnsiTheme="majorBidi" w:cstheme="majorBidi" w:hint="cs"/>
          <w:color w:val="202122"/>
          <w:shd w:val="clear" w:color="auto" w:fill="FFFFFF"/>
          <w:rtl/>
        </w:rPr>
        <w:t>...</w:t>
      </w:r>
      <w:r w:rsidRPr="002D3A42">
        <w:rPr>
          <w:rFonts w:ascii="FrankRuehl" w:hAnsi="FrankRuehl" w:cs="FrankRuehl"/>
          <w:color w:val="202122"/>
          <w:sz w:val="22"/>
          <w:szCs w:val="22"/>
          <w:shd w:val="clear" w:color="auto" w:fill="FFFFFF"/>
          <w:rtl/>
        </w:rPr>
        <w:t xml:space="preserve">. אולם דומה שיש לקרוא בהתאם לנוסח השבעים ולוולגטה 'כרם </w:t>
      </w:r>
      <w:r w:rsidRPr="00F07A81">
        <w:rPr>
          <w:rFonts w:ascii="FrankRuehl" w:hAnsi="FrankRuehl" w:cs="FrankRuehl"/>
          <w:b/>
          <w:bCs/>
          <w:color w:val="202122"/>
          <w:sz w:val="22"/>
          <w:szCs w:val="22"/>
          <w:shd w:val="clear" w:color="auto" w:fill="FFFFFF"/>
          <w:rtl/>
        </w:rPr>
        <w:t>ו</w:t>
      </w:r>
      <w:r w:rsidRPr="002D3A42">
        <w:rPr>
          <w:rFonts w:ascii="FrankRuehl" w:hAnsi="FrankRuehl" w:cs="FrankRuehl"/>
          <w:color w:val="202122"/>
          <w:sz w:val="22"/>
          <w:szCs w:val="22"/>
          <w:shd w:val="clear" w:color="auto" w:fill="FFFFFF"/>
          <w:rtl/>
        </w:rPr>
        <w:t>זית'.</w:t>
      </w:r>
      <w:r w:rsidRPr="00E41BFD">
        <w:rPr>
          <w:rFonts w:ascii="FrankRuehl" w:hAnsi="FrankRuehl" w:cs="FrankRuehl"/>
          <w:sz w:val="22"/>
          <w:szCs w:val="22"/>
          <w:rtl/>
        </w:rPr>
        <w:t xml:space="preserve"> </w:t>
      </w:r>
    </w:p>
  </w:footnote>
  <w:footnote w:id="26">
    <w:p w14:paraId="4DDCBCE1" w14:textId="54DE267D" w:rsidR="004D014B" w:rsidRPr="00751FC6" w:rsidRDefault="004D014B" w:rsidP="004D014B">
      <w:pPr>
        <w:pStyle w:val="FootnoteText"/>
        <w:bidi/>
        <w:rPr>
          <w:rFonts w:ascii="FrankRuehl" w:hAnsi="FrankRuehl" w:cs="FrankRuehl"/>
          <w:sz w:val="22"/>
          <w:szCs w:val="22"/>
          <w:rtl/>
        </w:rPr>
      </w:pPr>
      <w:r w:rsidRPr="002D3A42">
        <w:rPr>
          <w:rStyle w:val="FootnoteReference"/>
          <w:rFonts w:ascii="FrankRuehl" w:hAnsi="FrankRuehl" w:cs="FrankRuehl"/>
          <w:sz w:val="22"/>
          <w:szCs w:val="22"/>
        </w:rPr>
        <w:footnoteRef/>
      </w:r>
      <w:r w:rsidRPr="002D3A42">
        <w:rPr>
          <w:rFonts w:ascii="FrankRuehl" w:hAnsi="FrankRuehl" w:cs="FrankRuehl"/>
          <w:sz w:val="22"/>
          <w:szCs w:val="22"/>
        </w:rPr>
        <w:t xml:space="preserve"> </w:t>
      </w:r>
      <w:r w:rsidRPr="002D3A42">
        <w:rPr>
          <w:rFonts w:ascii="FrankRuehl" w:hAnsi="FrankRuehl" w:cs="FrankRuehl"/>
          <w:sz w:val="22"/>
          <w:szCs w:val="22"/>
          <w:rtl/>
        </w:rPr>
        <w:t>למש</w:t>
      </w:r>
      <w:r w:rsidRPr="00D47408">
        <w:rPr>
          <w:rFonts w:ascii="FrankRuehl" w:hAnsi="FrankRuehl" w:cs="FrankRuehl"/>
          <w:sz w:val="22"/>
          <w:szCs w:val="22"/>
          <w:rtl/>
        </w:rPr>
        <w:t xml:space="preserve">ל: </w:t>
      </w:r>
      <w:r w:rsidRPr="00D47408">
        <w:rPr>
          <w:rFonts w:ascii="FrankRuehl" w:hAnsi="FrankRuehl" w:cs="FrankRuehl"/>
          <w:color w:val="000000"/>
          <w:sz w:val="22"/>
          <w:szCs w:val="22"/>
          <w:rtl/>
          <w:lang w:val="en-IL"/>
        </w:rPr>
        <w:t xml:space="preserve">'אסר רחמנא [=הרחמן] חרישה משני </w:t>
      </w:r>
      <w:proofErr w:type="spellStart"/>
      <w:r w:rsidRPr="00D47408">
        <w:rPr>
          <w:rFonts w:ascii="FrankRuehl" w:hAnsi="FrankRuehl" w:cs="FrankRuehl"/>
          <w:color w:val="000000"/>
          <w:sz w:val="22"/>
          <w:szCs w:val="22"/>
          <w:rtl/>
          <w:lang w:val="en-IL"/>
        </w:rPr>
        <w:t>מינין</w:t>
      </w:r>
      <w:proofErr w:type="spellEnd"/>
      <w:r w:rsidRPr="00D47408">
        <w:rPr>
          <w:rFonts w:ascii="FrankRuehl" w:hAnsi="FrankRuehl" w:cs="FrankRuehl"/>
          <w:color w:val="000000"/>
          <w:sz w:val="22"/>
          <w:szCs w:val="22"/>
          <w:rtl/>
          <w:lang w:val="en-IL"/>
        </w:rPr>
        <w:t xml:space="preserve"> – שלא יבא להרגילם, ולהרביעו זה עם זה' (יוסף בכור שור</w:t>
      </w:r>
      <w:r>
        <w:rPr>
          <w:rFonts w:ascii="FrankRuehl" w:hAnsi="FrankRuehl" w:cs="FrankRuehl" w:hint="cs"/>
          <w:color w:val="000000"/>
          <w:sz w:val="22"/>
          <w:szCs w:val="22"/>
          <w:rtl/>
          <w:lang w:val="en-IL"/>
        </w:rPr>
        <w:t xml:space="preserve"> לדב' </w:t>
      </w:r>
      <w:proofErr w:type="spellStart"/>
      <w:r>
        <w:rPr>
          <w:rFonts w:ascii="FrankRuehl" w:hAnsi="FrankRuehl" w:cs="FrankRuehl" w:hint="cs"/>
          <w:color w:val="000000"/>
          <w:sz w:val="22"/>
          <w:szCs w:val="22"/>
          <w:rtl/>
          <w:lang w:val="en-IL"/>
        </w:rPr>
        <w:t>כב</w:t>
      </w:r>
      <w:proofErr w:type="spellEnd"/>
      <w:r>
        <w:rPr>
          <w:rFonts w:ascii="FrankRuehl" w:hAnsi="FrankRuehl" w:cs="FrankRuehl" w:hint="cs"/>
          <w:color w:val="000000"/>
          <w:sz w:val="22"/>
          <w:szCs w:val="22"/>
          <w:rtl/>
          <w:lang w:val="en-IL"/>
        </w:rPr>
        <w:t xml:space="preserve"> 10</w:t>
      </w:r>
      <w:r w:rsidRPr="00D47408">
        <w:rPr>
          <w:rFonts w:ascii="FrankRuehl" w:hAnsi="FrankRuehl" w:cs="FrankRuehl"/>
          <w:color w:val="000000"/>
          <w:sz w:val="22"/>
          <w:szCs w:val="22"/>
          <w:rtl/>
          <w:lang w:val="en-IL"/>
        </w:rPr>
        <w:t>)</w:t>
      </w:r>
      <w:r>
        <w:rPr>
          <w:rFonts w:ascii="FrankRuehl" w:hAnsi="FrankRuehl" w:cs="FrankRuehl" w:hint="cs"/>
          <w:color w:val="000000"/>
          <w:sz w:val="22"/>
          <w:szCs w:val="22"/>
          <w:rtl/>
          <w:lang w:val="en-IL"/>
        </w:rPr>
        <w:t>; 'האיסור לצרף שני מינים גם בכל עבודה שהיא [...] בא להרחיק מהרכבת שני מינים, כי אם מצרפים אותם יש שירכב אחד על השני' (רמב"ם, מורה הנבוכים, חלק</w:t>
      </w:r>
      <w:r>
        <w:rPr>
          <w:rFonts w:ascii="FrankRuehl" w:hAnsi="FrankRuehl" w:cs="FrankRuehl" w:hint="cs"/>
          <w:sz w:val="22"/>
          <w:szCs w:val="22"/>
          <w:rtl/>
        </w:rPr>
        <w:t xml:space="preserve"> ג, פרק מט </w:t>
      </w:r>
      <w:r w:rsidR="0013504B">
        <w:rPr>
          <w:rFonts w:ascii="FrankRuehl" w:hAnsi="FrankRuehl" w:cs="FrankRuehl" w:hint="cs"/>
          <w:sz w:val="22"/>
          <w:szCs w:val="22"/>
          <w:rtl/>
        </w:rPr>
        <w:t>...</w:t>
      </w:r>
      <w:r>
        <w:rPr>
          <w:rFonts w:ascii="FrankRuehl" w:hAnsi="FrankRuehl" w:cs="FrankRuehl" w:hint="cs"/>
          <w:sz w:val="22"/>
          <w:szCs w:val="22"/>
          <w:rtl/>
        </w:rPr>
        <w:t>). אף במחקר המודרני יש שהדגישו את קרבתם של החוקים</w:t>
      </w:r>
      <w:r w:rsidR="0013504B">
        <w:rPr>
          <w:rFonts w:ascii="FrankRuehl" w:hAnsi="FrankRuehl" w:cs="FrankRuehl" w:hint="cs"/>
          <w:sz w:val="22"/>
          <w:szCs w:val="22"/>
          <w:rtl/>
        </w:rPr>
        <w:t xml:space="preserve"> ...</w:t>
      </w:r>
    </w:p>
  </w:footnote>
  <w:footnote w:id="27">
    <w:p w14:paraId="2846E599" w14:textId="418A2B61" w:rsidR="004D014B" w:rsidRPr="006A1258" w:rsidRDefault="004D014B" w:rsidP="004D014B">
      <w:pPr>
        <w:pStyle w:val="FootnoteText"/>
        <w:bidi/>
        <w:rPr>
          <w:rFonts w:ascii="FrankRuehl" w:hAnsi="FrankRuehl" w:cs="FrankRuehl"/>
          <w:sz w:val="22"/>
          <w:szCs w:val="22"/>
          <w:rtl/>
        </w:rPr>
      </w:pPr>
      <w:r w:rsidRPr="00843884">
        <w:rPr>
          <w:rStyle w:val="FootnoteReference"/>
          <w:rFonts w:ascii="FrankRuehl" w:hAnsi="FrankRuehl" w:cs="FrankRuehl"/>
          <w:sz w:val="22"/>
          <w:szCs w:val="22"/>
        </w:rPr>
        <w:footnoteRef/>
      </w:r>
      <w:r>
        <w:rPr>
          <w:rFonts w:ascii="FrankRuehl" w:hAnsi="FrankRuehl" w:cs="FrankRuehl"/>
          <w:sz w:val="22"/>
          <w:szCs w:val="22"/>
          <w:rtl/>
        </w:rPr>
        <w:t xml:space="preserve"> </w:t>
      </w:r>
      <w:r w:rsidR="0013504B">
        <w:rPr>
          <w:rFonts w:ascii="FrankRuehl" w:hAnsi="FrankRuehl" w:cs="FrankRuehl" w:hint="cs"/>
          <w:sz w:val="22"/>
          <w:szCs w:val="22"/>
          <w:rtl/>
        </w:rPr>
        <w:t>...</w:t>
      </w:r>
      <w:r>
        <w:rPr>
          <w:rFonts w:ascii="FrankRuehl" w:hAnsi="FrankRuehl" w:cs="FrankRuehl" w:hint="cs"/>
          <w:sz w:val="22"/>
          <w:szCs w:val="22"/>
          <w:rtl/>
        </w:rPr>
        <w:t xml:space="preserve"> ומבין החוקרים בעת החדשה ראו </w:t>
      </w:r>
      <w:r w:rsidR="0013504B">
        <w:rPr>
          <w:rFonts w:ascii="FrankRuehl" w:hAnsi="FrankRuehl" w:cs="FrankRuehl" w:hint="cs"/>
          <w:sz w:val="22"/>
          <w:szCs w:val="22"/>
          <w:rtl/>
        </w:rPr>
        <w:t xml:space="preserve">... </w:t>
      </w:r>
    </w:p>
  </w:footnote>
  <w:footnote w:id="28">
    <w:p w14:paraId="42E2DA9A" w14:textId="77777777" w:rsidR="004D014B" w:rsidRPr="005A3141" w:rsidRDefault="004D014B" w:rsidP="004D014B">
      <w:pPr>
        <w:pStyle w:val="FootnoteText"/>
        <w:bidi/>
        <w:rPr>
          <w:rtl/>
        </w:rPr>
      </w:pPr>
      <w:r w:rsidRPr="005A3141">
        <w:rPr>
          <w:rStyle w:val="FootnoteReference"/>
          <w:rFonts w:ascii="FrankRuehl" w:hAnsi="FrankRuehl" w:cs="FrankRuehl"/>
          <w:sz w:val="22"/>
          <w:szCs w:val="22"/>
        </w:rPr>
        <w:footnoteRef/>
      </w:r>
      <w:r>
        <w:rPr>
          <w:rFonts w:ascii="FrankRuehl" w:hAnsi="FrankRuehl" w:cs="FrankRuehl"/>
          <w:sz w:val="22"/>
          <w:szCs w:val="22"/>
        </w:rPr>
        <w:t xml:space="preserve"> </w:t>
      </w:r>
      <w:r w:rsidRPr="00843884">
        <w:rPr>
          <w:rFonts w:asciiTheme="majorBidi" w:hAnsiTheme="majorBidi" w:cstheme="majorBidi"/>
        </w:rPr>
        <w:t>cf. Mishna,</w:t>
      </w:r>
      <w:r>
        <w:rPr>
          <w:rFonts w:asciiTheme="majorBidi" w:hAnsiTheme="majorBidi" w:cstheme="majorBidi"/>
        </w:rPr>
        <w:t xml:space="preserve"> </w:t>
      </w:r>
      <w:proofErr w:type="spellStart"/>
      <w:r w:rsidRPr="00837E65">
        <w:rPr>
          <w:rFonts w:asciiTheme="majorBidi" w:hAnsiTheme="majorBidi" w:cstheme="majorBidi"/>
          <w:i/>
          <w:iCs/>
        </w:rPr>
        <w:t>Kilayim</w:t>
      </w:r>
      <w:proofErr w:type="spellEnd"/>
      <w:r w:rsidRPr="00A45A00">
        <w:rPr>
          <w:rFonts w:asciiTheme="majorBidi" w:hAnsiTheme="majorBidi" w:cstheme="majorBidi"/>
        </w:rPr>
        <w:t>,</w:t>
      </w:r>
      <w:r>
        <w:rPr>
          <w:rFonts w:asciiTheme="majorBidi" w:hAnsiTheme="majorBidi" w:cstheme="majorBidi"/>
        </w:rPr>
        <w:t xml:space="preserve"> 5:7: ‘common practice’, and cf. Jan A</w:t>
      </w:r>
      <w:r w:rsidRPr="00BC6F6A">
        <w:rPr>
          <w:rFonts w:asciiTheme="majorBidi" w:hAnsiTheme="majorBidi" w:cstheme="majorBidi"/>
        </w:rPr>
        <w:t xml:space="preserve">. </w:t>
      </w:r>
      <w:proofErr w:type="spellStart"/>
      <w:r w:rsidRPr="00BC6F6A">
        <w:rPr>
          <w:rFonts w:asciiTheme="majorBidi" w:hAnsiTheme="majorBidi" w:cstheme="majorBidi"/>
        </w:rPr>
        <w:t>Wagenaar</w:t>
      </w:r>
      <w:proofErr w:type="spellEnd"/>
      <w:r w:rsidRPr="00BC6F6A">
        <w:rPr>
          <w:rFonts w:asciiTheme="majorBidi" w:hAnsiTheme="majorBidi" w:cstheme="majorBidi"/>
        </w:rPr>
        <w:t xml:space="preserve">, </w:t>
      </w:r>
      <w:r>
        <w:rPr>
          <w:rFonts w:asciiTheme="majorBidi" w:hAnsiTheme="majorBidi" w:cstheme="majorBidi"/>
        </w:rPr>
        <w:t>‘“</w:t>
      </w:r>
      <w:r w:rsidRPr="00BC6F6A">
        <w:rPr>
          <w:rFonts w:asciiTheme="majorBidi" w:hAnsiTheme="majorBidi" w:cstheme="majorBidi"/>
        </w:rPr>
        <w:t xml:space="preserve">You </w:t>
      </w:r>
      <w:r>
        <w:rPr>
          <w:rFonts w:asciiTheme="majorBidi" w:hAnsiTheme="majorBidi" w:cstheme="majorBidi"/>
        </w:rPr>
        <w:t>S</w:t>
      </w:r>
      <w:r w:rsidRPr="00BC6F6A">
        <w:rPr>
          <w:rFonts w:asciiTheme="majorBidi" w:hAnsiTheme="majorBidi" w:cstheme="majorBidi"/>
        </w:rPr>
        <w:t xml:space="preserve">hall </w:t>
      </w:r>
      <w:r>
        <w:rPr>
          <w:rFonts w:asciiTheme="majorBidi" w:hAnsiTheme="majorBidi" w:cstheme="majorBidi"/>
        </w:rPr>
        <w:t>N</w:t>
      </w:r>
      <w:r w:rsidRPr="00BC6F6A">
        <w:rPr>
          <w:rFonts w:asciiTheme="majorBidi" w:hAnsiTheme="majorBidi" w:cstheme="majorBidi"/>
        </w:rPr>
        <w:t xml:space="preserve">ot </w:t>
      </w:r>
      <w:r>
        <w:rPr>
          <w:rFonts w:asciiTheme="majorBidi" w:hAnsiTheme="majorBidi" w:cstheme="majorBidi"/>
        </w:rPr>
        <w:t>S</w:t>
      </w:r>
      <w:r w:rsidRPr="00BC6F6A">
        <w:rPr>
          <w:rFonts w:asciiTheme="majorBidi" w:hAnsiTheme="majorBidi" w:cstheme="majorBidi"/>
        </w:rPr>
        <w:t xml:space="preserve">ow </w:t>
      </w:r>
      <w:r>
        <w:rPr>
          <w:rFonts w:asciiTheme="majorBidi" w:hAnsiTheme="majorBidi" w:cstheme="majorBidi"/>
        </w:rPr>
        <w:t>T</w:t>
      </w:r>
      <w:r w:rsidRPr="00BC6F6A">
        <w:rPr>
          <w:rFonts w:asciiTheme="majorBidi" w:hAnsiTheme="majorBidi" w:cstheme="majorBidi"/>
        </w:rPr>
        <w:t xml:space="preserve">wo </w:t>
      </w:r>
      <w:r>
        <w:rPr>
          <w:rFonts w:asciiTheme="majorBidi" w:hAnsiTheme="majorBidi" w:cstheme="majorBidi"/>
        </w:rPr>
        <w:t>K</w:t>
      </w:r>
      <w:r w:rsidRPr="00BC6F6A">
        <w:rPr>
          <w:rFonts w:asciiTheme="majorBidi" w:hAnsiTheme="majorBidi" w:cstheme="majorBidi"/>
        </w:rPr>
        <w:t xml:space="preserve">inds of </w:t>
      </w:r>
      <w:r>
        <w:rPr>
          <w:rFonts w:asciiTheme="majorBidi" w:hAnsiTheme="majorBidi" w:cstheme="majorBidi"/>
        </w:rPr>
        <w:t>S</w:t>
      </w:r>
      <w:r w:rsidRPr="00BC6F6A">
        <w:rPr>
          <w:rFonts w:asciiTheme="majorBidi" w:hAnsiTheme="majorBidi" w:cstheme="majorBidi"/>
        </w:rPr>
        <w:t xml:space="preserve">eed in </w:t>
      </w:r>
      <w:r>
        <w:rPr>
          <w:rFonts w:asciiTheme="majorBidi" w:hAnsiTheme="majorBidi" w:cstheme="majorBidi"/>
        </w:rPr>
        <w:t>Y</w:t>
      </w:r>
      <w:r w:rsidRPr="00BC6F6A">
        <w:rPr>
          <w:rFonts w:asciiTheme="majorBidi" w:hAnsiTheme="majorBidi" w:cstheme="majorBidi"/>
        </w:rPr>
        <w:t xml:space="preserve">our </w:t>
      </w:r>
      <w:r>
        <w:rPr>
          <w:rFonts w:asciiTheme="majorBidi" w:hAnsiTheme="majorBidi" w:cstheme="majorBidi"/>
        </w:rPr>
        <w:t>F</w:t>
      </w:r>
      <w:r w:rsidRPr="00BC6F6A">
        <w:rPr>
          <w:rFonts w:asciiTheme="majorBidi" w:hAnsiTheme="majorBidi" w:cstheme="majorBidi"/>
        </w:rPr>
        <w:t>ield</w:t>
      </w:r>
      <w:r>
        <w:rPr>
          <w:rFonts w:asciiTheme="majorBidi" w:hAnsiTheme="majorBidi" w:cstheme="majorBidi"/>
        </w:rPr>
        <w:t>”</w:t>
      </w:r>
      <w:r w:rsidRPr="00BC6F6A">
        <w:rPr>
          <w:rFonts w:asciiTheme="majorBidi" w:hAnsiTheme="majorBidi" w:cstheme="majorBidi"/>
        </w:rPr>
        <w:t xml:space="preserve">: Leviticus 19,19 and the </w:t>
      </w:r>
      <w:r>
        <w:rPr>
          <w:rFonts w:asciiTheme="majorBidi" w:hAnsiTheme="majorBidi" w:cstheme="majorBidi"/>
        </w:rPr>
        <w:t>F</w:t>
      </w:r>
      <w:r w:rsidRPr="00BC6F6A">
        <w:rPr>
          <w:rFonts w:asciiTheme="majorBidi" w:hAnsiTheme="majorBidi" w:cstheme="majorBidi"/>
        </w:rPr>
        <w:t xml:space="preserve">ormation of the Holiness Code’, </w:t>
      </w:r>
      <w:proofErr w:type="spellStart"/>
      <w:r w:rsidRPr="00BC6F6A">
        <w:rPr>
          <w:rFonts w:asciiTheme="majorBidi" w:hAnsiTheme="majorBidi" w:cstheme="majorBidi"/>
          <w:i/>
          <w:iCs/>
        </w:rPr>
        <w:t>Zeitschrift</w:t>
      </w:r>
      <w:proofErr w:type="spellEnd"/>
      <w:r w:rsidRPr="00BC6F6A">
        <w:rPr>
          <w:rFonts w:asciiTheme="majorBidi" w:hAnsiTheme="majorBidi" w:cstheme="majorBidi"/>
          <w:i/>
          <w:iCs/>
        </w:rPr>
        <w:t xml:space="preserve"> </w:t>
      </w:r>
      <w:proofErr w:type="spellStart"/>
      <w:r w:rsidRPr="00BC6F6A">
        <w:rPr>
          <w:rFonts w:asciiTheme="majorBidi" w:hAnsiTheme="majorBidi" w:cstheme="majorBidi"/>
          <w:i/>
          <w:iCs/>
        </w:rPr>
        <w:t>für</w:t>
      </w:r>
      <w:proofErr w:type="spellEnd"/>
      <w:r w:rsidRPr="00BC6F6A">
        <w:rPr>
          <w:rFonts w:asciiTheme="majorBidi" w:hAnsiTheme="majorBidi" w:cstheme="majorBidi"/>
          <w:i/>
          <w:iCs/>
        </w:rPr>
        <w:t xml:space="preserve"> </w:t>
      </w:r>
      <w:proofErr w:type="spellStart"/>
      <w:r w:rsidRPr="00BC6F6A">
        <w:rPr>
          <w:rFonts w:asciiTheme="majorBidi" w:hAnsiTheme="majorBidi" w:cstheme="majorBidi"/>
          <w:i/>
          <w:iCs/>
        </w:rPr>
        <w:t>Altorientalische</w:t>
      </w:r>
      <w:proofErr w:type="spellEnd"/>
      <w:r w:rsidRPr="00BC6F6A">
        <w:rPr>
          <w:rFonts w:asciiTheme="majorBidi" w:hAnsiTheme="majorBidi" w:cstheme="majorBidi"/>
          <w:i/>
          <w:iCs/>
        </w:rPr>
        <w:t xml:space="preserve"> und </w:t>
      </w:r>
      <w:proofErr w:type="spellStart"/>
      <w:r w:rsidRPr="00BC6F6A">
        <w:rPr>
          <w:rFonts w:asciiTheme="majorBidi" w:hAnsiTheme="majorBidi" w:cstheme="majorBidi"/>
          <w:i/>
          <w:iCs/>
        </w:rPr>
        <w:t>Biblische</w:t>
      </w:r>
      <w:proofErr w:type="spellEnd"/>
      <w:r w:rsidRPr="00BC6F6A">
        <w:rPr>
          <w:rFonts w:asciiTheme="majorBidi" w:hAnsiTheme="majorBidi" w:cstheme="majorBidi"/>
          <w:i/>
          <w:iCs/>
        </w:rPr>
        <w:t xml:space="preserve"> </w:t>
      </w:r>
      <w:proofErr w:type="spellStart"/>
      <w:r w:rsidRPr="00BC6F6A">
        <w:rPr>
          <w:rFonts w:asciiTheme="majorBidi" w:hAnsiTheme="majorBidi" w:cstheme="majorBidi"/>
          <w:i/>
          <w:iCs/>
        </w:rPr>
        <w:t>Rechtsgeschichte</w:t>
      </w:r>
      <w:proofErr w:type="spellEnd"/>
      <w:r w:rsidRPr="00BC6F6A">
        <w:rPr>
          <w:rFonts w:asciiTheme="majorBidi" w:hAnsiTheme="majorBidi" w:cstheme="majorBidi"/>
        </w:rPr>
        <w:t xml:space="preserve"> 7 (2001)</w:t>
      </w:r>
      <w:r>
        <w:rPr>
          <w:rFonts w:asciiTheme="majorBidi" w:hAnsiTheme="majorBidi" w:cstheme="majorBidi"/>
        </w:rPr>
        <w:t>,</w:t>
      </w:r>
      <w:r w:rsidRPr="00BC6F6A">
        <w:rPr>
          <w:rFonts w:asciiTheme="majorBidi" w:hAnsiTheme="majorBidi" w:cstheme="majorBidi"/>
        </w:rPr>
        <w:t xml:space="preserve"> 3</w:t>
      </w:r>
      <w:r>
        <w:rPr>
          <w:rFonts w:asciiTheme="majorBidi" w:hAnsiTheme="majorBidi" w:cstheme="majorBidi"/>
        </w:rPr>
        <w:t>2</w:t>
      </w:r>
      <w:r w:rsidRPr="00BC6F6A">
        <w:rPr>
          <w:rFonts w:asciiTheme="majorBidi" w:hAnsiTheme="majorBidi" w:cstheme="majorBidi"/>
        </w:rPr>
        <w:t>1</w:t>
      </w:r>
      <w:r>
        <w:rPr>
          <w:rFonts w:asciiTheme="majorBidi" w:hAnsiTheme="majorBidi" w:cstheme="majorBidi"/>
        </w:rPr>
        <w:t xml:space="preserve"> </w:t>
      </w:r>
    </w:p>
  </w:footnote>
  <w:footnote w:id="29">
    <w:p w14:paraId="13E90C62" w14:textId="337E13E4" w:rsidR="004D014B" w:rsidRPr="006A1258" w:rsidRDefault="004D014B" w:rsidP="004D014B">
      <w:pPr>
        <w:pStyle w:val="FootnoteText"/>
        <w:bidi/>
        <w:rPr>
          <w:rFonts w:ascii="FrankRuehl" w:hAnsi="FrankRuehl" w:cs="FrankRuehl"/>
          <w:sz w:val="22"/>
          <w:szCs w:val="22"/>
        </w:rPr>
      </w:pPr>
      <w:r w:rsidRPr="000315AF">
        <w:rPr>
          <w:rStyle w:val="FootnoteReference"/>
          <w:rFonts w:ascii="FrankRuehl" w:hAnsi="FrankRuehl" w:cs="FrankRuehl"/>
          <w:sz w:val="22"/>
          <w:szCs w:val="22"/>
        </w:rPr>
        <w:footnoteRef/>
      </w:r>
      <w:r w:rsidRPr="000315AF">
        <w:rPr>
          <w:rFonts w:ascii="FrankRuehl" w:hAnsi="FrankRuehl" w:cs="FrankRuehl"/>
          <w:sz w:val="22"/>
          <w:szCs w:val="22"/>
        </w:rPr>
        <w:t xml:space="preserve"> </w:t>
      </w:r>
      <w:r>
        <w:rPr>
          <w:rFonts w:ascii="FrankRuehl" w:hAnsi="FrankRuehl" w:cs="FrankRuehl" w:hint="cs"/>
          <w:sz w:val="22"/>
          <w:szCs w:val="22"/>
          <w:rtl/>
        </w:rPr>
        <w:t>ל</w:t>
      </w:r>
      <w:r>
        <w:rPr>
          <w:rFonts w:ascii="FrankRuehl" w:hAnsi="FrankRuehl" w:cs="FrankRuehl" w:hint="cs"/>
          <w:color w:val="000000"/>
          <w:sz w:val="22"/>
          <w:szCs w:val="22"/>
          <w:shd w:val="clear" w:color="auto" w:fill="FFFFFF"/>
          <w:rtl/>
        </w:rPr>
        <w:t xml:space="preserve">אפשרות כי התקיימה חלוקת עבודה: האתון שימשה לנשיאת כלי המחרשה לשדה והחריש עצמו נעשה בעזרת השור </w:t>
      </w:r>
      <w:r w:rsidR="0013504B">
        <w:rPr>
          <w:rFonts w:ascii="FrankRuehl" w:hAnsi="FrankRuehl" w:cs="FrankRuehl" w:hint="cs"/>
          <w:color w:val="000000"/>
          <w:sz w:val="22"/>
          <w:szCs w:val="22"/>
          <w:shd w:val="clear" w:color="auto" w:fill="FFFFFF"/>
          <w:rtl/>
        </w:rPr>
        <w:t>...</w:t>
      </w:r>
      <w:r w:rsidRPr="001E3171">
        <w:rPr>
          <w:rFonts w:ascii="FrankRuehl" w:hAnsi="FrankRuehl" w:cs="FrankRuehl"/>
          <w:color w:val="000000"/>
          <w:sz w:val="22"/>
          <w:szCs w:val="22"/>
          <w:shd w:val="clear" w:color="auto" w:fill="FFFFFF"/>
          <w:rtl/>
        </w:rPr>
        <w:t xml:space="preserve">. </w:t>
      </w:r>
      <w:r>
        <w:rPr>
          <w:rFonts w:ascii="FrankRuehl" w:hAnsi="FrankRuehl" w:cs="FrankRuehl" w:hint="cs"/>
          <w:color w:val="000000"/>
          <w:sz w:val="22"/>
          <w:szCs w:val="22"/>
          <w:shd w:val="clear" w:color="auto" w:fill="FFFFFF"/>
          <w:rtl/>
        </w:rPr>
        <w:t xml:space="preserve">לעצם אזכורם של שור וחמור יחד ראו, בנוסף לאיוב א 14, גם </w:t>
      </w:r>
      <w:r w:rsidRPr="00926664">
        <w:rPr>
          <w:rFonts w:ascii="FrankRuehl" w:hAnsi="FrankRuehl" w:cs="FrankRuehl"/>
          <w:sz w:val="22"/>
          <w:szCs w:val="22"/>
          <w:rtl/>
        </w:rPr>
        <w:t xml:space="preserve">יש' ל 24; </w:t>
      </w:r>
      <w:r>
        <w:rPr>
          <w:rFonts w:ascii="FrankRuehl" w:hAnsi="FrankRuehl" w:cs="FrankRuehl" w:hint="cs"/>
          <w:sz w:val="22"/>
          <w:szCs w:val="22"/>
          <w:rtl/>
        </w:rPr>
        <w:t xml:space="preserve">לב 20, אך לא עולה כאן תמונת חרישה משותפת. אזכורה של </w:t>
      </w:r>
      <w:r w:rsidRPr="009B68CC">
        <w:rPr>
          <w:rFonts w:ascii="FrankRuehl" w:hAnsi="FrankRuehl" w:cs="FrankRuehl" w:hint="cs"/>
          <w:sz w:val="22"/>
          <w:szCs w:val="22"/>
          <w:rtl/>
        </w:rPr>
        <w:t>ע</w:t>
      </w:r>
      <w:r w:rsidRPr="009B68CC">
        <w:rPr>
          <w:rFonts w:ascii="FrankRuehl" w:hAnsi="FrankRuehl" w:cs="FrankRuehl"/>
          <w:color w:val="000000"/>
          <w:sz w:val="22"/>
          <w:szCs w:val="22"/>
          <w:rtl/>
        </w:rPr>
        <w:t>ֶ</w:t>
      </w:r>
      <w:r w:rsidRPr="009B68CC">
        <w:rPr>
          <w:rFonts w:ascii="FrankRuehl" w:hAnsi="FrankRuehl" w:cs="FrankRuehl" w:hint="cs"/>
          <w:sz w:val="22"/>
          <w:szCs w:val="22"/>
          <w:rtl/>
        </w:rPr>
        <w:t>גל</w:t>
      </w:r>
      <w:r>
        <w:rPr>
          <w:rFonts w:ascii="FrankRuehl" w:hAnsi="FrankRuehl" w:cs="FrankRuehl" w:hint="cs"/>
          <w:sz w:val="22"/>
          <w:szCs w:val="22"/>
          <w:rtl/>
        </w:rPr>
        <w:t xml:space="preserve">ה חורשת (לעיל בהערה </w:t>
      </w:r>
      <w:r>
        <w:rPr>
          <w:rFonts w:ascii="FrankRuehl" w:hAnsi="FrankRuehl" w:cs="FrankRuehl" w:hint="cs"/>
          <w:color w:val="FF0000"/>
          <w:sz w:val="22"/>
          <w:szCs w:val="22"/>
          <w:rtl/>
        </w:rPr>
        <w:t>000</w:t>
      </w:r>
      <w:r>
        <w:rPr>
          <w:rFonts w:ascii="FrankRuehl" w:hAnsi="FrankRuehl" w:cs="FrankRuehl" w:hint="cs"/>
          <w:sz w:val="22"/>
          <w:szCs w:val="22"/>
          <w:rtl/>
        </w:rPr>
        <w:t xml:space="preserve">) אינה אלא לשון מליצית. </w:t>
      </w:r>
    </w:p>
  </w:footnote>
  <w:footnote w:id="30">
    <w:p w14:paraId="6E8CB52F" w14:textId="68F06E37" w:rsidR="004D014B" w:rsidRPr="001A760B" w:rsidRDefault="004D014B" w:rsidP="004D014B">
      <w:pPr>
        <w:pStyle w:val="FootnoteText"/>
        <w:bidi/>
        <w:rPr>
          <w:rFonts w:ascii="FrankRuehl" w:hAnsi="FrankRuehl" w:cs="FrankRuehl"/>
          <w:sz w:val="22"/>
          <w:szCs w:val="22"/>
        </w:rPr>
      </w:pPr>
      <w:r w:rsidRPr="006A1258">
        <w:rPr>
          <w:rStyle w:val="FootnoteReference"/>
          <w:rFonts w:ascii="FrankRuehl" w:hAnsi="FrankRuehl" w:cs="FrankRuehl"/>
          <w:sz w:val="22"/>
          <w:szCs w:val="22"/>
        </w:rPr>
        <w:footnoteRef/>
      </w:r>
      <w:r w:rsidRPr="006A1258">
        <w:rPr>
          <w:rFonts w:ascii="FrankRuehl" w:hAnsi="FrankRuehl" w:cs="FrankRuehl"/>
          <w:sz w:val="22"/>
          <w:szCs w:val="22"/>
        </w:rPr>
        <w:t xml:space="preserve"> </w:t>
      </w:r>
      <w:r>
        <w:rPr>
          <w:rFonts w:ascii="FrankRuehl" w:hAnsi="FrankRuehl" w:cs="FrankRuehl" w:hint="cs"/>
          <w:sz w:val="22"/>
          <w:szCs w:val="22"/>
          <w:rtl/>
        </w:rPr>
        <w:t>השוו</w:t>
      </w:r>
      <w:r w:rsidRPr="007D0D6E">
        <w:rPr>
          <w:rFonts w:ascii="FrankRuehl" w:hAnsi="FrankRuehl" w:cs="FrankRuehl" w:hint="cs"/>
          <w:sz w:val="22"/>
          <w:szCs w:val="22"/>
          <w:rtl/>
        </w:rPr>
        <w:t xml:space="preserve">: </w:t>
      </w:r>
      <w:r w:rsidRPr="007D0D6E">
        <w:rPr>
          <w:rFonts w:ascii="FrankRuehl" w:hAnsi="FrankRuehl" w:cs="FrankRuehl"/>
          <w:color w:val="000000"/>
          <w:sz w:val="22"/>
          <w:szCs w:val="22"/>
          <w:rtl/>
          <w:lang w:val="en-IL"/>
        </w:rPr>
        <w:t xml:space="preserve">'השם חמל על כל מעשיו [על פי תה' קמה 9], כי אין </w:t>
      </w:r>
      <w:proofErr w:type="spellStart"/>
      <w:r w:rsidRPr="007D0D6E">
        <w:rPr>
          <w:rFonts w:ascii="FrankRuehl" w:hAnsi="FrankRuehl" w:cs="FrankRuehl"/>
          <w:color w:val="000000"/>
          <w:sz w:val="22"/>
          <w:szCs w:val="22"/>
          <w:rtl/>
          <w:lang w:val="en-IL"/>
        </w:rPr>
        <w:t>כח</w:t>
      </w:r>
      <w:proofErr w:type="spellEnd"/>
      <w:r w:rsidRPr="007D0D6E">
        <w:rPr>
          <w:rFonts w:ascii="FrankRuehl" w:hAnsi="FrankRuehl" w:cs="FrankRuehl"/>
          <w:color w:val="000000"/>
          <w:sz w:val="22"/>
          <w:szCs w:val="22"/>
          <w:rtl/>
          <w:lang w:val="en-IL"/>
        </w:rPr>
        <w:t xml:space="preserve"> </w:t>
      </w:r>
      <w:r w:rsidRPr="007D0D6E">
        <w:rPr>
          <w:rFonts w:ascii="FrankRuehl" w:hAnsi="FrankRuehl" w:cs="FrankRuehl"/>
          <w:b/>
          <w:color w:val="000000"/>
          <w:sz w:val="22"/>
          <w:szCs w:val="22"/>
          <w:highlight w:val="white"/>
          <w:rtl/>
          <w:lang w:val="en-IL"/>
        </w:rPr>
        <w:t>החמור</w:t>
      </w:r>
      <w:r w:rsidRPr="007D0D6E">
        <w:rPr>
          <w:rFonts w:ascii="FrankRuehl" w:hAnsi="FrankRuehl" w:cs="FrankRuehl"/>
          <w:color w:val="000000"/>
          <w:sz w:val="22"/>
          <w:szCs w:val="22"/>
          <w:rtl/>
          <w:lang w:val="en-IL"/>
        </w:rPr>
        <w:t xml:space="preserve"> </w:t>
      </w:r>
      <w:proofErr w:type="spellStart"/>
      <w:r w:rsidRPr="007D0D6E">
        <w:rPr>
          <w:rFonts w:ascii="FrankRuehl" w:hAnsi="FrankRuehl" w:cs="FrankRuehl"/>
          <w:color w:val="000000"/>
          <w:sz w:val="22"/>
          <w:szCs w:val="22"/>
          <w:rtl/>
          <w:lang w:val="en-IL"/>
        </w:rPr>
        <w:t>ככח</w:t>
      </w:r>
      <w:proofErr w:type="spellEnd"/>
      <w:r w:rsidRPr="007D0D6E">
        <w:rPr>
          <w:rFonts w:ascii="FrankRuehl" w:hAnsi="FrankRuehl" w:cs="FrankRuehl"/>
          <w:color w:val="000000"/>
          <w:sz w:val="22"/>
          <w:szCs w:val="22"/>
          <w:rtl/>
          <w:lang w:val="en-IL"/>
        </w:rPr>
        <w:t xml:space="preserve"> </w:t>
      </w:r>
      <w:r w:rsidRPr="007D0D6E">
        <w:rPr>
          <w:rFonts w:ascii="FrankRuehl" w:hAnsi="FrankRuehl" w:cs="FrankRuehl"/>
          <w:b/>
          <w:color w:val="000000"/>
          <w:sz w:val="22"/>
          <w:szCs w:val="22"/>
          <w:highlight w:val="white"/>
          <w:rtl/>
          <w:lang w:val="en-IL"/>
        </w:rPr>
        <w:t>השור</w:t>
      </w:r>
      <w:r w:rsidRPr="007D0D6E">
        <w:rPr>
          <w:rFonts w:ascii="FrankRuehl" w:hAnsi="FrankRuehl" w:cs="FrankRuehl"/>
          <w:b/>
          <w:color w:val="000000"/>
          <w:sz w:val="22"/>
          <w:szCs w:val="22"/>
          <w:rtl/>
          <w:lang w:val="en-IL"/>
        </w:rPr>
        <w:t>'</w:t>
      </w:r>
      <w:r>
        <w:rPr>
          <w:rFonts w:ascii="FrankRuehl" w:hAnsi="FrankRuehl" w:cs="FrankRuehl" w:hint="cs"/>
          <w:b/>
          <w:color w:val="000000"/>
          <w:sz w:val="22"/>
          <w:szCs w:val="22"/>
          <w:rtl/>
          <w:lang w:val="en-IL"/>
        </w:rPr>
        <w:t>,</w:t>
      </w:r>
      <w:r>
        <w:rPr>
          <w:rFonts w:ascii="FrankRuehl" w:hAnsi="FrankRuehl" w:cs="FrankRuehl" w:hint="cs"/>
          <w:sz w:val="22"/>
          <w:szCs w:val="22"/>
          <w:rtl/>
        </w:rPr>
        <w:t xml:space="preserve"> </w:t>
      </w:r>
      <w:r w:rsidR="0013504B">
        <w:rPr>
          <w:rFonts w:asciiTheme="majorBidi" w:hAnsiTheme="majorBidi" w:cstheme="majorBidi" w:hint="cs"/>
          <w:rtl/>
        </w:rPr>
        <w:t>...</w:t>
      </w:r>
      <w:r w:rsidRPr="000A52D4">
        <w:rPr>
          <w:rFonts w:ascii="FrankRuehl" w:hAnsi="FrankRuehl" w:cs="FrankRuehl"/>
          <w:sz w:val="22"/>
          <w:szCs w:val="22"/>
          <w:rtl/>
        </w:rPr>
        <w:t>;</w:t>
      </w:r>
      <w:r>
        <w:rPr>
          <w:rFonts w:ascii="FrankRuehl" w:hAnsi="FrankRuehl" w:cs="FrankRuehl" w:hint="cs"/>
          <w:sz w:val="22"/>
          <w:szCs w:val="22"/>
          <w:rtl/>
        </w:rPr>
        <w:t xml:space="preserve"> 'צער בעלי חיים שהוא אסור מן התורה, וידוע שיש למיני הבהמות ולעופות דאגה גדולה לשכון עם שאינם מינן וכל שכן לעשות עמהן מלאכה', </w:t>
      </w:r>
      <w:r w:rsidR="0013504B" w:rsidRPr="0013504B">
        <w:rPr>
          <w:rFonts w:ascii="FrankRuehl" w:hAnsi="FrankRuehl" w:cs="FrankRuehl"/>
          <w:sz w:val="22"/>
          <w:szCs w:val="22"/>
          <w:rtl/>
        </w:rPr>
        <w:t>...</w:t>
      </w:r>
      <w:r w:rsidRPr="0013504B">
        <w:rPr>
          <w:rFonts w:ascii="FrankRuehl" w:hAnsi="FrankRuehl" w:cs="FrankRuehl"/>
          <w:sz w:val="22"/>
          <w:szCs w:val="22"/>
          <w:rtl/>
        </w:rPr>
        <w:t xml:space="preserve">. </w:t>
      </w:r>
      <w:r>
        <w:rPr>
          <w:rFonts w:ascii="FrankRuehl" w:hAnsi="FrankRuehl" w:cs="FrankRuehl" w:hint="cs"/>
          <w:sz w:val="22"/>
          <w:szCs w:val="22"/>
          <w:rtl/>
        </w:rPr>
        <w:t xml:space="preserve">הסברים ברוח זו לחוק פותחו גם לכיוון הסמלי והקבלי, </w:t>
      </w:r>
      <w:r w:rsidR="0013504B">
        <w:rPr>
          <w:rFonts w:ascii="FrankRuehl" w:hAnsi="FrankRuehl" w:cs="FrankRuehl" w:hint="cs"/>
          <w:sz w:val="22"/>
          <w:szCs w:val="22"/>
          <w:rtl/>
        </w:rPr>
        <w:t>...</w:t>
      </w:r>
    </w:p>
  </w:footnote>
  <w:footnote w:id="31">
    <w:p w14:paraId="270FC503" w14:textId="70F7DDAD" w:rsidR="004D014B" w:rsidRPr="008E7ABB" w:rsidRDefault="004D014B" w:rsidP="004D014B">
      <w:pPr>
        <w:pStyle w:val="FootnoteText"/>
        <w:bidi/>
        <w:rPr>
          <w:rFonts w:ascii="FrankRuehl" w:hAnsi="FrankRuehl" w:cs="FrankRuehl"/>
          <w:sz w:val="22"/>
          <w:szCs w:val="22"/>
        </w:rPr>
      </w:pPr>
      <w:r w:rsidRPr="00304ED6">
        <w:rPr>
          <w:rStyle w:val="FootnoteReference"/>
          <w:rFonts w:ascii="FrankRuehl" w:hAnsi="FrankRuehl" w:cs="FrankRuehl"/>
          <w:sz w:val="22"/>
          <w:szCs w:val="22"/>
        </w:rPr>
        <w:footnoteRef/>
      </w:r>
      <w:r>
        <w:rPr>
          <w:rFonts w:ascii="FrankRuehl" w:hAnsi="FrankRuehl" w:cs="FrankRuehl"/>
          <w:sz w:val="22"/>
          <w:szCs w:val="22"/>
          <w:rtl/>
        </w:rPr>
        <w:t xml:space="preserve"> </w:t>
      </w:r>
      <w:r w:rsidR="0013504B">
        <w:rPr>
          <w:rFonts w:ascii="FrankRuehl" w:hAnsi="FrankRuehl" w:cs="FrankRuehl" w:hint="cs"/>
          <w:sz w:val="22"/>
          <w:szCs w:val="22"/>
          <w:rtl/>
        </w:rPr>
        <w:t>...</w:t>
      </w:r>
      <w:r>
        <w:rPr>
          <w:rFonts w:ascii="FrankRuehl" w:hAnsi="FrankRuehl" w:cs="FrankRuehl" w:hint="cs"/>
          <w:sz w:val="22"/>
          <w:szCs w:val="22"/>
          <w:rtl/>
        </w:rPr>
        <w:t xml:space="preserve"> אין להבין מדבריי כי מוסכם בין פרשנים וחוקרים שחוקים אלו אומנם מבטאים חמלה כלפי בעלי חיים (אני עצמי איני מסכים עם דעה זו), אלא כי דעה זו חוזרת לא מעט. לאוסף דוגמאות רלוונטיות </w:t>
      </w:r>
      <w:r w:rsidR="0013504B">
        <w:rPr>
          <w:rFonts w:asciiTheme="majorBidi" w:hAnsiTheme="majorBidi" w:cstheme="majorBidi" w:hint="cs"/>
          <w:rtl/>
        </w:rPr>
        <w:t>...</w:t>
      </w:r>
      <w:r w:rsidRPr="0000345E">
        <w:rPr>
          <w:rFonts w:ascii="FrankRuehl" w:hAnsi="FrankRuehl" w:cs="FrankRuehl"/>
          <w:sz w:val="22"/>
          <w:szCs w:val="22"/>
          <w:rtl/>
        </w:rPr>
        <w:t xml:space="preserve"> </w:t>
      </w:r>
    </w:p>
  </w:footnote>
  <w:footnote w:id="32">
    <w:p w14:paraId="2305BE29" w14:textId="056E0CD8" w:rsidR="004D014B" w:rsidRPr="008768B8" w:rsidRDefault="004D014B" w:rsidP="004D014B">
      <w:pPr>
        <w:pStyle w:val="FootnoteText"/>
        <w:bidi/>
      </w:pPr>
      <w:r w:rsidRPr="00910C86">
        <w:rPr>
          <w:rStyle w:val="FootnoteReference"/>
          <w:rFonts w:ascii="FrankRuehl" w:hAnsi="FrankRuehl" w:cs="FrankRuehl"/>
          <w:sz w:val="22"/>
          <w:szCs w:val="22"/>
        </w:rPr>
        <w:footnoteRef/>
      </w:r>
      <w:r>
        <w:t xml:space="preserve"> </w:t>
      </w:r>
      <w:r w:rsidR="0013504B">
        <w:rPr>
          <w:rFonts w:asciiTheme="majorBidi" w:hAnsiTheme="majorBidi" w:cstheme="majorBidi" w:hint="cs"/>
          <w:rtl/>
        </w:rPr>
        <w:t>...</w:t>
      </w:r>
      <w:r>
        <w:rPr>
          <w:rFonts w:asciiTheme="majorBidi" w:hAnsiTheme="majorBidi" w:cstheme="majorBidi"/>
        </w:rPr>
        <w:t xml:space="preserve"> </w:t>
      </w:r>
    </w:p>
  </w:footnote>
  <w:footnote w:id="33">
    <w:p w14:paraId="2E5CFBF8" w14:textId="4B3A4F4C" w:rsidR="004D014B" w:rsidRPr="008C0DFD" w:rsidRDefault="004D014B" w:rsidP="004D014B">
      <w:pPr>
        <w:pStyle w:val="FootnoteText"/>
        <w:bidi/>
        <w:rPr>
          <w:rFonts w:ascii="FrankRuehl" w:hAnsi="FrankRuehl" w:cs="FrankRuehl"/>
          <w:sz w:val="22"/>
          <w:szCs w:val="22"/>
          <w:rtl/>
        </w:rPr>
      </w:pPr>
      <w:r w:rsidRPr="008C0DFD">
        <w:rPr>
          <w:rStyle w:val="FootnoteReference"/>
          <w:rFonts w:ascii="FrankRuehl" w:hAnsi="FrankRuehl" w:cs="FrankRuehl"/>
          <w:sz w:val="22"/>
          <w:szCs w:val="22"/>
        </w:rPr>
        <w:footnoteRef/>
      </w:r>
      <w:r w:rsidRPr="008C0DFD">
        <w:rPr>
          <w:rFonts w:ascii="FrankRuehl" w:hAnsi="FrankRuehl" w:cs="FrankRuehl"/>
          <w:sz w:val="22"/>
          <w:szCs w:val="22"/>
        </w:rPr>
        <w:t xml:space="preserve"> </w:t>
      </w:r>
      <w:r w:rsidR="0013504B">
        <w:rPr>
          <w:rFonts w:asciiTheme="majorBidi" w:hAnsiTheme="majorBidi" w:cstheme="majorBidi" w:hint="cs"/>
          <w:rtl/>
        </w:rPr>
        <w:t>...</w:t>
      </w:r>
    </w:p>
  </w:footnote>
  <w:footnote w:id="34">
    <w:p w14:paraId="403B211A" w14:textId="39E51F07" w:rsidR="004D014B" w:rsidRPr="00E56D66" w:rsidRDefault="004D014B" w:rsidP="004D014B">
      <w:pPr>
        <w:pStyle w:val="FootnoteText"/>
        <w:bidi/>
      </w:pPr>
      <w:r w:rsidRPr="00E56D66">
        <w:rPr>
          <w:rStyle w:val="FootnoteReference"/>
          <w:rFonts w:ascii="FrankRuehl" w:hAnsi="FrankRuehl" w:cs="FrankRuehl"/>
          <w:sz w:val="22"/>
          <w:szCs w:val="22"/>
        </w:rPr>
        <w:footnoteRef/>
      </w:r>
      <w:r>
        <w:rPr>
          <w:rFonts w:ascii="FrankRuehl" w:hAnsi="FrankRuehl" w:cs="FrankRuehl"/>
          <w:sz w:val="22"/>
          <w:szCs w:val="22"/>
        </w:rPr>
        <w:t xml:space="preserve"> </w:t>
      </w:r>
      <w:r w:rsidR="0013504B">
        <w:rPr>
          <w:rFonts w:asciiTheme="majorBidi" w:hAnsiTheme="majorBidi" w:cstheme="majorBidi" w:hint="cs"/>
          <w:rtl/>
        </w:rPr>
        <w:t>...</w:t>
      </w:r>
    </w:p>
  </w:footnote>
  <w:footnote w:id="35">
    <w:p w14:paraId="3771AB47" w14:textId="5AFBE027" w:rsidR="004D014B" w:rsidRPr="001F7A6B" w:rsidRDefault="004D014B" w:rsidP="004D014B">
      <w:pPr>
        <w:pStyle w:val="FootnoteText"/>
        <w:bidi/>
      </w:pPr>
      <w:r w:rsidRPr="00226055">
        <w:rPr>
          <w:rStyle w:val="FootnoteReference"/>
          <w:rFonts w:ascii="FrankRuehl" w:hAnsi="FrankRuehl" w:cs="FrankRuehl"/>
          <w:sz w:val="22"/>
          <w:szCs w:val="22"/>
        </w:rPr>
        <w:footnoteRef/>
      </w:r>
      <w:r w:rsidRPr="00226055">
        <w:rPr>
          <w:rFonts w:ascii="FrankRuehl" w:hAnsi="FrankRuehl" w:cs="FrankRuehl"/>
          <w:sz w:val="22"/>
          <w:szCs w:val="22"/>
          <w:rtl/>
        </w:rPr>
        <w:t xml:space="preserve"> </w:t>
      </w:r>
      <w:r w:rsidRPr="00226055">
        <w:rPr>
          <w:rFonts w:ascii="FrankRuehl" w:hAnsi="FrankRuehl" w:cs="FrankRuehl"/>
          <w:sz w:val="22"/>
          <w:szCs w:val="22"/>
          <w:rtl/>
        </w:rPr>
        <w:t>אם נכונים דבריי הרי ש</w:t>
      </w:r>
      <w:r>
        <w:rPr>
          <w:rFonts w:ascii="FrankRuehl" w:hAnsi="FrankRuehl" w:cs="FrankRuehl" w:hint="cs"/>
          <w:sz w:val="22"/>
          <w:szCs w:val="22"/>
          <w:rtl/>
        </w:rPr>
        <w:t xml:space="preserve">אפשר לראות בדב' </w:t>
      </w:r>
      <w:proofErr w:type="spellStart"/>
      <w:r>
        <w:rPr>
          <w:rFonts w:ascii="FrankRuehl" w:hAnsi="FrankRuehl" w:cs="FrankRuehl" w:hint="cs"/>
          <w:sz w:val="22"/>
          <w:szCs w:val="22"/>
          <w:rtl/>
        </w:rPr>
        <w:t>כב</w:t>
      </w:r>
      <w:proofErr w:type="spellEnd"/>
      <w:r>
        <w:rPr>
          <w:rFonts w:ascii="FrankRuehl" w:hAnsi="FrankRuehl" w:cs="FrankRuehl" w:hint="cs"/>
          <w:sz w:val="22"/>
          <w:szCs w:val="22"/>
          <w:rtl/>
        </w:rPr>
        <w:t xml:space="preserve"> 10 דוגמה נוספת </w:t>
      </w:r>
      <w:r w:rsidRPr="00226055">
        <w:rPr>
          <w:rFonts w:ascii="FrankRuehl" w:hAnsi="FrankRuehl" w:cs="FrankRuehl"/>
          <w:sz w:val="22"/>
          <w:szCs w:val="22"/>
          <w:rtl/>
        </w:rPr>
        <w:t>לקשרים העמוקים של ספר דברים עם ספרות החכמה;</w:t>
      </w:r>
      <w:r>
        <w:t xml:space="preserve"> </w:t>
      </w:r>
      <w:r w:rsidR="0013504B">
        <w:rPr>
          <w:rFonts w:asciiTheme="majorBidi" w:hAnsiTheme="majorBidi" w:cstheme="majorBidi" w:hint="cs"/>
          <w:rtl/>
        </w:rPr>
        <w:t>...</w:t>
      </w:r>
      <w:r w:rsidRPr="001F7A6B">
        <w:rPr>
          <w:rFonts w:asciiTheme="majorBidi" w:hAnsiTheme="majorBidi" w:cstheme="majorBidi"/>
        </w:rPr>
        <w:t xml:space="preserve"> </w:t>
      </w:r>
    </w:p>
  </w:footnote>
  <w:footnote w:id="36">
    <w:p w14:paraId="1EC48B8D" w14:textId="23770072" w:rsidR="004D014B" w:rsidRPr="00ED406D" w:rsidRDefault="004D014B" w:rsidP="004D014B">
      <w:pPr>
        <w:pStyle w:val="FootnoteText"/>
        <w:bidi/>
        <w:rPr>
          <w:rFonts w:ascii="FrankRuehl" w:hAnsi="FrankRuehl" w:cs="FrankRuehl"/>
          <w:sz w:val="22"/>
          <w:szCs w:val="22"/>
        </w:rPr>
      </w:pPr>
      <w:r w:rsidRPr="008E7ABB">
        <w:rPr>
          <w:rStyle w:val="FootnoteReference"/>
          <w:rFonts w:ascii="FrankRuehl" w:hAnsi="FrankRuehl" w:cs="FrankRuehl"/>
          <w:sz w:val="22"/>
          <w:szCs w:val="22"/>
        </w:rPr>
        <w:footnoteRef/>
      </w:r>
      <w:r>
        <w:rPr>
          <w:rFonts w:ascii="FrankRuehl" w:hAnsi="FrankRuehl" w:cs="FrankRuehl"/>
          <w:sz w:val="22"/>
          <w:szCs w:val="22"/>
          <w:rtl/>
        </w:rPr>
        <w:t xml:space="preserve"> </w:t>
      </w:r>
      <w:bookmarkStart w:id="3" w:name="_Hlk53477096"/>
      <w:r w:rsidRPr="008E7ABB">
        <w:rPr>
          <w:rFonts w:ascii="FrankRuehl" w:hAnsi="FrankRuehl" w:cs="FrankRuehl"/>
          <w:sz w:val="22"/>
          <w:szCs w:val="22"/>
          <w:rtl/>
        </w:rPr>
        <w:t xml:space="preserve">מחקר ענף </w:t>
      </w:r>
      <w:r w:rsidRPr="00D96E1C">
        <w:rPr>
          <w:rFonts w:ascii="FrankRuehl" w:hAnsi="FrankRuehl" w:cs="FrankRuehl"/>
          <w:sz w:val="22"/>
          <w:szCs w:val="22"/>
          <w:rtl/>
        </w:rPr>
        <w:t xml:space="preserve">מוקדש </w:t>
      </w:r>
      <w:proofErr w:type="spellStart"/>
      <w:r w:rsidRPr="00D96E1C">
        <w:rPr>
          <w:rFonts w:ascii="FrankRuehl" w:hAnsi="FrankRuehl" w:cs="FrankRuehl"/>
          <w:sz w:val="22"/>
          <w:szCs w:val="22"/>
          <w:rtl/>
        </w:rPr>
        <w:t>לש</w:t>
      </w:r>
      <w:r w:rsidRPr="00D96E1C">
        <w:rPr>
          <w:rFonts w:ascii="FrankRuehl" w:hAnsi="FrankRuehl" w:cs="FrankRuehl"/>
          <w:color w:val="202122"/>
          <w:sz w:val="22"/>
          <w:szCs w:val="22"/>
          <w:shd w:val="clear" w:color="auto" w:fill="FFFFFF"/>
          <w:rtl/>
        </w:rPr>
        <w:t>ִ</w:t>
      </w:r>
      <w:r w:rsidRPr="00D96E1C">
        <w:rPr>
          <w:rFonts w:ascii="FrankRuehl" w:hAnsi="FrankRuehl" w:cs="FrankRuehl"/>
          <w:sz w:val="22"/>
          <w:szCs w:val="22"/>
          <w:rtl/>
        </w:rPr>
        <w:t>כת</w:t>
      </w:r>
      <w:r w:rsidRPr="00D96E1C">
        <w:rPr>
          <w:rFonts w:ascii="FrankRuehl" w:hAnsi="FrankRuehl" w:cs="FrankRuehl"/>
          <w:color w:val="000000"/>
          <w:sz w:val="22"/>
          <w:szCs w:val="22"/>
          <w:rtl/>
        </w:rPr>
        <w:t>וּ</w:t>
      </w:r>
      <w:r w:rsidRPr="00D96E1C">
        <w:rPr>
          <w:rFonts w:ascii="FrankRuehl" w:hAnsi="FrankRuehl" w:cs="FrankRuehl"/>
          <w:sz w:val="22"/>
          <w:szCs w:val="22"/>
          <w:rtl/>
        </w:rPr>
        <w:t>ב</w:t>
      </w:r>
      <w:proofErr w:type="spellEnd"/>
      <w:r w:rsidRPr="008E7ABB">
        <w:rPr>
          <w:rFonts w:ascii="FrankRuehl" w:hAnsi="FrankRuehl" w:cs="FrankRuehl"/>
          <w:sz w:val="22"/>
          <w:szCs w:val="22"/>
          <w:rtl/>
        </w:rPr>
        <w:t xml:space="preserve"> המקרא</w:t>
      </w:r>
      <w:r>
        <w:rPr>
          <w:rFonts w:ascii="FrankRuehl" w:hAnsi="FrankRuehl" w:cs="FrankRuehl" w:hint="cs"/>
          <w:sz w:val="22"/>
          <w:szCs w:val="22"/>
          <w:rtl/>
        </w:rPr>
        <w:t xml:space="preserve"> ורבים הדיונים</w:t>
      </w:r>
      <w:r w:rsidRPr="008E7ABB">
        <w:rPr>
          <w:rFonts w:ascii="FrankRuehl" w:hAnsi="FrankRuehl" w:cs="FrankRuehl"/>
          <w:sz w:val="22"/>
          <w:szCs w:val="22"/>
          <w:rtl/>
        </w:rPr>
        <w:t xml:space="preserve"> </w:t>
      </w:r>
      <w:r>
        <w:rPr>
          <w:rFonts w:ascii="FrankRuehl" w:hAnsi="FrankRuehl" w:cs="FrankRuehl" w:hint="cs"/>
          <w:sz w:val="22"/>
          <w:szCs w:val="22"/>
          <w:rtl/>
        </w:rPr>
        <w:t>ב</w:t>
      </w:r>
      <w:r w:rsidRPr="008E7ABB">
        <w:rPr>
          <w:rFonts w:ascii="FrankRuehl" w:hAnsi="FrankRuehl" w:cs="FrankRuehl"/>
          <w:sz w:val="22"/>
          <w:szCs w:val="22"/>
          <w:rtl/>
        </w:rPr>
        <w:t>הגדרתה</w:t>
      </w:r>
      <w:r w:rsidRPr="00ED406D">
        <w:rPr>
          <w:rFonts w:ascii="FrankRuehl" w:hAnsi="FrankRuehl" w:cs="FrankRuehl"/>
          <w:sz w:val="22"/>
          <w:szCs w:val="22"/>
          <w:rtl/>
        </w:rPr>
        <w:t xml:space="preserve"> של התופעה </w:t>
      </w:r>
      <w:r>
        <w:rPr>
          <w:rFonts w:ascii="FrankRuehl" w:hAnsi="FrankRuehl" w:cs="FrankRuehl" w:hint="cs"/>
          <w:sz w:val="22"/>
          <w:szCs w:val="22"/>
          <w:rtl/>
        </w:rPr>
        <w:t>(</w:t>
      </w:r>
      <w:r w:rsidRPr="00ED406D">
        <w:rPr>
          <w:rFonts w:ascii="FrankRuehl" w:hAnsi="FrankRuehl" w:cs="FrankRuehl"/>
          <w:sz w:val="22"/>
          <w:szCs w:val="22"/>
          <w:rtl/>
        </w:rPr>
        <w:t>אם זו שיט</w:t>
      </w:r>
      <w:r>
        <w:rPr>
          <w:rFonts w:ascii="FrankRuehl" w:hAnsi="FrankRuehl" w:cs="FrankRuehl" w:hint="cs"/>
          <w:sz w:val="22"/>
          <w:szCs w:val="22"/>
          <w:rtl/>
        </w:rPr>
        <w:t>ה</w:t>
      </w:r>
      <w:r w:rsidRPr="00ED406D">
        <w:rPr>
          <w:rFonts w:ascii="FrankRuehl" w:hAnsi="FrankRuehl" w:cs="FrankRuehl"/>
          <w:sz w:val="22"/>
          <w:szCs w:val="22"/>
          <w:rtl/>
        </w:rPr>
        <w:t xml:space="preserve"> פרשנית א</w:t>
      </w:r>
      <w:r>
        <w:rPr>
          <w:rFonts w:ascii="FrankRuehl" w:hAnsi="FrankRuehl" w:cs="FrankRuehl" w:hint="cs"/>
          <w:sz w:val="22"/>
          <w:szCs w:val="22"/>
          <w:rtl/>
        </w:rPr>
        <w:t>ם</w:t>
      </w:r>
      <w:r w:rsidRPr="00ED406D">
        <w:rPr>
          <w:rFonts w:ascii="FrankRuehl" w:hAnsi="FrankRuehl" w:cs="FrankRuehl"/>
          <w:sz w:val="22"/>
          <w:szCs w:val="22"/>
          <w:rtl/>
        </w:rPr>
        <w:t xml:space="preserve"> סוגה ספרותית</w:t>
      </w:r>
      <w:r>
        <w:rPr>
          <w:rFonts w:ascii="FrankRuehl" w:hAnsi="FrankRuehl" w:cs="FrankRuehl" w:hint="cs"/>
          <w:sz w:val="22"/>
          <w:szCs w:val="22"/>
          <w:rtl/>
        </w:rPr>
        <w:t>),</w:t>
      </w:r>
      <w:r w:rsidRPr="00ED406D">
        <w:rPr>
          <w:rFonts w:ascii="FrankRuehl" w:hAnsi="FrankRuehl" w:cs="FrankRuehl"/>
          <w:sz w:val="22"/>
          <w:szCs w:val="22"/>
          <w:rtl/>
        </w:rPr>
        <w:t xml:space="preserve"> </w:t>
      </w:r>
      <w:r>
        <w:rPr>
          <w:rFonts w:ascii="FrankRuehl" w:hAnsi="FrankRuehl" w:cs="FrankRuehl" w:hint="cs"/>
          <w:sz w:val="22"/>
          <w:szCs w:val="22"/>
          <w:rtl/>
        </w:rPr>
        <w:t>ב</w:t>
      </w:r>
      <w:r w:rsidRPr="00ED406D">
        <w:rPr>
          <w:rFonts w:ascii="FrankRuehl" w:hAnsi="FrankRuehl" w:cs="FrankRuehl"/>
          <w:sz w:val="22"/>
          <w:szCs w:val="22"/>
          <w:rtl/>
        </w:rPr>
        <w:t>מאפייניה</w:t>
      </w:r>
      <w:r>
        <w:rPr>
          <w:rFonts w:ascii="FrankRuehl" w:hAnsi="FrankRuehl" w:cs="FrankRuehl" w:hint="cs"/>
          <w:sz w:val="22"/>
          <w:szCs w:val="22"/>
          <w:rtl/>
        </w:rPr>
        <w:t>,</w:t>
      </w:r>
      <w:r w:rsidRPr="00ED406D">
        <w:rPr>
          <w:rFonts w:ascii="FrankRuehl" w:hAnsi="FrankRuehl" w:cs="FrankRuehl"/>
          <w:sz w:val="22"/>
          <w:szCs w:val="22"/>
          <w:rtl/>
        </w:rPr>
        <w:t xml:space="preserve"> </w:t>
      </w:r>
      <w:r>
        <w:rPr>
          <w:rFonts w:ascii="FrankRuehl" w:hAnsi="FrankRuehl" w:cs="FrankRuehl" w:hint="cs"/>
          <w:sz w:val="22"/>
          <w:szCs w:val="22"/>
          <w:rtl/>
        </w:rPr>
        <w:t>ב</w:t>
      </w:r>
      <w:r w:rsidRPr="00ED406D">
        <w:rPr>
          <w:rFonts w:ascii="FrankRuehl" w:hAnsi="FrankRuehl" w:cs="FrankRuehl"/>
          <w:sz w:val="22"/>
          <w:szCs w:val="22"/>
          <w:rtl/>
        </w:rPr>
        <w:t>מטרתה ו</w:t>
      </w:r>
      <w:r>
        <w:rPr>
          <w:rFonts w:ascii="FrankRuehl" w:hAnsi="FrankRuehl" w:cs="FrankRuehl" w:hint="cs"/>
          <w:sz w:val="22"/>
          <w:szCs w:val="22"/>
          <w:rtl/>
        </w:rPr>
        <w:t>ב</w:t>
      </w:r>
      <w:r w:rsidRPr="00ED406D">
        <w:rPr>
          <w:rFonts w:ascii="FrankRuehl" w:hAnsi="FrankRuehl" w:cs="FrankRuehl"/>
          <w:sz w:val="22"/>
          <w:szCs w:val="22"/>
          <w:rtl/>
        </w:rPr>
        <w:t>מקומה ב</w:t>
      </w:r>
      <w:r>
        <w:rPr>
          <w:rFonts w:ascii="FrankRuehl" w:hAnsi="FrankRuehl" w:cs="FrankRuehl" w:hint="cs"/>
          <w:sz w:val="22"/>
          <w:szCs w:val="22"/>
          <w:rtl/>
        </w:rPr>
        <w:t xml:space="preserve">ספרות העת העתיקה, וראש לכול </w:t>
      </w:r>
      <w:r w:rsidRPr="00ED406D">
        <w:rPr>
          <w:rFonts w:ascii="FrankRuehl" w:hAnsi="FrankRuehl" w:cs="FrankRuehl"/>
          <w:sz w:val="22"/>
          <w:szCs w:val="22"/>
          <w:rtl/>
        </w:rPr>
        <w:t xml:space="preserve">בחיבורים בני התקופה שלא נכללו במקרא; </w:t>
      </w:r>
      <w:r>
        <w:rPr>
          <w:rFonts w:ascii="FrankRuehl" w:hAnsi="FrankRuehl" w:cs="FrankRuehl" w:hint="cs"/>
          <w:sz w:val="22"/>
          <w:szCs w:val="22"/>
          <w:rtl/>
        </w:rPr>
        <w:t xml:space="preserve">לנקודת מוצא לדיונים אלו ראו </w:t>
      </w:r>
      <w:bookmarkEnd w:id="3"/>
      <w:r w:rsidR="0013504B">
        <w:rPr>
          <w:rFonts w:asciiTheme="majorBidi" w:hAnsiTheme="majorBidi" w:cstheme="majorBidi" w:hint="cs"/>
          <w:rtl/>
        </w:rPr>
        <w:t>...</w:t>
      </w:r>
    </w:p>
  </w:footnote>
  <w:footnote w:id="37">
    <w:p w14:paraId="752A6202" w14:textId="4F912945" w:rsidR="004D014B" w:rsidRPr="00EE6021" w:rsidRDefault="004D014B" w:rsidP="004D014B">
      <w:pPr>
        <w:pStyle w:val="FootnoteText"/>
        <w:bidi/>
      </w:pPr>
      <w:r w:rsidRPr="00EE6021">
        <w:rPr>
          <w:rStyle w:val="FootnoteReference"/>
          <w:rFonts w:ascii="FrankRuehl" w:hAnsi="FrankRuehl" w:cs="FrankRuehl"/>
          <w:sz w:val="22"/>
          <w:szCs w:val="22"/>
        </w:rPr>
        <w:footnoteRef/>
      </w:r>
      <w:r w:rsidRPr="00EE6021">
        <w:rPr>
          <w:rFonts w:ascii="FrankRuehl" w:hAnsi="FrankRuehl" w:cs="FrankRuehl"/>
          <w:sz w:val="22"/>
          <w:szCs w:val="22"/>
        </w:rPr>
        <w:t xml:space="preserve"> </w:t>
      </w:r>
      <w:r w:rsidRPr="00EE6021">
        <w:rPr>
          <w:rFonts w:ascii="FrankRuehl" w:hAnsi="FrankRuehl" w:cs="FrankRuehl"/>
          <w:sz w:val="22"/>
          <w:szCs w:val="22"/>
          <w:rtl/>
        </w:rPr>
        <w:t xml:space="preserve">על </w:t>
      </w:r>
      <w:r>
        <w:rPr>
          <w:rFonts w:ascii="FrankRuehl" w:hAnsi="FrankRuehl" w:cs="FrankRuehl" w:hint="cs"/>
          <w:sz w:val="22"/>
          <w:szCs w:val="22"/>
          <w:rtl/>
        </w:rPr>
        <w:t>כי מדובר ב</w:t>
      </w:r>
      <w:r w:rsidRPr="00EE6021">
        <w:rPr>
          <w:rFonts w:ascii="FrankRuehl" w:hAnsi="FrankRuehl" w:cs="FrankRuehl"/>
          <w:sz w:val="22"/>
          <w:szCs w:val="22"/>
          <w:rtl/>
        </w:rPr>
        <w:t xml:space="preserve">מוסכמה מחקרית </w:t>
      </w:r>
      <w:proofErr w:type="spellStart"/>
      <w:r>
        <w:rPr>
          <w:rFonts w:ascii="FrankRuehl" w:hAnsi="FrankRuehl" w:cs="FrankRuehl" w:hint="cs"/>
          <w:sz w:val="22"/>
          <w:szCs w:val="22"/>
          <w:rtl/>
        </w:rPr>
        <w:t>שה</w:t>
      </w:r>
      <w:r w:rsidRPr="00D96E1C">
        <w:rPr>
          <w:rFonts w:ascii="FrankRuehl" w:hAnsi="FrankRuehl" w:cs="FrankRuehl"/>
          <w:color w:val="000000"/>
          <w:sz w:val="22"/>
          <w:szCs w:val="22"/>
          <w:rtl/>
        </w:rPr>
        <w:t>וּ</w:t>
      </w:r>
      <w:r>
        <w:rPr>
          <w:rFonts w:ascii="FrankRuehl" w:hAnsi="FrankRuehl" w:cs="FrankRuehl" w:hint="cs"/>
          <w:sz w:val="22"/>
          <w:szCs w:val="22"/>
          <w:rtl/>
        </w:rPr>
        <w:t>כחה</w:t>
      </w:r>
      <w:proofErr w:type="spellEnd"/>
      <w:r>
        <w:rPr>
          <w:rFonts w:ascii="FrankRuehl" w:hAnsi="FrankRuehl" w:cs="FrankRuehl" w:hint="cs"/>
          <w:sz w:val="22"/>
          <w:szCs w:val="22"/>
          <w:rtl/>
        </w:rPr>
        <w:t xml:space="preserve"> מעל לכל ספק </w:t>
      </w:r>
      <w:r w:rsidRPr="00EE6021">
        <w:rPr>
          <w:rFonts w:ascii="FrankRuehl" w:hAnsi="FrankRuehl" w:cs="FrankRuehl"/>
          <w:sz w:val="22"/>
          <w:szCs w:val="22"/>
          <w:rtl/>
        </w:rPr>
        <w:t>ראו בפרט</w:t>
      </w:r>
      <w:r>
        <w:rPr>
          <w:rFonts w:hint="cs"/>
          <w:rtl/>
        </w:rPr>
        <w:t xml:space="preserve"> </w:t>
      </w:r>
      <w:r w:rsidR="0013504B">
        <w:rPr>
          <w:rFonts w:asciiTheme="majorBidi" w:hAnsiTheme="majorBidi" w:cstheme="majorBidi" w:hint="cs"/>
          <w:color w:val="202122"/>
          <w:shd w:val="clear" w:color="auto" w:fill="FFFFFF"/>
          <w:rtl/>
        </w:rPr>
        <w:t>...</w:t>
      </w:r>
    </w:p>
  </w:footnote>
  <w:footnote w:id="38">
    <w:p w14:paraId="75FED2FF" w14:textId="329511A6" w:rsidR="004D014B" w:rsidRPr="001E7CA4" w:rsidRDefault="004D014B" w:rsidP="004D014B">
      <w:pPr>
        <w:pStyle w:val="FootnoteText"/>
        <w:bidi/>
        <w:rPr>
          <w:rtl/>
        </w:rPr>
      </w:pPr>
      <w:r w:rsidRPr="001E7CA4">
        <w:rPr>
          <w:rStyle w:val="FootnoteReference"/>
          <w:rFonts w:ascii="FrankRuehl" w:hAnsi="FrankRuehl" w:cs="FrankRuehl"/>
          <w:sz w:val="22"/>
          <w:szCs w:val="22"/>
        </w:rPr>
        <w:footnoteRef/>
      </w:r>
      <w:r w:rsidRPr="001E7CA4">
        <w:rPr>
          <w:rFonts w:ascii="FrankRuehl" w:hAnsi="FrankRuehl" w:cs="FrankRuehl"/>
          <w:sz w:val="22"/>
          <w:szCs w:val="22"/>
        </w:rPr>
        <w:t xml:space="preserve"> </w:t>
      </w:r>
      <w:r>
        <w:rPr>
          <w:rFonts w:ascii="FrankRuehl" w:hAnsi="FrankRuehl" w:cs="FrankRuehl" w:hint="cs"/>
          <w:sz w:val="22"/>
          <w:szCs w:val="22"/>
          <w:rtl/>
        </w:rPr>
        <w:t>ל</w:t>
      </w:r>
      <w:r w:rsidRPr="00C62DFB">
        <w:rPr>
          <w:rFonts w:ascii="FrankRuehl" w:hAnsi="FrankRuehl" w:cs="FrankRuehl"/>
          <w:sz w:val="22"/>
          <w:szCs w:val="22"/>
          <w:rtl/>
        </w:rPr>
        <w:t xml:space="preserve">מחקר רב </w:t>
      </w:r>
      <w:r>
        <w:rPr>
          <w:rFonts w:ascii="FrankRuehl" w:hAnsi="FrankRuehl" w:cs="FrankRuehl" w:hint="cs"/>
          <w:sz w:val="22"/>
          <w:szCs w:val="22"/>
          <w:rtl/>
        </w:rPr>
        <w:t>ה</w:t>
      </w:r>
      <w:r w:rsidRPr="00C62DFB">
        <w:rPr>
          <w:rFonts w:ascii="FrankRuehl" w:hAnsi="FrankRuehl" w:cs="FrankRuehl"/>
          <w:sz w:val="22"/>
          <w:szCs w:val="22"/>
          <w:rtl/>
        </w:rPr>
        <w:t>ממוין בהתאם לעמדותיהם של החוקרים</w:t>
      </w:r>
      <w:r>
        <w:rPr>
          <w:rFonts w:ascii="FrankRuehl" w:hAnsi="FrankRuehl" w:cs="FrankRuehl" w:hint="cs"/>
          <w:sz w:val="22"/>
          <w:szCs w:val="22"/>
          <w:rtl/>
        </w:rPr>
        <w:t xml:space="preserve"> </w:t>
      </w:r>
      <w:r w:rsidR="0013504B">
        <w:rPr>
          <w:rFonts w:ascii="FrankRuehl" w:hAnsi="FrankRuehl" w:cs="FrankRuehl" w:hint="cs"/>
          <w:sz w:val="22"/>
          <w:szCs w:val="22"/>
          <w:rtl/>
        </w:rPr>
        <w:t>...</w:t>
      </w:r>
    </w:p>
  </w:footnote>
  <w:footnote w:id="39">
    <w:p w14:paraId="4BF16C9C" w14:textId="6D63F034" w:rsidR="004D014B" w:rsidRPr="00A60C9F" w:rsidRDefault="004D014B" w:rsidP="004D014B">
      <w:pPr>
        <w:pStyle w:val="FootnoteText"/>
        <w:bidi/>
        <w:rPr>
          <w:rFonts w:ascii="FrankRuehl" w:hAnsi="FrankRuehl" w:cs="FrankRuehl"/>
          <w:sz w:val="22"/>
          <w:szCs w:val="22"/>
          <w:rtl/>
        </w:rPr>
      </w:pPr>
      <w:r w:rsidRPr="00A60C9F">
        <w:rPr>
          <w:rStyle w:val="FootnoteReference"/>
          <w:rFonts w:ascii="FrankRuehl" w:hAnsi="FrankRuehl" w:cs="FrankRuehl"/>
          <w:sz w:val="22"/>
          <w:szCs w:val="22"/>
        </w:rPr>
        <w:footnoteRef/>
      </w:r>
      <w:r>
        <w:rPr>
          <w:rFonts w:ascii="FrankRuehl" w:hAnsi="FrankRuehl" w:cs="FrankRuehl" w:hint="cs"/>
          <w:sz w:val="22"/>
          <w:szCs w:val="22"/>
          <w:rtl/>
        </w:rPr>
        <w:t xml:space="preserve"> </w:t>
      </w:r>
      <w:r>
        <w:rPr>
          <w:rFonts w:ascii="FrankRuehl" w:hAnsi="FrankRuehl" w:cs="FrankRuehl" w:hint="cs"/>
          <w:sz w:val="22"/>
          <w:szCs w:val="22"/>
          <w:rtl/>
        </w:rPr>
        <w:t xml:space="preserve">לרשימה נרחבת של חוקרים האוחזים בדעה זו </w:t>
      </w:r>
      <w:r w:rsidR="0013504B">
        <w:rPr>
          <w:rFonts w:ascii="FrankRuehl" w:hAnsi="FrankRuehl" w:cs="FrankRuehl" w:hint="cs"/>
          <w:sz w:val="22"/>
          <w:szCs w:val="22"/>
          <w:rtl/>
        </w:rPr>
        <w:t>...</w:t>
      </w:r>
    </w:p>
  </w:footnote>
  <w:footnote w:id="40">
    <w:p w14:paraId="07E06CC6" w14:textId="72AF599C" w:rsidR="004D014B" w:rsidRPr="009D0B3B" w:rsidRDefault="004D014B" w:rsidP="004D014B">
      <w:pPr>
        <w:pStyle w:val="FootnoteText"/>
        <w:bidi/>
        <w:rPr>
          <w:rFonts w:ascii="FrankRuehl" w:hAnsi="FrankRuehl" w:cs="FrankRuehl"/>
          <w:sz w:val="22"/>
          <w:szCs w:val="22"/>
          <w:rtl/>
        </w:rPr>
      </w:pPr>
      <w:r w:rsidRPr="009D0B3B">
        <w:rPr>
          <w:rStyle w:val="FootnoteReference"/>
          <w:rFonts w:ascii="FrankRuehl" w:hAnsi="FrankRuehl" w:cs="FrankRuehl"/>
          <w:sz w:val="22"/>
          <w:szCs w:val="22"/>
        </w:rPr>
        <w:footnoteRef/>
      </w:r>
      <w:r>
        <w:rPr>
          <w:rFonts w:ascii="FrankRuehl" w:hAnsi="FrankRuehl" w:cs="FrankRuehl" w:hint="cs"/>
          <w:sz w:val="22"/>
          <w:szCs w:val="22"/>
          <w:rtl/>
        </w:rPr>
        <w:t xml:space="preserve"> </w:t>
      </w:r>
      <w:r w:rsidR="0013504B">
        <w:rPr>
          <w:rFonts w:asciiTheme="majorBidi" w:hAnsiTheme="majorBidi" w:cstheme="majorBidi" w:hint="cs"/>
          <w:rtl/>
        </w:rPr>
        <w:t>...</w:t>
      </w:r>
    </w:p>
  </w:footnote>
  <w:footnote w:id="41">
    <w:p w14:paraId="47B9A213" w14:textId="4E5D2A5F" w:rsidR="004D014B" w:rsidRPr="00EA71EC" w:rsidRDefault="004D014B" w:rsidP="004D014B">
      <w:pPr>
        <w:pStyle w:val="FootnoteText"/>
        <w:bidi/>
        <w:rPr>
          <w:rFonts w:ascii="FrankRuehl" w:hAnsi="FrankRuehl" w:cs="FrankRuehl"/>
          <w:sz w:val="22"/>
          <w:szCs w:val="22"/>
          <w:rtl/>
        </w:rPr>
      </w:pPr>
      <w:r w:rsidRPr="00DF6ABE">
        <w:rPr>
          <w:rStyle w:val="FootnoteReference"/>
          <w:rFonts w:ascii="FrankRuehl" w:hAnsi="FrankRuehl" w:cs="FrankRuehl"/>
          <w:sz w:val="22"/>
          <w:szCs w:val="22"/>
        </w:rPr>
        <w:footnoteRef/>
      </w:r>
      <w:r>
        <w:rPr>
          <w:rFonts w:asciiTheme="majorBidi" w:hAnsiTheme="majorBidi" w:cstheme="majorBidi" w:hint="cs"/>
          <w:rtl/>
        </w:rPr>
        <w:t xml:space="preserve"> </w:t>
      </w:r>
      <w:r w:rsidRPr="005B2A00">
        <w:rPr>
          <w:rFonts w:ascii="FrankRuehl" w:hAnsi="FrankRuehl" w:cs="FrankRuehl"/>
          <w:sz w:val="22"/>
          <w:szCs w:val="22"/>
          <w:rtl/>
        </w:rPr>
        <w:t>ראו בפרט</w:t>
      </w:r>
      <w:r>
        <w:rPr>
          <w:rFonts w:ascii="FrankRuehl" w:hAnsi="FrankRuehl" w:cs="FrankRuehl" w:hint="cs"/>
          <w:sz w:val="22"/>
          <w:szCs w:val="22"/>
          <w:rtl/>
        </w:rPr>
        <w:t xml:space="preserve"> </w:t>
      </w:r>
      <w:r w:rsidR="0013504B">
        <w:rPr>
          <w:rFonts w:asciiTheme="majorBidi" w:hAnsiTheme="majorBidi" w:cstheme="majorBidi" w:hint="cs"/>
          <w:rtl/>
        </w:rPr>
        <w:t>...</w:t>
      </w:r>
      <w:r w:rsidRPr="00DF6ABE">
        <w:rPr>
          <w:rFonts w:ascii="FrankRuehl" w:hAnsi="FrankRuehl" w:cs="FrankRuehl"/>
          <w:sz w:val="22"/>
          <w:szCs w:val="22"/>
        </w:rPr>
        <w:t xml:space="preserve"> </w:t>
      </w:r>
      <w:r>
        <w:rPr>
          <w:rFonts w:ascii="FrankRuehl" w:hAnsi="FrankRuehl" w:cs="FrankRuehl" w:hint="cs"/>
          <w:sz w:val="22"/>
          <w:szCs w:val="22"/>
          <w:rtl/>
        </w:rPr>
        <w:t xml:space="preserve">, ומסקנתו זו של שורץ בנוגע ליחס איסורי כלאיים </w:t>
      </w:r>
      <w:proofErr w:type="spellStart"/>
      <w:r>
        <w:rPr>
          <w:rFonts w:ascii="FrankRuehl" w:hAnsi="FrankRuehl" w:cs="FrankRuehl" w:hint="cs"/>
          <w:sz w:val="22"/>
          <w:szCs w:val="22"/>
          <w:rtl/>
        </w:rPr>
        <w:t>בויקרא</w:t>
      </w:r>
      <w:proofErr w:type="spellEnd"/>
      <w:r>
        <w:rPr>
          <w:rFonts w:ascii="FrankRuehl" w:hAnsi="FrankRuehl" w:cs="FrankRuehl" w:hint="cs"/>
          <w:sz w:val="22"/>
          <w:szCs w:val="22"/>
          <w:rtl/>
        </w:rPr>
        <w:t xml:space="preserve"> ובדברים משתלבת עם יתר ההשוואות המפורטות שערך בין חוקי </w:t>
      </w:r>
      <w:r w:rsidRPr="005B2A00">
        <w:rPr>
          <w:rFonts w:asciiTheme="majorBidi" w:hAnsiTheme="majorBidi" w:cstheme="majorBidi"/>
        </w:rPr>
        <w:t>H</w:t>
      </w:r>
      <w:r>
        <w:rPr>
          <w:rFonts w:ascii="FrankRuehl" w:hAnsi="FrankRuehl" w:cs="FrankRuehl" w:hint="cs"/>
          <w:sz w:val="22"/>
          <w:szCs w:val="22"/>
          <w:rtl/>
        </w:rPr>
        <w:t xml:space="preserve"> לחוקי </w:t>
      </w:r>
      <w:r w:rsidRPr="005B2A00">
        <w:rPr>
          <w:rFonts w:asciiTheme="majorBidi" w:hAnsiTheme="majorBidi" w:cstheme="majorBidi"/>
        </w:rPr>
        <w:t>D</w:t>
      </w:r>
      <w:r>
        <w:rPr>
          <w:rFonts w:ascii="FrankRuehl" w:hAnsi="FrankRuehl" w:cs="FrankRuehl" w:hint="cs"/>
          <w:sz w:val="22"/>
          <w:szCs w:val="22"/>
          <w:rtl/>
        </w:rPr>
        <w:t xml:space="preserve">, </w:t>
      </w:r>
      <w:r w:rsidR="0013504B">
        <w:rPr>
          <w:rFonts w:ascii="FrankRuehl" w:hAnsi="FrankRuehl" w:cs="FrankRuehl" w:hint="cs"/>
          <w:sz w:val="22"/>
          <w:szCs w:val="22"/>
          <w:rtl/>
        </w:rPr>
        <w:t>...</w:t>
      </w:r>
      <w:r>
        <w:rPr>
          <w:rFonts w:ascii="FrankRuehl" w:hAnsi="FrankRuehl" w:cs="FrankRuehl" w:hint="cs"/>
          <w:sz w:val="22"/>
          <w:szCs w:val="22"/>
          <w:rtl/>
        </w:rPr>
        <w:t>. ב</w:t>
      </w:r>
      <w:r w:rsidRPr="00DF6ABE">
        <w:rPr>
          <w:rFonts w:ascii="FrankRuehl" w:hAnsi="FrankRuehl" w:cs="FrankRuehl"/>
          <w:sz w:val="22"/>
          <w:szCs w:val="22"/>
          <w:rtl/>
        </w:rPr>
        <w:t xml:space="preserve">הקשר זה יש לציין כי </w:t>
      </w:r>
      <w:r w:rsidRPr="00DF6ABE">
        <w:rPr>
          <w:rFonts w:ascii="FrankRuehl" w:hAnsi="FrankRuehl" w:cs="FrankRuehl"/>
          <w:color w:val="202122"/>
          <w:sz w:val="22"/>
          <w:szCs w:val="22"/>
          <w:shd w:val="clear" w:color="auto" w:fill="FFFFFF"/>
          <w:rtl/>
        </w:rPr>
        <w:t xml:space="preserve">בנוסח השבעים שבוי' </w:t>
      </w:r>
      <w:proofErr w:type="spellStart"/>
      <w:r w:rsidRPr="00DF6ABE">
        <w:rPr>
          <w:rFonts w:ascii="FrankRuehl" w:hAnsi="FrankRuehl" w:cs="FrankRuehl"/>
          <w:color w:val="202122"/>
          <w:sz w:val="22"/>
          <w:szCs w:val="22"/>
          <w:shd w:val="clear" w:color="auto" w:fill="FFFFFF"/>
          <w:rtl/>
        </w:rPr>
        <w:t>יט</w:t>
      </w:r>
      <w:proofErr w:type="spellEnd"/>
      <w:r w:rsidRPr="00DF6ABE">
        <w:rPr>
          <w:rFonts w:ascii="FrankRuehl" w:hAnsi="FrankRuehl" w:cs="FrankRuehl"/>
          <w:color w:val="202122"/>
          <w:sz w:val="22"/>
          <w:szCs w:val="22"/>
          <w:shd w:val="clear" w:color="auto" w:fill="FFFFFF"/>
          <w:rtl/>
        </w:rPr>
        <w:t xml:space="preserve"> 19 נזכר 'כרם'</w:t>
      </w:r>
      <w:r>
        <w:rPr>
          <w:rFonts w:ascii="FrankRuehl" w:hAnsi="FrankRuehl" w:cs="FrankRuehl" w:hint="cs"/>
          <w:color w:val="202122"/>
          <w:sz w:val="22"/>
          <w:szCs w:val="22"/>
          <w:shd w:val="clear" w:color="auto" w:fill="FFFFFF"/>
          <w:rtl/>
        </w:rPr>
        <w:t xml:space="preserve"> </w:t>
      </w:r>
      <w:r>
        <w:rPr>
          <w:rFonts w:ascii="FrankRuehl" w:hAnsi="FrankRuehl" w:cs="FrankRuehl"/>
          <w:color w:val="202122"/>
          <w:sz w:val="22"/>
          <w:szCs w:val="22"/>
          <w:shd w:val="clear" w:color="auto" w:fill="FFFFFF"/>
          <w:rtl/>
        </w:rPr>
        <w:t>–</w:t>
      </w:r>
      <w:r>
        <w:rPr>
          <w:rFonts w:ascii="FrankRuehl" w:hAnsi="FrankRuehl" w:cs="FrankRuehl" w:hint="cs"/>
          <w:color w:val="202122"/>
          <w:sz w:val="22"/>
          <w:szCs w:val="22"/>
          <w:shd w:val="clear" w:color="auto" w:fill="FFFFFF"/>
          <w:rtl/>
        </w:rPr>
        <w:t xml:space="preserve"> </w:t>
      </w:r>
      <w:r w:rsidRPr="009F75E6">
        <w:rPr>
          <w:rFonts w:asciiTheme="majorBidi" w:hAnsiTheme="majorBidi" w:cstheme="majorBidi"/>
          <w:color w:val="2E1308"/>
          <w:shd w:val="clear" w:color="auto" w:fill="FFFFFF"/>
        </w:rPr>
        <w:t>‘Thou shalt not sow thy vineyard with diverse seed’</w:t>
      </w:r>
      <w:r>
        <w:rPr>
          <w:rFonts w:ascii="FrankRuehl" w:hAnsi="FrankRuehl" w:cs="FrankRuehl" w:hint="cs"/>
          <w:color w:val="202122"/>
          <w:sz w:val="22"/>
          <w:szCs w:val="22"/>
          <w:shd w:val="clear" w:color="auto" w:fill="FFFFFF"/>
          <w:rtl/>
        </w:rPr>
        <w:t>;</w:t>
      </w:r>
      <w:r w:rsidRPr="00DF6ABE">
        <w:rPr>
          <w:rFonts w:ascii="FrankRuehl" w:hAnsi="FrankRuehl" w:cs="FrankRuehl"/>
          <w:color w:val="202122"/>
          <w:sz w:val="22"/>
          <w:szCs w:val="22"/>
          <w:shd w:val="clear" w:color="auto" w:fill="FFFFFF"/>
          <w:rtl/>
        </w:rPr>
        <w:t xml:space="preserve"> אם אין כאן ניסיון </w:t>
      </w:r>
      <w:proofErr w:type="spellStart"/>
      <w:r w:rsidRPr="00DF6ABE">
        <w:rPr>
          <w:rFonts w:ascii="FrankRuehl" w:hAnsi="FrankRuehl" w:cs="FrankRuehl"/>
          <w:color w:val="202122"/>
          <w:sz w:val="22"/>
          <w:szCs w:val="22"/>
          <w:shd w:val="clear" w:color="auto" w:fill="FFFFFF"/>
          <w:rtl/>
        </w:rPr>
        <w:t>מכ</w:t>
      </w:r>
      <w:r w:rsidRPr="00D96E1C">
        <w:rPr>
          <w:rFonts w:ascii="FrankRuehl" w:hAnsi="FrankRuehl" w:cs="FrankRuehl"/>
          <w:color w:val="000000"/>
          <w:sz w:val="22"/>
          <w:szCs w:val="22"/>
          <w:rtl/>
        </w:rPr>
        <w:t>וּ</w:t>
      </w:r>
      <w:r w:rsidRPr="00DF6ABE">
        <w:rPr>
          <w:rFonts w:ascii="FrankRuehl" w:hAnsi="FrankRuehl" w:cs="FrankRuehl"/>
          <w:color w:val="202122"/>
          <w:sz w:val="22"/>
          <w:szCs w:val="22"/>
          <w:shd w:val="clear" w:color="auto" w:fill="FFFFFF"/>
          <w:rtl/>
        </w:rPr>
        <w:t>ון</w:t>
      </w:r>
      <w:proofErr w:type="spellEnd"/>
      <w:r w:rsidRPr="00DF6ABE">
        <w:rPr>
          <w:rFonts w:ascii="FrankRuehl" w:hAnsi="FrankRuehl" w:cs="FrankRuehl"/>
          <w:color w:val="202122"/>
          <w:sz w:val="22"/>
          <w:szCs w:val="22"/>
          <w:shd w:val="clear" w:color="auto" w:fill="FFFFFF"/>
          <w:rtl/>
        </w:rPr>
        <w:t xml:space="preserve"> לקרב בין וי' </w:t>
      </w:r>
      <w:proofErr w:type="spellStart"/>
      <w:r w:rsidRPr="00DF6ABE">
        <w:rPr>
          <w:rFonts w:ascii="FrankRuehl" w:hAnsi="FrankRuehl" w:cs="FrankRuehl"/>
          <w:color w:val="202122"/>
          <w:sz w:val="22"/>
          <w:szCs w:val="22"/>
          <w:shd w:val="clear" w:color="auto" w:fill="FFFFFF"/>
          <w:rtl/>
        </w:rPr>
        <w:t>יט</w:t>
      </w:r>
      <w:proofErr w:type="spellEnd"/>
      <w:r w:rsidRPr="00DF6ABE">
        <w:rPr>
          <w:rFonts w:ascii="FrankRuehl" w:hAnsi="FrankRuehl" w:cs="FrankRuehl"/>
          <w:color w:val="202122"/>
          <w:sz w:val="22"/>
          <w:szCs w:val="22"/>
          <w:shd w:val="clear" w:color="auto" w:fill="FFFFFF"/>
          <w:rtl/>
        </w:rPr>
        <w:t xml:space="preserve"> 19 לדב' </w:t>
      </w:r>
      <w:proofErr w:type="spellStart"/>
      <w:r w:rsidRPr="00DF6ABE">
        <w:rPr>
          <w:rFonts w:ascii="FrankRuehl" w:hAnsi="FrankRuehl" w:cs="FrankRuehl"/>
          <w:color w:val="202122"/>
          <w:sz w:val="22"/>
          <w:szCs w:val="22"/>
          <w:shd w:val="clear" w:color="auto" w:fill="FFFFFF"/>
          <w:rtl/>
        </w:rPr>
        <w:t>כב</w:t>
      </w:r>
      <w:proofErr w:type="spellEnd"/>
      <w:r w:rsidRPr="00DF6ABE">
        <w:rPr>
          <w:rFonts w:ascii="FrankRuehl" w:hAnsi="FrankRuehl" w:cs="FrankRuehl"/>
          <w:color w:val="202122"/>
          <w:sz w:val="22"/>
          <w:szCs w:val="22"/>
          <w:shd w:val="clear" w:color="auto" w:fill="FFFFFF"/>
          <w:rtl/>
        </w:rPr>
        <w:t xml:space="preserve"> 10, הרי שאפשר ש'כרם' </w:t>
      </w:r>
      <w:r>
        <w:rPr>
          <w:rFonts w:ascii="FrankRuehl" w:hAnsi="FrankRuehl" w:cs="FrankRuehl" w:hint="cs"/>
          <w:color w:val="202122"/>
          <w:sz w:val="22"/>
          <w:szCs w:val="22"/>
          <w:shd w:val="clear" w:color="auto" w:fill="FFFFFF"/>
          <w:rtl/>
        </w:rPr>
        <w:t xml:space="preserve">אומנם </w:t>
      </w:r>
      <w:r w:rsidRPr="00DF6ABE">
        <w:rPr>
          <w:rFonts w:ascii="FrankRuehl" w:hAnsi="FrankRuehl" w:cs="FrankRuehl"/>
          <w:color w:val="202122"/>
          <w:sz w:val="22"/>
          <w:szCs w:val="22"/>
          <w:shd w:val="clear" w:color="auto" w:fill="FFFFFF"/>
          <w:rtl/>
        </w:rPr>
        <w:t xml:space="preserve">נזכר במסורת החוקית </w:t>
      </w:r>
      <w:r>
        <w:rPr>
          <w:rFonts w:ascii="FrankRuehl" w:hAnsi="FrankRuehl" w:cs="FrankRuehl" w:hint="cs"/>
          <w:color w:val="202122"/>
          <w:sz w:val="22"/>
          <w:szCs w:val="22"/>
          <w:shd w:val="clear" w:color="auto" w:fill="FFFFFF"/>
          <w:rtl/>
        </w:rPr>
        <w:t xml:space="preserve">הקדומה </w:t>
      </w:r>
      <w:r w:rsidRPr="00DF6ABE">
        <w:rPr>
          <w:rFonts w:ascii="FrankRuehl" w:hAnsi="FrankRuehl" w:cs="FrankRuehl"/>
          <w:color w:val="202122"/>
          <w:sz w:val="22"/>
          <w:szCs w:val="22"/>
          <w:shd w:val="clear" w:color="auto" w:fill="FFFFFF"/>
          <w:rtl/>
        </w:rPr>
        <w:t>המשותפת לשני המקורות</w:t>
      </w:r>
      <w:r>
        <w:rPr>
          <w:rFonts w:ascii="FrankRuehl" w:hAnsi="FrankRuehl" w:cs="FrankRuehl" w:hint="cs"/>
          <w:color w:val="202122"/>
          <w:sz w:val="22"/>
          <w:szCs w:val="22"/>
          <w:shd w:val="clear" w:color="auto" w:fill="FFFFFF"/>
          <w:rtl/>
        </w:rPr>
        <w:t xml:space="preserve">, וההבדלים שבין נוסח האיסורים על זריעת כלאיים </w:t>
      </w:r>
      <w:proofErr w:type="spellStart"/>
      <w:r>
        <w:rPr>
          <w:rFonts w:ascii="FrankRuehl" w:hAnsi="FrankRuehl" w:cs="FrankRuehl" w:hint="cs"/>
          <w:color w:val="202122"/>
          <w:sz w:val="22"/>
          <w:szCs w:val="22"/>
          <w:shd w:val="clear" w:color="auto" w:fill="FFFFFF"/>
          <w:rtl/>
        </w:rPr>
        <w:t>בויקרא</w:t>
      </w:r>
      <w:proofErr w:type="spellEnd"/>
      <w:r>
        <w:rPr>
          <w:rFonts w:ascii="FrankRuehl" w:hAnsi="FrankRuehl" w:cs="FrankRuehl" w:hint="cs"/>
          <w:color w:val="202122"/>
          <w:sz w:val="22"/>
          <w:szCs w:val="22"/>
          <w:shd w:val="clear" w:color="auto" w:fill="FFFFFF"/>
          <w:rtl/>
        </w:rPr>
        <w:t xml:space="preserve"> ובדברים אינם מע</w:t>
      </w:r>
      <w:r w:rsidRPr="00EA71EC">
        <w:rPr>
          <w:rFonts w:ascii="FrankRuehl" w:hAnsi="FrankRuehl" w:cs="FrankRuehl"/>
          <w:color w:val="202122"/>
          <w:sz w:val="22"/>
          <w:szCs w:val="22"/>
          <w:shd w:val="clear" w:color="auto" w:fill="FFFFFF"/>
          <w:rtl/>
        </w:rPr>
        <w:t xml:space="preserve">ידים על מהלך של התפתחות </w:t>
      </w:r>
      <w:proofErr w:type="spellStart"/>
      <w:r w:rsidRPr="00EA71EC">
        <w:rPr>
          <w:rFonts w:ascii="FrankRuehl" w:hAnsi="FrankRuehl" w:cs="FrankRuehl"/>
          <w:color w:val="202122"/>
          <w:sz w:val="22"/>
          <w:szCs w:val="22"/>
          <w:shd w:val="clear" w:color="auto" w:fill="FFFFFF"/>
          <w:rtl/>
        </w:rPr>
        <w:t>מכ</w:t>
      </w:r>
      <w:r w:rsidRPr="00D96E1C">
        <w:rPr>
          <w:rFonts w:ascii="FrankRuehl" w:hAnsi="FrankRuehl" w:cs="FrankRuehl"/>
          <w:color w:val="000000"/>
          <w:sz w:val="22"/>
          <w:szCs w:val="22"/>
          <w:rtl/>
        </w:rPr>
        <w:t>וּ</w:t>
      </w:r>
      <w:r w:rsidRPr="00EA71EC">
        <w:rPr>
          <w:rFonts w:ascii="FrankRuehl" w:hAnsi="FrankRuehl" w:cs="FrankRuehl"/>
          <w:color w:val="202122"/>
          <w:sz w:val="22"/>
          <w:szCs w:val="22"/>
          <w:shd w:val="clear" w:color="auto" w:fill="FFFFFF"/>
          <w:rtl/>
        </w:rPr>
        <w:t>ונת</w:t>
      </w:r>
      <w:proofErr w:type="spellEnd"/>
      <w:r w:rsidRPr="00EA71EC">
        <w:rPr>
          <w:rFonts w:ascii="FrankRuehl" w:hAnsi="FrankRuehl" w:cs="FrankRuehl"/>
          <w:color w:val="202122"/>
          <w:sz w:val="22"/>
          <w:szCs w:val="22"/>
          <w:shd w:val="clear" w:color="auto" w:fill="FFFFFF"/>
          <w:rtl/>
        </w:rPr>
        <w:t xml:space="preserve"> ורבת-משמעות.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4B"/>
    <w:rsid w:val="0013504B"/>
    <w:rsid w:val="0016683D"/>
    <w:rsid w:val="00330751"/>
    <w:rsid w:val="004D014B"/>
    <w:rsid w:val="004F6203"/>
    <w:rsid w:val="00540018"/>
    <w:rsid w:val="00570D90"/>
    <w:rsid w:val="006A1CA5"/>
    <w:rsid w:val="00C678D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4F4E"/>
  <w15:chartTrackingRefBased/>
  <w15:docId w15:val="{C361EC9A-215F-4639-9DB6-B144E639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ע,Footnote Text1,Footnote Text2,Footnote Text3,הערות שוליים דוקטורט,Footnote Text Char Char Char"/>
    <w:basedOn w:val="Normal"/>
    <w:link w:val="FootnoteTextChar"/>
    <w:unhideWhenUsed/>
    <w:qFormat/>
    <w:rsid w:val="004D014B"/>
    <w:pPr>
      <w:spacing w:after="0" w:line="240" w:lineRule="auto"/>
    </w:pPr>
    <w:rPr>
      <w:sz w:val="20"/>
      <w:szCs w:val="20"/>
      <w:lang w:val="en-US"/>
    </w:rPr>
  </w:style>
  <w:style w:type="character" w:customStyle="1" w:styleId="FootnoteTextChar">
    <w:name w:val="Footnote Text Char"/>
    <w:aliases w:val="ע Char,Footnote Text1 Char,Footnote Text2 Char,Footnote Text3 Char,הערות שוליים דוקטורט Char,Footnote Text Char Char Char Char"/>
    <w:basedOn w:val="DefaultParagraphFont"/>
    <w:link w:val="FootnoteText"/>
    <w:rsid w:val="004D014B"/>
    <w:rPr>
      <w:sz w:val="20"/>
      <w:szCs w:val="20"/>
      <w:lang w:val="en-US"/>
    </w:rPr>
  </w:style>
  <w:style w:type="character" w:styleId="FootnoteReference">
    <w:name w:val="footnote reference"/>
    <w:basedOn w:val="DefaultParagraphFont"/>
    <w:unhideWhenUsed/>
    <w:rsid w:val="004D014B"/>
    <w:rPr>
      <w:vertAlign w:val="superscript"/>
    </w:rPr>
  </w:style>
  <w:style w:type="paragraph" w:styleId="Footer">
    <w:name w:val="footer"/>
    <w:basedOn w:val="Normal"/>
    <w:link w:val="FooterChar"/>
    <w:uiPriority w:val="99"/>
    <w:unhideWhenUsed/>
    <w:rsid w:val="004D0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2187</Words>
  <Characters>12467</Characters>
  <Application>Microsoft Office Word</Application>
  <DocSecurity>0</DocSecurity>
  <Lines>103</Lines>
  <Paragraphs>29</Paragraphs>
  <ScaleCrop>false</ScaleCrop>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2020-10-25T09:59:00Z</dcterms:created>
  <dcterms:modified xsi:type="dcterms:W3CDTF">2020-10-25T11:20:00Z</dcterms:modified>
</cp:coreProperties>
</file>