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58235A" w14:textId="5355418C" w:rsidR="003A67E9" w:rsidRDefault="001D04B7" w:rsidP="001D04B7">
      <w:pPr>
        <w:jc w:val="center"/>
        <w:rPr>
          <w:rFonts w:ascii="David" w:hAnsi="David" w:cs="David"/>
          <w:b/>
          <w:bCs/>
          <w:sz w:val="24"/>
          <w:szCs w:val="24"/>
          <w:rtl/>
        </w:rPr>
      </w:pPr>
      <w:r w:rsidRPr="001D04B7">
        <w:rPr>
          <w:rFonts w:ascii="David" w:hAnsi="David" w:cs="David"/>
          <w:b/>
          <w:bCs/>
          <w:sz w:val="24"/>
          <w:szCs w:val="24"/>
          <w:rtl/>
        </w:rPr>
        <w:t>'דרכי השלום' בתקופה התנאית</w:t>
      </w:r>
      <w:r>
        <w:rPr>
          <w:rFonts w:ascii="David" w:hAnsi="David" w:cs="David" w:hint="cs"/>
          <w:b/>
          <w:bCs/>
          <w:sz w:val="24"/>
          <w:szCs w:val="24"/>
          <w:rtl/>
        </w:rPr>
        <w:t xml:space="preserve">: </w:t>
      </w:r>
      <w:r w:rsidR="003A67E9">
        <w:rPr>
          <w:rFonts w:ascii="David" w:hAnsi="David" w:cs="David" w:hint="cs"/>
          <w:b/>
          <w:bCs/>
          <w:sz w:val="24"/>
          <w:szCs w:val="24"/>
          <w:rtl/>
        </w:rPr>
        <w:t xml:space="preserve">גישות ערכיות והסברים </w:t>
      </w:r>
      <w:proofErr w:type="spellStart"/>
      <w:r w:rsidR="003A67E9">
        <w:rPr>
          <w:rFonts w:ascii="David" w:hAnsi="David" w:cs="David" w:hint="cs"/>
          <w:b/>
          <w:bCs/>
          <w:sz w:val="24"/>
          <w:szCs w:val="24"/>
          <w:rtl/>
        </w:rPr>
        <w:t>יוריספרודנטיים</w:t>
      </w:r>
      <w:proofErr w:type="spellEnd"/>
    </w:p>
    <w:p w14:paraId="11240874" w14:textId="26567F23" w:rsidR="009A4EAE" w:rsidRPr="002E7D7C" w:rsidRDefault="009A4EAE" w:rsidP="00045224">
      <w:pPr>
        <w:jc w:val="center"/>
        <w:rPr>
          <w:rFonts w:ascii="David" w:hAnsi="David" w:cs="David"/>
          <w:b/>
          <w:bCs/>
          <w:sz w:val="24"/>
          <w:szCs w:val="24"/>
          <w:rtl/>
        </w:rPr>
      </w:pPr>
      <w:r>
        <w:rPr>
          <w:rFonts w:ascii="David" w:hAnsi="David" w:cs="David" w:hint="cs"/>
          <w:b/>
          <w:bCs/>
          <w:sz w:val="24"/>
          <w:szCs w:val="24"/>
          <w:rtl/>
        </w:rPr>
        <w:t>שגית מור</w:t>
      </w:r>
    </w:p>
    <w:p w14:paraId="672A6659" w14:textId="77777777" w:rsidR="002E7D7C" w:rsidRPr="002E7D7C" w:rsidRDefault="002E7D7C" w:rsidP="002E7D7C">
      <w:pPr>
        <w:jc w:val="center"/>
        <w:rPr>
          <w:rFonts w:ascii="David" w:hAnsi="David" w:cs="David"/>
          <w:b/>
          <w:bCs/>
          <w:sz w:val="24"/>
          <w:szCs w:val="24"/>
          <w:rtl/>
        </w:rPr>
      </w:pPr>
    </w:p>
    <w:p w14:paraId="3A948C18" w14:textId="70BC5DA0" w:rsidR="00A834D9" w:rsidRDefault="002E7D7C" w:rsidP="00A834D9">
      <w:pPr>
        <w:spacing w:line="480" w:lineRule="auto"/>
        <w:rPr>
          <w:rFonts w:ascii="David" w:hAnsi="David" w:cs="David"/>
          <w:sz w:val="24"/>
          <w:szCs w:val="24"/>
          <w:rtl/>
        </w:rPr>
      </w:pPr>
      <w:r>
        <w:rPr>
          <w:rFonts w:ascii="David" w:hAnsi="David" w:cs="David"/>
          <w:sz w:val="24"/>
          <w:szCs w:val="24"/>
          <w:rtl/>
        </w:rPr>
        <w:t xml:space="preserve">המונח 'מפני דרכי שלום' </w:t>
      </w:r>
      <w:r w:rsidR="00AA6CD8">
        <w:rPr>
          <w:rFonts w:ascii="David" w:hAnsi="David" w:cs="David"/>
          <w:sz w:val="24"/>
          <w:szCs w:val="24"/>
          <w:rtl/>
        </w:rPr>
        <w:t>מופיע כהנמקה ל</w:t>
      </w:r>
      <w:r w:rsidR="008B1795">
        <w:rPr>
          <w:rFonts w:ascii="David" w:hAnsi="David" w:cs="David" w:hint="cs"/>
          <w:sz w:val="24"/>
          <w:szCs w:val="24"/>
          <w:rtl/>
        </w:rPr>
        <w:t xml:space="preserve">הלכות שונות, ברובן </w:t>
      </w:r>
      <w:r w:rsidR="00AA6CD8">
        <w:rPr>
          <w:rFonts w:ascii="David" w:hAnsi="David" w:cs="David"/>
          <w:sz w:val="24"/>
          <w:szCs w:val="24"/>
          <w:rtl/>
        </w:rPr>
        <w:t>תקנות</w:t>
      </w:r>
      <w:r w:rsidR="008B1795">
        <w:rPr>
          <w:rFonts w:ascii="David" w:hAnsi="David" w:cs="David" w:hint="cs"/>
          <w:sz w:val="24"/>
          <w:szCs w:val="24"/>
          <w:rtl/>
        </w:rPr>
        <w:t>,</w:t>
      </w:r>
      <w:r w:rsidR="00AA6CD8">
        <w:rPr>
          <w:rFonts w:ascii="David" w:hAnsi="David" w:cs="David"/>
          <w:sz w:val="24"/>
          <w:szCs w:val="24"/>
          <w:rtl/>
        </w:rPr>
        <w:t xml:space="preserve"> </w:t>
      </w:r>
      <w:r>
        <w:rPr>
          <w:rFonts w:ascii="David" w:hAnsi="David" w:cs="David"/>
          <w:sz w:val="24"/>
          <w:szCs w:val="24"/>
          <w:rtl/>
        </w:rPr>
        <w:t xml:space="preserve">במקורות </w:t>
      </w:r>
      <w:proofErr w:type="spellStart"/>
      <w:r w:rsidR="00AB7D58">
        <w:rPr>
          <w:rFonts w:ascii="David" w:hAnsi="David" w:cs="David"/>
          <w:sz w:val="24"/>
          <w:szCs w:val="24"/>
          <w:rtl/>
        </w:rPr>
        <w:t>ה</w:t>
      </w:r>
      <w:r>
        <w:rPr>
          <w:rFonts w:ascii="David" w:hAnsi="David" w:cs="David"/>
          <w:sz w:val="24"/>
          <w:szCs w:val="24"/>
          <w:rtl/>
        </w:rPr>
        <w:t>תנא</w:t>
      </w:r>
      <w:r w:rsidR="00AB7D58">
        <w:rPr>
          <w:rFonts w:ascii="David" w:hAnsi="David" w:cs="David"/>
          <w:sz w:val="24"/>
          <w:szCs w:val="24"/>
          <w:rtl/>
        </w:rPr>
        <w:t>י</w:t>
      </w:r>
      <w:r>
        <w:rPr>
          <w:rFonts w:ascii="David" w:hAnsi="David" w:cs="David"/>
          <w:sz w:val="24"/>
          <w:szCs w:val="24"/>
          <w:rtl/>
        </w:rPr>
        <w:t>ים</w:t>
      </w:r>
      <w:proofErr w:type="spellEnd"/>
      <w:r w:rsidR="00774B2C">
        <w:rPr>
          <w:rFonts w:ascii="David" w:hAnsi="David" w:cs="David" w:hint="cs"/>
          <w:sz w:val="24"/>
          <w:szCs w:val="24"/>
          <w:rtl/>
        </w:rPr>
        <w:t>:</w:t>
      </w:r>
      <w:r w:rsidR="00AB7D58">
        <w:rPr>
          <w:rFonts w:ascii="David" w:hAnsi="David" w:cs="David"/>
          <w:sz w:val="24"/>
          <w:szCs w:val="24"/>
          <w:rtl/>
        </w:rPr>
        <w:t xml:space="preserve"> </w:t>
      </w:r>
      <w:r>
        <w:rPr>
          <w:rFonts w:ascii="David" w:hAnsi="David" w:cs="David"/>
          <w:sz w:val="24"/>
          <w:szCs w:val="24"/>
          <w:rtl/>
        </w:rPr>
        <w:t xml:space="preserve"> במשנה</w:t>
      </w:r>
      <w:r w:rsidR="00B257C5">
        <w:rPr>
          <w:rFonts w:ascii="David" w:hAnsi="David" w:cs="David"/>
          <w:sz w:val="24"/>
          <w:szCs w:val="24"/>
          <w:rtl/>
        </w:rPr>
        <w:t>,</w:t>
      </w:r>
      <w:r w:rsidR="00FF02CD">
        <w:rPr>
          <w:rStyle w:val="a5"/>
          <w:rFonts w:ascii="David" w:hAnsi="David" w:cs="David"/>
          <w:sz w:val="24"/>
          <w:szCs w:val="24"/>
          <w:rtl/>
        </w:rPr>
        <w:footnoteReference w:id="1"/>
      </w:r>
      <w:r>
        <w:rPr>
          <w:rFonts w:ascii="David" w:hAnsi="David" w:cs="David"/>
          <w:sz w:val="24"/>
          <w:szCs w:val="24"/>
          <w:rtl/>
        </w:rPr>
        <w:t xml:space="preserve"> </w:t>
      </w:r>
      <w:proofErr w:type="spellStart"/>
      <w:r>
        <w:rPr>
          <w:rFonts w:ascii="David" w:hAnsi="David" w:cs="David"/>
          <w:sz w:val="24"/>
          <w:szCs w:val="24"/>
          <w:rtl/>
        </w:rPr>
        <w:t>בתוספתא</w:t>
      </w:r>
      <w:proofErr w:type="spellEnd"/>
      <w:r w:rsidR="00FF02CD">
        <w:rPr>
          <w:rStyle w:val="a5"/>
          <w:rFonts w:ascii="David" w:hAnsi="David" w:cs="David"/>
          <w:sz w:val="24"/>
          <w:szCs w:val="24"/>
          <w:rtl/>
        </w:rPr>
        <w:footnoteReference w:id="2"/>
      </w:r>
      <w:r>
        <w:rPr>
          <w:rFonts w:ascii="David" w:hAnsi="David" w:cs="David"/>
          <w:sz w:val="24"/>
          <w:szCs w:val="24"/>
          <w:rtl/>
        </w:rPr>
        <w:t xml:space="preserve"> </w:t>
      </w:r>
      <w:r w:rsidR="00D64F77">
        <w:rPr>
          <w:rFonts w:ascii="David" w:hAnsi="David" w:cs="David"/>
          <w:sz w:val="24"/>
          <w:szCs w:val="24"/>
          <w:rtl/>
        </w:rPr>
        <w:t>ו</w:t>
      </w:r>
      <w:r>
        <w:rPr>
          <w:rFonts w:ascii="David" w:hAnsi="David" w:cs="David"/>
          <w:sz w:val="24"/>
          <w:szCs w:val="24"/>
          <w:rtl/>
        </w:rPr>
        <w:t>ב</w:t>
      </w:r>
      <w:r w:rsidR="00C47917">
        <w:rPr>
          <w:rFonts w:ascii="David" w:hAnsi="David" w:cs="David"/>
          <w:sz w:val="24"/>
          <w:szCs w:val="24"/>
          <w:rtl/>
        </w:rPr>
        <w:t xml:space="preserve">מדרש ההלכה </w:t>
      </w:r>
      <w:r>
        <w:rPr>
          <w:rFonts w:ascii="David" w:hAnsi="David" w:cs="David"/>
          <w:sz w:val="24"/>
          <w:szCs w:val="24"/>
          <w:rtl/>
        </w:rPr>
        <w:t>מכילתא דר' שמעון</w:t>
      </w:r>
      <w:r w:rsidR="00C47917">
        <w:rPr>
          <w:rFonts w:ascii="David" w:hAnsi="David" w:cs="David"/>
          <w:sz w:val="24"/>
          <w:szCs w:val="24"/>
          <w:rtl/>
        </w:rPr>
        <w:t xml:space="preserve"> בר יוחאי</w:t>
      </w:r>
      <w:r w:rsidR="00AA6CD8">
        <w:rPr>
          <w:rFonts w:ascii="David" w:hAnsi="David" w:cs="David"/>
          <w:sz w:val="24"/>
          <w:szCs w:val="24"/>
          <w:rtl/>
        </w:rPr>
        <w:t>.</w:t>
      </w:r>
      <w:r w:rsidR="00FF02CD">
        <w:rPr>
          <w:rStyle w:val="a5"/>
          <w:rFonts w:ascii="David" w:hAnsi="David" w:cs="David"/>
          <w:sz w:val="24"/>
          <w:szCs w:val="24"/>
          <w:rtl/>
        </w:rPr>
        <w:footnoteReference w:id="3"/>
      </w:r>
      <w:r>
        <w:rPr>
          <w:rFonts w:ascii="David" w:hAnsi="David" w:cs="David"/>
          <w:sz w:val="24"/>
          <w:szCs w:val="24"/>
          <w:rtl/>
        </w:rPr>
        <w:t xml:space="preserve"> בתלמודים מופיע </w:t>
      </w:r>
      <w:r w:rsidR="009339F8">
        <w:rPr>
          <w:rFonts w:ascii="David" w:hAnsi="David" w:cs="David"/>
          <w:sz w:val="24"/>
          <w:szCs w:val="24"/>
          <w:rtl/>
        </w:rPr>
        <w:t>בדומה לו</w:t>
      </w:r>
      <w:r w:rsidR="00551907">
        <w:rPr>
          <w:rFonts w:ascii="David" w:hAnsi="David" w:cs="David" w:hint="cs"/>
          <w:sz w:val="24"/>
          <w:szCs w:val="24"/>
          <w:rtl/>
        </w:rPr>
        <w:t>,</w:t>
      </w:r>
      <w:r w:rsidR="009339F8">
        <w:rPr>
          <w:rFonts w:ascii="David" w:hAnsi="David" w:cs="David"/>
          <w:sz w:val="24"/>
          <w:szCs w:val="24"/>
          <w:rtl/>
        </w:rPr>
        <w:t xml:space="preserve"> </w:t>
      </w:r>
      <w:r>
        <w:rPr>
          <w:rFonts w:ascii="David" w:hAnsi="David" w:cs="David"/>
          <w:sz w:val="24"/>
          <w:szCs w:val="24"/>
          <w:rtl/>
        </w:rPr>
        <w:t>ו</w:t>
      </w:r>
      <w:r w:rsidR="005C1FA8">
        <w:rPr>
          <w:rFonts w:ascii="David" w:hAnsi="David" w:cs="David" w:hint="cs"/>
          <w:sz w:val="24"/>
          <w:szCs w:val="24"/>
          <w:rtl/>
        </w:rPr>
        <w:t>כ</w:t>
      </w:r>
      <w:r>
        <w:rPr>
          <w:rFonts w:ascii="David" w:hAnsi="David" w:cs="David"/>
          <w:sz w:val="24"/>
          <w:szCs w:val="24"/>
          <w:rtl/>
        </w:rPr>
        <w:t>פרשנות לו</w:t>
      </w:r>
      <w:r w:rsidR="00551907">
        <w:rPr>
          <w:rFonts w:ascii="David" w:hAnsi="David" w:cs="David" w:hint="cs"/>
          <w:sz w:val="24"/>
          <w:szCs w:val="24"/>
          <w:rtl/>
        </w:rPr>
        <w:t>,</w:t>
      </w:r>
      <w:r>
        <w:rPr>
          <w:rFonts w:ascii="David" w:hAnsi="David" w:cs="David"/>
          <w:sz w:val="24"/>
          <w:szCs w:val="24"/>
          <w:rtl/>
        </w:rPr>
        <w:t xml:space="preserve"> המונח 'משום איבה'. </w:t>
      </w:r>
      <w:r w:rsidR="00AA6CD8">
        <w:rPr>
          <w:rFonts w:ascii="David" w:hAnsi="David" w:cs="David"/>
          <w:sz w:val="24"/>
          <w:szCs w:val="24"/>
          <w:rtl/>
        </w:rPr>
        <w:t xml:space="preserve">מספר </w:t>
      </w:r>
      <w:r w:rsidR="005B3008">
        <w:rPr>
          <w:rFonts w:ascii="David" w:hAnsi="David" w:cs="David"/>
          <w:sz w:val="24"/>
          <w:szCs w:val="24"/>
          <w:rtl/>
        </w:rPr>
        <w:t>עבודות ו</w:t>
      </w:r>
      <w:r w:rsidR="00AA6CD8">
        <w:rPr>
          <w:rFonts w:ascii="David" w:hAnsi="David" w:cs="David"/>
          <w:sz w:val="24"/>
          <w:szCs w:val="24"/>
          <w:rtl/>
        </w:rPr>
        <w:t>מ</w:t>
      </w:r>
      <w:r w:rsidR="005B3008">
        <w:rPr>
          <w:rFonts w:ascii="David" w:hAnsi="David" w:cs="David"/>
          <w:sz w:val="24"/>
          <w:szCs w:val="24"/>
          <w:rtl/>
        </w:rPr>
        <w:t>חקרים הוקדשו לבחינתן של תקנות</w:t>
      </w:r>
      <w:r w:rsidR="0065570C">
        <w:rPr>
          <w:rFonts w:ascii="David" w:hAnsi="David" w:cs="David"/>
          <w:sz w:val="24"/>
          <w:szCs w:val="24"/>
          <w:rtl/>
        </w:rPr>
        <w:t xml:space="preserve"> אלו</w:t>
      </w:r>
      <w:r w:rsidR="00AA6CD8">
        <w:rPr>
          <w:rFonts w:ascii="David" w:hAnsi="David" w:cs="David"/>
          <w:sz w:val="24"/>
          <w:szCs w:val="24"/>
          <w:rtl/>
        </w:rPr>
        <w:t>.</w:t>
      </w:r>
      <w:r w:rsidR="005B3008">
        <w:rPr>
          <w:rFonts w:ascii="David" w:hAnsi="David" w:cs="David"/>
          <w:sz w:val="24"/>
          <w:szCs w:val="24"/>
          <w:rtl/>
        </w:rPr>
        <w:t xml:space="preserve"> </w:t>
      </w:r>
      <w:r w:rsidR="00AA6CD8">
        <w:rPr>
          <w:rFonts w:ascii="David" w:hAnsi="David" w:cs="David"/>
          <w:sz w:val="24"/>
          <w:szCs w:val="24"/>
          <w:rtl/>
        </w:rPr>
        <w:t xml:space="preserve">ביניהם </w:t>
      </w:r>
      <w:r w:rsidR="003374CE">
        <w:rPr>
          <w:rFonts w:ascii="David" w:hAnsi="David" w:cs="David"/>
          <w:sz w:val="24"/>
          <w:szCs w:val="24"/>
          <w:rtl/>
        </w:rPr>
        <w:t>היו כאלו שלא הבחינו בין ה</w:t>
      </w:r>
      <w:r w:rsidR="008126FC">
        <w:rPr>
          <w:rFonts w:ascii="David" w:hAnsi="David" w:cs="David" w:hint="cs"/>
          <w:sz w:val="24"/>
          <w:szCs w:val="24"/>
          <w:rtl/>
        </w:rPr>
        <w:t>הנמקות</w:t>
      </w:r>
      <w:r w:rsidR="003374CE">
        <w:rPr>
          <w:rFonts w:ascii="David" w:hAnsi="David" w:cs="David"/>
          <w:sz w:val="24"/>
          <w:szCs w:val="24"/>
          <w:rtl/>
        </w:rPr>
        <w:t xml:space="preserve"> השונ</w:t>
      </w:r>
      <w:r w:rsidR="008126FC">
        <w:rPr>
          <w:rFonts w:ascii="David" w:hAnsi="David" w:cs="David" w:hint="cs"/>
          <w:sz w:val="24"/>
          <w:szCs w:val="24"/>
          <w:rtl/>
        </w:rPr>
        <w:t>ות</w:t>
      </w:r>
      <w:r w:rsidR="003374CE">
        <w:rPr>
          <w:rFonts w:ascii="David" w:hAnsi="David" w:cs="David"/>
          <w:sz w:val="24"/>
          <w:szCs w:val="24"/>
          <w:rtl/>
        </w:rPr>
        <w:t>.</w:t>
      </w:r>
      <w:r w:rsidR="00B36A67">
        <w:rPr>
          <w:rStyle w:val="a5"/>
          <w:rFonts w:ascii="David" w:hAnsi="David" w:cs="David"/>
          <w:sz w:val="24"/>
          <w:szCs w:val="24"/>
          <w:rtl/>
        </w:rPr>
        <w:footnoteReference w:id="4"/>
      </w:r>
      <w:r w:rsidR="003374CE">
        <w:rPr>
          <w:rFonts w:ascii="David" w:hAnsi="David" w:cs="David"/>
          <w:sz w:val="24"/>
          <w:szCs w:val="24"/>
          <w:rtl/>
        </w:rPr>
        <w:t xml:space="preserve"> אחרים </w:t>
      </w:r>
      <w:r w:rsidR="00FF02CD">
        <w:rPr>
          <w:rFonts w:ascii="David" w:hAnsi="David" w:cs="David"/>
          <w:sz w:val="24"/>
          <w:szCs w:val="24"/>
          <w:rtl/>
        </w:rPr>
        <w:t xml:space="preserve">אמנם </w:t>
      </w:r>
      <w:r w:rsidR="005B3008">
        <w:rPr>
          <w:rFonts w:ascii="David" w:hAnsi="David" w:cs="David"/>
          <w:sz w:val="24"/>
          <w:szCs w:val="24"/>
          <w:rtl/>
        </w:rPr>
        <w:t>הב</w:t>
      </w:r>
      <w:r w:rsidR="003374CE">
        <w:rPr>
          <w:rFonts w:ascii="David" w:hAnsi="David" w:cs="David"/>
          <w:sz w:val="24"/>
          <w:szCs w:val="24"/>
          <w:rtl/>
        </w:rPr>
        <w:t>דילו</w:t>
      </w:r>
      <w:r w:rsidR="005B3008">
        <w:rPr>
          <w:rFonts w:ascii="David" w:hAnsi="David" w:cs="David"/>
          <w:sz w:val="24"/>
          <w:szCs w:val="24"/>
          <w:rtl/>
        </w:rPr>
        <w:t xml:space="preserve"> בין הרובד התנאי </w:t>
      </w:r>
      <w:r w:rsidR="005B3008">
        <w:rPr>
          <w:rFonts w:ascii="David" w:hAnsi="David" w:cs="David"/>
          <w:sz w:val="24"/>
          <w:szCs w:val="24"/>
          <w:rtl/>
        </w:rPr>
        <w:lastRenderedPageBreak/>
        <w:t>לאמוראי</w:t>
      </w:r>
      <w:r w:rsidR="00FF02CD">
        <w:rPr>
          <w:rFonts w:ascii="David" w:hAnsi="David" w:cs="David"/>
          <w:sz w:val="24"/>
          <w:szCs w:val="24"/>
          <w:rtl/>
        </w:rPr>
        <w:t xml:space="preserve">, </w:t>
      </w:r>
      <w:r w:rsidR="003374CE">
        <w:rPr>
          <w:rFonts w:ascii="David" w:hAnsi="David" w:cs="David"/>
          <w:sz w:val="24"/>
          <w:szCs w:val="24"/>
          <w:rtl/>
        </w:rPr>
        <w:t>ואף הצביעו על מאפיינים שונים בשימוש במונח בכל אחד מהם.</w:t>
      </w:r>
      <w:r w:rsidR="00680BE5">
        <w:rPr>
          <w:rStyle w:val="a5"/>
          <w:rFonts w:ascii="David" w:hAnsi="David" w:cs="David"/>
          <w:sz w:val="24"/>
          <w:szCs w:val="24"/>
          <w:rtl/>
        </w:rPr>
        <w:footnoteReference w:id="5"/>
      </w:r>
      <w:r w:rsidR="003374CE">
        <w:rPr>
          <w:rFonts w:ascii="David" w:hAnsi="David" w:cs="David"/>
          <w:sz w:val="24"/>
          <w:szCs w:val="24"/>
          <w:rtl/>
        </w:rPr>
        <w:t xml:space="preserve"> </w:t>
      </w:r>
      <w:r w:rsidR="00FD7153">
        <w:rPr>
          <w:rFonts w:ascii="David" w:hAnsi="David" w:cs="David" w:hint="cs"/>
          <w:sz w:val="24"/>
          <w:szCs w:val="24"/>
          <w:rtl/>
        </w:rPr>
        <w:t xml:space="preserve">אולם </w:t>
      </w:r>
      <w:r w:rsidR="00FD7153" w:rsidRPr="00FD7153">
        <w:rPr>
          <w:rFonts w:ascii="David" w:hAnsi="David" w:cs="David"/>
          <w:sz w:val="24"/>
          <w:szCs w:val="24"/>
          <w:rtl/>
        </w:rPr>
        <w:t>עד כה טרם נערך מחקר שב</w:t>
      </w:r>
      <w:r w:rsidR="008D41FD">
        <w:rPr>
          <w:rFonts w:ascii="David" w:hAnsi="David" w:cs="David" w:hint="cs"/>
          <w:sz w:val="24"/>
          <w:szCs w:val="24"/>
          <w:rtl/>
        </w:rPr>
        <w:t>דק</w:t>
      </w:r>
      <w:r w:rsidR="00FD7153" w:rsidRPr="00FD7153">
        <w:rPr>
          <w:rFonts w:ascii="David" w:hAnsi="David" w:cs="David"/>
          <w:sz w:val="24"/>
          <w:szCs w:val="24"/>
          <w:rtl/>
        </w:rPr>
        <w:t xml:space="preserve"> את המקורות </w:t>
      </w:r>
      <w:proofErr w:type="spellStart"/>
      <w:r w:rsidR="00FD7153" w:rsidRPr="00FD7153">
        <w:rPr>
          <w:rFonts w:ascii="David" w:hAnsi="David" w:cs="David"/>
          <w:sz w:val="24"/>
          <w:szCs w:val="24"/>
          <w:rtl/>
        </w:rPr>
        <w:t>התנאיים</w:t>
      </w:r>
      <w:proofErr w:type="spellEnd"/>
      <w:r w:rsidR="00FD7153" w:rsidRPr="00FD7153">
        <w:rPr>
          <w:rFonts w:ascii="David" w:hAnsi="David" w:cs="David"/>
          <w:sz w:val="24"/>
          <w:szCs w:val="24"/>
          <w:rtl/>
        </w:rPr>
        <w:t xml:space="preserve"> כשלעצמם, בניסיון לב</w:t>
      </w:r>
      <w:r w:rsidR="008D41FD">
        <w:rPr>
          <w:rFonts w:ascii="David" w:hAnsi="David" w:cs="David" w:hint="cs"/>
          <w:sz w:val="24"/>
          <w:szCs w:val="24"/>
          <w:rtl/>
        </w:rPr>
        <w:t>חון</w:t>
      </w:r>
      <w:r w:rsidR="00FD7153" w:rsidRPr="00FD7153">
        <w:rPr>
          <w:rFonts w:ascii="David" w:hAnsi="David" w:cs="David"/>
          <w:sz w:val="24"/>
          <w:szCs w:val="24"/>
          <w:rtl/>
        </w:rPr>
        <w:t xml:space="preserve"> </w:t>
      </w:r>
      <w:r w:rsidR="002D4006">
        <w:rPr>
          <w:rFonts w:ascii="David" w:hAnsi="David" w:cs="David" w:hint="cs"/>
          <w:sz w:val="24"/>
          <w:szCs w:val="24"/>
          <w:rtl/>
        </w:rPr>
        <w:t>שני היבטים ששזורים זה בזה</w:t>
      </w:r>
      <w:r w:rsidR="00D708E2">
        <w:rPr>
          <w:rFonts w:ascii="David" w:hAnsi="David" w:cs="David" w:hint="cs"/>
          <w:sz w:val="24"/>
          <w:szCs w:val="24"/>
          <w:rtl/>
        </w:rPr>
        <w:t xml:space="preserve"> </w:t>
      </w:r>
      <w:r w:rsidR="00D708E2">
        <w:rPr>
          <w:rFonts w:ascii="David" w:hAnsi="David" w:cs="David"/>
          <w:sz w:val="24"/>
          <w:szCs w:val="24"/>
          <w:rtl/>
        </w:rPr>
        <w:t>–</w:t>
      </w:r>
      <w:r w:rsidR="00D708E2">
        <w:rPr>
          <w:rFonts w:ascii="David" w:hAnsi="David" w:cs="David" w:hint="cs"/>
          <w:sz w:val="24"/>
          <w:szCs w:val="24"/>
          <w:rtl/>
        </w:rPr>
        <w:t xml:space="preserve"> הערכי </w:t>
      </w:r>
      <w:proofErr w:type="spellStart"/>
      <w:r w:rsidR="00D708E2">
        <w:rPr>
          <w:rFonts w:ascii="David" w:hAnsi="David" w:cs="David" w:hint="cs"/>
          <w:sz w:val="24"/>
          <w:szCs w:val="24"/>
          <w:rtl/>
        </w:rPr>
        <w:t>והיוריספרודנטי</w:t>
      </w:r>
      <w:proofErr w:type="spellEnd"/>
      <w:r w:rsidR="00D708E2">
        <w:rPr>
          <w:rFonts w:ascii="David" w:hAnsi="David" w:cs="David" w:hint="cs"/>
          <w:sz w:val="24"/>
          <w:szCs w:val="24"/>
          <w:rtl/>
        </w:rPr>
        <w:t xml:space="preserve">: </w:t>
      </w:r>
      <w:r w:rsidR="002D4006">
        <w:rPr>
          <w:rFonts w:ascii="David" w:hAnsi="David" w:cs="David" w:hint="cs"/>
          <w:sz w:val="24"/>
          <w:szCs w:val="24"/>
          <w:rtl/>
        </w:rPr>
        <w:t xml:space="preserve">האם </w:t>
      </w:r>
      <w:r w:rsidR="00A118A2">
        <w:rPr>
          <w:rFonts w:ascii="David" w:hAnsi="David" w:cs="David" w:hint="cs"/>
          <w:sz w:val="24"/>
          <w:szCs w:val="24"/>
          <w:rtl/>
        </w:rPr>
        <w:t xml:space="preserve">קיימת </w:t>
      </w:r>
      <w:r w:rsidR="00811529">
        <w:rPr>
          <w:rFonts w:ascii="David" w:hAnsi="David" w:cs="David" w:hint="cs"/>
          <w:sz w:val="24"/>
          <w:szCs w:val="24"/>
          <w:rtl/>
        </w:rPr>
        <w:t xml:space="preserve">גישה </w:t>
      </w:r>
      <w:r w:rsidR="002D4006">
        <w:rPr>
          <w:rFonts w:ascii="David" w:hAnsi="David" w:cs="David" w:hint="cs"/>
          <w:sz w:val="24"/>
          <w:szCs w:val="24"/>
          <w:rtl/>
        </w:rPr>
        <w:t>ערכית</w:t>
      </w:r>
      <w:r w:rsidR="008D41FD">
        <w:rPr>
          <w:rFonts w:ascii="David" w:hAnsi="David" w:cs="David" w:hint="cs"/>
          <w:sz w:val="24"/>
          <w:szCs w:val="24"/>
          <w:rtl/>
        </w:rPr>
        <w:t xml:space="preserve"> אחת בלבד כלפי</w:t>
      </w:r>
      <w:r w:rsidR="00D708E2">
        <w:rPr>
          <w:rFonts w:ascii="David" w:hAnsi="David" w:cs="David" w:hint="cs"/>
          <w:sz w:val="24"/>
          <w:szCs w:val="24"/>
          <w:rtl/>
        </w:rPr>
        <w:t xml:space="preserve"> ההלכות שמנומקות 'מפני דרכי שלום'</w:t>
      </w:r>
      <w:r w:rsidR="002D4006">
        <w:rPr>
          <w:rFonts w:ascii="David" w:hAnsi="David" w:cs="David" w:hint="cs"/>
          <w:sz w:val="24"/>
          <w:szCs w:val="24"/>
          <w:rtl/>
        </w:rPr>
        <w:t xml:space="preserve">, או שמא ניתן להצביע על </w:t>
      </w:r>
      <w:r w:rsidR="00704477">
        <w:rPr>
          <w:rFonts w:ascii="David" w:hAnsi="David" w:cs="David" w:hint="cs"/>
          <w:sz w:val="24"/>
          <w:szCs w:val="24"/>
          <w:rtl/>
        </w:rPr>
        <w:t>יותר</w:t>
      </w:r>
      <w:r w:rsidR="008D41FD">
        <w:rPr>
          <w:rFonts w:ascii="David" w:hAnsi="David" w:cs="David" w:hint="cs"/>
          <w:sz w:val="24"/>
          <w:szCs w:val="24"/>
          <w:rtl/>
        </w:rPr>
        <w:t xml:space="preserve"> מכך</w:t>
      </w:r>
      <w:r w:rsidR="00045633">
        <w:rPr>
          <w:rFonts w:ascii="David" w:hAnsi="David" w:cs="David" w:hint="cs"/>
          <w:sz w:val="24"/>
          <w:szCs w:val="24"/>
          <w:rtl/>
        </w:rPr>
        <w:t>?</w:t>
      </w:r>
      <w:r w:rsidR="00704477">
        <w:rPr>
          <w:rFonts w:ascii="David" w:hAnsi="David" w:cs="David" w:hint="cs"/>
          <w:sz w:val="24"/>
          <w:szCs w:val="24"/>
          <w:rtl/>
        </w:rPr>
        <w:t xml:space="preserve"> ואם אמנם כ</w:t>
      </w:r>
      <w:r w:rsidR="00241705">
        <w:rPr>
          <w:rFonts w:ascii="David" w:hAnsi="David" w:cs="David" w:hint="cs"/>
          <w:sz w:val="24"/>
          <w:szCs w:val="24"/>
          <w:rtl/>
        </w:rPr>
        <w:t>ן</w:t>
      </w:r>
      <w:r w:rsidR="00704477">
        <w:rPr>
          <w:rFonts w:ascii="David" w:hAnsi="David" w:cs="David" w:hint="cs"/>
          <w:sz w:val="24"/>
          <w:szCs w:val="24"/>
          <w:rtl/>
        </w:rPr>
        <w:t xml:space="preserve">, </w:t>
      </w:r>
      <w:r w:rsidR="00045633">
        <w:rPr>
          <w:rFonts w:ascii="David" w:hAnsi="David" w:cs="David" w:hint="cs"/>
          <w:sz w:val="24"/>
          <w:szCs w:val="24"/>
          <w:rtl/>
        </w:rPr>
        <w:t xml:space="preserve">האם </w:t>
      </w:r>
      <w:r w:rsidR="00811529">
        <w:rPr>
          <w:rFonts w:ascii="David" w:hAnsi="David" w:cs="David" w:hint="cs"/>
          <w:sz w:val="24"/>
          <w:szCs w:val="24"/>
          <w:rtl/>
        </w:rPr>
        <w:t>הדבר נעוץ בתפיסות</w:t>
      </w:r>
      <w:r w:rsidR="00D708E2">
        <w:rPr>
          <w:rFonts w:ascii="David" w:hAnsi="David" w:cs="David" w:hint="cs"/>
          <w:sz w:val="24"/>
          <w:szCs w:val="24"/>
          <w:rtl/>
        </w:rPr>
        <w:t>י</w:t>
      </w:r>
      <w:r w:rsidR="00241705">
        <w:rPr>
          <w:rFonts w:ascii="David" w:hAnsi="David" w:cs="David" w:hint="cs"/>
          <w:sz w:val="24"/>
          <w:szCs w:val="24"/>
          <w:rtl/>
        </w:rPr>
        <w:t>הן</w:t>
      </w:r>
      <w:r w:rsidR="00811529">
        <w:rPr>
          <w:rFonts w:ascii="David" w:hAnsi="David" w:cs="David" w:hint="cs"/>
          <w:sz w:val="24"/>
          <w:szCs w:val="24"/>
          <w:rtl/>
        </w:rPr>
        <w:t xml:space="preserve"> של </w:t>
      </w:r>
      <w:r w:rsidR="00045633">
        <w:rPr>
          <w:rFonts w:ascii="David" w:hAnsi="David" w:cs="David" w:hint="cs"/>
          <w:sz w:val="24"/>
          <w:szCs w:val="24"/>
          <w:rtl/>
        </w:rPr>
        <w:t>פרסונות</w:t>
      </w:r>
      <w:r w:rsidR="00811529">
        <w:rPr>
          <w:rFonts w:ascii="David" w:hAnsi="David" w:cs="David" w:hint="cs"/>
          <w:sz w:val="24"/>
          <w:szCs w:val="24"/>
          <w:rtl/>
        </w:rPr>
        <w:t xml:space="preserve"> שונות</w:t>
      </w:r>
      <w:r w:rsidR="00CB0B9B">
        <w:rPr>
          <w:rFonts w:ascii="David" w:hAnsi="David" w:cs="David" w:hint="cs"/>
          <w:sz w:val="24"/>
          <w:szCs w:val="24"/>
          <w:rtl/>
        </w:rPr>
        <w:t>,</w:t>
      </w:r>
      <w:r w:rsidR="00045633">
        <w:rPr>
          <w:rFonts w:ascii="David" w:hAnsi="David" w:cs="David" w:hint="cs"/>
          <w:sz w:val="24"/>
          <w:szCs w:val="24"/>
          <w:rtl/>
        </w:rPr>
        <w:t xml:space="preserve"> או </w:t>
      </w:r>
      <w:r w:rsidR="00A118A2">
        <w:rPr>
          <w:rFonts w:ascii="David" w:hAnsi="David" w:cs="David" w:hint="cs"/>
          <w:sz w:val="24"/>
          <w:szCs w:val="24"/>
          <w:rtl/>
        </w:rPr>
        <w:t>ב</w:t>
      </w:r>
      <w:r w:rsidR="00045633">
        <w:rPr>
          <w:rFonts w:ascii="David" w:hAnsi="David" w:cs="David" w:hint="cs"/>
          <w:sz w:val="24"/>
          <w:szCs w:val="24"/>
          <w:rtl/>
        </w:rPr>
        <w:t>שינויי</w:t>
      </w:r>
      <w:r w:rsidR="00202E10">
        <w:rPr>
          <w:rFonts w:ascii="David" w:hAnsi="David" w:cs="David" w:hint="cs"/>
          <w:sz w:val="24"/>
          <w:szCs w:val="24"/>
          <w:rtl/>
        </w:rPr>
        <w:t>ם עמ</w:t>
      </w:r>
      <w:r w:rsidR="00045633">
        <w:rPr>
          <w:rFonts w:ascii="David" w:hAnsi="David" w:cs="David" w:hint="cs"/>
          <w:sz w:val="24"/>
          <w:szCs w:val="24"/>
          <w:rtl/>
        </w:rPr>
        <w:t>וקים יותר</w:t>
      </w:r>
      <w:r w:rsidR="00820BB9">
        <w:rPr>
          <w:rFonts w:ascii="David" w:hAnsi="David" w:cs="David" w:hint="cs"/>
          <w:sz w:val="24"/>
          <w:szCs w:val="24"/>
          <w:rtl/>
        </w:rPr>
        <w:t xml:space="preserve"> בתוך </w:t>
      </w:r>
      <w:r w:rsidR="00D52197">
        <w:rPr>
          <w:rFonts w:ascii="David" w:hAnsi="David" w:cs="David" w:hint="cs"/>
          <w:sz w:val="24"/>
          <w:szCs w:val="24"/>
          <w:rtl/>
        </w:rPr>
        <w:t xml:space="preserve">עולמם </w:t>
      </w:r>
      <w:r w:rsidR="00164381">
        <w:rPr>
          <w:rFonts w:ascii="David" w:hAnsi="David" w:cs="David" w:hint="cs"/>
          <w:sz w:val="24"/>
          <w:szCs w:val="24"/>
          <w:rtl/>
        </w:rPr>
        <w:t>של החכמים</w:t>
      </w:r>
      <w:r w:rsidR="00045633">
        <w:rPr>
          <w:rFonts w:ascii="David" w:hAnsi="David" w:cs="David" w:hint="cs"/>
          <w:sz w:val="24"/>
          <w:szCs w:val="24"/>
          <w:rtl/>
        </w:rPr>
        <w:t>?</w:t>
      </w:r>
      <w:r w:rsidR="00D708E2">
        <w:rPr>
          <w:rFonts w:ascii="David" w:hAnsi="David" w:cs="David" w:hint="cs"/>
          <w:sz w:val="24"/>
          <w:szCs w:val="24"/>
          <w:rtl/>
        </w:rPr>
        <w:t xml:space="preserve">; </w:t>
      </w:r>
      <w:r w:rsidR="00200C2C">
        <w:rPr>
          <w:rFonts w:ascii="David" w:hAnsi="David" w:cs="David" w:hint="cs"/>
          <w:sz w:val="24"/>
          <w:szCs w:val="24"/>
          <w:rtl/>
        </w:rPr>
        <w:t>ו</w:t>
      </w:r>
      <w:r w:rsidR="00FF0436">
        <w:rPr>
          <w:rFonts w:ascii="David" w:hAnsi="David" w:cs="David" w:hint="cs"/>
          <w:sz w:val="24"/>
          <w:szCs w:val="24"/>
          <w:rtl/>
        </w:rPr>
        <w:t>עוד</w:t>
      </w:r>
      <w:r w:rsidR="00200C2C">
        <w:rPr>
          <w:rFonts w:ascii="David" w:hAnsi="David" w:cs="David" w:hint="cs"/>
          <w:sz w:val="24"/>
          <w:szCs w:val="24"/>
          <w:rtl/>
        </w:rPr>
        <w:t xml:space="preserve">, </w:t>
      </w:r>
      <w:r w:rsidR="00D708E2">
        <w:rPr>
          <w:rFonts w:ascii="David" w:hAnsi="David" w:cs="David" w:hint="cs"/>
          <w:sz w:val="24"/>
          <w:szCs w:val="24"/>
          <w:rtl/>
        </w:rPr>
        <w:t xml:space="preserve">במידה ומתגלות גישות שונות, האם יש לכך משמעויות או השלכות </w:t>
      </w:r>
      <w:proofErr w:type="spellStart"/>
      <w:r w:rsidR="00D708E2">
        <w:rPr>
          <w:rFonts w:ascii="David" w:hAnsi="David" w:cs="David" w:hint="cs"/>
          <w:sz w:val="24"/>
          <w:szCs w:val="24"/>
          <w:rtl/>
        </w:rPr>
        <w:t>יוריספרודנטיות</w:t>
      </w:r>
      <w:proofErr w:type="spellEnd"/>
      <w:r w:rsidR="00D708E2">
        <w:rPr>
          <w:rFonts w:ascii="David" w:hAnsi="David" w:cs="David" w:hint="cs"/>
          <w:sz w:val="24"/>
          <w:szCs w:val="24"/>
          <w:rtl/>
        </w:rPr>
        <w:t>?</w:t>
      </w:r>
      <w:r w:rsidR="00EF1A40">
        <w:rPr>
          <w:rFonts w:ascii="David" w:hAnsi="David" w:cs="David" w:hint="cs"/>
          <w:sz w:val="24"/>
          <w:szCs w:val="24"/>
          <w:rtl/>
        </w:rPr>
        <w:t xml:space="preserve"> </w:t>
      </w:r>
      <w:r w:rsidR="00D708E2">
        <w:rPr>
          <w:rFonts w:ascii="David" w:hAnsi="David" w:cs="David" w:hint="cs"/>
          <w:sz w:val="24"/>
          <w:szCs w:val="24"/>
          <w:rtl/>
        </w:rPr>
        <w:t xml:space="preserve">לדוגמה, </w:t>
      </w:r>
      <w:r w:rsidR="00EF1A40">
        <w:rPr>
          <w:rFonts w:ascii="David" w:hAnsi="David" w:cs="David" w:hint="cs"/>
          <w:sz w:val="24"/>
          <w:szCs w:val="24"/>
          <w:rtl/>
        </w:rPr>
        <w:t>האם מדובר בכלל</w:t>
      </w:r>
      <w:r w:rsidR="00D708E2">
        <w:rPr>
          <w:rFonts w:ascii="David" w:hAnsi="David" w:cs="David" w:hint="cs"/>
          <w:sz w:val="24"/>
          <w:szCs w:val="24"/>
          <w:rtl/>
        </w:rPr>
        <w:t>ים,</w:t>
      </w:r>
      <w:r w:rsidR="00EF1A40">
        <w:rPr>
          <w:rFonts w:ascii="David" w:hAnsi="David" w:cs="David" w:hint="cs"/>
          <w:sz w:val="24"/>
          <w:szCs w:val="24"/>
          <w:rtl/>
        </w:rPr>
        <w:t xml:space="preserve"> בעיקרון או אולי במושג מטה-הלכתי</w:t>
      </w:r>
      <w:r w:rsidR="00D708E2">
        <w:rPr>
          <w:rFonts w:ascii="David" w:hAnsi="David" w:cs="David" w:hint="cs"/>
          <w:sz w:val="24"/>
          <w:szCs w:val="24"/>
          <w:rtl/>
        </w:rPr>
        <w:t>?</w:t>
      </w:r>
      <w:r w:rsidR="00141920">
        <w:rPr>
          <w:rFonts w:ascii="David" w:hAnsi="David" w:cs="David" w:hint="cs"/>
          <w:sz w:val="24"/>
          <w:szCs w:val="24"/>
          <w:rtl/>
        </w:rPr>
        <w:t xml:space="preserve"> ומה</w:t>
      </w:r>
      <w:r w:rsidR="00D708E2">
        <w:rPr>
          <w:rFonts w:ascii="David" w:hAnsi="David" w:cs="David" w:hint="cs"/>
          <w:sz w:val="24"/>
          <w:szCs w:val="24"/>
          <w:rtl/>
        </w:rPr>
        <w:t xml:space="preserve">, אם בכלל, </w:t>
      </w:r>
      <w:r w:rsidR="00141920">
        <w:rPr>
          <w:rFonts w:ascii="David" w:hAnsi="David" w:cs="David" w:hint="cs"/>
          <w:sz w:val="24"/>
          <w:szCs w:val="24"/>
          <w:rtl/>
        </w:rPr>
        <w:t>המשמעויות המתלוות לכך?</w:t>
      </w:r>
      <w:r w:rsidR="00EF1A40">
        <w:rPr>
          <w:rFonts w:ascii="David" w:hAnsi="David" w:cs="David" w:hint="cs"/>
          <w:sz w:val="24"/>
          <w:szCs w:val="24"/>
          <w:rtl/>
        </w:rPr>
        <w:t>;</w:t>
      </w:r>
      <w:r w:rsidR="00D708E2">
        <w:rPr>
          <w:rFonts w:ascii="David" w:hAnsi="David" w:cs="David" w:hint="cs"/>
          <w:sz w:val="24"/>
          <w:szCs w:val="24"/>
          <w:rtl/>
        </w:rPr>
        <w:t xml:space="preserve"> </w:t>
      </w:r>
      <w:r w:rsidR="00FF0436">
        <w:rPr>
          <w:rFonts w:ascii="David" w:hAnsi="David" w:cs="David" w:hint="cs"/>
          <w:sz w:val="24"/>
          <w:szCs w:val="24"/>
          <w:rtl/>
        </w:rPr>
        <w:t>ו</w:t>
      </w:r>
      <w:r w:rsidR="00D708E2">
        <w:rPr>
          <w:rFonts w:ascii="David" w:hAnsi="David" w:cs="David" w:hint="cs"/>
          <w:sz w:val="24"/>
          <w:szCs w:val="24"/>
          <w:rtl/>
        </w:rPr>
        <w:t>האם תפיסתה של ההנמקה משפיעה גם על תוצאתה הנורמטיבית של ההלכה?</w:t>
      </w:r>
    </w:p>
    <w:p w14:paraId="4754171B" w14:textId="02259506" w:rsidR="00E23F1F" w:rsidRDefault="00880D76" w:rsidP="00A834D9">
      <w:pPr>
        <w:spacing w:line="480" w:lineRule="auto"/>
        <w:ind w:firstLine="360"/>
        <w:rPr>
          <w:rFonts w:ascii="David" w:hAnsi="David" w:cs="David"/>
          <w:sz w:val="24"/>
          <w:szCs w:val="24"/>
          <w:rtl/>
        </w:rPr>
      </w:pPr>
      <w:r>
        <w:rPr>
          <w:rFonts w:ascii="David" w:hAnsi="David" w:cs="David" w:hint="cs"/>
          <w:sz w:val="24"/>
          <w:szCs w:val="24"/>
          <w:rtl/>
        </w:rPr>
        <w:t xml:space="preserve">מטרתי </w:t>
      </w:r>
      <w:r w:rsidR="000C20F0">
        <w:rPr>
          <w:rFonts w:ascii="David" w:hAnsi="David" w:cs="David" w:hint="cs"/>
          <w:sz w:val="24"/>
          <w:szCs w:val="24"/>
          <w:rtl/>
        </w:rPr>
        <w:t xml:space="preserve">במאמר </w:t>
      </w:r>
      <w:r>
        <w:rPr>
          <w:rFonts w:ascii="David" w:hAnsi="David" w:cs="David" w:hint="cs"/>
          <w:sz w:val="24"/>
          <w:szCs w:val="24"/>
          <w:rtl/>
        </w:rPr>
        <w:t>זה היא לבחון שאלות אלו.</w:t>
      </w:r>
      <w:r w:rsidR="001F6EBD">
        <w:rPr>
          <w:rFonts w:ascii="David" w:hAnsi="David" w:cs="David" w:hint="cs"/>
          <w:sz w:val="24"/>
          <w:szCs w:val="24"/>
          <w:rtl/>
        </w:rPr>
        <w:t xml:space="preserve"> בחלקו הראשון </w:t>
      </w:r>
      <w:r w:rsidR="00F25710">
        <w:rPr>
          <w:rFonts w:ascii="David" w:hAnsi="David" w:cs="David" w:hint="cs"/>
          <w:sz w:val="24"/>
          <w:szCs w:val="24"/>
          <w:rtl/>
        </w:rPr>
        <w:t xml:space="preserve">אצביע על </w:t>
      </w:r>
      <w:r w:rsidR="001F6EBD">
        <w:rPr>
          <w:rFonts w:ascii="David" w:hAnsi="David" w:cs="David" w:hint="cs"/>
          <w:sz w:val="24"/>
          <w:szCs w:val="24"/>
          <w:rtl/>
        </w:rPr>
        <w:t xml:space="preserve">שלוש גישות </w:t>
      </w:r>
      <w:r w:rsidR="00C87211">
        <w:rPr>
          <w:rFonts w:ascii="David" w:hAnsi="David" w:cs="David" w:hint="cs"/>
          <w:sz w:val="24"/>
          <w:szCs w:val="24"/>
          <w:rtl/>
        </w:rPr>
        <w:t>ערכיות</w:t>
      </w:r>
      <w:r w:rsidR="00A25E6B">
        <w:rPr>
          <w:rFonts w:ascii="David" w:hAnsi="David" w:cs="David" w:hint="cs"/>
          <w:sz w:val="24"/>
          <w:szCs w:val="24"/>
          <w:rtl/>
        </w:rPr>
        <w:t xml:space="preserve"> שונות</w:t>
      </w:r>
      <w:r w:rsidR="00C87211">
        <w:rPr>
          <w:rFonts w:ascii="David" w:hAnsi="David" w:cs="David" w:hint="cs"/>
          <w:sz w:val="24"/>
          <w:szCs w:val="24"/>
          <w:rtl/>
        </w:rPr>
        <w:t xml:space="preserve"> </w:t>
      </w:r>
      <w:r w:rsidR="001F6EBD">
        <w:rPr>
          <w:rFonts w:ascii="David" w:hAnsi="David" w:cs="David" w:hint="cs"/>
          <w:sz w:val="24"/>
          <w:szCs w:val="24"/>
          <w:rtl/>
        </w:rPr>
        <w:t xml:space="preserve">כלפי </w:t>
      </w:r>
      <w:r w:rsidR="006A299E">
        <w:rPr>
          <w:rFonts w:ascii="David" w:hAnsi="David" w:cs="David" w:hint="cs"/>
          <w:sz w:val="24"/>
          <w:szCs w:val="24"/>
          <w:rtl/>
        </w:rPr>
        <w:t>הלכות</w:t>
      </w:r>
      <w:r w:rsidR="001F6EBD">
        <w:rPr>
          <w:rFonts w:ascii="David" w:hAnsi="David" w:cs="David" w:hint="cs"/>
          <w:sz w:val="24"/>
          <w:szCs w:val="24"/>
          <w:rtl/>
        </w:rPr>
        <w:t xml:space="preserve"> שמנומקות 'מפני דרכי שלום'. בחלקו השני </w:t>
      </w:r>
      <w:r w:rsidR="00AA09C5">
        <w:rPr>
          <w:rFonts w:ascii="David" w:hAnsi="David" w:cs="David" w:hint="cs"/>
          <w:sz w:val="24"/>
          <w:szCs w:val="24"/>
          <w:rtl/>
        </w:rPr>
        <w:t xml:space="preserve">אנסה להסביר </w:t>
      </w:r>
      <w:r w:rsidR="001F6EBD">
        <w:rPr>
          <w:rFonts w:ascii="David" w:hAnsi="David" w:cs="David" w:hint="cs"/>
          <w:sz w:val="24"/>
          <w:szCs w:val="24"/>
          <w:rtl/>
        </w:rPr>
        <w:t>שונות זו</w:t>
      </w:r>
      <w:r w:rsidR="00A515ED">
        <w:rPr>
          <w:rFonts w:ascii="David" w:hAnsi="David" w:cs="David" w:hint="cs"/>
          <w:sz w:val="24"/>
          <w:szCs w:val="24"/>
          <w:rtl/>
        </w:rPr>
        <w:t xml:space="preserve"> </w:t>
      </w:r>
      <w:r w:rsidR="002D1FE2">
        <w:rPr>
          <w:rFonts w:ascii="David" w:hAnsi="David" w:cs="David" w:hint="cs"/>
          <w:sz w:val="24"/>
          <w:szCs w:val="24"/>
          <w:rtl/>
        </w:rPr>
        <w:t xml:space="preserve">על רקע של </w:t>
      </w:r>
      <w:r w:rsidR="00A25E6B">
        <w:rPr>
          <w:rFonts w:ascii="David" w:hAnsi="David" w:cs="David" w:hint="cs"/>
          <w:sz w:val="24"/>
          <w:szCs w:val="24"/>
          <w:rtl/>
        </w:rPr>
        <w:t xml:space="preserve">התפתחות פנים-הלכתית, </w:t>
      </w:r>
      <w:r w:rsidR="007562F7">
        <w:rPr>
          <w:rFonts w:ascii="David" w:hAnsi="David" w:cs="David" w:hint="cs"/>
          <w:sz w:val="24"/>
          <w:szCs w:val="24"/>
          <w:rtl/>
        </w:rPr>
        <w:t xml:space="preserve">בעזרת </w:t>
      </w:r>
      <w:r w:rsidR="00FD2442">
        <w:rPr>
          <w:rFonts w:ascii="David" w:hAnsi="David" w:cs="David" w:hint="cs"/>
          <w:sz w:val="24"/>
          <w:szCs w:val="24"/>
          <w:rtl/>
        </w:rPr>
        <w:t>מ</w:t>
      </w:r>
      <w:r w:rsidR="00D24BFD">
        <w:rPr>
          <w:rFonts w:ascii="David" w:hAnsi="David" w:cs="David" w:hint="cs"/>
          <w:sz w:val="24"/>
          <w:szCs w:val="24"/>
          <w:rtl/>
        </w:rPr>
        <w:t>ושגים ותיאוריות מתחו</w:t>
      </w:r>
      <w:r w:rsidR="00D11C18">
        <w:rPr>
          <w:rFonts w:ascii="David" w:hAnsi="David" w:cs="David" w:hint="cs"/>
          <w:sz w:val="24"/>
          <w:szCs w:val="24"/>
          <w:rtl/>
        </w:rPr>
        <w:t>ם</w:t>
      </w:r>
      <w:r w:rsidR="00D24BFD">
        <w:rPr>
          <w:rFonts w:ascii="David" w:hAnsi="David" w:cs="David" w:hint="cs"/>
          <w:sz w:val="24"/>
          <w:szCs w:val="24"/>
          <w:rtl/>
        </w:rPr>
        <w:t xml:space="preserve"> ההיסטוריה של המשפט ותורת המשפט</w:t>
      </w:r>
      <w:r w:rsidR="007562F7">
        <w:rPr>
          <w:rFonts w:ascii="David" w:hAnsi="David" w:cs="David" w:hint="cs"/>
          <w:sz w:val="24"/>
          <w:szCs w:val="24"/>
          <w:rtl/>
        </w:rPr>
        <w:t xml:space="preserve">. </w:t>
      </w:r>
      <w:r w:rsidR="00350B87">
        <w:rPr>
          <w:rFonts w:ascii="David" w:hAnsi="David" w:cs="David" w:hint="cs"/>
          <w:sz w:val="24"/>
          <w:szCs w:val="24"/>
          <w:rtl/>
        </w:rPr>
        <w:t>ב</w:t>
      </w:r>
      <w:r w:rsidR="003A149B">
        <w:rPr>
          <w:rFonts w:ascii="David" w:hAnsi="David" w:cs="David" w:hint="cs"/>
          <w:sz w:val="24"/>
          <w:szCs w:val="24"/>
          <w:rtl/>
        </w:rPr>
        <w:t>ס</w:t>
      </w:r>
      <w:r w:rsidR="00295806">
        <w:rPr>
          <w:rFonts w:ascii="David" w:hAnsi="David" w:cs="David" w:hint="cs"/>
          <w:sz w:val="24"/>
          <w:szCs w:val="24"/>
          <w:rtl/>
        </w:rPr>
        <w:t>יומו</w:t>
      </w:r>
      <w:r w:rsidR="003A149B">
        <w:rPr>
          <w:rFonts w:ascii="David" w:hAnsi="David" w:cs="David" w:hint="cs"/>
          <w:sz w:val="24"/>
          <w:szCs w:val="24"/>
          <w:rtl/>
        </w:rPr>
        <w:t xml:space="preserve"> </w:t>
      </w:r>
      <w:r w:rsidR="008751E4">
        <w:rPr>
          <w:rFonts w:ascii="David" w:hAnsi="David" w:cs="David" w:hint="cs"/>
          <w:sz w:val="24"/>
          <w:szCs w:val="24"/>
          <w:rtl/>
        </w:rPr>
        <w:t xml:space="preserve">אסמן </w:t>
      </w:r>
      <w:r w:rsidR="000C20F0">
        <w:rPr>
          <w:rFonts w:ascii="David" w:hAnsi="David" w:cs="David" w:hint="cs"/>
          <w:sz w:val="24"/>
          <w:szCs w:val="24"/>
          <w:rtl/>
        </w:rPr>
        <w:t xml:space="preserve">שאלות </w:t>
      </w:r>
      <w:r w:rsidR="00683240">
        <w:rPr>
          <w:rFonts w:ascii="David" w:hAnsi="David" w:cs="David" w:hint="cs"/>
          <w:sz w:val="24"/>
          <w:szCs w:val="24"/>
          <w:rtl/>
        </w:rPr>
        <w:t>נוספות</w:t>
      </w:r>
      <w:r w:rsidR="00377A98">
        <w:rPr>
          <w:rFonts w:ascii="David" w:hAnsi="David" w:cs="David" w:hint="cs"/>
          <w:sz w:val="24"/>
          <w:szCs w:val="24"/>
          <w:rtl/>
        </w:rPr>
        <w:t>,</w:t>
      </w:r>
      <w:r w:rsidR="00F12CE6">
        <w:rPr>
          <w:rFonts w:ascii="David" w:hAnsi="David" w:cs="David" w:hint="cs"/>
          <w:sz w:val="24"/>
          <w:szCs w:val="24"/>
          <w:rtl/>
        </w:rPr>
        <w:t xml:space="preserve"> שנוגעות</w:t>
      </w:r>
      <w:r w:rsidR="00EC6000">
        <w:rPr>
          <w:rFonts w:ascii="David" w:hAnsi="David" w:cs="David" w:hint="cs"/>
          <w:sz w:val="24"/>
          <w:szCs w:val="24"/>
          <w:rtl/>
        </w:rPr>
        <w:t xml:space="preserve"> </w:t>
      </w:r>
      <w:r w:rsidR="00F12CE6">
        <w:rPr>
          <w:rFonts w:ascii="David" w:hAnsi="David" w:cs="David" w:hint="cs"/>
          <w:sz w:val="24"/>
          <w:szCs w:val="24"/>
          <w:rtl/>
        </w:rPr>
        <w:t>ליצירתו</w:t>
      </w:r>
      <w:r w:rsidR="00A30D67">
        <w:rPr>
          <w:rFonts w:ascii="David" w:hAnsi="David" w:cs="David" w:hint="cs"/>
          <w:sz w:val="24"/>
          <w:szCs w:val="24"/>
          <w:rtl/>
        </w:rPr>
        <w:t xml:space="preserve"> של</w:t>
      </w:r>
      <w:r w:rsidR="003A149B">
        <w:rPr>
          <w:rFonts w:ascii="David" w:hAnsi="David" w:cs="David" w:hint="cs"/>
          <w:sz w:val="24"/>
          <w:szCs w:val="24"/>
          <w:rtl/>
        </w:rPr>
        <w:t xml:space="preserve"> קובץ </w:t>
      </w:r>
      <w:r w:rsidR="00A30D67">
        <w:rPr>
          <w:rFonts w:ascii="David" w:hAnsi="David" w:cs="David" w:hint="cs"/>
          <w:sz w:val="24"/>
          <w:szCs w:val="24"/>
          <w:rtl/>
        </w:rPr>
        <w:t xml:space="preserve">טקסטואלי </w:t>
      </w:r>
      <w:r w:rsidR="003A149B">
        <w:rPr>
          <w:rFonts w:ascii="David" w:hAnsi="David" w:cs="David" w:hint="cs"/>
          <w:sz w:val="24"/>
          <w:szCs w:val="24"/>
          <w:rtl/>
        </w:rPr>
        <w:t xml:space="preserve">ובו רבות מתקנות </w:t>
      </w:r>
      <w:r w:rsidR="003A149B">
        <w:rPr>
          <w:rFonts w:ascii="David" w:hAnsi="David" w:cs="David" w:hint="cs"/>
          <w:sz w:val="24"/>
          <w:szCs w:val="24"/>
          <w:rtl/>
        </w:rPr>
        <w:lastRenderedPageBreak/>
        <w:t>'דרכי השלום'</w:t>
      </w:r>
      <w:r w:rsidR="00F40583">
        <w:rPr>
          <w:rFonts w:ascii="David" w:hAnsi="David" w:cs="David" w:hint="cs"/>
          <w:sz w:val="24"/>
          <w:szCs w:val="24"/>
          <w:rtl/>
        </w:rPr>
        <w:t>,</w:t>
      </w:r>
      <w:r w:rsidR="003A149B">
        <w:rPr>
          <w:rFonts w:ascii="David" w:hAnsi="David" w:cs="David" w:hint="cs"/>
          <w:sz w:val="24"/>
          <w:szCs w:val="24"/>
          <w:rtl/>
        </w:rPr>
        <w:t xml:space="preserve"> במסכת גיטין</w:t>
      </w:r>
      <w:r w:rsidR="00CE0BB5">
        <w:rPr>
          <w:rFonts w:ascii="David" w:hAnsi="David" w:cs="David" w:hint="cs"/>
          <w:sz w:val="24"/>
          <w:szCs w:val="24"/>
          <w:rtl/>
        </w:rPr>
        <w:t xml:space="preserve"> במשנה</w:t>
      </w:r>
      <w:r w:rsidR="008751E4">
        <w:rPr>
          <w:rFonts w:ascii="David" w:hAnsi="David" w:cs="David" w:hint="cs"/>
          <w:sz w:val="24"/>
          <w:szCs w:val="24"/>
          <w:rtl/>
        </w:rPr>
        <w:t>.</w:t>
      </w:r>
      <w:r w:rsidR="006C04AA">
        <w:rPr>
          <w:rStyle w:val="a5"/>
          <w:rFonts w:ascii="David" w:hAnsi="David" w:cs="David"/>
          <w:sz w:val="24"/>
          <w:szCs w:val="24"/>
          <w:rtl/>
        </w:rPr>
        <w:footnoteReference w:id="6"/>
      </w:r>
      <w:r w:rsidR="000C20F0">
        <w:rPr>
          <w:rFonts w:ascii="David" w:hAnsi="David" w:cs="David" w:hint="cs"/>
          <w:sz w:val="24"/>
          <w:szCs w:val="24"/>
          <w:rtl/>
        </w:rPr>
        <w:t xml:space="preserve"> </w:t>
      </w:r>
      <w:r w:rsidR="00E201D2">
        <w:rPr>
          <w:rFonts w:ascii="David" w:hAnsi="David" w:cs="David" w:hint="cs"/>
          <w:sz w:val="24"/>
          <w:szCs w:val="24"/>
          <w:rtl/>
        </w:rPr>
        <w:t xml:space="preserve">בכוונתי </w:t>
      </w:r>
      <w:r w:rsidR="00350B87">
        <w:rPr>
          <w:rFonts w:ascii="David" w:hAnsi="David" w:cs="David" w:hint="cs"/>
          <w:sz w:val="24"/>
          <w:szCs w:val="24"/>
          <w:rtl/>
        </w:rPr>
        <w:t>ל</w:t>
      </w:r>
      <w:r w:rsidR="00906CFC">
        <w:rPr>
          <w:rFonts w:ascii="David" w:hAnsi="David" w:cs="David" w:hint="cs"/>
          <w:sz w:val="24"/>
          <w:szCs w:val="24"/>
          <w:rtl/>
        </w:rPr>
        <w:t>דון ב</w:t>
      </w:r>
      <w:r w:rsidR="008751E4">
        <w:rPr>
          <w:rFonts w:ascii="David" w:hAnsi="David" w:cs="David" w:hint="cs"/>
          <w:sz w:val="24"/>
          <w:szCs w:val="24"/>
          <w:rtl/>
        </w:rPr>
        <w:t xml:space="preserve">שאלות אלו </w:t>
      </w:r>
      <w:r w:rsidR="00350B87">
        <w:rPr>
          <w:rFonts w:ascii="David" w:hAnsi="David" w:cs="David" w:hint="cs"/>
          <w:sz w:val="24"/>
          <w:szCs w:val="24"/>
          <w:rtl/>
        </w:rPr>
        <w:t>במ</w:t>
      </w:r>
      <w:r w:rsidR="004F32E2">
        <w:rPr>
          <w:rFonts w:ascii="David" w:hAnsi="David" w:cs="David" w:hint="cs"/>
          <w:sz w:val="24"/>
          <w:szCs w:val="24"/>
          <w:rtl/>
        </w:rPr>
        <w:t>חקר</w:t>
      </w:r>
      <w:r w:rsidR="00262CB8">
        <w:rPr>
          <w:rFonts w:ascii="David" w:hAnsi="David" w:cs="David" w:hint="cs"/>
          <w:sz w:val="24"/>
          <w:szCs w:val="24"/>
          <w:rtl/>
        </w:rPr>
        <w:t xml:space="preserve"> אחר</w:t>
      </w:r>
      <w:r w:rsidR="00350B87">
        <w:rPr>
          <w:rFonts w:ascii="David" w:hAnsi="David" w:cs="David" w:hint="cs"/>
          <w:sz w:val="24"/>
          <w:szCs w:val="24"/>
          <w:rtl/>
        </w:rPr>
        <w:t xml:space="preserve">, </w:t>
      </w:r>
      <w:r w:rsidR="00DA1C34">
        <w:rPr>
          <w:rFonts w:ascii="David" w:hAnsi="David" w:cs="David" w:hint="cs"/>
          <w:sz w:val="24"/>
          <w:szCs w:val="24"/>
          <w:rtl/>
        </w:rPr>
        <w:t>כחלק מעיון ב</w:t>
      </w:r>
      <w:r w:rsidR="00504B1D">
        <w:rPr>
          <w:rFonts w:ascii="David" w:hAnsi="David" w:cs="David" w:hint="cs"/>
          <w:sz w:val="24"/>
          <w:szCs w:val="24"/>
          <w:rtl/>
        </w:rPr>
        <w:t>קבצי</w:t>
      </w:r>
      <w:r w:rsidR="000455D9">
        <w:rPr>
          <w:rFonts w:ascii="David" w:hAnsi="David" w:cs="David" w:hint="cs"/>
          <w:sz w:val="24"/>
          <w:szCs w:val="24"/>
          <w:rtl/>
        </w:rPr>
        <w:t xml:space="preserve"> תקנות</w:t>
      </w:r>
      <w:r w:rsidR="00504B1D">
        <w:rPr>
          <w:rFonts w:ascii="David" w:hAnsi="David" w:cs="David" w:hint="cs"/>
          <w:sz w:val="24"/>
          <w:szCs w:val="24"/>
          <w:rtl/>
        </w:rPr>
        <w:t xml:space="preserve"> נוספים </w:t>
      </w:r>
      <w:r w:rsidR="00403AA8">
        <w:rPr>
          <w:rFonts w:ascii="David" w:hAnsi="David" w:cs="David" w:hint="cs"/>
          <w:sz w:val="24"/>
          <w:szCs w:val="24"/>
          <w:rtl/>
        </w:rPr>
        <w:t>במשנה</w:t>
      </w:r>
      <w:r w:rsidR="000C20F0">
        <w:rPr>
          <w:rFonts w:ascii="David" w:hAnsi="David" w:cs="David" w:hint="cs"/>
          <w:sz w:val="24"/>
          <w:szCs w:val="24"/>
          <w:rtl/>
        </w:rPr>
        <w:t>.</w:t>
      </w:r>
      <w:r w:rsidR="005F2CC1" w:rsidRPr="005F2CC1">
        <w:rPr>
          <w:rStyle w:val="a5"/>
          <w:rFonts w:ascii="David" w:hAnsi="David" w:cs="David"/>
          <w:sz w:val="24"/>
          <w:szCs w:val="24"/>
          <w:rtl/>
        </w:rPr>
        <w:t xml:space="preserve"> </w:t>
      </w:r>
      <w:r w:rsidR="005F2CC1" w:rsidRPr="00826A93">
        <w:rPr>
          <w:rStyle w:val="a5"/>
          <w:rFonts w:ascii="David" w:hAnsi="David" w:cs="David"/>
          <w:sz w:val="24"/>
          <w:szCs w:val="24"/>
          <w:rtl/>
        </w:rPr>
        <w:footnoteReference w:id="7"/>
      </w:r>
      <w:r w:rsidR="005F2CC1">
        <w:rPr>
          <w:rFonts w:ascii="David" w:hAnsi="David" w:cs="David" w:hint="cs"/>
          <w:sz w:val="24"/>
          <w:szCs w:val="24"/>
          <w:rtl/>
        </w:rPr>
        <w:t xml:space="preserve"> </w:t>
      </w:r>
      <w:r w:rsidR="006B75CE">
        <w:rPr>
          <w:rFonts w:ascii="David" w:hAnsi="David" w:cs="David" w:hint="cs"/>
          <w:sz w:val="24"/>
          <w:szCs w:val="24"/>
          <w:rtl/>
        </w:rPr>
        <w:t xml:space="preserve"> </w:t>
      </w:r>
    </w:p>
    <w:p w14:paraId="35FFC29D" w14:textId="77777777" w:rsidR="007372A7" w:rsidRPr="00E23F1F" w:rsidRDefault="007372A7" w:rsidP="00A834D9">
      <w:pPr>
        <w:spacing w:line="480" w:lineRule="auto"/>
        <w:ind w:firstLine="360"/>
        <w:rPr>
          <w:rFonts w:ascii="David" w:hAnsi="David" w:cs="David"/>
          <w:sz w:val="24"/>
          <w:szCs w:val="24"/>
          <w:rtl/>
        </w:rPr>
      </w:pPr>
    </w:p>
    <w:p w14:paraId="6C31F8E7" w14:textId="3AB96CE4" w:rsidR="00C87206" w:rsidRPr="00C76CFA" w:rsidRDefault="00EB260C" w:rsidP="00E23F1F">
      <w:pPr>
        <w:pStyle w:val="ab"/>
        <w:numPr>
          <w:ilvl w:val="0"/>
          <w:numId w:val="18"/>
        </w:numPr>
        <w:spacing w:line="480" w:lineRule="auto"/>
        <w:rPr>
          <w:rFonts w:ascii="David" w:hAnsi="David" w:cs="David"/>
          <w:b/>
          <w:bCs/>
          <w:sz w:val="24"/>
          <w:szCs w:val="24"/>
        </w:rPr>
      </w:pPr>
      <w:r>
        <w:rPr>
          <w:rFonts w:ascii="David" w:hAnsi="David" w:cs="David" w:hint="cs"/>
          <w:b/>
          <w:bCs/>
          <w:sz w:val="24"/>
          <w:szCs w:val="24"/>
          <w:rtl/>
        </w:rPr>
        <w:t xml:space="preserve">גישה מסתייגת: </w:t>
      </w:r>
      <w:r w:rsidR="001F799D" w:rsidRPr="00E23F1F">
        <w:rPr>
          <w:rFonts w:ascii="David" w:hAnsi="David" w:cs="David" w:hint="cs"/>
          <w:b/>
          <w:bCs/>
          <w:sz w:val="24"/>
          <w:szCs w:val="24"/>
          <w:rtl/>
        </w:rPr>
        <w:t>"מפני דרכי שלום"</w:t>
      </w:r>
      <w:r w:rsidR="00644E51" w:rsidRPr="00E23F1F">
        <w:rPr>
          <w:rFonts w:ascii="David" w:hAnsi="David" w:cs="David" w:hint="cs"/>
          <w:b/>
          <w:bCs/>
          <w:sz w:val="24"/>
          <w:szCs w:val="24"/>
          <w:rtl/>
        </w:rPr>
        <w:t xml:space="preserve"> </w:t>
      </w:r>
      <w:r w:rsidR="000E10A4" w:rsidRPr="00E23F1F">
        <w:rPr>
          <w:rFonts w:ascii="David" w:hAnsi="David" w:cs="David" w:hint="cs"/>
          <w:b/>
          <w:bCs/>
          <w:sz w:val="24"/>
          <w:szCs w:val="24"/>
          <w:rtl/>
        </w:rPr>
        <w:t xml:space="preserve">כהצדקה </w:t>
      </w:r>
      <w:r w:rsidR="000E10A4" w:rsidRPr="00C76CFA">
        <w:rPr>
          <w:rFonts w:ascii="David" w:hAnsi="David" w:cs="David" w:hint="cs"/>
          <w:b/>
          <w:bCs/>
          <w:sz w:val="24"/>
          <w:szCs w:val="24"/>
          <w:rtl/>
        </w:rPr>
        <w:t>לו</w:t>
      </w:r>
      <w:r w:rsidR="001613A6" w:rsidRPr="00C76CFA">
        <w:rPr>
          <w:rFonts w:ascii="David" w:hAnsi="David" w:cs="David" w:hint="cs"/>
          <w:b/>
          <w:bCs/>
          <w:sz w:val="24"/>
          <w:szCs w:val="24"/>
          <w:rtl/>
        </w:rPr>
        <w:t>ו</w:t>
      </w:r>
      <w:r w:rsidR="000E10A4" w:rsidRPr="00C76CFA">
        <w:rPr>
          <w:rFonts w:ascii="David" w:hAnsi="David" w:cs="David" w:hint="cs"/>
          <w:b/>
          <w:bCs/>
          <w:sz w:val="24"/>
          <w:szCs w:val="24"/>
          <w:rtl/>
        </w:rPr>
        <w:t xml:space="preserve">יתור </w:t>
      </w:r>
      <w:r w:rsidR="00C76CFA">
        <w:rPr>
          <w:rFonts w:ascii="David" w:hAnsi="David" w:cs="David" w:hint="cs"/>
          <w:b/>
          <w:bCs/>
          <w:sz w:val="24"/>
          <w:szCs w:val="24"/>
          <w:rtl/>
        </w:rPr>
        <w:t>בהלכה</w:t>
      </w:r>
    </w:p>
    <w:p w14:paraId="79CD4075" w14:textId="178CEC16" w:rsidR="00217E73" w:rsidRDefault="00375046" w:rsidP="00F20C43">
      <w:pPr>
        <w:spacing w:line="480" w:lineRule="auto"/>
        <w:rPr>
          <w:rFonts w:ascii="David" w:hAnsi="David" w:cs="David"/>
          <w:sz w:val="24"/>
          <w:szCs w:val="24"/>
          <w:rtl/>
        </w:rPr>
      </w:pPr>
      <w:r w:rsidRPr="00C87206">
        <w:rPr>
          <w:rFonts w:ascii="David" w:hAnsi="David" w:cs="David" w:hint="cs"/>
          <w:sz w:val="24"/>
          <w:szCs w:val="24"/>
          <w:rtl/>
        </w:rPr>
        <w:t xml:space="preserve">מסכת שקלים </w:t>
      </w:r>
      <w:r w:rsidR="004920CD" w:rsidRPr="00C87206">
        <w:rPr>
          <w:rFonts w:ascii="David" w:hAnsi="David" w:cs="David" w:hint="cs"/>
          <w:sz w:val="24"/>
          <w:szCs w:val="24"/>
          <w:rtl/>
        </w:rPr>
        <w:t>עוסקת בתרומת מחצי</w:t>
      </w:r>
      <w:r w:rsidR="00466CB5" w:rsidRPr="00C87206">
        <w:rPr>
          <w:rFonts w:ascii="David" w:hAnsi="David" w:cs="David" w:hint="cs"/>
          <w:sz w:val="24"/>
          <w:szCs w:val="24"/>
          <w:rtl/>
        </w:rPr>
        <w:t>ת</w:t>
      </w:r>
      <w:r w:rsidR="004920CD" w:rsidRPr="00C87206">
        <w:rPr>
          <w:rFonts w:ascii="David" w:hAnsi="David" w:cs="David" w:hint="cs"/>
          <w:sz w:val="24"/>
          <w:szCs w:val="24"/>
          <w:rtl/>
        </w:rPr>
        <w:t xml:space="preserve"> השקל</w:t>
      </w:r>
      <w:r w:rsidR="001E4FD4">
        <w:rPr>
          <w:rFonts w:ascii="David" w:hAnsi="David" w:cs="David" w:hint="cs"/>
          <w:sz w:val="24"/>
          <w:szCs w:val="24"/>
          <w:rtl/>
        </w:rPr>
        <w:t>,</w:t>
      </w:r>
      <w:r w:rsidR="004920CD" w:rsidRPr="00C87206">
        <w:rPr>
          <w:rFonts w:ascii="David" w:hAnsi="David" w:cs="David" w:hint="cs"/>
          <w:sz w:val="24"/>
          <w:szCs w:val="24"/>
          <w:rtl/>
        </w:rPr>
        <w:t xml:space="preserve"> </w:t>
      </w:r>
      <w:r w:rsidR="000A7084">
        <w:rPr>
          <w:rFonts w:ascii="David" w:hAnsi="David" w:cs="David" w:hint="cs"/>
          <w:sz w:val="24"/>
          <w:szCs w:val="24"/>
          <w:rtl/>
        </w:rPr>
        <w:t>ו</w:t>
      </w:r>
      <w:r w:rsidR="004920CD" w:rsidRPr="00C87206">
        <w:rPr>
          <w:rFonts w:ascii="David" w:hAnsi="David" w:cs="David" w:hint="cs"/>
          <w:sz w:val="24"/>
          <w:szCs w:val="24"/>
          <w:rtl/>
        </w:rPr>
        <w:t>ב</w:t>
      </w:r>
      <w:r w:rsidR="001E4FD4">
        <w:rPr>
          <w:rFonts w:ascii="David" w:hAnsi="David" w:cs="David" w:hint="cs"/>
          <w:sz w:val="24"/>
          <w:szCs w:val="24"/>
          <w:rtl/>
        </w:rPr>
        <w:t>ארגון ה</w:t>
      </w:r>
      <w:r w:rsidR="004920CD" w:rsidRPr="00C87206">
        <w:rPr>
          <w:rFonts w:ascii="David" w:hAnsi="David" w:cs="David" w:hint="cs"/>
          <w:sz w:val="24"/>
          <w:szCs w:val="24"/>
          <w:rtl/>
        </w:rPr>
        <w:t>מערכת ה</w:t>
      </w:r>
      <w:r w:rsidR="00E32DC6">
        <w:rPr>
          <w:rFonts w:ascii="David" w:hAnsi="David" w:cs="David" w:hint="cs"/>
          <w:sz w:val="24"/>
          <w:szCs w:val="24"/>
          <w:rtl/>
        </w:rPr>
        <w:t>כספית</w:t>
      </w:r>
      <w:r w:rsidR="004920CD" w:rsidRPr="00C87206">
        <w:rPr>
          <w:rFonts w:ascii="David" w:hAnsi="David" w:cs="David" w:hint="cs"/>
          <w:sz w:val="24"/>
          <w:szCs w:val="24"/>
          <w:rtl/>
        </w:rPr>
        <w:t xml:space="preserve"> של המקדש. רוב החומר בה קדום</w:t>
      </w:r>
      <w:r w:rsidR="008975EE" w:rsidRPr="00C87206">
        <w:rPr>
          <w:rFonts w:ascii="David" w:hAnsi="David" w:cs="David" w:hint="cs"/>
          <w:sz w:val="24"/>
          <w:szCs w:val="24"/>
          <w:rtl/>
        </w:rPr>
        <w:t>,</w:t>
      </w:r>
      <w:r w:rsidR="00CC7418" w:rsidRPr="00C87206">
        <w:rPr>
          <w:rFonts w:ascii="David" w:hAnsi="David" w:cs="David" w:hint="cs"/>
          <w:sz w:val="24"/>
          <w:szCs w:val="24"/>
          <w:rtl/>
        </w:rPr>
        <w:t xml:space="preserve"> וב</w:t>
      </w:r>
      <w:r w:rsidR="008975EE" w:rsidRPr="00C87206">
        <w:rPr>
          <w:rFonts w:ascii="David" w:hAnsi="David" w:cs="David" w:hint="cs"/>
          <w:sz w:val="24"/>
          <w:szCs w:val="24"/>
          <w:rtl/>
        </w:rPr>
        <w:t>ו</w:t>
      </w:r>
      <w:r w:rsidR="00CC7418" w:rsidRPr="00C87206">
        <w:rPr>
          <w:rFonts w:ascii="David" w:hAnsi="David" w:cs="David" w:hint="cs"/>
          <w:sz w:val="24"/>
          <w:szCs w:val="24"/>
          <w:rtl/>
        </w:rPr>
        <w:t xml:space="preserve"> </w:t>
      </w:r>
      <w:r w:rsidR="00C87206">
        <w:rPr>
          <w:rFonts w:ascii="David" w:hAnsi="David" w:cs="David" w:hint="cs"/>
          <w:sz w:val="24"/>
          <w:szCs w:val="24"/>
          <w:rtl/>
        </w:rPr>
        <w:t xml:space="preserve">נמצאת גם </w:t>
      </w:r>
      <w:r w:rsidR="00CC7418" w:rsidRPr="00C87206">
        <w:rPr>
          <w:rFonts w:ascii="David" w:hAnsi="David" w:cs="David" w:hint="cs"/>
          <w:sz w:val="24"/>
          <w:szCs w:val="24"/>
          <w:rtl/>
        </w:rPr>
        <w:t>המשנה שבה</w:t>
      </w:r>
      <w:r w:rsidR="00E1353E" w:rsidRPr="00C87206">
        <w:rPr>
          <w:rFonts w:ascii="David" w:hAnsi="David" w:cs="David" w:hint="cs"/>
          <w:sz w:val="24"/>
          <w:szCs w:val="24"/>
          <w:rtl/>
        </w:rPr>
        <w:t xml:space="preserve"> נעשה</w:t>
      </w:r>
      <w:r w:rsidR="00CC7418" w:rsidRPr="00C87206">
        <w:rPr>
          <w:rFonts w:ascii="David" w:hAnsi="David" w:cs="David" w:hint="cs"/>
          <w:sz w:val="24"/>
          <w:szCs w:val="24"/>
          <w:rtl/>
        </w:rPr>
        <w:t>, לדעתי לראשונה, שימוש ב</w:t>
      </w:r>
      <w:r w:rsidR="00603C0A" w:rsidRPr="00C87206">
        <w:rPr>
          <w:rFonts w:ascii="David" w:hAnsi="David" w:cs="David" w:hint="cs"/>
          <w:sz w:val="24"/>
          <w:szCs w:val="24"/>
          <w:rtl/>
        </w:rPr>
        <w:t>נימוק</w:t>
      </w:r>
      <w:r w:rsidR="00CC7418" w:rsidRPr="00C87206">
        <w:rPr>
          <w:rFonts w:ascii="David" w:hAnsi="David" w:cs="David" w:hint="cs"/>
          <w:sz w:val="24"/>
          <w:szCs w:val="24"/>
          <w:rtl/>
        </w:rPr>
        <w:t xml:space="preserve"> "מפני דרכי שלום"</w:t>
      </w:r>
      <w:r w:rsidR="004920CD" w:rsidRPr="00C87206">
        <w:rPr>
          <w:rFonts w:ascii="David" w:hAnsi="David" w:cs="David" w:hint="cs"/>
          <w:sz w:val="24"/>
          <w:szCs w:val="24"/>
          <w:rtl/>
        </w:rPr>
        <w:t>.</w:t>
      </w:r>
      <w:r w:rsidR="004920CD">
        <w:rPr>
          <w:rStyle w:val="a5"/>
          <w:rFonts w:ascii="David" w:hAnsi="David" w:cs="David"/>
          <w:sz w:val="24"/>
          <w:szCs w:val="24"/>
          <w:rtl/>
        </w:rPr>
        <w:footnoteReference w:id="8"/>
      </w:r>
      <w:r w:rsidR="004920CD" w:rsidRPr="00C87206">
        <w:rPr>
          <w:rFonts w:ascii="David" w:hAnsi="David" w:cs="David" w:hint="cs"/>
          <w:sz w:val="24"/>
          <w:szCs w:val="24"/>
          <w:rtl/>
        </w:rPr>
        <w:t xml:space="preserve"> </w:t>
      </w:r>
      <w:r w:rsidRPr="00C87206">
        <w:rPr>
          <w:rFonts w:ascii="David" w:hAnsi="David" w:cs="David" w:hint="cs"/>
          <w:sz w:val="24"/>
          <w:szCs w:val="24"/>
          <w:rtl/>
        </w:rPr>
        <w:t xml:space="preserve"> </w:t>
      </w:r>
      <w:r w:rsidR="000832C1">
        <w:rPr>
          <w:rFonts w:ascii="David" w:hAnsi="David" w:cs="David" w:hint="cs"/>
          <w:sz w:val="24"/>
          <w:szCs w:val="24"/>
          <w:rtl/>
        </w:rPr>
        <w:t xml:space="preserve">מקורו של </w:t>
      </w:r>
      <w:r w:rsidR="00F04E1B">
        <w:rPr>
          <w:rFonts w:ascii="David" w:hAnsi="David" w:cs="David" w:hint="cs"/>
          <w:sz w:val="24"/>
          <w:szCs w:val="24"/>
          <w:rtl/>
        </w:rPr>
        <w:t>מס מחצית השקל</w:t>
      </w:r>
      <w:r w:rsidR="009A7BC1">
        <w:rPr>
          <w:rFonts w:ascii="David" w:hAnsi="David" w:cs="David" w:hint="cs"/>
          <w:sz w:val="24"/>
          <w:szCs w:val="24"/>
          <w:rtl/>
        </w:rPr>
        <w:t xml:space="preserve"> </w:t>
      </w:r>
      <w:r w:rsidR="000832C1">
        <w:rPr>
          <w:rFonts w:ascii="David" w:hAnsi="David" w:cs="David" w:hint="cs"/>
          <w:sz w:val="24"/>
          <w:szCs w:val="24"/>
          <w:rtl/>
        </w:rPr>
        <w:t>ב</w:t>
      </w:r>
      <w:r w:rsidR="00A05A8D">
        <w:rPr>
          <w:rFonts w:ascii="David" w:hAnsi="David" w:cs="David" w:hint="cs"/>
          <w:sz w:val="24"/>
          <w:szCs w:val="24"/>
          <w:rtl/>
        </w:rPr>
        <w:t>תקנה</w:t>
      </w:r>
      <w:r w:rsidR="004F79FE">
        <w:rPr>
          <w:rFonts w:ascii="David" w:hAnsi="David" w:cs="David" w:hint="cs"/>
          <w:sz w:val="24"/>
          <w:szCs w:val="24"/>
          <w:rtl/>
        </w:rPr>
        <w:t xml:space="preserve"> </w:t>
      </w:r>
      <w:proofErr w:type="spellStart"/>
      <w:r w:rsidR="004F79FE">
        <w:rPr>
          <w:rFonts w:ascii="David" w:hAnsi="David" w:cs="David" w:hint="cs"/>
          <w:sz w:val="24"/>
          <w:szCs w:val="24"/>
          <w:rtl/>
        </w:rPr>
        <w:t>פרושית</w:t>
      </w:r>
      <w:proofErr w:type="spellEnd"/>
      <w:r w:rsidR="00F14FC3">
        <w:rPr>
          <w:rFonts w:ascii="David" w:hAnsi="David" w:cs="David" w:hint="cs"/>
          <w:sz w:val="24"/>
          <w:szCs w:val="24"/>
          <w:rtl/>
        </w:rPr>
        <w:t>,</w:t>
      </w:r>
      <w:r w:rsidR="00E85EF9">
        <w:rPr>
          <w:rStyle w:val="a5"/>
          <w:rFonts w:ascii="David" w:hAnsi="David" w:cs="David"/>
          <w:sz w:val="24"/>
          <w:szCs w:val="24"/>
          <w:rtl/>
        </w:rPr>
        <w:footnoteReference w:id="9"/>
      </w:r>
      <w:r w:rsidR="00E85EF9">
        <w:rPr>
          <w:rFonts w:ascii="David" w:hAnsi="David" w:cs="David" w:hint="cs"/>
          <w:sz w:val="24"/>
          <w:szCs w:val="24"/>
          <w:rtl/>
        </w:rPr>
        <w:t xml:space="preserve"> </w:t>
      </w:r>
      <w:r w:rsidR="00F14FC3">
        <w:rPr>
          <w:rFonts w:ascii="David" w:hAnsi="David" w:cs="David" w:hint="cs"/>
          <w:sz w:val="24"/>
          <w:szCs w:val="24"/>
          <w:rtl/>
        </w:rPr>
        <w:t>ש</w:t>
      </w:r>
      <w:r w:rsidR="00A05A8D">
        <w:rPr>
          <w:rFonts w:ascii="David" w:hAnsi="David" w:cs="David" w:hint="cs"/>
          <w:sz w:val="24"/>
          <w:szCs w:val="24"/>
          <w:rtl/>
        </w:rPr>
        <w:t xml:space="preserve">קשורה למחלוקת </w:t>
      </w:r>
      <w:r w:rsidR="000832C1">
        <w:rPr>
          <w:rFonts w:ascii="David" w:hAnsi="David" w:cs="David" w:hint="cs"/>
          <w:sz w:val="24"/>
          <w:szCs w:val="24"/>
          <w:rtl/>
        </w:rPr>
        <w:t xml:space="preserve">שהתקיימה </w:t>
      </w:r>
      <w:r w:rsidR="00A05A8D">
        <w:rPr>
          <w:rFonts w:ascii="David" w:hAnsi="David" w:cs="David" w:hint="cs"/>
          <w:sz w:val="24"/>
          <w:szCs w:val="24"/>
          <w:rtl/>
        </w:rPr>
        <w:t xml:space="preserve">בינם </w:t>
      </w:r>
      <w:r w:rsidR="00A05A8D">
        <w:rPr>
          <w:rFonts w:ascii="David" w:hAnsi="David" w:cs="David" w:hint="cs"/>
          <w:sz w:val="24"/>
          <w:szCs w:val="24"/>
          <w:rtl/>
        </w:rPr>
        <w:lastRenderedPageBreak/>
        <w:t>לבין הצדוקים בשאלת מימון קורבנות התמיד</w:t>
      </w:r>
      <w:r w:rsidR="0092658E">
        <w:rPr>
          <w:rFonts w:ascii="David" w:hAnsi="David" w:cs="David" w:hint="cs"/>
          <w:sz w:val="24"/>
          <w:szCs w:val="24"/>
          <w:rtl/>
        </w:rPr>
        <w:t xml:space="preserve"> ב</w:t>
      </w:r>
      <w:r w:rsidR="00A05A8D">
        <w:rPr>
          <w:rFonts w:ascii="David" w:hAnsi="David" w:cs="David" w:hint="cs"/>
          <w:sz w:val="24"/>
          <w:szCs w:val="24"/>
          <w:rtl/>
        </w:rPr>
        <w:t xml:space="preserve">מקדש. הנוסח הקדום ביותר </w:t>
      </w:r>
      <w:r w:rsidR="00B171CB">
        <w:rPr>
          <w:rFonts w:ascii="David" w:hAnsi="David" w:cs="David" w:hint="cs"/>
          <w:sz w:val="24"/>
          <w:szCs w:val="24"/>
          <w:rtl/>
        </w:rPr>
        <w:t>ש</w:t>
      </w:r>
      <w:r w:rsidR="00BF4DFC">
        <w:rPr>
          <w:rFonts w:ascii="David" w:hAnsi="David" w:cs="David" w:hint="cs"/>
          <w:sz w:val="24"/>
          <w:szCs w:val="24"/>
          <w:rtl/>
        </w:rPr>
        <w:t>ל</w:t>
      </w:r>
      <w:r w:rsidR="0092658E">
        <w:rPr>
          <w:rFonts w:ascii="David" w:hAnsi="David" w:cs="David" w:hint="cs"/>
          <w:sz w:val="24"/>
          <w:szCs w:val="24"/>
          <w:rtl/>
        </w:rPr>
        <w:t>ה</w:t>
      </w:r>
      <w:r w:rsidR="00B171CB">
        <w:rPr>
          <w:rFonts w:ascii="David" w:hAnsi="David" w:cs="David" w:hint="cs"/>
          <w:sz w:val="24"/>
          <w:szCs w:val="24"/>
          <w:rtl/>
        </w:rPr>
        <w:t xml:space="preserve"> </w:t>
      </w:r>
      <w:r w:rsidR="00A05A8D">
        <w:rPr>
          <w:rFonts w:ascii="David" w:hAnsi="David" w:cs="David" w:hint="cs"/>
          <w:sz w:val="24"/>
          <w:szCs w:val="24"/>
          <w:rtl/>
        </w:rPr>
        <w:t xml:space="preserve">השתמר </w:t>
      </w:r>
      <w:r w:rsidR="005F594F">
        <w:rPr>
          <w:rFonts w:ascii="David" w:hAnsi="David" w:cs="David" w:hint="cs"/>
          <w:sz w:val="24"/>
          <w:szCs w:val="24"/>
          <w:rtl/>
        </w:rPr>
        <w:t>ב</w:t>
      </w:r>
      <w:r w:rsidR="00A05A8D">
        <w:rPr>
          <w:rFonts w:ascii="David" w:hAnsi="David" w:cs="David" w:hint="cs"/>
          <w:sz w:val="24"/>
          <w:szCs w:val="24"/>
          <w:rtl/>
        </w:rPr>
        <w:t xml:space="preserve">כתב יד אוקספורד של </w:t>
      </w:r>
      <w:proofErr w:type="spellStart"/>
      <w:r w:rsidR="00A05A8D">
        <w:rPr>
          <w:rFonts w:ascii="David" w:hAnsi="David" w:cs="David" w:hint="cs"/>
          <w:sz w:val="24"/>
          <w:szCs w:val="24"/>
          <w:rtl/>
        </w:rPr>
        <w:t>הסכוליון</w:t>
      </w:r>
      <w:proofErr w:type="spellEnd"/>
      <w:r w:rsidR="00A05A8D">
        <w:rPr>
          <w:rFonts w:ascii="David" w:hAnsi="David" w:cs="David" w:hint="cs"/>
          <w:sz w:val="24"/>
          <w:szCs w:val="24"/>
          <w:rtl/>
        </w:rPr>
        <w:t xml:space="preserve"> למגילת תענית:</w:t>
      </w:r>
      <w:r w:rsidR="00A05A8D">
        <w:rPr>
          <w:rStyle w:val="a5"/>
          <w:rFonts w:ascii="David" w:hAnsi="David" w:cs="David"/>
          <w:sz w:val="24"/>
          <w:szCs w:val="24"/>
          <w:rtl/>
        </w:rPr>
        <w:footnoteReference w:id="10"/>
      </w:r>
    </w:p>
    <w:p w14:paraId="0A3F5B1F" w14:textId="77777777" w:rsidR="005E2E6E" w:rsidRDefault="00A05A8D" w:rsidP="00A05A8D">
      <w:pPr>
        <w:spacing w:line="480" w:lineRule="auto"/>
        <w:ind w:left="720"/>
        <w:rPr>
          <w:rFonts w:ascii="David" w:hAnsi="David" w:cs="David"/>
          <w:sz w:val="24"/>
          <w:szCs w:val="24"/>
          <w:rtl/>
        </w:rPr>
      </w:pPr>
      <w:r>
        <w:rPr>
          <w:rFonts w:ascii="David" w:hAnsi="David" w:cs="David" w:hint="cs"/>
          <w:sz w:val="24"/>
          <w:szCs w:val="24"/>
          <w:rtl/>
        </w:rPr>
        <w:t xml:space="preserve">מריש </w:t>
      </w:r>
      <w:proofErr w:type="spellStart"/>
      <w:r>
        <w:rPr>
          <w:rFonts w:ascii="David" w:hAnsi="David" w:cs="David" w:hint="cs"/>
          <w:sz w:val="24"/>
          <w:szCs w:val="24"/>
          <w:rtl/>
        </w:rPr>
        <w:t>ירחא</w:t>
      </w:r>
      <w:proofErr w:type="spellEnd"/>
      <w:r>
        <w:rPr>
          <w:rFonts w:ascii="David" w:hAnsi="David" w:cs="David" w:hint="cs"/>
          <w:sz w:val="24"/>
          <w:szCs w:val="24"/>
          <w:rtl/>
        </w:rPr>
        <w:t xml:space="preserve"> </w:t>
      </w:r>
      <w:proofErr w:type="spellStart"/>
      <w:r>
        <w:rPr>
          <w:rFonts w:ascii="David" w:hAnsi="David" w:cs="David" w:hint="cs"/>
          <w:sz w:val="24"/>
          <w:szCs w:val="24"/>
          <w:rtl/>
        </w:rPr>
        <w:t>דניסן</w:t>
      </w:r>
      <w:proofErr w:type="spellEnd"/>
      <w:r>
        <w:rPr>
          <w:rFonts w:ascii="David" w:hAnsi="David" w:cs="David" w:hint="cs"/>
          <w:sz w:val="24"/>
          <w:szCs w:val="24"/>
          <w:rtl/>
        </w:rPr>
        <w:t xml:space="preserve"> ועד </w:t>
      </w:r>
      <w:proofErr w:type="spellStart"/>
      <w:r>
        <w:rPr>
          <w:rFonts w:ascii="David" w:hAnsi="David" w:cs="David" w:hint="cs"/>
          <w:sz w:val="24"/>
          <w:szCs w:val="24"/>
          <w:rtl/>
        </w:rPr>
        <w:t>תמניא</w:t>
      </w:r>
      <w:proofErr w:type="spellEnd"/>
      <w:r>
        <w:rPr>
          <w:rFonts w:ascii="David" w:hAnsi="David" w:cs="David" w:hint="cs"/>
          <w:sz w:val="24"/>
          <w:szCs w:val="24"/>
          <w:rtl/>
        </w:rPr>
        <w:t xml:space="preserve"> ביה </w:t>
      </w:r>
      <w:proofErr w:type="spellStart"/>
      <w:r>
        <w:rPr>
          <w:rFonts w:ascii="David" w:hAnsi="David" w:cs="David" w:hint="cs"/>
          <w:sz w:val="24"/>
          <w:szCs w:val="24"/>
          <w:rtl/>
        </w:rPr>
        <w:t>איתוקם</w:t>
      </w:r>
      <w:proofErr w:type="spellEnd"/>
      <w:r>
        <w:rPr>
          <w:rFonts w:ascii="David" w:hAnsi="David" w:cs="David" w:hint="cs"/>
          <w:sz w:val="24"/>
          <w:szCs w:val="24"/>
          <w:rtl/>
        </w:rPr>
        <w:t xml:space="preserve"> </w:t>
      </w:r>
      <w:proofErr w:type="spellStart"/>
      <w:r>
        <w:rPr>
          <w:rFonts w:ascii="David" w:hAnsi="David" w:cs="David" w:hint="cs"/>
          <w:sz w:val="24"/>
          <w:szCs w:val="24"/>
          <w:rtl/>
        </w:rPr>
        <w:t>תמידא</w:t>
      </w:r>
      <w:proofErr w:type="spellEnd"/>
      <w:r>
        <w:rPr>
          <w:rFonts w:ascii="David" w:hAnsi="David" w:cs="David" w:hint="cs"/>
          <w:sz w:val="24"/>
          <w:szCs w:val="24"/>
          <w:rtl/>
        </w:rPr>
        <w:t xml:space="preserve"> דלא למספד. </w:t>
      </w:r>
    </w:p>
    <w:p w14:paraId="7BAEA3FF" w14:textId="14F75C70" w:rsidR="00A05A8D" w:rsidRDefault="00A05A8D" w:rsidP="003A7051">
      <w:pPr>
        <w:spacing w:line="480" w:lineRule="auto"/>
        <w:ind w:left="720"/>
        <w:rPr>
          <w:rFonts w:ascii="David" w:hAnsi="David" w:cs="David"/>
          <w:sz w:val="24"/>
          <w:szCs w:val="24"/>
          <w:rtl/>
        </w:rPr>
      </w:pPr>
      <w:r>
        <w:rPr>
          <w:rFonts w:ascii="David" w:hAnsi="David" w:cs="David" w:hint="cs"/>
          <w:sz w:val="24"/>
          <w:szCs w:val="24"/>
          <w:rtl/>
        </w:rPr>
        <w:t xml:space="preserve">שהיו חכמים </w:t>
      </w:r>
      <w:proofErr w:type="spellStart"/>
      <w:r>
        <w:rPr>
          <w:rFonts w:ascii="David" w:hAnsi="David" w:cs="David" w:hint="cs"/>
          <w:sz w:val="24"/>
          <w:szCs w:val="24"/>
          <w:rtl/>
        </w:rPr>
        <w:t>אומרי</w:t>
      </w:r>
      <w:r w:rsidR="003A7051">
        <w:rPr>
          <w:rFonts w:ascii="David" w:hAnsi="David" w:cs="David" w:hint="cs"/>
          <w:sz w:val="24"/>
          <w:szCs w:val="24"/>
          <w:rtl/>
        </w:rPr>
        <w:t>ן</w:t>
      </w:r>
      <w:proofErr w:type="spellEnd"/>
      <w:r w:rsidR="003A7051">
        <w:rPr>
          <w:rFonts w:ascii="David" w:hAnsi="David" w:cs="David" w:hint="cs"/>
          <w:sz w:val="24"/>
          <w:szCs w:val="24"/>
          <w:rtl/>
        </w:rPr>
        <w:t>:</w:t>
      </w:r>
      <w:r>
        <w:rPr>
          <w:rFonts w:ascii="David" w:hAnsi="David" w:cs="David" w:hint="cs"/>
          <w:sz w:val="24"/>
          <w:szCs w:val="24"/>
          <w:rtl/>
        </w:rPr>
        <w:t xml:space="preserve"> אין התמידים באין משל </w:t>
      </w:r>
      <w:r w:rsidR="003A7051">
        <w:rPr>
          <w:rFonts w:ascii="David" w:hAnsi="David" w:cs="David" w:hint="cs"/>
          <w:sz w:val="24"/>
          <w:szCs w:val="24"/>
          <w:rtl/>
        </w:rPr>
        <w:t>צ</w:t>
      </w:r>
      <w:r>
        <w:rPr>
          <w:rFonts w:ascii="David" w:hAnsi="David" w:cs="David" w:hint="cs"/>
          <w:sz w:val="24"/>
          <w:szCs w:val="24"/>
          <w:rtl/>
        </w:rPr>
        <w:t>בור</w:t>
      </w:r>
      <w:r w:rsidR="003A7051">
        <w:rPr>
          <w:rFonts w:ascii="David" w:hAnsi="David" w:cs="David" w:hint="cs"/>
          <w:sz w:val="24"/>
          <w:szCs w:val="24"/>
          <w:rtl/>
        </w:rPr>
        <w:t>.</w:t>
      </w:r>
      <w:r>
        <w:rPr>
          <w:rFonts w:ascii="David" w:hAnsi="David" w:cs="David" w:hint="cs"/>
          <w:sz w:val="24"/>
          <w:szCs w:val="24"/>
          <w:rtl/>
        </w:rPr>
        <w:t xml:space="preserve"> </w:t>
      </w:r>
      <w:proofErr w:type="spellStart"/>
      <w:r>
        <w:rPr>
          <w:rFonts w:ascii="David" w:hAnsi="David" w:cs="David" w:hint="cs"/>
          <w:sz w:val="24"/>
          <w:szCs w:val="24"/>
          <w:rtl/>
        </w:rPr>
        <w:t>ביתוסין</w:t>
      </w:r>
      <w:proofErr w:type="spellEnd"/>
      <w:r>
        <w:rPr>
          <w:rFonts w:ascii="David" w:hAnsi="David" w:cs="David" w:hint="cs"/>
          <w:sz w:val="24"/>
          <w:szCs w:val="24"/>
          <w:rtl/>
        </w:rPr>
        <w:t xml:space="preserve"> או'[מרים]</w:t>
      </w:r>
      <w:r w:rsidR="003A7051">
        <w:rPr>
          <w:rFonts w:ascii="David" w:hAnsi="David" w:cs="David" w:hint="cs"/>
          <w:sz w:val="24"/>
          <w:szCs w:val="24"/>
          <w:rtl/>
        </w:rPr>
        <w:t>:</w:t>
      </w:r>
      <w:r>
        <w:rPr>
          <w:rFonts w:ascii="David" w:hAnsi="David" w:cs="David" w:hint="cs"/>
          <w:sz w:val="24"/>
          <w:szCs w:val="24"/>
          <w:rtl/>
        </w:rPr>
        <w:t xml:space="preserve"> משל יחיד הן באין</w:t>
      </w:r>
      <w:r w:rsidR="003A7051">
        <w:rPr>
          <w:rFonts w:ascii="David" w:hAnsi="David" w:cs="David" w:hint="cs"/>
          <w:sz w:val="24"/>
          <w:szCs w:val="24"/>
          <w:rtl/>
        </w:rPr>
        <w:t>,</w:t>
      </w:r>
      <w:r>
        <w:rPr>
          <w:rFonts w:ascii="David" w:hAnsi="David" w:cs="David" w:hint="cs"/>
          <w:sz w:val="24"/>
          <w:szCs w:val="24"/>
          <w:rtl/>
        </w:rPr>
        <w:t xml:space="preserve"> שנ'[אמר]</w:t>
      </w:r>
      <w:r w:rsidR="003A7051">
        <w:rPr>
          <w:rFonts w:ascii="David" w:hAnsi="David" w:cs="David" w:hint="cs"/>
          <w:sz w:val="24"/>
          <w:szCs w:val="24"/>
          <w:rtl/>
        </w:rPr>
        <w:t>:</w:t>
      </w:r>
      <w:r>
        <w:rPr>
          <w:rFonts w:ascii="David" w:hAnsi="David" w:cs="David" w:hint="cs"/>
          <w:sz w:val="24"/>
          <w:szCs w:val="24"/>
          <w:rtl/>
        </w:rPr>
        <w:t xml:space="preserve"> את הכבש אחד תעשה בבקר</w:t>
      </w:r>
      <w:r w:rsidR="003A7051">
        <w:rPr>
          <w:rFonts w:ascii="David" w:hAnsi="David" w:cs="David" w:hint="cs"/>
          <w:sz w:val="24"/>
          <w:szCs w:val="24"/>
          <w:rtl/>
        </w:rPr>
        <w:t>,</w:t>
      </w:r>
      <w:r>
        <w:rPr>
          <w:rFonts w:ascii="David" w:hAnsi="David" w:cs="David" w:hint="cs"/>
          <w:sz w:val="24"/>
          <w:szCs w:val="24"/>
          <w:rtl/>
        </w:rPr>
        <w:t xml:space="preserve"> ליחיד משמע</w:t>
      </w:r>
      <w:r w:rsidR="003A7051">
        <w:rPr>
          <w:rFonts w:ascii="David" w:hAnsi="David" w:cs="David" w:hint="cs"/>
          <w:sz w:val="24"/>
          <w:szCs w:val="24"/>
          <w:rtl/>
        </w:rPr>
        <w:t xml:space="preserve">. </w:t>
      </w:r>
      <w:r>
        <w:rPr>
          <w:rFonts w:ascii="David" w:hAnsi="David" w:cs="David" w:hint="cs"/>
          <w:sz w:val="24"/>
          <w:szCs w:val="24"/>
          <w:rtl/>
        </w:rPr>
        <w:t>וחכמים או'[מרים]</w:t>
      </w:r>
      <w:r w:rsidR="003A7051">
        <w:rPr>
          <w:rFonts w:ascii="David" w:hAnsi="David" w:cs="David" w:hint="cs"/>
          <w:sz w:val="24"/>
          <w:szCs w:val="24"/>
          <w:rtl/>
        </w:rPr>
        <w:t>:</w:t>
      </w:r>
      <w:r>
        <w:rPr>
          <w:rFonts w:ascii="David" w:hAnsi="David" w:cs="David" w:hint="cs"/>
          <w:sz w:val="24"/>
          <w:szCs w:val="24"/>
          <w:rtl/>
        </w:rPr>
        <w:t xml:space="preserve"> תשמ</w:t>
      </w:r>
      <w:r w:rsidR="008B7210">
        <w:rPr>
          <w:rFonts w:ascii="David" w:hAnsi="David" w:cs="David" w:hint="cs"/>
          <w:sz w:val="24"/>
          <w:szCs w:val="24"/>
          <w:rtl/>
        </w:rPr>
        <w:t>ר</w:t>
      </w:r>
      <w:r>
        <w:rPr>
          <w:rFonts w:ascii="David" w:hAnsi="David" w:cs="David" w:hint="cs"/>
          <w:sz w:val="24"/>
          <w:szCs w:val="24"/>
          <w:rtl/>
        </w:rPr>
        <w:t>ו להקריב לי</w:t>
      </w:r>
      <w:r w:rsidR="003A7051">
        <w:rPr>
          <w:rFonts w:ascii="David" w:hAnsi="David" w:cs="David" w:hint="cs"/>
          <w:sz w:val="24"/>
          <w:szCs w:val="24"/>
          <w:rtl/>
        </w:rPr>
        <w:t xml:space="preserve">, </w:t>
      </w:r>
      <w:r>
        <w:rPr>
          <w:rFonts w:ascii="David" w:hAnsi="David" w:cs="David" w:hint="cs"/>
          <w:sz w:val="24"/>
          <w:szCs w:val="24"/>
          <w:rtl/>
        </w:rPr>
        <w:t>לרבים משמע.</w:t>
      </w:r>
      <w:r w:rsidR="001520C4">
        <w:rPr>
          <w:rFonts w:ascii="David" w:hAnsi="David" w:cs="David" w:hint="cs"/>
          <w:sz w:val="24"/>
          <w:szCs w:val="24"/>
          <w:rtl/>
        </w:rPr>
        <w:t xml:space="preserve"> </w:t>
      </w:r>
      <w:r w:rsidRPr="008F2824">
        <w:rPr>
          <w:rFonts w:ascii="David" w:hAnsi="David" w:cs="David" w:hint="cs"/>
          <w:b/>
          <w:bCs/>
          <w:sz w:val="24"/>
          <w:szCs w:val="24"/>
          <w:rtl/>
        </w:rPr>
        <w:t>התקינו שיהא היחיד שוקל שקליו ונותנן כל שנה ושנה</w:t>
      </w:r>
      <w:r w:rsidR="003A7051" w:rsidRPr="008F2824">
        <w:rPr>
          <w:rFonts w:ascii="David" w:hAnsi="David" w:cs="David" w:hint="cs"/>
          <w:b/>
          <w:bCs/>
          <w:sz w:val="24"/>
          <w:szCs w:val="24"/>
          <w:rtl/>
        </w:rPr>
        <w:t>,</w:t>
      </w:r>
      <w:r w:rsidRPr="008F2824">
        <w:rPr>
          <w:rFonts w:ascii="David" w:hAnsi="David" w:cs="David" w:hint="cs"/>
          <w:b/>
          <w:bCs/>
          <w:sz w:val="24"/>
          <w:szCs w:val="24"/>
          <w:rtl/>
        </w:rPr>
        <w:t xml:space="preserve"> ויהיה תמיד קרב משל ציבור</w:t>
      </w:r>
      <w:r w:rsidR="003A7051">
        <w:rPr>
          <w:rFonts w:ascii="David" w:hAnsi="David" w:cs="David" w:hint="cs"/>
          <w:sz w:val="24"/>
          <w:szCs w:val="24"/>
          <w:rtl/>
        </w:rPr>
        <w:t>.</w:t>
      </w:r>
      <w:r>
        <w:rPr>
          <w:rFonts w:ascii="David" w:hAnsi="David" w:cs="David" w:hint="cs"/>
          <w:sz w:val="24"/>
          <w:szCs w:val="24"/>
          <w:rtl/>
        </w:rPr>
        <w:t xml:space="preserve"> והיינו </w:t>
      </w:r>
      <w:proofErr w:type="spellStart"/>
      <w:r>
        <w:rPr>
          <w:rFonts w:ascii="David" w:hAnsi="David" w:cs="David" w:hint="cs"/>
          <w:sz w:val="24"/>
          <w:szCs w:val="24"/>
          <w:rtl/>
        </w:rPr>
        <w:t>דאמרי</w:t>
      </w:r>
      <w:proofErr w:type="spellEnd"/>
      <w:r>
        <w:rPr>
          <w:rFonts w:ascii="David" w:hAnsi="David" w:cs="David" w:hint="cs"/>
          <w:sz w:val="24"/>
          <w:szCs w:val="24"/>
          <w:rtl/>
        </w:rPr>
        <w:t xml:space="preserve">' </w:t>
      </w:r>
      <w:proofErr w:type="spellStart"/>
      <w:r>
        <w:rPr>
          <w:rFonts w:ascii="David" w:hAnsi="David" w:cs="David" w:hint="cs"/>
          <w:sz w:val="24"/>
          <w:szCs w:val="24"/>
          <w:rtl/>
        </w:rPr>
        <w:t>איתוקם</w:t>
      </w:r>
      <w:proofErr w:type="spellEnd"/>
      <w:r>
        <w:rPr>
          <w:rFonts w:ascii="David" w:hAnsi="David" w:cs="David" w:hint="cs"/>
          <w:sz w:val="24"/>
          <w:szCs w:val="24"/>
          <w:rtl/>
        </w:rPr>
        <w:t xml:space="preserve"> </w:t>
      </w:r>
      <w:proofErr w:type="spellStart"/>
      <w:r>
        <w:rPr>
          <w:rFonts w:ascii="David" w:hAnsi="David" w:cs="David" w:hint="cs"/>
          <w:sz w:val="24"/>
          <w:szCs w:val="24"/>
          <w:rtl/>
        </w:rPr>
        <w:t>תמידא</w:t>
      </w:r>
      <w:proofErr w:type="spellEnd"/>
      <w:r>
        <w:rPr>
          <w:rFonts w:ascii="David" w:hAnsi="David" w:cs="David" w:hint="cs"/>
          <w:sz w:val="24"/>
          <w:szCs w:val="24"/>
          <w:rtl/>
        </w:rPr>
        <w:t>.</w:t>
      </w:r>
    </w:p>
    <w:p w14:paraId="70A1E46A" w14:textId="0DC4AB66" w:rsidR="00264A6E" w:rsidRDefault="00264A6E" w:rsidP="003A7051">
      <w:pPr>
        <w:spacing w:line="480" w:lineRule="auto"/>
        <w:ind w:left="720"/>
        <w:rPr>
          <w:rFonts w:ascii="David" w:hAnsi="David" w:cs="David"/>
          <w:sz w:val="24"/>
          <w:szCs w:val="24"/>
          <w:rtl/>
        </w:rPr>
      </w:pPr>
    </w:p>
    <w:p w14:paraId="4CF02951" w14:textId="22A6FECA" w:rsidR="00264A6E" w:rsidRDefault="00264A6E" w:rsidP="00264A6E">
      <w:pPr>
        <w:bidi w:val="0"/>
        <w:spacing w:line="480" w:lineRule="auto"/>
        <w:ind w:left="720"/>
        <w:rPr>
          <w:rFonts w:ascii="David" w:hAnsi="David" w:cs="David"/>
          <w:sz w:val="24"/>
          <w:szCs w:val="24"/>
        </w:rPr>
      </w:pPr>
      <w:r w:rsidRPr="00156620">
        <w:rPr>
          <w:rFonts w:ascii="David" w:hAnsi="David" w:cs="David"/>
          <w:sz w:val="24"/>
          <w:szCs w:val="24"/>
        </w:rPr>
        <w:t>From the beginning of the month of Nisan until the eighth of it25 the daily sacrifice was settled – one is not to eulogize</w:t>
      </w:r>
    </w:p>
    <w:p w14:paraId="7B895C01" w14:textId="77777777" w:rsidR="00B02EB2" w:rsidRPr="00156620" w:rsidRDefault="00B02EB2" w:rsidP="00B02EB2">
      <w:pPr>
        <w:bidi w:val="0"/>
        <w:spacing w:line="480" w:lineRule="auto"/>
        <w:ind w:left="720"/>
        <w:rPr>
          <w:rFonts w:ascii="David" w:hAnsi="David" w:cs="David"/>
          <w:sz w:val="24"/>
          <w:szCs w:val="24"/>
        </w:rPr>
      </w:pPr>
    </w:p>
    <w:p w14:paraId="3B3A4882" w14:textId="3BC7357E" w:rsidR="00151E39" w:rsidRDefault="008F2824" w:rsidP="00151E39">
      <w:pPr>
        <w:spacing w:line="480" w:lineRule="auto"/>
        <w:rPr>
          <w:rFonts w:ascii="David" w:hAnsi="David" w:cs="David"/>
          <w:sz w:val="24"/>
          <w:szCs w:val="24"/>
          <w:rtl/>
        </w:rPr>
      </w:pPr>
      <w:r>
        <w:rPr>
          <w:rFonts w:ascii="David" w:hAnsi="David" w:cs="David" w:hint="cs"/>
          <w:sz w:val="24"/>
          <w:szCs w:val="24"/>
          <w:rtl/>
        </w:rPr>
        <w:t xml:space="preserve">מועד זה מתפרש </w:t>
      </w:r>
      <w:proofErr w:type="spellStart"/>
      <w:r>
        <w:rPr>
          <w:rFonts w:ascii="David" w:hAnsi="David" w:cs="David" w:hint="cs"/>
          <w:sz w:val="24"/>
          <w:szCs w:val="24"/>
          <w:rtl/>
        </w:rPr>
        <w:t>בסכוליון</w:t>
      </w:r>
      <w:proofErr w:type="spellEnd"/>
      <w:r>
        <w:rPr>
          <w:rFonts w:ascii="David" w:hAnsi="David" w:cs="David" w:hint="cs"/>
          <w:sz w:val="24"/>
          <w:szCs w:val="24"/>
          <w:rtl/>
        </w:rPr>
        <w:t xml:space="preserve"> בניצחו</w:t>
      </w:r>
      <w:r w:rsidR="00FD3536">
        <w:rPr>
          <w:rFonts w:ascii="David" w:hAnsi="David" w:cs="David" w:hint="cs"/>
          <w:sz w:val="24"/>
          <w:szCs w:val="24"/>
          <w:rtl/>
        </w:rPr>
        <w:t>ן</w:t>
      </w:r>
      <w:r>
        <w:rPr>
          <w:rFonts w:ascii="David" w:hAnsi="David" w:cs="David" w:hint="cs"/>
          <w:sz w:val="24"/>
          <w:szCs w:val="24"/>
          <w:rtl/>
        </w:rPr>
        <w:t xml:space="preserve"> הפרושים </w:t>
      </w:r>
      <w:r w:rsidR="004D645E">
        <w:rPr>
          <w:rFonts w:ascii="David" w:hAnsi="David" w:cs="David" w:hint="cs"/>
          <w:sz w:val="24"/>
          <w:szCs w:val="24"/>
          <w:rtl/>
        </w:rPr>
        <w:t>על ה</w:t>
      </w:r>
      <w:r w:rsidR="00064210">
        <w:rPr>
          <w:rFonts w:ascii="David" w:hAnsi="David" w:cs="David" w:hint="cs"/>
          <w:sz w:val="24"/>
          <w:szCs w:val="24"/>
          <w:rtl/>
        </w:rPr>
        <w:t xml:space="preserve">צדוקים </w:t>
      </w:r>
      <w:r>
        <w:rPr>
          <w:rFonts w:ascii="David" w:hAnsi="David" w:cs="David" w:hint="cs"/>
          <w:sz w:val="24"/>
          <w:szCs w:val="24"/>
          <w:rtl/>
        </w:rPr>
        <w:t xml:space="preserve">במחלוקת </w:t>
      </w:r>
      <w:r w:rsidR="00C743BE">
        <w:rPr>
          <w:rFonts w:ascii="David" w:hAnsi="David" w:cs="David" w:hint="cs"/>
          <w:sz w:val="24"/>
          <w:szCs w:val="24"/>
          <w:rtl/>
        </w:rPr>
        <w:t xml:space="preserve">על קרבן </w:t>
      </w:r>
      <w:r>
        <w:rPr>
          <w:rFonts w:ascii="David" w:hAnsi="David" w:cs="David" w:hint="cs"/>
          <w:sz w:val="24"/>
          <w:szCs w:val="24"/>
          <w:rtl/>
        </w:rPr>
        <w:t>התמיד,</w:t>
      </w:r>
      <w:r w:rsidR="004D645E">
        <w:rPr>
          <w:rStyle w:val="a5"/>
          <w:rFonts w:ascii="David" w:hAnsi="David" w:cs="David"/>
          <w:sz w:val="24"/>
          <w:szCs w:val="24"/>
          <w:rtl/>
        </w:rPr>
        <w:footnoteReference w:id="11"/>
      </w:r>
      <w:r w:rsidR="004D645E">
        <w:rPr>
          <w:rFonts w:ascii="David" w:hAnsi="David" w:cs="David" w:hint="cs"/>
          <w:sz w:val="24"/>
          <w:szCs w:val="24"/>
          <w:rtl/>
        </w:rPr>
        <w:t xml:space="preserve"> </w:t>
      </w:r>
      <w:r w:rsidR="00953E0D">
        <w:rPr>
          <w:rFonts w:ascii="David" w:hAnsi="David" w:cs="David" w:hint="cs"/>
          <w:sz w:val="24"/>
          <w:szCs w:val="24"/>
          <w:rtl/>
        </w:rPr>
        <w:t>ה</w:t>
      </w:r>
      <w:r>
        <w:rPr>
          <w:rFonts w:ascii="David" w:hAnsi="David" w:cs="David" w:hint="cs"/>
          <w:sz w:val="24"/>
          <w:szCs w:val="24"/>
          <w:rtl/>
        </w:rPr>
        <w:t xml:space="preserve">אם ראוי הוא לבוא רק מתרומת הלשכה, כלומר מקופת הציבור, או משל היחיד. </w:t>
      </w:r>
      <w:r w:rsidR="00064210">
        <w:rPr>
          <w:rFonts w:ascii="David" w:hAnsi="David" w:cs="David" w:hint="cs"/>
          <w:sz w:val="24"/>
          <w:szCs w:val="24"/>
          <w:rtl/>
        </w:rPr>
        <w:t xml:space="preserve">לדברי </w:t>
      </w:r>
      <w:proofErr w:type="spellStart"/>
      <w:r w:rsidR="00064210">
        <w:rPr>
          <w:rFonts w:ascii="David" w:hAnsi="David" w:cs="David" w:hint="cs"/>
          <w:sz w:val="24"/>
          <w:szCs w:val="24"/>
          <w:rtl/>
        </w:rPr>
        <w:t>הסכוליון</w:t>
      </w:r>
      <w:proofErr w:type="spellEnd"/>
      <w:r w:rsidR="00683FCB">
        <w:rPr>
          <w:rFonts w:ascii="David" w:hAnsi="David" w:cs="David" w:hint="cs"/>
          <w:sz w:val="24"/>
          <w:szCs w:val="24"/>
          <w:rtl/>
        </w:rPr>
        <w:t>,</w:t>
      </w:r>
      <w:r w:rsidR="00064210">
        <w:rPr>
          <w:rFonts w:ascii="David" w:hAnsi="David" w:cs="David" w:hint="cs"/>
          <w:sz w:val="24"/>
          <w:szCs w:val="24"/>
          <w:rtl/>
        </w:rPr>
        <w:t xml:space="preserve"> </w:t>
      </w:r>
      <w:r w:rsidR="00E66391">
        <w:rPr>
          <w:rFonts w:ascii="David" w:hAnsi="David" w:cs="David" w:hint="cs"/>
          <w:sz w:val="24"/>
          <w:szCs w:val="24"/>
          <w:rtl/>
        </w:rPr>
        <w:t>החכמים הם ש</w:t>
      </w:r>
      <w:r w:rsidR="004D7F75">
        <w:rPr>
          <w:rFonts w:ascii="David" w:hAnsi="David" w:cs="David" w:hint="cs"/>
          <w:sz w:val="24"/>
          <w:szCs w:val="24"/>
          <w:rtl/>
        </w:rPr>
        <w:t>ה</w:t>
      </w:r>
      <w:r w:rsidR="00E66391">
        <w:rPr>
          <w:rFonts w:ascii="David" w:hAnsi="David" w:cs="David" w:hint="cs"/>
          <w:sz w:val="24"/>
          <w:szCs w:val="24"/>
          <w:rtl/>
        </w:rPr>
        <w:t>תקינו את תקנת מחצית השקל</w:t>
      </w:r>
      <w:r w:rsidR="00064210">
        <w:rPr>
          <w:rFonts w:ascii="David" w:hAnsi="David" w:cs="David" w:hint="cs"/>
          <w:sz w:val="24"/>
          <w:szCs w:val="24"/>
          <w:rtl/>
        </w:rPr>
        <w:t>, שנועד לממן את קורבנות התמיד</w:t>
      </w:r>
      <w:r w:rsidR="00E66391">
        <w:rPr>
          <w:rFonts w:ascii="David" w:hAnsi="David" w:cs="David" w:hint="cs"/>
          <w:sz w:val="24"/>
          <w:szCs w:val="24"/>
          <w:rtl/>
        </w:rPr>
        <w:t>. מכאן, טוען איל רגב,</w:t>
      </w:r>
      <w:r w:rsidR="00903B3E">
        <w:rPr>
          <w:rStyle w:val="a5"/>
          <w:rFonts w:ascii="David" w:hAnsi="David" w:cs="David"/>
          <w:sz w:val="24"/>
          <w:szCs w:val="24"/>
          <w:rtl/>
        </w:rPr>
        <w:footnoteReference w:id="12"/>
      </w:r>
      <w:r w:rsidR="00E66391">
        <w:rPr>
          <w:rFonts w:ascii="David" w:hAnsi="David" w:cs="David" w:hint="cs"/>
          <w:sz w:val="24"/>
          <w:szCs w:val="24"/>
          <w:rtl/>
        </w:rPr>
        <w:t xml:space="preserve"> שההקשר שמובאים בו חילופי הדברים הוא התנגדות גורפת של </w:t>
      </w:r>
      <w:r w:rsidR="00512BAB">
        <w:rPr>
          <w:rFonts w:ascii="David" w:hAnsi="David" w:cs="David" w:hint="cs"/>
          <w:sz w:val="24"/>
          <w:szCs w:val="24"/>
          <w:rtl/>
        </w:rPr>
        <w:t>ה</w:t>
      </w:r>
      <w:r w:rsidR="00E66391">
        <w:rPr>
          <w:rFonts w:ascii="David" w:hAnsi="David" w:cs="David" w:hint="cs"/>
          <w:sz w:val="24"/>
          <w:szCs w:val="24"/>
          <w:rtl/>
        </w:rPr>
        <w:t>צדוקים</w:t>
      </w:r>
      <w:r w:rsidR="00EF2349">
        <w:rPr>
          <w:rFonts w:ascii="David" w:hAnsi="David" w:cs="David" w:hint="cs"/>
          <w:sz w:val="24"/>
          <w:szCs w:val="24"/>
          <w:rtl/>
        </w:rPr>
        <w:t>-</w:t>
      </w:r>
      <w:proofErr w:type="spellStart"/>
      <w:r w:rsidR="00EF2349">
        <w:rPr>
          <w:rFonts w:ascii="David" w:hAnsi="David" w:cs="David" w:hint="cs"/>
          <w:sz w:val="24"/>
          <w:szCs w:val="24"/>
          <w:rtl/>
        </w:rPr>
        <w:t>הבייתוסים</w:t>
      </w:r>
      <w:proofErr w:type="spellEnd"/>
      <w:r w:rsidR="00E66391">
        <w:rPr>
          <w:rFonts w:ascii="David" w:hAnsi="David" w:cs="David" w:hint="cs"/>
          <w:sz w:val="24"/>
          <w:szCs w:val="24"/>
          <w:rtl/>
        </w:rPr>
        <w:t xml:space="preserve"> לתקנת מחצית השקל, הקובעת כי ישראל שותפים כלכלית למימון </w:t>
      </w:r>
      <w:proofErr w:type="spellStart"/>
      <w:r w:rsidR="00E66391">
        <w:rPr>
          <w:rFonts w:ascii="David" w:hAnsi="David" w:cs="David" w:hint="cs"/>
          <w:sz w:val="24"/>
          <w:szCs w:val="24"/>
          <w:rtl/>
        </w:rPr>
        <w:t>קרבנות</w:t>
      </w:r>
      <w:proofErr w:type="spellEnd"/>
      <w:r w:rsidR="00E66391">
        <w:rPr>
          <w:rFonts w:ascii="David" w:hAnsi="David" w:cs="David" w:hint="cs"/>
          <w:sz w:val="24"/>
          <w:szCs w:val="24"/>
          <w:rtl/>
        </w:rPr>
        <w:t xml:space="preserve"> התמיד.</w:t>
      </w:r>
      <w:r w:rsidR="00BC2647">
        <w:rPr>
          <w:rFonts w:ascii="David" w:hAnsi="David" w:cs="David" w:hint="cs"/>
          <w:sz w:val="24"/>
          <w:szCs w:val="24"/>
          <w:rtl/>
        </w:rPr>
        <w:t xml:space="preserve"> </w:t>
      </w:r>
    </w:p>
    <w:p w14:paraId="1FBC729A" w14:textId="2E3CF55B" w:rsidR="00B26304" w:rsidRDefault="00151E39" w:rsidP="0086306E">
      <w:pPr>
        <w:spacing w:line="480" w:lineRule="auto"/>
        <w:ind w:firstLine="720"/>
        <w:rPr>
          <w:rFonts w:ascii="David" w:hAnsi="David" w:cs="David"/>
          <w:sz w:val="24"/>
          <w:szCs w:val="24"/>
          <w:rtl/>
        </w:rPr>
      </w:pPr>
      <w:r w:rsidRPr="00151E39">
        <w:rPr>
          <w:rFonts w:ascii="David" w:hAnsi="David" w:cs="David"/>
          <w:sz w:val="24"/>
          <w:szCs w:val="24"/>
          <w:rtl/>
        </w:rPr>
        <w:lastRenderedPageBreak/>
        <w:t xml:space="preserve"> </w:t>
      </w:r>
      <w:r>
        <w:rPr>
          <w:rFonts w:ascii="David" w:hAnsi="David" w:cs="David" w:hint="cs"/>
          <w:sz w:val="24"/>
          <w:szCs w:val="24"/>
          <w:rtl/>
        </w:rPr>
        <w:t xml:space="preserve">מדוע </w:t>
      </w:r>
      <w:r w:rsidRPr="00151E39">
        <w:rPr>
          <w:rFonts w:ascii="David" w:hAnsi="David" w:cs="David"/>
          <w:sz w:val="24"/>
          <w:szCs w:val="24"/>
          <w:rtl/>
        </w:rPr>
        <w:t>התנגדו הצדוקים ל</w:t>
      </w:r>
      <w:r w:rsidR="00552585">
        <w:rPr>
          <w:rFonts w:ascii="David" w:hAnsi="David" w:cs="David" w:hint="cs"/>
          <w:sz w:val="24"/>
          <w:szCs w:val="24"/>
          <w:rtl/>
        </w:rPr>
        <w:t xml:space="preserve">מס </w:t>
      </w:r>
      <w:r w:rsidRPr="00151E39">
        <w:rPr>
          <w:rFonts w:ascii="David" w:hAnsi="David" w:cs="David"/>
          <w:sz w:val="24"/>
          <w:szCs w:val="24"/>
          <w:rtl/>
        </w:rPr>
        <w:t xml:space="preserve">מחצית השקל? </w:t>
      </w:r>
      <w:r w:rsidR="00687486">
        <w:rPr>
          <w:rFonts w:ascii="David" w:hAnsi="David" w:cs="David" w:hint="cs"/>
          <w:sz w:val="24"/>
          <w:szCs w:val="24"/>
          <w:rtl/>
        </w:rPr>
        <w:t xml:space="preserve">יש לשים לב כי </w:t>
      </w:r>
      <w:r w:rsidR="00EC0ACF">
        <w:rPr>
          <w:rFonts w:ascii="David" w:hAnsi="David" w:cs="David" w:hint="cs"/>
          <w:sz w:val="24"/>
          <w:szCs w:val="24"/>
          <w:rtl/>
        </w:rPr>
        <w:t xml:space="preserve">מיד לאחר הציווי על קרבן התמיד במקרא מבטיח האל כי המשכן והמזבח יקדשו בכבודו, שהוא ישכון בתוך בני ישראל ויהיה להם </w:t>
      </w:r>
      <w:proofErr w:type="spellStart"/>
      <w:r w:rsidR="00EC0ACF">
        <w:rPr>
          <w:rFonts w:ascii="David" w:hAnsi="David" w:cs="David" w:hint="cs"/>
          <w:sz w:val="24"/>
          <w:szCs w:val="24"/>
          <w:rtl/>
        </w:rPr>
        <w:t>לאלהים</w:t>
      </w:r>
      <w:proofErr w:type="spellEnd"/>
      <w:r w:rsidR="00EC0ACF">
        <w:rPr>
          <w:rFonts w:ascii="David" w:hAnsi="David" w:cs="David" w:hint="cs"/>
          <w:sz w:val="24"/>
          <w:szCs w:val="24"/>
          <w:rtl/>
        </w:rPr>
        <w:t xml:space="preserve"> (שמות </w:t>
      </w:r>
      <w:proofErr w:type="spellStart"/>
      <w:r w:rsidR="00EC0ACF">
        <w:rPr>
          <w:rFonts w:ascii="David" w:hAnsi="David" w:cs="David" w:hint="cs"/>
          <w:sz w:val="24"/>
          <w:szCs w:val="24"/>
          <w:rtl/>
        </w:rPr>
        <w:t>כט</w:t>
      </w:r>
      <w:proofErr w:type="spellEnd"/>
      <w:r w:rsidR="00EC0ACF">
        <w:rPr>
          <w:rFonts w:ascii="David" w:hAnsi="David" w:cs="David" w:hint="cs"/>
          <w:sz w:val="24"/>
          <w:szCs w:val="24"/>
          <w:rtl/>
        </w:rPr>
        <w:t xml:space="preserve"> מג-מה). לדברי רגב</w:t>
      </w:r>
      <w:r w:rsidR="00EC0ACF">
        <w:rPr>
          <w:rStyle w:val="a5"/>
          <w:rFonts w:ascii="David" w:hAnsi="David" w:cs="David"/>
          <w:sz w:val="24"/>
          <w:szCs w:val="24"/>
          <w:rtl/>
        </w:rPr>
        <w:footnoteReference w:id="13"/>
      </w:r>
      <w:r w:rsidR="00EC0ACF">
        <w:rPr>
          <w:rFonts w:ascii="David" w:hAnsi="David" w:cs="David" w:hint="cs"/>
          <w:sz w:val="24"/>
          <w:szCs w:val="24"/>
          <w:rtl/>
        </w:rPr>
        <w:t xml:space="preserve"> מדובר בשתי גישות חולקות </w:t>
      </w:r>
      <w:r w:rsidR="0035161D">
        <w:rPr>
          <w:rFonts w:ascii="David" w:hAnsi="David" w:cs="David" w:hint="cs"/>
          <w:sz w:val="24"/>
          <w:szCs w:val="24"/>
          <w:rtl/>
        </w:rPr>
        <w:t xml:space="preserve">בשאלה כיצד </w:t>
      </w:r>
      <w:r w:rsidR="00EC0ACF">
        <w:rPr>
          <w:rFonts w:ascii="David" w:hAnsi="David" w:cs="David" w:hint="cs"/>
          <w:sz w:val="24"/>
          <w:szCs w:val="24"/>
          <w:rtl/>
        </w:rPr>
        <w:t xml:space="preserve">יש לכונן שכינה זו: על ידי נדבות </w:t>
      </w:r>
      <w:r w:rsidR="00995384">
        <w:rPr>
          <w:rFonts w:ascii="David" w:hAnsi="David" w:cs="David" w:hint="cs"/>
          <w:sz w:val="24"/>
          <w:szCs w:val="24"/>
          <w:rtl/>
        </w:rPr>
        <w:t xml:space="preserve">של </w:t>
      </w:r>
      <w:r w:rsidR="00EC0ACF">
        <w:rPr>
          <w:rFonts w:ascii="David" w:hAnsi="David" w:cs="David" w:hint="cs"/>
          <w:sz w:val="24"/>
          <w:szCs w:val="24"/>
          <w:rtl/>
        </w:rPr>
        <w:t>יחידים</w:t>
      </w:r>
      <w:r w:rsidR="00C743BE">
        <w:rPr>
          <w:rFonts w:ascii="David" w:hAnsi="David" w:cs="David" w:hint="cs"/>
          <w:sz w:val="24"/>
          <w:szCs w:val="24"/>
          <w:rtl/>
        </w:rPr>
        <w:t xml:space="preserve"> או</w:t>
      </w:r>
      <w:r w:rsidR="00EC0ACF">
        <w:rPr>
          <w:rFonts w:ascii="David" w:hAnsi="David" w:cs="David" w:hint="cs"/>
          <w:sz w:val="24"/>
          <w:szCs w:val="24"/>
          <w:rtl/>
        </w:rPr>
        <w:t xml:space="preserve"> על ידי שותפות שווה לכל העם. </w:t>
      </w:r>
      <w:r w:rsidR="00B26304">
        <w:rPr>
          <w:rFonts w:ascii="David" w:hAnsi="David" w:cs="David" w:hint="cs"/>
          <w:sz w:val="24"/>
          <w:szCs w:val="24"/>
          <w:rtl/>
        </w:rPr>
        <w:t xml:space="preserve">על פי נוסחי </w:t>
      </w:r>
      <w:proofErr w:type="spellStart"/>
      <w:r w:rsidR="00B26304">
        <w:rPr>
          <w:rFonts w:ascii="David" w:hAnsi="David" w:cs="David" w:hint="cs"/>
          <w:sz w:val="24"/>
          <w:szCs w:val="24"/>
          <w:rtl/>
        </w:rPr>
        <w:t>הסכוליון</w:t>
      </w:r>
      <w:proofErr w:type="spellEnd"/>
      <w:r w:rsidR="00B26304">
        <w:rPr>
          <w:rFonts w:ascii="David" w:hAnsi="David" w:cs="David" w:hint="cs"/>
          <w:sz w:val="24"/>
          <w:szCs w:val="24"/>
          <w:rtl/>
        </w:rPr>
        <w:t xml:space="preserve">, עמדת הצדוקים מסתמכת על מדרש הפסוק בבמדבר </w:t>
      </w:r>
      <w:proofErr w:type="spellStart"/>
      <w:r w:rsidR="00B26304">
        <w:rPr>
          <w:rFonts w:ascii="David" w:hAnsi="David" w:cs="David" w:hint="cs"/>
          <w:sz w:val="24"/>
          <w:szCs w:val="24"/>
          <w:rtl/>
        </w:rPr>
        <w:t>כח</w:t>
      </w:r>
      <w:proofErr w:type="spellEnd"/>
      <w:r w:rsidR="00B26304">
        <w:rPr>
          <w:rFonts w:ascii="David" w:hAnsi="David" w:cs="David" w:hint="cs"/>
          <w:sz w:val="24"/>
          <w:szCs w:val="24"/>
          <w:rtl/>
        </w:rPr>
        <w:t xml:space="preserve"> ד, </w:t>
      </w:r>
      <w:r w:rsidR="00995384">
        <w:rPr>
          <w:rFonts w:ascii="David" w:hAnsi="David" w:cs="David" w:hint="cs"/>
          <w:sz w:val="24"/>
          <w:szCs w:val="24"/>
          <w:rtl/>
        </w:rPr>
        <w:t>ש</w:t>
      </w:r>
      <w:r w:rsidR="00B26304">
        <w:rPr>
          <w:rFonts w:ascii="David" w:hAnsi="David" w:cs="David" w:hint="cs"/>
          <w:sz w:val="24"/>
          <w:szCs w:val="24"/>
          <w:rtl/>
        </w:rPr>
        <w:t>מצווה על אופן הקרבת קרבן התמיד:</w:t>
      </w:r>
      <w:r w:rsidR="00C053EF">
        <w:rPr>
          <w:rStyle w:val="a5"/>
          <w:rFonts w:ascii="David" w:hAnsi="David" w:cs="David"/>
          <w:sz w:val="24"/>
          <w:szCs w:val="24"/>
          <w:rtl/>
        </w:rPr>
        <w:footnoteReference w:id="14"/>
      </w:r>
      <w:r w:rsidR="00B26304">
        <w:rPr>
          <w:rFonts w:ascii="David" w:hAnsi="David" w:cs="David" w:hint="cs"/>
          <w:sz w:val="24"/>
          <w:szCs w:val="24"/>
          <w:rtl/>
        </w:rPr>
        <w:t xml:space="preserve"> </w:t>
      </w:r>
      <w:r w:rsidR="00763644" w:rsidRPr="00763644">
        <w:rPr>
          <w:rFonts w:asciiTheme="majorBidi" w:hAnsiTheme="majorBidi" w:cstheme="majorBidi"/>
          <w:sz w:val="24"/>
          <w:szCs w:val="24"/>
        </w:rPr>
        <w:t>“</w:t>
      </w:r>
      <w:r w:rsidR="00143E64">
        <w:rPr>
          <w:rFonts w:asciiTheme="majorBidi" w:hAnsiTheme="majorBidi" w:cstheme="majorBidi"/>
          <w:sz w:val="24"/>
          <w:szCs w:val="24"/>
        </w:rPr>
        <w:t>You shall offer one lamb in the morning, and the other lamb you shall offer at twilight</w:t>
      </w:r>
      <w:r w:rsidR="00763644" w:rsidRPr="00763644">
        <w:rPr>
          <w:rFonts w:asciiTheme="majorBidi" w:hAnsiTheme="majorBidi" w:cstheme="majorBidi"/>
          <w:sz w:val="24"/>
          <w:szCs w:val="24"/>
        </w:rPr>
        <w:t>”</w:t>
      </w:r>
      <w:r w:rsidR="00B26304">
        <w:rPr>
          <w:rFonts w:ascii="David" w:hAnsi="David" w:cs="David" w:hint="cs"/>
          <w:sz w:val="24"/>
          <w:szCs w:val="24"/>
          <w:rtl/>
        </w:rPr>
        <w:t>. מפסוק זה הם דרשו שעל קרבן התמיד לבוא משל יחיד, שנאמר "תעשה" (ולא "תעשו"). לעומתם טענו הפרושים</w:t>
      </w:r>
      <w:r w:rsidR="00E72391">
        <w:rPr>
          <w:rFonts w:ascii="David" w:hAnsi="David" w:cs="David" w:hint="cs"/>
          <w:sz w:val="24"/>
          <w:szCs w:val="24"/>
          <w:rtl/>
        </w:rPr>
        <w:t>,</w:t>
      </w:r>
      <w:r w:rsidR="00B26304">
        <w:rPr>
          <w:rFonts w:ascii="David" w:hAnsi="David" w:cs="David" w:hint="cs"/>
          <w:sz w:val="24"/>
          <w:szCs w:val="24"/>
          <w:rtl/>
        </w:rPr>
        <w:t xml:space="preserve"> </w:t>
      </w:r>
      <w:r w:rsidR="00995384">
        <w:rPr>
          <w:rFonts w:ascii="David" w:hAnsi="David" w:cs="David" w:hint="cs"/>
          <w:sz w:val="24"/>
          <w:szCs w:val="24"/>
          <w:rtl/>
        </w:rPr>
        <w:t xml:space="preserve">שלשון הצו ברבים - "תשמרו" - </w:t>
      </w:r>
      <w:r w:rsidR="00B26304">
        <w:rPr>
          <w:rFonts w:ascii="David" w:hAnsi="David" w:cs="David" w:hint="cs"/>
          <w:sz w:val="24"/>
          <w:szCs w:val="24"/>
          <w:rtl/>
        </w:rPr>
        <w:t>ב</w:t>
      </w:r>
      <w:r w:rsidR="0054128E">
        <w:rPr>
          <w:rFonts w:ascii="David" w:hAnsi="David" w:cs="David" w:hint="cs"/>
          <w:sz w:val="24"/>
          <w:szCs w:val="24"/>
          <w:rtl/>
        </w:rPr>
        <w:t>ספר ב</w:t>
      </w:r>
      <w:r w:rsidR="00B26304">
        <w:rPr>
          <w:rFonts w:ascii="David" w:hAnsi="David" w:cs="David" w:hint="cs"/>
          <w:sz w:val="24"/>
          <w:szCs w:val="24"/>
          <w:rtl/>
        </w:rPr>
        <w:t xml:space="preserve">מדבר </w:t>
      </w:r>
      <w:proofErr w:type="spellStart"/>
      <w:r w:rsidR="00B26304">
        <w:rPr>
          <w:rFonts w:ascii="David" w:hAnsi="David" w:cs="David" w:hint="cs"/>
          <w:sz w:val="24"/>
          <w:szCs w:val="24"/>
          <w:rtl/>
        </w:rPr>
        <w:t>כח</w:t>
      </w:r>
      <w:proofErr w:type="spellEnd"/>
      <w:r w:rsidR="00B26304">
        <w:rPr>
          <w:rFonts w:ascii="David" w:hAnsi="David" w:cs="David" w:hint="cs"/>
          <w:sz w:val="24"/>
          <w:szCs w:val="24"/>
          <w:rtl/>
        </w:rPr>
        <w:t xml:space="preserve"> ב:</w:t>
      </w:r>
      <w:r w:rsidR="0086306E">
        <w:rPr>
          <w:rFonts w:ascii="David" w:hAnsi="David" w:cs="David" w:hint="cs"/>
          <w:sz w:val="24"/>
          <w:szCs w:val="24"/>
          <w:rtl/>
        </w:rPr>
        <w:t xml:space="preserve"> </w:t>
      </w:r>
      <w:r w:rsidR="0086306E" w:rsidRPr="0086306E">
        <w:rPr>
          <w:rFonts w:asciiTheme="majorBidi" w:hAnsiTheme="majorBidi" w:cstheme="majorBidi"/>
          <w:sz w:val="24"/>
          <w:szCs w:val="24"/>
        </w:rPr>
        <w:t>“</w:t>
      </w:r>
      <w:r w:rsidR="00143E64">
        <w:rPr>
          <w:rFonts w:asciiTheme="majorBidi" w:hAnsiTheme="majorBidi" w:cstheme="majorBidi"/>
          <w:sz w:val="24"/>
          <w:szCs w:val="24"/>
        </w:rPr>
        <w:t>Command the Israelite people and say to them: Be punctilious in presenting to Me at stated times the offering of food due Me, as offerings by fire of pleasing odor to Me.</w:t>
      </w:r>
      <w:r w:rsidR="0086306E">
        <w:rPr>
          <w:rFonts w:ascii="David" w:hAnsi="David" w:cs="David" w:hint="cs"/>
          <w:sz w:val="24"/>
          <w:szCs w:val="24"/>
          <w:rtl/>
        </w:rPr>
        <w:t xml:space="preserve"> </w:t>
      </w:r>
      <w:r w:rsidR="00995384">
        <w:rPr>
          <w:rFonts w:ascii="David" w:hAnsi="David" w:cs="David" w:hint="cs"/>
          <w:sz w:val="24"/>
          <w:szCs w:val="24"/>
          <w:rtl/>
        </w:rPr>
        <w:t xml:space="preserve">מכוונת </w:t>
      </w:r>
      <w:r w:rsidR="00776454">
        <w:rPr>
          <w:rFonts w:ascii="David" w:hAnsi="David" w:cs="David" w:hint="cs"/>
          <w:sz w:val="24"/>
          <w:szCs w:val="24"/>
          <w:rtl/>
        </w:rPr>
        <w:t>לציבור ולא ליחיד.</w:t>
      </w:r>
      <w:r w:rsidR="00605E52">
        <w:rPr>
          <w:rStyle w:val="a5"/>
          <w:rFonts w:ascii="David" w:hAnsi="David" w:cs="David"/>
          <w:sz w:val="24"/>
          <w:szCs w:val="24"/>
          <w:rtl/>
        </w:rPr>
        <w:footnoteReference w:id="15"/>
      </w:r>
      <w:r w:rsidR="00776454">
        <w:rPr>
          <w:rFonts w:ascii="David" w:hAnsi="David" w:cs="David" w:hint="cs"/>
          <w:sz w:val="24"/>
          <w:szCs w:val="24"/>
          <w:rtl/>
        </w:rPr>
        <w:t xml:space="preserve"> </w:t>
      </w:r>
      <w:r w:rsidR="00687486">
        <w:rPr>
          <w:rFonts w:ascii="David" w:hAnsi="David" w:cs="David" w:hint="cs"/>
          <w:sz w:val="24"/>
          <w:szCs w:val="24"/>
          <w:rtl/>
        </w:rPr>
        <w:t xml:space="preserve">למחלוקת היו </w:t>
      </w:r>
      <w:r w:rsidR="00E07F5D">
        <w:rPr>
          <w:rFonts w:ascii="David" w:hAnsi="David" w:cs="David" w:hint="cs"/>
          <w:sz w:val="24"/>
          <w:szCs w:val="24"/>
          <w:rtl/>
        </w:rPr>
        <w:t xml:space="preserve">השלכות מעשיות </w:t>
      </w:r>
      <w:r w:rsidR="00B26304">
        <w:rPr>
          <w:rFonts w:ascii="David" w:hAnsi="David" w:cs="David" w:hint="cs"/>
          <w:sz w:val="24"/>
          <w:szCs w:val="24"/>
          <w:rtl/>
        </w:rPr>
        <w:t>בכל הנוגע לאופן ביצוע הפולחן היום-יומי במקדש</w:t>
      </w:r>
      <w:r w:rsidR="007A6952">
        <w:rPr>
          <w:rFonts w:ascii="David" w:hAnsi="David" w:cs="David" w:hint="cs"/>
          <w:sz w:val="24"/>
          <w:szCs w:val="24"/>
          <w:rtl/>
        </w:rPr>
        <w:t>,</w:t>
      </w:r>
      <w:r w:rsidR="00B26304">
        <w:rPr>
          <w:rFonts w:ascii="David" w:hAnsi="David" w:cs="David" w:hint="cs"/>
          <w:sz w:val="24"/>
          <w:szCs w:val="24"/>
          <w:rtl/>
        </w:rPr>
        <w:t xml:space="preserve"> ולמשמעות הסמלית-ציבורית של עבודת הק</w:t>
      </w:r>
      <w:r w:rsidR="00B11461">
        <w:rPr>
          <w:rFonts w:ascii="David" w:hAnsi="David" w:cs="David" w:hint="cs"/>
          <w:sz w:val="24"/>
          <w:szCs w:val="24"/>
          <w:rtl/>
        </w:rPr>
        <w:t>ו</w:t>
      </w:r>
      <w:r w:rsidR="00B26304">
        <w:rPr>
          <w:rFonts w:ascii="David" w:hAnsi="David" w:cs="David" w:hint="cs"/>
          <w:sz w:val="24"/>
          <w:szCs w:val="24"/>
          <w:rtl/>
        </w:rPr>
        <w:t>רבנות.</w:t>
      </w:r>
      <w:r w:rsidR="00776454">
        <w:rPr>
          <w:rStyle w:val="a5"/>
          <w:rFonts w:ascii="David" w:hAnsi="David" w:cs="David"/>
          <w:sz w:val="24"/>
          <w:szCs w:val="24"/>
          <w:rtl/>
        </w:rPr>
        <w:footnoteReference w:id="16"/>
      </w:r>
    </w:p>
    <w:p w14:paraId="07A3039E" w14:textId="2B060F1F" w:rsidR="00F907FB" w:rsidRDefault="00C16F24" w:rsidP="00F907FB">
      <w:pPr>
        <w:spacing w:line="480" w:lineRule="auto"/>
        <w:ind w:firstLine="720"/>
        <w:rPr>
          <w:rFonts w:asciiTheme="majorBidi" w:hAnsiTheme="majorBidi" w:cstheme="majorBidi"/>
          <w:sz w:val="24"/>
          <w:szCs w:val="24"/>
          <w:rtl/>
        </w:rPr>
      </w:pPr>
      <w:r>
        <w:rPr>
          <w:rFonts w:ascii="David" w:hAnsi="David" w:cs="David" w:hint="cs"/>
          <w:sz w:val="24"/>
          <w:szCs w:val="24"/>
          <w:rtl/>
        </w:rPr>
        <w:t>כיצד מומן</w:t>
      </w:r>
      <w:r w:rsidR="00725390">
        <w:rPr>
          <w:rFonts w:ascii="David" w:hAnsi="David" w:cs="David" w:hint="cs"/>
          <w:sz w:val="24"/>
          <w:szCs w:val="24"/>
          <w:rtl/>
        </w:rPr>
        <w:t>,</w:t>
      </w:r>
      <w:r>
        <w:rPr>
          <w:rFonts w:ascii="David" w:hAnsi="David" w:cs="David" w:hint="cs"/>
          <w:sz w:val="24"/>
          <w:szCs w:val="24"/>
          <w:rtl/>
        </w:rPr>
        <w:t xml:space="preserve"> </w:t>
      </w:r>
      <w:r w:rsidR="00725390">
        <w:rPr>
          <w:rFonts w:ascii="David" w:hAnsi="David" w:cs="David" w:hint="cs"/>
          <w:sz w:val="24"/>
          <w:szCs w:val="24"/>
          <w:rtl/>
        </w:rPr>
        <w:t xml:space="preserve">אם כן, </w:t>
      </w:r>
      <w:r>
        <w:rPr>
          <w:rFonts w:ascii="David" w:hAnsi="David" w:cs="David" w:hint="cs"/>
          <w:sz w:val="24"/>
          <w:szCs w:val="24"/>
          <w:rtl/>
        </w:rPr>
        <w:t>הפולחן במקדש עד לתקנ</w:t>
      </w:r>
      <w:r w:rsidR="008010AF">
        <w:rPr>
          <w:rFonts w:ascii="David" w:hAnsi="David" w:cs="David" w:hint="cs"/>
          <w:sz w:val="24"/>
          <w:szCs w:val="24"/>
          <w:rtl/>
        </w:rPr>
        <w:t>ת</w:t>
      </w:r>
      <w:r>
        <w:rPr>
          <w:rFonts w:ascii="David" w:hAnsi="David" w:cs="David" w:hint="cs"/>
          <w:sz w:val="24"/>
          <w:szCs w:val="24"/>
          <w:rtl/>
        </w:rPr>
        <w:t xml:space="preserve"> הפרושים? ר</w:t>
      </w:r>
      <w:r w:rsidRPr="00151E39">
        <w:rPr>
          <w:rFonts w:ascii="David" w:hAnsi="David" w:cs="David"/>
          <w:sz w:val="24"/>
          <w:szCs w:val="24"/>
          <w:rtl/>
        </w:rPr>
        <w:t xml:space="preserve">אשיתו של תשלום מחצית השקל במפקד שערכו בני ישראל במדבר, אשר היה </w:t>
      </w:r>
      <w:r w:rsidR="002218A8" w:rsidRPr="00784BAA">
        <w:rPr>
          <w:rFonts w:asciiTheme="majorBidi" w:hAnsiTheme="majorBidi" w:cstheme="majorBidi"/>
          <w:sz w:val="24"/>
          <w:szCs w:val="24"/>
        </w:rPr>
        <w:t>‘</w:t>
      </w:r>
      <w:proofErr w:type="spellStart"/>
      <w:r w:rsidR="002218A8" w:rsidRPr="00784BAA">
        <w:rPr>
          <w:rFonts w:asciiTheme="majorBidi" w:hAnsiTheme="majorBidi" w:cstheme="majorBidi"/>
          <w:sz w:val="24"/>
          <w:szCs w:val="24"/>
        </w:rPr>
        <w:t>rensome</w:t>
      </w:r>
      <w:proofErr w:type="spellEnd"/>
      <w:r w:rsidR="002218A8" w:rsidRPr="00784BAA">
        <w:rPr>
          <w:rFonts w:asciiTheme="majorBidi" w:hAnsiTheme="majorBidi" w:cstheme="majorBidi"/>
          <w:sz w:val="24"/>
          <w:szCs w:val="24"/>
        </w:rPr>
        <w:t>’</w:t>
      </w:r>
      <w:r w:rsidRPr="00151E39">
        <w:rPr>
          <w:rFonts w:ascii="David" w:hAnsi="David" w:cs="David"/>
          <w:sz w:val="24"/>
          <w:szCs w:val="24"/>
          <w:rtl/>
        </w:rPr>
        <w:t xml:space="preserve"> ששימש למימון הקמת אוהל מועד (שמות ל </w:t>
      </w:r>
      <w:proofErr w:type="spellStart"/>
      <w:r w:rsidRPr="00151E39">
        <w:rPr>
          <w:rFonts w:ascii="David" w:hAnsi="David" w:cs="David"/>
          <w:sz w:val="24"/>
          <w:szCs w:val="24"/>
          <w:rtl/>
        </w:rPr>
        <w:t>יב-טז</w:t>
      </w:r>
      <w:proofErr w:type="spellEnd"/>
      <w:r w:rsidRPr="00151E39">
        <w:rPr>
          <w:rFonts w:ascii="David" w:hAnsi="David" w:cs="David"/>
          <w:sz w:val="24"/>
          <w:szCs w:val="24"/>
          <w:rtl/>
        </w:rPr>
        <w:t xml:space="preserve">; לח </w:t>
      </w:r>
      <w:proofErr w:type="spellStart"/>
      <w:r w:rsidRPr="00151E39">
        <w:rPr>
          <w:rFonts w:ascii="David" w:hAnsi="David" w:cs="David"/>
          <w:sz w:val="24"/>
          <w:szCs w:val="24"/>
          <w:rtl/>
        </w:rPr>
        <w:t>כו</w:t>
      </w:r>
      <w:proofErr w:type="spellEnd"/>
      <w:r w:rsidRPr="00151E39">
        <w:rPr>
          <w:rFonts w:ascii="David" w:hAnsi="David" w:cs="David"/>
          <w:sz w:val="24"/>
          <w:szCs w:val="24"/>
          <w:rtl/>
        </w:rPr>
        <w:t xml:space="preserve"> ואילך). זה היה תשלום חד פעמי</w:t>
      </w:r>
      <w:r w:rsidR="002A1C80">
        <w:rPr>
          <w:rFonts w:ascii="David" w:hAnsi="David" w:cs="David" w:hint="cs"/>
          <w:sz w:val="24"/>
          <w:szCs w:val="24"/>
          <w:rtl/>
        </w:rPr>
        <w:t>,</w:t>
      </w:r>
      <w:r w:rsidRPr="00151E39">
        <w:rPr>
          <w:rFonts w:ascii="David" w:hAnsi="David" w:cs="David"/>
          <w:sz w:val="24"/>
          <w:szCs w:val="24"/>
          <w:rtl/>
        </w:rPr>
        <w:t xml:space="preserve"> שלא מימן את תחזוקתו השוטפת של </w:t>
      </w:r>
      <w:r w:rsidRPr="00151E39">
        <w:rPr>
          <w:rFonts w:ascii="David" w:hAnsi="David" w:cs="David"/>
          <w:sz w:val="24"/>
          <w:szCs w:val="24"/>
          <w:rtl/>
        </w:rPr>
        <w:lastRenderedPageBreak/>
        <w:t xml:space="preserve">המשכן לאורך זמן. </w:t>
      </w:r>
      <w:r w:rsidR="00151E39" w:rsidRPr="00151E39">
        <w:rPr>
          <w:rFonts w:ascii="David" w:hAnsi="David" w:cs="David"/>
          <w:sz w:val="24"/>
          <w:szCs w:val="24"/>
          <w:rtl/>
        </w:rPr>
        <w:t xml:space="preserve">בימי בית ראשון </w:t>
      </w:r>
      <w:r w:rsidR="00EF390B">
        <w:rPr>
          <w:rFonts w:ascii="David" w:hAnsi="David" w:cs="David" w:hint="cs"/>
          <w:sz w:val="24"/>
          <w:szCs w:val="24"/>
          <w:rtl/>
        </w:rPr>
        <w:t>מומנ</w:t>
      </w:r>
      <w:r w:rsidR="007D424D">
        <w:rPr>
          <w:rFonts w:ascii="David" w:hAnsi="David" w:cs="David" w:hint="cs"/>
          <w:sz w:val="24"/>
          <w:szCs w:val="24"/>
          <w:rtl/>
        </w:rPr>
        <w:t>ו</w:t>
      </w:r>
      <w:r w:rsidR="00EF390B">
        <w:rPr>
          <w:rFonts w:ascii="David" w:hAnsi="David" w:cs="David" w:hint="cs"/>
          <w:sz w:val="24"/>
          <w:szCs w:val="24"/>
          <w:rtl/>
        </w:rPr>
        <w:t xml:space="preserve"> הקורבנות </w:t>
      </w:r>
      <w:r w:rsidR="00151E39" w:rsidRPr="00151E39">
        <w:rPr>
          <w:rFonts w:ascii="David" w:hAnsi="David" w:cs="David"/>
          <w:sz w:val="24"/>
          <w:szCs w:val="24"/>
          <w:rtl/>
        </w:rPr>
        <w:t>מאוצר המלך.</w:t>
      </w:r>
      <w:r w:rsidR="00F024E8">
        <w:rPr>
          <w:rStyle w:val="a5"/>
          <w:rFonts w:ascii="David" w:hAnsi="David" w:cs="David"/>
          <w:sz w:val="24"/>
          <w:szCs w:val="24"/>
          <w:rtl/>
        </w:rPr>
        <w:footnoteReference w:id="17"/>
      </w:r>
      <w:r w:rsidR="00151E39" w:rsidRPr="00151E39">
        <w:rPr>
          <w:rFonts w:ascii="David" w:hAnsi="David" w:cs="David"/>
          <w:sz w:val="24"/>
          <w:szCs w:val="24"/>
          <w:rtl/>
        </w:rPr>
        <w:t xml:space="preserve"> בימי נחמיה הונהג לראשונה מס של שלישית השקל</w:t>
      </w:r>
      <w:r w:rsidR="0064276D">
        <w:rPr>
          <w:rFonts w:ascii="David" w:hAnsi="David" w:cs="David" w:hint="cs"/>
          <w:sz w:val="24"/>
          <w:szCs w:val="24"/>
          <w:rtl/>
        </w:rPr>
        <w:t>,</w:t>
      </w:r>
      <w:r w:rsidR="00151E39" w:rsidRPr="00151E39">
        <w:rPr>
          <w:rFonts w:ascii="David" w:hAnsi="David" w:cs="David"/>
          <w:sz w:val="24"/>
          <w:szCs w:val="24"/>
          <w:rtl/>
        </w:rPr>
        <w:t xml:space="preserve"> ששילם כל העם</w:t>
      </w:r>
      <w:r w:rsidR="0010464E">
        <w:rPr>
          <w:rFonts w:ascii="David" w:hAnsi="David" w:cs="David" w:hint="cs"/>
          <w:sz w:val="24"/>
          <w:szCs w:val="24"/>
          <w:rtl/>
        </w:rPr>
        <w:t>,</w:t>
      </w:r>
      <w:r w:rsidR="00151E39" w:rsidRPr="00151E39">
        <w:rPr>
          <w:rFonts w:ascii="David" w:hAnsi="David" w:cs="David"/>
          <w:sz w:val="24"/>
          <w:szCs w:val="24"/>
          <w:rtl/>
        </w:rPr>
        <w:t xml:space="preserve"> לצורך </w:t>
      </w:r>
      <w:r w:rsidR="00644E51">
        <w:rPr>
          <w:rFonts w:ascii="David" w:hAnsi="David" w:cs="David" w:hint="cs"/>
          <w:sz w:val="24"/>
          <w:szCs w:val="24"/>
          <w:rtl/>
        </w:rPr>
        <w:t xml:space="preserve">מימון קורבנות ומנחות </w:t>
      </w:r>
      <w:r w:rsidR="00151E39" w:rsidRPr="00151E39">
        <w:rPr>
          <w:rFonts w:ascii="David" w:hAnsi="David" w:cs="David"/>
          <w:sz w:val="24"/>
          <w:szCs w:val="24"/>
          <w:rtl/>
        </w:rPr>
        <w:t>(נחמיה י לג-לד).</w:t>
      </w:r>
      <w:r w:rsidR="003F5C74">
        <w:rPr>
          <w:rStyle w:val="a5"/>
          <w:rFonts w:ascii="David" w:hAnsi="David" w:cs="David"/>
          <w:sz w:val="24"/>
          <w:szCs w:val="24"/>
          <w:rtl/>
        </w:rPr>
        <w:footnoteReference w:id="18"/>
      </w:r>
      <w:r w:rsidR="00151E39" w:rsidRPr="00151E39">
        <w:rPr>
          <w:rFonts w:ascii="David" w:hAnsi="David" w:cs="David"/>
          <w:sz w:val="24"/>
          <w:szCs w:val="24"/>
          <w:rtl/>
        </w:rPr>
        <w:t xml:space="preserve"> </w:t>
      </w:r>
      <w:r w:rsidR="004E17DB">
        <w:rPr>
          <w:rFonts w:ascii="David" w:hAnsi="David" w:cs="David" w:hint="cs"/>
          <w:sz w:val="24"/>
          <w:szCs w:val="24"/>
          <w:rtl/>
        </w:rPr>
        <w:t xml:space="preserve">אך </w:t>
      </w:r>
      <w:r w:rsidR="00151E39" w:rsidRPr="00151E39">
        <w:rPr>
          <w:rFonts w:ascii="David" w:hAnsi="David" w:cs="David"/>
          <w:sz w:val="24"/>
          <w:szCs w:val="24"/>
          <w:rtl/>
        </w:rPr>
        <w:t xml:space="preserve">בתקופה ההלניסטית </w:t>
      </w:r>
      <w:r w:rsidR="003A2214">
        <w:rPr>
          <w:rFonts w:ascii="David" w:hAnsi="David" w:cs="David" w:hint="cs"/>
          <w:sz w:val="24"/>
          <w:szCs w:val="24"/>
          <w:rtl/>
        </w:rPr>
        <w:t xml:space="preserve">סייעו </w:t>
      </w:r>
      <w:r w:rsidR="00151E39" w:rsidRPr="00151E39">
        <w:rPr>
          <w:rFonts w:ascii="David" w:hAnsi="David" w:cs="David"/>
          <w:sz w:val="24"/>
          <w:szCs w:val="24"/>
          <w:rtl/>
        </w:rPr>
        <w:t>מלכים זרים במימון הפולחן.</w:t>
      </w:r>
      <w:r w:rsidR="00A656B9">
        <w:rPr>
          <w:rStyle w:val="a5"/>
          <w:rFonts w:ascii="David" w:hAnsi="David" w:cs="David"/>
          <w:sz w:val="24"/>
          <w:szCs w:val="24"/>
          <w:rtl/>
        </w:rPr>
        <w:footnoteReference w:id="19"/>
      </w:r>
      <w:r w:rsidR="00151E39" w:rsidRPr="00151E39">
        <w:rPr>
          <w:rFonts w:ascii="David" w:hAnsi="David" w:cs="David"/>
          <w:sz w:val="24"/>
          <w:szCs w:val="24"/>
          <w:rtl/>
        </w:rPr>
        <w:t xml:space="preserve"> לעומת זאת</w:t>
      </w:r>
      <w:r w:rsidR="00EE2540">
        <w:rPr>
          <w:rFonts w:ascii="David" w:hAnsi="David" w:cs="David" w:hint="cs"/>
          <w:sz w:val="24"/>
          <w:szCs w:val="24"/>
          <w:rtl/>
        </w:rPr>
        <w:t>,</w:t>
      </w:r>
      <w:r w:rsidR="00151E39" w:rsidRPr="00151E39">
        <w:rPr>
          <w:rFonts w:ascii="David" w:hAnsi="David" w:cs="David"/>
          <w:sz w:val="24"/>
          <w:szCs w:val="24"/>
          <w:rtl/>
        </w:rPr>
        <w:t xml:space="preserve"> כל העדויות על תשלום מחצית השקל הן מן השנים האחרונות לשלטון החשמונאים, ובעיקר מן המאה הראשונה לספירה.</w:t>
      </w:r>
      <w:r w:rsidR="006D2950">
        <w:rPr>
          <w:rStyle w:val="a5"/>
          <w:rFonts w:ascii="David" w:hAnsi="David" w:cs="David"/>
          <w:sz w:val="24"/>
          <w:szCs w:val="24"/>
          <w:rtl/>
        </w:rPr>
        <w:footnoteReference w:id="20"/>
      </w:r>
      <w:r w:rsidR="00151E39" w:rsidRPr="00151E39">
        <w:rPr>
          <w:rFonts w:ascii="David" w:hAnsi="David" w:cs="David"/>
          <w:sz w:val="24"/>
          <w:szCs w:val="24"/>
          <w:rtl/>
        </w:rPr>
        <w:t xml:space="preserve"> ניצחון הפרושים</w:t>
      </w:r>
      <w:r w:rsidR="00902F5B">
        <w:rPr>
          <w:rFonts w:ascii="David" w:hAnsi="David" w:cs="David" w:hint="cs"/>
          <w:sz w:val="24"/>
          <w:szCs w:val="24"/>
          <w:rtl/>
        </w:rPr>
        <w:t xml:space="preserve"> והנהגת מס מחצית השקל</w:t>
      </w:r>
      <w:r w:rsidR="00151E39" w:rsidRPr="00151E39">
        <w:rPr>
          <w:rFonts w:ascii="David" w:hAnsi="David" w:cs="David"/>
          <w:sz w:val="24"/>
          <w:szCs w:val="24"/>
          <w:rtl/>
        </w:rPr>
        <w:t xml:space="preserve"> הו</w:t>
      </w:r>
      <w:r w:rsidR="00902F5B">
        <w:rPr>
          <w:rFonts w:ascii="David" w:hAnsi="David" w:cs="David" w:hint="cs"/>
          <w:sz w:val="24"/>
          <w:szCs w:val="24"/>
          <w:rtl/>
        </w:rPr>
        <w:t>א על כן</w:t>
      </w:r>
      <w:r w:rsidR="00151E39" w:rsidRPr="00151E39">
        <w:rPr>
          <w:rFonts w:ascii="David" w:hAnsi="David" w:cs="David"/>
          <w:sz w:val="24"/>
          <w:szCs w:val="24"/>
          <w:rtl/>
        </w:rPr>
        <w:t xml:space="preserve"> הסדר מהפכני, שאמנם היה לו תקדים </w:t>
      </w:r>
      <w:r w:rsidR="004E17DB">
        <w:rPr>
          <w:rFonts w:ascii="David" w:hAnsi="David" w:cs="David" w:hint="cs"/>
          <w:sz w:val="24"/>
          <w:szCs w:val="24"/>
          <w:rtl/>
        </w:rPr>
        <w:t xml:space="preserve">מסוים </w:t>
      </w:r>
      <w:r w:rsidR="00151E39" w:rsidRPr="00151E39">
        <w:rPr>
          <w:rFonts w:ascii="David" w:hAnsi="David" w:cs="David"/>
          <w:sz w:val="24"/>
          <w:szCs w:val="24"/>
          <w:rtl/>
        </w:rPr>
        <w:t>בימי נחמיה, אך היווה שינוי של ממש לעומת הנוהג הקדום.</w:t>
      </w:r>
      <w:r w:rsidR="00EE0F24">
        <w:rPr>
          <w:rStyle w:val="a5"/>
          <w:rFonts w:ascii="David" w:hAnsi="David" w:cs="David"/>
          <w:sz w:val="24"/>
          <w:szCs w:val="24"/>
        </w:rPr>
        <w:footnoteReference w:id="21"/>
      </w:r>
      <w:r w:rsidR="00151E39" w:rsidRPr="00151E39">
        <w:rPr>
          <w:rFonts w:ascii="David" w:hAnsi="David" w:cs="David"/>
          <w:sz w:val="24"/>
          <w:szCs w:val="24"/>
          <w:rtl/>
        </w:rPr>
        <w:t xml:space="preserve"> </w:t>
      </w:r>
      <w:r w:rsidR="00E20392">
        <w:rPr>
          <w:rFonts w:ascii="David" w:hAnsi="David" w:cs="David" w:hint="cs"/>
          <w:sz w:val="24"/>
          <w:szCs w:val="24"/>
          <w:rtl/>
        </w:rPr>
        <w:t xml:space="preserve">גם </w:t>
      </w:r>
      <w:r w:rsidR="00814E2A">
        <w:rPr>
          <w:rFonts w:ascii="David" w:hAnsi="David" w:cs="David" w:hint="cs"/>
          <w:sz w:val="24"/>
          <w:szCs w:val="24"/>
          <w:rtl/>
        </w:rPr>
        <w:t xml:space="preserve">מירה </w:t>
      </w:r>
      <w:proofErr w:type="spellStart"/>
      <w:r w:rsidR="00814E2A">
        <w:rPr>
          <w:rFonts w:ascii="David" w:hAnsi="David" w:cs="David" w:hint="cs"/>
          <w:sz w:val="24"/>
          <w:szCs w:val="24"/>
          <w:rtl/>
        </w:rPr>
        <w:t>בלברג</w:t>
      </w:r>
      <w:proofErr w:type="spellEnd"/>
      <w:r w:rsidR="006E185E">
        <w:rPr>
          <w:rFonts w:ascii="David" w:hAnsi="David" w:cs="David" w:hint="cs"/>
          <w:sz w:val="24"/>
          <w:szCs w:val="24"/>
          <w:rtl/>
        </w:rPr>
        <w:t>, שניתחה לאחרונה</w:t>
      </w:r>
      <w:r w:rsidR="00814E2A">
        <w:rPr>
          <w:rFonts w:ascii="David" w:hAnsi="David" w:cs="David" w:hint="cs"/>
          <w:sz w:val="24"/>
          <w:szCs w:val="24"/>
          <w:rtl/>
        </w:rPr>
        <w:t xml:space="preserve"> </w:t>
      </w:r>
      <w:r w:rsidR="0038285C">
        <w:rPr>
          <w:rFonts w:ascii="David" w:hAnsi="David" w:cs="David" w:hint="cs"/>
          <w:sz w:val="24"/>
          <w:szCs w:val="24"/>
          <w:rtl/>
        </w:rPr>
        <w:t>את עיצובה מחדש של מערכת הקורבנות בספרות התנאית הקדומה</w:t>
      </w:r>
      <w:r w:rsidR="00814E2A">
        <w:rPr>
          <w:rFonts w:ascii="David" w:hAnsi="David" w:cs="David" w:hint="cs"/>
          <w:sz w:val="24"/>
          <w:szCs w:val="24"/>
          <w:rtl/>
        </w:rPr>
        <w:t xml:space="preserve">, </w:t>
      </w:r>
      <w:r w:rsidR="00885AD4">
        <w:rPr>
          <w:rFonts w:ascii="David" w:hAnsi="David" w:cs="David" w:hint="cs"/>
          <w:sz w:val="24"/>
          <w:szCs w:val="24"/>
          <w:rtl/>
        </w:rPr>
        <w:t>הראתה</w:t>
      </w:r>
      <w:r w:rsidR="005A62B4">
        <w:rPr>
          <w:rFonts w:ascii="David" w:hAnsi="David" w:cs="David" w:hint="cs"/>
          <w:sz w:val="24"/>
          <w:szCs w:val="24"/>
          <w:rtl/>
        </w:rPr>
        <w:t xml:space="preserve"> </w:t>
      </w:r>
      <w:r w:rsidR="0038285C">
        <w:rPr>
          <w:rFonts w:ascii="David" w:hAnsi="David" w:cs="David" w:hint="cs"/>
          <w:sz w:val="24"/>
          <w:szCs w:val="24"/>
          <w:rtl/>
        </w:rPr>
        <w:lastRenderedPageBreak/>
        <w:t>כיצד</w:t>
      </w:r>
      <w:r w:rsidR="00814E2A">
        <w:rPr>
          <w:rFonts w:ascii="David" w:hAnsi="David" w:cs="David" w:hint="cs"/>
          <w:sz w:val="24"/>
          <w:szCs w:val="24"/>
          <w:rtl/>
        </w:rPr>
        <w:t xml:space="preserve"> </w:t>
      </w:r>
      <w:r w:rsidR="006025EB">
        <w:rPr>
          <w:rFonts w:ascii="David" w:hAnsi="David" w:cs="David" w:hint="cs"/>
          <w:sz w:val="24"/>
          <w:szCs w:val="24"/>
          <w:rtl/>
        </w:rPr>
        <w:t xml:space="preserve">דוחה </w:t>
      </w:r>
      <w:r w:rsidR="00814E2A">
        <w:rPr>
          <w:rFonts w:ascii="David" w:hAnsi="David" w:cs="David" w:hint="cs"/>
          <w:sz w:val="24"/>
          <w:szCs w:val="24"/>
          <w:rtl/>
        </w:rPr>
        <w:t>המשנה</w:t>
      </w:r>
      <w:r w:rsidR="0038285C">
        <w:rPr>
          <w:rFonts w:ascii="David" w:hAnsi="David" w:cs="David" w:hint="cs"/>
          <w:sz w:val="24"/>
          <w:szCs w:val="24"/>
          <w:rtl/>
        </w:rPr>
        <w:t xml:space="preserve"> באופן שיטתי כל אפשרות של תרומת יחידים לצורך מימון קורבנות הציבור</w:t>
      </w:r>
      <w:r w:rsidR="006E185E">
        <w:rPr>
          <w:rFonts w:ascii="David" w:hAnsi="David" w:cs="David" w:hint="cs"/>
          <w:sz w:val="24"/>
          <w:szCs w:val="24"/>
          <w:rtl/>
        </w:rPr>
        <w:t>.</w:t>
      </w:r>
      <w:r w:rsidR="00663715" w:rsidRPr="00F84A83">
        <w:rPr>
          <w:rStyle w:val="a5"/>
          <w:rFonts w:ascii="Times New Roman" w:hAnsi="Times New Roman" w:cs="Times New Roman"/>
          <w:sz w:val="24"/>
          <w:szCs w:val="24"/>
        </w:rPr>
        <w:footnoteReference w:id="22"/>
      </w:r>
      <w:r w:rsidR="00953E0D">
        <w:rPr>
          <w:rFonts w:ascii="David" w:hAnsi="David" w:cs="David" w:hint="cs"/>
          <w:sz w:val="24"/>
          <w:szCs w:val="24"/>
          <w:rtl/>
        </w:rPr>
        <w:t xml:space="preserve"> </w:t>
      </w:r>
      <w:r w:rsidR="00E310C2">
        <w:rPr>
          <w:rFonts w:ascii="David" w:hAnsi="David" w:cs="David" w:hint="cs"/>
          <w:sz w:val="24"/>
          <w:szCs w:val="24"/>
          <w:rtl/>
        </w:rPr>
        <w:t xml:space="preserve">על רקעם של דברים אלו </w:t>
      </w:r>
      <w:r w:rsidR="003A2582">
        <w:rPr>
          <w:rFonts w:ascii="David" w:hAnsi="David" w:cs="David" w:hint="cs"/>
          <w:sz w:val="24"/>
          <w:szCs w:val="24"/>
          <w:rtl/>
        </w:rPr>
        <w:t xml:space="preserve">נעיין </w:t>
      </w:r>
      <w:r w:rsidR="00231CC9">
        <w:rPr>
          <w:rFonts w:ascii="David" w:hAnsi="David" w:cs="David" w:hint="cs"/>
          <w:sz w:val="24"/>
          <w:szCs w:val="24"/>
          <w:rtl/>
        </w:rPr>
        <w:t>במשנה שקלים א, ג</w:t>
      </w:r>
      <w:r w:rsidR="008023DC">
        <w:rPr>
          <w:rFonts w:ascii="David" w:hAnsi="David" w:cs="David" w:hint="cs"/>
          <w:sz w:val="24"/>
          <w:szCs w:val="24"/>
          <w:rtl/>
        </w:rPr>
        <w:t>:</w:t>
      </w:r>
      <w:r w:rsidR="008856A7">
        <w:rPr>
          <w:rFonts w:ascii="David" w:hAnsi="David" w:cs="David" w:hint="cs"/>
          <w:sz w:val="24"/>
          <w:szCs w:val="24"/>
          <w:rtl/>
        </w:rPr>
        <w:t xml:space="preserve"> </w:t>
      </w:r>
      <w:r w:rsidR="00B2616F">
        <w:rPr>
          <w:rStyle w:val="a5"/>
          <w:rFonts w:ascii="David" w:hAnsi="David" w:cs="David"/>
          <w:sz w:val="24"/>
          <w:szCs w:val="24"/>
          <w:rtl/>
        </w:rPr>
        <w:footnoteReference w:id="23"/>
      </w:r>
    </w:p>
    <w:p w14:paraId="60196666" w14:textId="1B397DFD" w:rsidR="00E03B02" w:rsidRDefault="00E03B02" w:rsidP="00F907FB">
      <w:pPr>
        <w:bidi w:val="0"/>
        <w:spacing w:line="480" w:lineRule="auto"/>
        <w:rPr>
          <w:rFonts w:ascii="David" w:hAnsi="David" w:cs="David"/>
          <w:b/>
          <w:bCs/>
          <w:sz w:val="24"/>
          <w:szCs w:val="24"/>
        </w:rPr>
      </w:pPr>
      <w:r w:rsidRPr="00E03B02">
        <w:rPr>
          <w:rFonts w:asciiTheme="majorBidi" w:hAnsiTheme="majorBidi" w:cstheme="majorBidi"/>
          <w:sz w:val="24"/>
          <w:szCs w:val="24"/>
        </w:rPr>
        <w:t xml:space="preserve">On the 15th [of Adar] tables would be set up [in order to exchange money] throughout the land. On the 25th they would set up in the Temple. When they moved to the Temple they began to mortgage [property and other valuables for coins]. Who did they take mortgages from? Levites, Israelites, converts and freed slaves. They did not take mortgages from women, slaves and children. Any child whose father has begun to pay the shekel for him, [the father] cannot stop paying the half-shekel on his behalf. </w:t>
      </w:r>
      <w:r w:rsidRPr="00F907FB">
        <w:rPr>
          <w:rFonts w:asciiTheme="majorBidi" w:hAnsiTheme="majorBidi" w:cstheme="majorBidi"/>
          <w:b/>
          <w:bCs/>
          <w:sz w:val="24"/>
          <w:szCs w:val="24"/>
        </w:rPr>
        <w:t>They did not take mortgages from priests</w:t>
      </w:r>
      <w:r w:rsidRPr="00E03B02">
        <w:rPr>
          <w:rFonts w:asciiTheme="majorBidi" w:hAnsiTheme="majorBidi" w:cstheme="majorBidi"/>
          <w:sz w:val="24"/>
          <w:szCs w:val="24"/>
        </w:rPr>
        <w:t xml:space="preserve"> </w:t>
      </w:r>
      <w:r w:rsidRPr="00AC4A54">
        <w:rPr>
          <w:rFonts w:asciiTheme="majorBidi" w:hAnsiTheme="majorBidi" w:cstheme="majorBidi"/>
          <w:b/>
          <w:bCs/>
          <w:sz w:val="24"/>
          <w:szCs w:val="24"/>
        </w:rPr>
        <w:t>for the sake of peace</w:t>
      </w:r>
      <w:r w:rsidRPr="00E03B02">
        <w:rPr>
          <w:rFonts w:ascii="David" w:hAnsi="David" w:cs="David"/>
          <w:b/>
          <w:bCs/>
          <w:sz w:val="24"/>
          <w:szCs w:val="24"/>
          <w:rtl/>
        </w:rPr>
        <w:t>.</w:t>
      </w:r>
    </w:p>
    <w:p w14:paraId="506EAD50" w14:textId="77777777" w:rsidR="007B2811" w:rsidRDefault="007B2811" w:rsidP="0036742E">
      <w:pPr>
        <w:spacing w:line="480" w:lineRule="auto"/>
        <w:rPr>
          <w:rFonts w:ascii="David" w:hAnsi="David" w:cs="David"/>
          <w:sz w:val="24"/>
          <w:szCs w:val="24"/>
          <w:rtl/>
        </w:rPr>
      </w:pPr>
    </w:p>
    <w:p w14:paraId="3BAE7BA8" w14:textId="046C8D8D" w:rsidR="007A2801" w:rsidRDefault="00AF119C" w:rsidP="004E6FA0">
      <w:pPr>
        <w:spacing w:line="480" w:lineRule="auto"/>
        <w:rPr>
          <w:rFonts w:ascii="David" w:hAnsi="David" w:cs="David"/>
          <w:sz w:val="24"/>
          <w:szCs w:val="24"/>
          <w:rtl/>
        </w:rPr>
      </w:pPr>
      <w:r w:rsidRPr="00AF119C">
        <w:rPr>
          <w:rFonts w:ascii="David" w:hAnsi="David" w:cs="David"/>
          <w:sz w:val="24"/>
          <w:szCs w:val="24"/>
          <w:rtl/>
        </w:rPr>
        <w:t xml:space="preserve">המשנה מתארת מערכת גבייה אסרטיבית לצורך איסוף השקלים מהציבור, </w:t>
      </w:r>
      <w:r w:rsidR="009E03AC">
        <w:rPr>
          <w:rFonts w:ascii="David" w:hAnsi="David" w:cs="David" w:hint="cs"/>
          <w:sz w:val="24"/>
          <w:szCs w:val="24"/>
          <w:rtl/>
        </w:rPr>
        <w:t>ש</w:t>
      </w:r>
      <w:r w:rsidRPr="00AF119C">
        <w:rPr>
          <w:rFonts w:ascii="David" w:hAnsi="David" w:cs="David"/>
          <w:sz w:val="24"/>
          <w:szCs w:val="24"/>
          <w:rtl/>
        </w:rPr>
        <w:t xml:space="preserve">נהנית לכאורה מגיבוי חברתי - הושבת "שולחנות". המונח </w:t>
      </w:r>
      <w:r w:rsidR="00C5641A">
        <w:rPr>
          <w:rFonts w:ascii="David" w:hAnsi="David" w:cs="David" w:hint="cs"/>
          <w:sz w:val="24"/>
          <w:szCs w:val="24"/>
          <w:rtl/>
        </w:rPr>
        <w:t>"</w:t>
      </w:r>
      <w:r w:rsidRPr="00AF119C">
        <w:rPr>
          <w:rFonts w:ascii="David" w:hAnsi="David" w:cs="David"/>
          <w:sz w:val="24"/>
          <w:szCs w:val="24"/>
          <w:rtl/>
        </w:rPr>
        <w:t>שולחנות</w:t>
      </w:r>
      <w:r w:rsidR="00C5641A">
        <w:rPr>
          <w:rFonts w:ascii="David" w:hAnsi="David" w:cs="David" w:hint="cs"/>
          <w:sz w:val="24"/>
          <w:szCs w:val="24"/>
          <w:rtl/>
        </w:rPr>
        <w:t>"</w:t>
      </w:r>
      <w:r w:rsidRPr="00AF119C">
        <w:rPr>
          <w:rFonts w:ascii="David" w:hAnsi="David" w:cs="David"/>
          <w:sz w:val="24"/>
          <w:szCs w:val="24"/>
          <w:rtl/>
        </w:rPr>
        <w:t xml:space="preserve"> נגזר </w:t>
      </w:r>
      <w:r w:rsidR="00107BCB">
        <w:rPr>
          <w:rFonts w:ascii="David" w:hAnsi="David" w:cs="David" w:hint="cs"/>
          <w:sz w:val="24"/>
          <w:szCs w:val="24"/>
          <w:rtl/>
        </w:rPr>
        <w:t>מ</w:t>
      </w:r>
      <w:r w:rsidR="00992DAD" w:rsidRPr="00992DAD">
        <w:rPr>
          <w:rFonts w:ascii="David" w:hAnsi="David" w:cs="David"/>
          <w:sz w:val="24"/>
          <w:szCs w:val="24"/>
          <w:rtl/>
        </w:rPr>
        <w:t xml:space="preserve">- </w:t>
      </w:r>
      <w:proofErr w:type="spellStart"/>
      <w:r w:rsidR="00992DAD" w:rsidRPr="00992DAD">
        <w:rPr>
          <w:rFonts w:ascii="Calibri" w:hAnsi="Calibri" w:cs="Calibri"/>
          <w:sz w:val="24"/>
          <w:szCs w:val="24"/>
        </w:rPr>
        <w:t>ςτρ</w:t>
      </w:r>
      <w:proofErr w:type="spellEnd"/>
      <w:r w:rsidR="00992DAD" w:rsidRPr="00992DAD">
        <w:rPr>
          <w:rFonts w:ascii="Calibri" w:hAnsi="Calibri" w:cs="Calibri"/>
          <w:sz w:val="24"/>
          <w:szCs w:val="24"/>
        </w:rPr>
        <w:t>απεζ</w:t>
      </w:r>
      <w:r w:rsidR="00992DAD" w:rsidRPr="00992DAD">
        <w:rPr>
          <w:rFonts w:ascii="Arial" w:hAnsi="Arial" w:cs="Arial"/>
          <w:sz w:val="24"/>
          <w:szCs w:val="24"/>
        </w:rPr>
        <w:t>ῖ</w:t>
      </w:r>
      <w:r w:rsidR="00992DAD" w:rsidRPr="00992DAD">
        <w:rPr>
          <w:rFonts w:ascii="Calibri" w:hAnsi="Calibri" w:cs="Calibri"/>
          <w:sz w:val="24"/>
          <w:szCs w:val="24"/>
        </w:rPr>
        <w:t>τη</w:t>
      </w:r>
      <w:r w:rsidRPr="00AF119C">
        <w:rPr>
          <w:rFonts w:ascii="David" w:hAnsi="David" w:cs="David"/>
          <w:sz w:val="24"/>
          <w:szCs w:val="24"/>
          <w:rtl/>
        </w:rPr>
        <w:t xml:space="preserve">, שבעולם ההלניסטי-רומי </w:t>
      </w:r>
      <w:r w:rsidR="00992DAD">
        <w:rPr>
          <w:rFonts w:ascii="David" w:hAnsi="David" w:cs="David" w:hint="cs"/>
          <w:sz w:val="24"/>
          <w:szCs w:val="24"/>
          <w:rtl/>
        </w:rPr>
        <w:t xml:space="preserve">היה </w:t>
      </w:r>
      <w:r w:rsidRPr="00AF119C">
        <w:rPr>
          <w:rFonts w:ascii="David" w:hAnsi="David" w:cs="David"/>
          <w:sz w:val="24"/>
          <w:szCs w:val="24"/>
          <w:rtl/>
        </w:rPr>
        <w:t xml:space="preserve">תפקידו העיקרי להחליף מטבעות בערכים שונים. </w:t>
      </w:r>
      <w:r w:rsidR="005D03B5">
        <w:rPr>
          <w:rFonts w:ascii="David" w:hAnsi="David" w:cs="David" w:hint="cs"/>
          <w:sz w:val="24"/>
          <w:szCs w:val="24"/>
          <w:rtl/>
        </w:rPr>
        <w:t xml:space="preserve">ממקורות </w:t>
      </w:r>
      <w:r w:rsidR="003742DA">
        <w:rPr>
          <w:rFonts w:ascii="David" w:hAnsi="David" w:cs="David" w:hint="cs"/>
          <w:sz w:val="24"/>
          <w:szCs w:val="24"/>
          <w:rtl/>
        </w:rPr>
        <w:t xml:space="preserve">שונים </w:t>
      </w:r>
      <w:r w:rsidR="00992DAD">
        <w:rPr>
          <w:rFonts w:ascii="David" w:hAnsi="David" w:cs="David" w:hint="cs"/>
          <w:sz w:val="24"/>
          <w:szCs w:val="24"/>
          <w:rtl/>
        </w:rPr>
        <w:t>עולה</w:t>
      </w:r>
      <w:r w:rsidR="005D03B5">
        <w:rPr>
          <w:rFonts w:ascii="David" w:hAnsi="David" w:cs="David" w:hint="cs"/>
          <w:sz w:val="24"/>
          <w:szCs w:val="24"/>
          <w:rtl/>
        </w:rPr>
        <w:t xml:space="preserve"> </w:t>
      </w:r>
      <w:r w:rsidR="00756006">
        <w:rPr>
          <w:rFonts w:ascii="David" w:hAnsi="David" w:cs="David" w:hint="cs"/>
          <w:sz w:val="24"/>
          <w:szCs w:val="24"/>
          <w:rtl/>
        </w:rPr>
        <w:t>ש</w:t>
      </w:r>
      <w:r w:rsidRPr="00AF119C">
        <w:rPr>
          <w:rFonts w:ascii="David" w:hAnsi="David" w:cs="David"/>
          <w:sz w:val="24"/>
          <w:szCs w:val="24"/>
          <w:rtl/>
        </w:rPr>
        <w:t xml:space="preserve">במקדש </w:t>
      </w:r>
      <w:r w:rsidR="00D33F5C">
        <w:rPr>
          <w:rFonts w:ascii="David" w:hAnsi="David" w:cs="David" w:hint="cs"/>
          <w:sz w:val="24"/>
          <w:szCs w:val="24"/>
          <w:rtl/>
        </w:rPr>
        <w:t xml:space="preserve">ישבו באופן קבוע </w:t>
      </w:r>
      <w:r w:rsidRPr="00AF119C">
        <w:rPr>
          <w:rFonts w:ascii="David" w:hAnsi="David" w:cs="David"/>
          <w:sz w:val="24"/>
          <w:szCs w:val="24"/>
          <w:rtl/>
        </w:rPr>
        <w:t xml:space="preserve">שולחנים </w:t>
      </w:r>
      <w:r w:rsidR="005D03B5">
        <w:rPr>
          <w:rFonts w:ascii="David" w:hAnsi="David" w:cs="David" w:hint="cs"/>
          <w:sz w:val="24"/>
          <w:szCs w:val="24"/>
          <w:rtl/>
        </w:rPr>
        <w:t>ש</w:t>
      </w:r>
      <w:r w:rsidRPr="00AF119C">
        <w:rPr>
          <w:rFonts w:ascii="David" w:hAnsi="David" w:cs="David"/>
          <w:sz w:val="24"/>
          <w:szCs w:val="24"/>
          <w:rtl/>
        </w:rPr>
        <w:t>תפקידם היה להחליף מטבעות לעולי הרגל, ולפרוט כספים שהביאו עמם. ממשנתנו</w:t>
      </w:r>
      <w:r w:rsidR="00992DAD">
        <w:rPr>
          <w:rFonts w:ascii="David" w:hAnsi="David" w:cs="David" w:hint="cs"/>
          <w:sz w:val="24"/>
          <w:szCs w:val="24"/>
          <w:rtl/>
        </w:rPr>
        <w:t xml:space="preserve"> ניתן לראות</w:t>
      </w:r>
      <w:r w:rsidRPr="00AF119C">
        <w:rPr>
          <w:rFonts w:ascii="David" w:hAnsi="David" w:cs="David"/>
          <w:sz w:val="24"/>
          <w:szCs w:val="24"/>
          <w:rtl/>
        </w:rPr>
        <w:t xml:space="preserve">, </w:t>
      </w:r>
      <w:r w:rsidR="00992DAD">
        <w:rPr>
          <w:rFonts w:ascii="David" w:hAnsi="David" w:cs="David" w:hint="cs"/>
          <w:sz w:val="24"/>
          <w:szCs w:val="24"/>
          <w:rtl/>
        </w:rPr>
        <w:t>ש</w:t>
      </w:r>
      <w:r w:rsidRPr="00AF119C">
        <w:rPr>
          <w:rFonts w:ascii="David" w:hAnsi="David" w:cs="David"/>
          <w:sz w:val="24"/>
          <w:szCs w:val="24"/>
          <w:rtl/>
        </w:rPr>
        <w:t>המוסדות היהודיים לא הסתפקו בשולחנות שהמתינו למשלמים, אלא הפעילו מערכת של גבאים</w:t>
      </w:r>
      <w:r w:rsidR="00373174">
        <w:rPr>
          <w:rFonts w:ascii="David" w:hAnsi="David" w:cs="David" w:hint="cs"/>
          <w:sz w:val="24"/>
          <w:szCs w:val="24"/>
          <w:rtl/>
        </w:rPr>
        <w:t>,</w:t>
      </w:r>
      <w:r w:rsidRPr="00AF119C">
        <w:rPr>
          <w:rFonts w:ascii="David" w:hAnsi="David" w:cs="David"/>
          <w:sz w:val="24"/>
          <w:szCs w:val="24"/>
          <w:rtl/>
        </w:rPr>
        <w:t xml:space="preserve"> שעברו והתרימו את ה</w:t>
      </w:r>
      <w:r w:rsidR="00347851">
        <w:rPr>
          <w:rFonts w:ascii="David" w:hAnsi="David" w:cs="David" w:hint="cs"/>
          <w:sz w:val="24"/>
          <w:szCs w:val="24"/>
          <w:rtl/>
        </w:rPr>
        <w:t>ציבור</w:t>
      </w:r>
      <w:r w:rsidRPr="00AF119C">
        <w:rPr>
          <w:rFonts w:ascii="David" w:hAnsi="David" w:cs="David"/>
          <w:sz w:val="24"/>
          <w:szCs w:val="24"/>
          <w:rtl/>
        </w:rPr>
        <w:t>.</w:t>
      </w:r>
      <w:r w:rsidR="009E03AC">
        <w:rPr>
          <w:rStyle w:val="a5"/>
          <w:rFonts w:ascii="David" w:hAnsi="David" w:cs="David"/>
          <w:sz w:val="24"/>
          <w:szCs w:val="24"/>
          <w:rtl/>
        </w:rPr>
        <w:footnoteReference w:id="24"/>
      </w:r>
      <w:r w:rsidRPr="00AF119C">
        <w:rPr>
          <w:rFonts w:ascii="David" w:hAnsi="David" w:cs="David"/>
          <w:sz w:val="24"/>
          <w:szCs w:val="24"/>
          <w:rtl/>
        </w:rPr>
        <w:t xml:space="preserve">  זאת ועוד, מי שלא שילם את מחצית </w:t>
      </w:r>
      <w:r w:rsidRPr="00AF119C">
        <w:rPr>
          <w:rFonts w:ascii="David" w:hAnsi="David" w:cs="David"/>
          <w:sz w:val="24"/>
          <w:szCs w:val="24"/>
          <w:rtl/>
        </w:rPr>
        <w:lastRenderedPageBreak/>
        <w:t xml:space="preserve">השקל היו ממשכנים את רכושו. </w:t>
      </w:r>
      <w:r>
        <w:rPr>
          <w:rFonts w:ascii="David" w:hAnsi="David" w:cs="David" w:hint="cs"/>
          <w:sz w:val="24"/>
          <w:szCs w:val="24"/>
          <w:rtl/>
        </w:rPr>
        <w:t>והנה</w:t>
      </w:r>
      <w:r w:rsidR="006F7B94">
        <w:rPr>
          <w:rFonts w:ascii="David" w:hAnsi="David" w:cs="David" w:hint="cs"/>
          <w:sz w:val="24"/>
          <w:szCs w:val="24"/>
          <w:rtl/>
        </w:rPr>
        <w:t xml:space="preserve"> מסתבר כי ה</w:t>
      </w:r>
      <w:r w:rsidR="00B11D04">
        <w:rPr>
          <w:rFonts w:ascii="David" w:hAnsi="David" w:cs="David" w:hint="cs"/>
          <w:sz w:val="24"/>
          <w:szCs w:val="24"/>
          <w:rtl/>
        </w:rPr>
        <w:t>מגזר</w:t>
      </w:r>
      <w:r w:rsidR="006F7B94">
        <w:rPr>
          <w:rFonts w:ascii="David" w:hAnsi="David" w:cs="David" w:hint="cs"/>
          <w:sz w:val="24"/>
          <w:szCs w:val="24"/>
          <w:rtl/>
        </w:rPr>
        <w:t xml:space="preserve"> היחיד שלא </w:t>
      </w:r>
      <w:proofErr w:type="spellStart"/>
      <w:r w:rsidR="006F7B94">
        <w:rPr>
          <w:rFonts w:ascii="David" w:hAnsi="David" w:cs="David" w:hint="cs"/>
          <w:sz w:val="24"/>
          <w:szCs w:val="24"/>
          <w:rtl/>
        </w:rPr>
        <w:t>מישכנו</w:t>
      </w:r>
      <w:proofErr w:type="spellEnd"/>
      <w:r w:rsidR="006F7B94">
        <w:rPr>
          <w:rFonts w:ascii="David" w:hAnsi="David" w:cs="David" w:hint="cs"/>
          <w:sz w:val="24"/>
          <w:szCs w:val="24"/>
          <w:rtl/>
        </w:rPr>
        <w:t xml:space="preserve"> את נכסיו</w:t>
      </w:r>
      <w:r w:rsidR="00A71B45">
        <w:rPr>
          <w:rFonts w:ascii="David" w:hAnsi="David" w:cs="David" w:hint="cs"/>
          <w:sz w:val="24"/>
          <w:szCs w:val="24"/>
          <w:rtl/>
        </w:rPr>
        <w:t xml:space="preserve"> </w:t>
      </w:r>
      <w:r w:rsidR="006F7B94">
        <w:rPr>
          <w:rFonts w:ascii="David" w:hAnsi="David" w:cs="David" w:hint="cs"/>
          <w:sz w:val="24"/>
          <w:szCs w:val="24"/>
          <w:rtl/>
        </w:rPr>
        <w:t xml:space="preserve">הוא </w:t>
      </w:r>
      <w:r w:rsidR="00AA1788">
        <w:rPr>
          <w:rFonts w:ascii="David" w:hAnsi="David" w:cs="David" w:hint="cs"/>
          <w:sz w:val="24"/>
          <w:szCs w:val="24"/>
          <w:rtl/>
        </w:rPr>
        <w:t xml:space="preserve">של </w:t>
      </w:r>
      <w:proofErr w:type="spellStart"/>
      <w:r w:rsidR="006F7B94">
        <w:rPr>
          <w:rFonts w:ascii="David" w:hAnsi="David" w:cs="David" w:hint="cs"/>
          <w:sz w:val="24"/>
          <w:szCs w:val="24"/>
          <w:rtl/>
        </w:rPr>
        <w:t>הכהנים</w:t>
      </w:r>
      <w:proofErr w:type="spellEnd"/>
      <w:r w:rsidR="00D91C9D">
        <w:rPr>
          <w:rFonts w:ascii="David" w:hAnsi="David" w:cs="David" w:hint="cs"/>
          <w:sz w:val="24"/>
          <w:szCs w:val="24"/>
          <w:rtl/>
        </w:rPr>
        <w:t>.</w:t>
      </w:r>
      <w:r w:rsidR="00CD0B27">
        <w:rPr>
          <w:rStyle w:val="a5"/>
          <w:rFonts w:ascii="David" w:hAnsi="David" w:cs="David"/>
          <w:sz w:val="24"/>
          <w:szCs w:val="24"/>
          <w:rtl/>
        </w:rPr>
        <w:footnoteReference w:id="25"/>
      </w:r>
      <w:r w:rsidR="00CD0B27">
        <w:rPr>
          <w:rFonts w:ascii="David" w:hAnsi="David" w:cs="David" w:hint="cs"/>
          <w:sz w:val="24"/>
          <w:szCs w:val="24"/>
          <w:rtl/>
        </w:rPr>
        <w:t xml:space="preserve"> </w:t>
      </w:r>
      <w:r w:rsidR="007A2801">
        <w:rPr>
          <w:rFonts w:ascii="David" w:hAnsi="David" w:cs="David" w:hint="cs"/>
          <w:sz w:val="24"/>
          <w:szCs w:val="24"/>
          <w:rtl/>
        </w:rPr>
        <w:t xml:space="preserve">על רקע התיעוד ההיסטורי </w:t>
      </w:r>
      <w:r w:rsidR="008105C3">
        <w:rPr>
          <w:rFonts w:ascii="David" w:hAnsi="David" w:cs="David" w:hint="cs"/>
          <w:sz w:val="24"/>
          <w:szCs w:val="24"/>
          <w:rtl/>
        </w:rPr>
        <w:t>ו</w:t>
      </w:r>
      <w:r w:rsidR="00AB48F8">
        <w:rPr>
          <w:rFonts w:ascii="David" w:hAnsi="David" w:cs="David" w:hint="cs"/>
          <w:sz w:val="24"/>
          <w:szCs w:val="24"/>
          <w:rtl/>
        </w:rPr>
        <w:t>ה</w:t>
      </w:r>
      <w:r w:rsidR="008105C3">
        <w:rPr>
          <w:rFonts w:ascii="David" w:hAnsi="David" w:cs="David" w:hint="cs"/>
          <w:sz w:val="24"/>
          <w:szCs w:val="24"/>
          <w:rtl/>
        </w:rPr>
        <w:t xml:space="preserve">מחקרים </w:t>
      </w:r>
      <w:r w:rsidR="00AB48F8">
        <w:rPr>
          <w:rFonts w:ascii="David" w:hAnsi="David" w:cs="David" w:hint="cs"/>
          <w:sz w:val="24"/>
          <w:szCs w:val="24"/>
          <w:rtl/>
        </w:rPr>
        <w:t>ה</w:t>
      </w:r>
      <w:r w:rsidR="008105C3">
        <w:rPr>
          <w:rFonts w:ascii="David" w:hAnsi="David" w:cs="David" w:hint="cs"/>
          <w:sz w:val="24"/>
          <w:szCs w:val="24"/>
          <w:rtl/>
        </w:rPr>
        <w:t>קודמים</w:t>
      </w:r>
      <w:r w:rsidR="005A1592">
        <w:rPr>
          <w:rFonts w:ascii="David" w:hAnsi="David" w:cs="David" w:hint="cs"/>
          <w:sz w:val="24"/>
          <w:szCs w:val="24"/>
          <w:rtl/>
        </w:rPr>
        <w:t xml:space="preserve"> בעניין מחצית השקל</w:t>
      </w:r>
      <w:r w:rsidR="007A2801">
        <w:rPr>
          <w:rFonts w:ascii="David" w:hAnsi="David" w:cs="David" w:hint="cs"/>
          <w:sz w:val="24"/>
          <w:szCs w:val="24"/>
          <w:rtl/>
        </w:rPr>
        <w:t xml:space="preserve">, עולה כי </w:t>
      </w:r>
      <w:proofErr w:type="spellStart"/>
      <w:r w:rsidR="007A2801">
        <w:rPr>
          <w:rFonts w:ascii="David" w:hAnsi="David" w:cs="David" w:hint="cs"/>
          <w:sz w:val="24"/>
          <w:szCs w:val="24"/>
          <w:rtl/>
        </w:rPr>
        <w:t>הכהנים</w:t>
      </w:r>
      <w:proofErr w:type="spellEnd"/>
      <w:r w:rsidR="007A2801">
        <w:rPr>
          <w:rFonts w:ascii="David" w:hAnsi="David" w:cs="David" w:hint="cs"/>
          <w:sz w:val="24"/>
          <w:szCs w:val="24"/>
          <w:rtl/>
        </w:rPr>
        <w:t>, שיתכן שהם צדוקים או שייריהם, התנגדו למס מחצית השקל</w:t>
      </w:r>
      <w:r w:rsidR="004E6FA0">
        <w:rPr>
          <w:rFonts w:ascii="David" w:hAnsi="David" w:cs="David" w:hint="cs"/>
          <w:sz w:val="24"/>
          <w:szCs w:val="24"/>
          <w:rtl/>
        </w:rPr>
        <w:t>,</w:t>
      </w:r>
      <w:r w:rsidR="007A2801">
        <w:rPr>
          <w:rFonts w:ascii="David" w:hAnsi="David" w:cs="David" w:hint="cs"/>
          <w:sz w:val="24"/>
          <w:szCs w:val="24"/>
          <w:rtl/>
        </w:rPr>
        <w:t xml:space="preserve"> </w:t>
      </w:r>
      <w:r w:rsidR="00683BC4">
        <w:rPr>
          <w:rFonts w:ascii="David" w:hAnsi="David" w:cs="David" w:hint="cs"/>
          <w:sz w:val="24"/>
          <w:szCs w:val="24"/>
          <w:rtl/>
        </w:rPr>
        <w:t xml:space="preserve">ועל כן </w:t>
      </w:r>
      <w:r w:rsidR="007A2801">
        <w:rPr>
          <w:rFonts w:ascii="David" w:hAnsi="David" w:cs="David" w:hint="cs"/>
          <w:sz w:val="24"/>
          <w:szCs w:val="24"/>
          <w:rtl/>
        </w:rPr>
        <w:t>לא שיתפו פעולה עם החכמים ו</w:t>
      </w:r>
      <w:r w:rsidR="00CA0D8C">
        <w:rPr>
          <w:rFonts w:ascii="David" w:hAnsi="David" w:cs="David" w:hint="cs"/>
          <w:sz w:val="24"/>
          <w:szCs w:val="24"/>
          <w:rtl/>
        </w:rPr>
        <w:t xml:space="preserve">עם </w:t>
      </w:r>
      <w:r w:rsidR="007A2801">
        <w:rPr>
          <w:rFonts w:ascii="David" w:hAnsi="David" w:cs="David" w:hint="cs"/>
          <w:sz w:val="24"/>
          <w:szCs w:val="24"/>
          <w:rtl/>
        </w:rPr>
        <w:t>מוסדות הציבור שאכפו את</w:t>
      </w:r>
      <w:r w:rsidR="00683BC4">
        <w:rPr>
          <w:rFonts w:ascii="David" w:hAnsi="David" w:cs="David" w:hint="cs"/>
          <w:sz w:val="24"/>
          <w:szCs w:val="24"/>
          <w:rtl/>
        </w:rPr>
        <w:t xml:space="preserve"> התשלום</w:t>
      </w:r>
      <w:r w:rsidR="007A2801">
        <w:rPr>
          <w:rFonts w:ascii="David" w:hAnsi="David" w:cs="David" w:hint="cs"/>
          <w:sz w:val="24"/>
          <w:szCs w:val="24"/>
          <w:rtl/>
        </w:rPr>
        <w:t>.</w:t>
      </w:r>
      <w:r w:rsidR="009F1576" w:rsidRPr="009F1576">
        <w:rPr>
          <w:rStyle w:val="a5"/>
          <w:rFonts w:ascii="David" w:hAnsi="David" w:cs="David"/>
          <w:sz w:val="24"/>
          <w:szCs w:val="24"/>
          <w:rtl/>
        </w:rPr>
        <w:t xml:space="preserve"> </w:t>
      </w:r>
      <w:r w:rsidR="00453F77">
        <w:rPr>
          <w:rFonts w:ascii="David" w:hAnsi="David" w:cs="David" w:hint="cs"/>
          <w:sz w:val="24"/>
          <w:szCs w:val="24"/>
          <w:rtl/>
        </w:rPr>
        <w:t xml:space="preserve">העובדה </w:t>
      </w:r>
      <w:r w:rsidR="003742DA">
        <w:rPr>
          <w:rFonts w:ascii="David" w:hAnsi="David" w:cs="David" w:hint="cs"/>
          <w:sz w:val="24"/>
          <w:szCs w:val="24"/>
          <w:rtl/>
        </w:rPr>
        <w:t>ש</w:t>
      </w:r>
      <w:r w:rsidR="00453F77">
        <w:rPr>
          <w:rFonts w:ascii="David" w:hAnsi="David" w:cs="David" w:hint="cs"/>
          <w:sz w:val="24"/>
          <w:szCs w:val="24"/>
          <w:rtl/>
        </w:rPr>
        <w:t xml:space="preserve">חכמים סברו שגם על </w:t>
      </w:r>
      <w:proofErr w:type="spellStart"/>
      <w:r w:rsidR="00453F77">
        <w:rPr>
          <w:rFonts w:ascii="David" w:hAnsi="David" w:cs="David" w:hint="cs"/>
          <w:sz w:val="24"/>
          <w:szCs w:val="24"/>
          <w:rtl/>
        </w:rPr>
        <w:t>הכהנים</w:t>
      </w:r>
      <w:proofErr w:type="spellEnd"/>
      <w:r w:rsidR="00453F77">
        <w:rPr>
          <w:rFonts w:ascii="David" w:hAnsi="David" w:cs="David" w:hint="cs"/>
          <w:sz w:val="24"/>
          <w:szCs w:val="24"/>
          <w:rtl/>
        </w:rPr>
        <w:t xml:space="preserve"> לשלם את מחצית השקל </w:t>
      </w:r>
      <w:r w:rsidR="004F7951">
        <w:rPr>
          <w:rFonts w:ascii="David" w:hAnsi="David" w:cs="David" w:hint="cs"/>
          <w:sz w:val="24"/>
          <w:szCs w:val="24"/>
          <w:rtl/>
        </w:rPr>
        <w:t>עולה</w:t>
      </w:r>
      <w:r w:rsidR="005A1592">
        <w:rPr>
          <w:rFonts w:ascii="David" w:hAnsi="David" w:cs="David" w:hint="cs"/>
          <w:sz w:val="24"/>
          <w:szCs w:val="24"/>
          <w:rtl/>
        </w:rPr>
        <w:t xml:space="preserve"> במרומז מכך שאין ברישא </w:t>
      </w:r>
      <w:r w:rsidR="00C00F84">
        <w:rPr>
          <w:rFonts w:ascii="David" w:hAnsi="David" w:cs="David" w:hint="cs"/>
          <w:sz w:val="24"/>
          <w:szCs w:val="24"/>
          <w:rtl/>
        </w:rPr>
        <w:t>ש</w:t>
      </w:r>
      <w:r w:rsidR="005A1592">
        <w:rPr>
          <w:rFonts w:ascii="David" w:hAnsi="David" w:cs="David" w:hint="cs"/>
          <w:sz w:val="24"/>
          <w:szCs w:val="24"/>
          <w:rtl/>
        </w:rPr>
        <w:t xml:space="preserve">ל המשנה החרגה של </w:t>
      </w:r>
      <w:proofErr w:type="spellStart"/>
      <w:r w:rsidR="005A1592">
        <w:rPr>
          <w:rFonts w:ascii="David" w:hAnsi="David" w:cs="David" w:hint="cs"/>
          <w:sz w:val="24"/>
          <w:szCs w:val="24"/>
          <w:rtl/>
        </w:rPr>
        <w:t>הכהנים</w:t>
      </w:r>
      <w:proofErr w:type="spellEnd"/>
      <w:r w:rsidR="00FD2578">
        <w:rPr>
          <w:rFonts w:ascii="David" w:hAnsi="David" w:cs="David" w:hint="cs"/>
          <w:sz w:val="24"/>
          <w:szCs w:val="24"/>
          <w:rtl/>
        </w:rPr>
        <w:t xml:space="preserve"> מ</w:t>
      </w:r>
      <w:r w:rsidR="005A1592">
        <w:rPr>
          <w:rFonts w:ascii="David" w:hAnsi="David" w:cs="David" w:hint="cs"/>
          <w:sz w:val="24"/>
          <w:szCs w:val="24"/>
          <w:rtl/>
        </w:rPr>
        <w:t>תשלום</w:t>
      </w:r>
      <w:r w:rsidR="00AB48F8">
        <w:rPr>
          <w:rFonts w:ascii="David" w:hAnsi="David" w:cs="David" w:hint="cs"/>
          <w:sz w:val="24"/>
          <w:szCs w:val="24"/>
          <w:rtl/>
        </w:rPr>
        <w:t xml:space="preserve"> המס</w:t>
      </w:r>
      <w:r w:rsidR="005A1592">
        <w:rPr>
          <w:rFonts w:ascii="David" w:hAnsi="David" w:cs="David" w:hint="cs"/>
          <w:sz w:val="24"/>
          <w:szCs w:val="24"/>
          <w:rtl/>
        </w:rPr>
        <w:t xml:space="preserve"> עצמו</w:t>
      </w:r>
      <w:r w:rsidR="00EC4FD5">
        <w:rPr>
          <w:rFonts w:ascii="David" w:hAnsi="David" w:cs="David" w:hint="cs"/>
          <w:sz w:val="24"/>
          <w:szCs w:val="24"/>
          <w:rtl/>
        </w:rPr>
        <w:t>,</w:t>
      </w:r>
      <w:r w:rsidR="0000378A">
        <w:rPr>
          <w:rFonts w:ascii="David" w:hAnsi="David" w:cs="David" w:hint="cs"/>
          <w:sz w:val="24"/>
          <w:szCs w:val="24"/>
          <w:rtl/>
        </w:rPr>
        <w:t xml:space="preserve"> </w:t>
      </w:r>
      <w:r w:rsidR="00E93005">
        <w:rPr>
          <w:rFonts w:ascii="David" w:hAnsi="David" w:cs="David" w:hint="cs"/>
          <w:sz w:val="24"/>
          <w:szCs w:val="24"/>
          <w:rtl/>
        </w:rPr>
        <w:t>ו</w:t>
      </w:r>
      <w:r w:rsidR="00CA0D8C">
        <w:rPr>
          <w:rFonts w:ascii="David" w:hAnsi="David" w:cs="David" w:hint="cs"/>
          <w:sz w:val="24"/>
          <w:szCs w:val="24"/>
          <w:rtl/>
        </w:rPr>
        <w:t>מובעת ב</w:t>
      </w:r>
      <w:r w:rsidR="00DB0C65">
        <w:rPr>
          <w:rFonts w:ascii="David" w:hAnsi="David" w:cs="David" w:hint="cs"/>
          <w:sz w:val="24"/>
          <w:szCs w:val="24"/>
          <w:rtl/>
        </w:rPr>
        <w:t>מפורש</w:t>
      </w:r>
      <w:r w:rsidR="00CA0D8C">
        <w:rPr>
          <w:rFonts w:ascii="David" w:hAnsi="David" w:cs="David" w:hint="cs"/>
          <w:sz w:val="24"/>
          <w:szCs w:val="24"/>
          <w:rtl/>
        </w:rPr>
        <w:t xml:space="preserve"> בדברי רבן יוחנן בן זכאי </w:t>
      </w:r>
      <w:r w:rsidR="00D409ED">
        <w:rPr>
          <w:rFonts w:ascii="David" w:hAnsi="David" w:cs="David" w:hint="cs"/>
          <w:sz w:val="24"/>
          <w:szCs w:val="24"/>
          <w:rtl/>
        </w:rPr>
        <w:t xml:space="preserve">שמובאים </w:t>
      </w:r>
      <w:r w:rsidR="00C00F84">
        <w:rPr>
          <w:rFonts w:ascii="David" w:hAnsi="David" w:cs="David" w:hint="cs"/>
          <w:sz w:val="24"/>
          <w:szCs w:val="24"/>
          <w:rtl/>
        </w:rPr>
        <w:t>ב</w:t>
      </w:r>
      <w:r w:rsidR="00453F77">
        <w:rPr>
          <w:rFonts w:ascii="David" w:hAnsi="David" w:cs="David" w:hint="cs"/>
          <w:sz w:val="24"/>
          <w:szCs w:val="24"/>
          <w:rtl/>
        </w:rPr>
        <w:t>משנה הבאה, שקלים א</w:t>
      </w:r>
      <w:r w:rsidR="00B055F1">
        <w:rPr>
          <w:rFonts w:ascii="David" w:hAnsi="David" w:cs="David" w:hint="cs"/>
          <w:sz w:val="24"/>
          <w:szCs w:val="24"/>
          <w:rtl/>
        </w:rPr>
        <w:t>, ד:</w:t>
      </w:r>
      <w:r w:rsidR="00453F77">
        <w:rPr>
          <w:rFonts w:ascii="David" w:hAnsi="David" w:cs="David" w:hint="cs"/>
          <w:sz w:val="24"/>
          <w:szCs w:val="24"/>
          <w:rtl/>
        </w:rPr>
        <w:t xml:space="preserve"> </w:t>
      </w:r>
    </w:p>
    <w:p w14:paraId="599A646D" w14:textId="45CF91D4" w:rsidR="00AC4A54" w:rsidRDefault="00AC4A54" w:rsidP="00784A34">
      <w:pPr>
        <w:bidi w:val="0"/>
        <w:spacing w:line="480" w:lineRule="auto"/>
        <w:rPr>
          <w:rFonts w:ascii="David" w:hAnsi="David" w:cs="David"/>
          <w:sz w:val="24"/>
          <w:szCs w:val="24"/>
        </w:rPr>
      </w:pPr>
      <w:r w:rsidRPr="00AC4A54">
        <w:rPr>
          <w:rFonts w:ascii="David" w:hAnsi="David" w:cs="David"/>
          <w:sz w:val="24"/>
          <w:szCs w:val="24"/>
        </w:rPr>
        <w:t xml:space="preserve">Rabbi Yehuda said: Ben </w:t>
      </w:r>
      <w:proofErr w:type="spellStart"/>
      <w:r w:rsidRPr="00AC4A54">
        <w:rPr>
          <w:rFonts w:ascii="David" w:hAnsi="David" w:cs="David"/>
          <w:sz w:val="24"/>
          <w:szCs w:val="24"/>
        </w:rPr>
        <w:t>Bukhrei</w:t>
      </w:r>
      <w:proofErr w:type="spellEnd"/>
      <w:r w:rsidRPr="00AC4A54">
        <w:rPr>
          <w:rFonts w:ascii="David" w:hAnsi="David" w:cs="David"/>
          <w:sz w:val="24"/>
          <w:szCs w:val="24"/>
        </w:rPr>
        <w:t xml:space="preserve"> testified in Yavneh saying that a priest that contributes the half-shekel is not sinning.</w:t>
      </w:r>
    </w:p>
    <w:p w14:paraId="02EB378F" w14:textId="403A076F" w:rsidR="008D506A" w:rsidRDefault="00AC4A54" w:rsidP="00AC4A54">
      <w:pPr>
        <w:bidi w:val="0"/>
        <w:spacing w:line="480" w:lineRule="auto"/>
        <w:rPr>
          <w:rFonts w:ascii="David" w:hAnsi="David" w:cs="David"/>
          <w:sz w:val="24"/>
          <w:szCs w:val="24"/>
        </w:rPr>
      </w:pPr>
      <w:r w:rsidRPr="00AC4A54">
        <w:rPr>
          <w:rFonts w:ascii="David" w:hAnsi="David" w:cs="David"/>
          <w:sz w:val="24"/>
          <w:szCs w:val="24"/>
        </w:rPr>
        <w:t xml:space="preserve"> Rabbi </w:t>
      </w:r>
      <w:proofErr w:type="spellStart"/>
      <w:r w:rsidRPr="00AC4A54">
        <w:rPr>
          <w:rFonts w:ascii="David" w:hAnsi="David" w:cs="David"/>
          <w:sz w:val="24"/>
          <w:szCs w:val="24"/>
        </w:rPr>
        <w:t>Yochanan</w:t>
      </w:r>
      <w:proofErr w:type="spellEnd"/>
      <w:r w:rsidRPr="00AC4A54">
        <w:rPr>
          <w:rFonts w:ascii="David" w:hAnsi="David" w:cs="David"/>
          <w:sz w:val="24"/>
          <w:szCs w:val="24"/>
        </w:rPr>
        <w:t xml:space="preserve"> ben </w:t>
      </w:r>
      <w:proofErr w:type="spellStart"/>
      <w:r w:rsidRPr="00AC4A54">
        <w:rPr>
          <w:rFonts w:ascii="David" w:hAnsi="David" w:cs="David"/>
          <w:sz w:val="24"/>
          <w:szCs w:val="24"/>
        </w:rPr>
        <w:t>Zakkai</w:t>
      </w:r>
      <w:proofErr w:type="spellEnd"/>
      <w:r w:rsidRPr="00AC4A54">
        <w:rPr>
          <w:rFonts w:ascii="David" w:hAnsi="David" w:cs="David"/>
          <w:sz w:val="24"/>
          <w:szCs w:val="24"/>
        </w:rPr>
        <w:t xml:space="preserve"> said to him: This is not true. In fact, any priest who does not give a half-shekel is sinning. Rather, the priests interpreted the verse for their own benefit,"</w:t>
      </w:r>
      <w:r w:rsidR="00784A34">
        <w:rPr>
          <w:rFonts w:ascii="David" w:hAnsi="David" w:cs="David"/>
          <w:sz w:val="24"/>
          <w:szCs w:val="24"/>
        </w:rPr>
        <w:t xml:space="preserve"> </w:t>
      </w:r>
      <w:r w:rsidRPr="00AC4A54">
        <w:rPr>
          <w:rFonts w:ascii="David" w:hAnsi="David" w:cs="David"/>
          <w:sz w:val="24"/>
          <w:szCs w:val="24"/>
        </w:rPr>
        <w:t xml:space="preserve">And every meal-offering of a priest shall be wholly made to smoke; it shall not be eaten" (Leviticus 6:16): If the </w:t>
      </w:r>
      <w:proofErr w:type="spellStart"/>
      <w:r w:rsidRPr="00AC4A54">
        <w:rPr>
          <w:rFonts w:ascii="David" w:hAnsi="David" w:cs="David"/>
          <w:sz w:val="24"/>
          <w:szCs w:val="24"/>
        </w:rPr>
        <w:t>omer</w:t>
      </w:r>
      <w:proofErr w:type="spellEnd"/>
      <w:r w:rsidRPr="00AC4A54">
        <w:rPr>
          <w:rFonts w:ascii="David" w:hAnsi="David" w:cs="David"/>
          <w:sz w:val="24"/>
          <w:szCs w:val="24"/>
        </w:rPr>
        <w:t xml:space="preserve"> [barley measure] offering and the </w:t>
      </w:r>
      <w:proofErr w:type="spellStart"/>
      <w:r w:rsidRPr="00AC4A54">
        <w:rPr>
          <w:rFonts w:ascii="David" w:hAnsi="David" w:cs="David"/>
          <w:sz w:val="24"/>
          <w:szCs w:val="24"/>
        </w:rPr>
        <w:t>lechem</w:t>
      </w:r>
      <w:proofErr w:type="spellEnd"/>
      <w:r w:rsidRPr="00AC4A54">
        <w:rPr>
          <w:rFonts w:ascii="David" w:hAnsi="David" w:cs="David"/>
          <w:sz w:val="24"/>
          <w:szCs w:val="24"/>
        </w:rPr>
        <w:t xml:space="preserve"> </w:t>
      </w:r>
      <w:proofErr w:type="spellStart"/>
      <w:r w:rsidRPr="00AC4A54">
        <w:rPr>
          <w:rFonts w:ascii="David" w:hAnsi="David" w:cs="David"/>
          <w:sz w:val="24"/>
          <w:szCs w:val="24"/>
        </w:rPr>
        <w:t>hapanim</w:t>
      </w:r>
      <w:proofErr w:type="spellEnd"/>
      <w:r w:rsidRPr="00AC4A54">
        <w:rPr>
          <w:rFonts w:ascii="David" w:hAnsi="David" w:cs="David"/>
          <w:sz w:val="24"/>
          <w:szCs w:val="24"/>
        </w:rPr>
        <w:t xml:space="preserve"> [showbread, displayed in the Temple] offering are ours, how can they be eaten</w:t>
      </w:r>
      <w:r w:rsidRPr="00AC4A54">
        <w:rPr>
          <w:rFonts w:ascii="David" w:hAnsi="David" w:cs="David"/>
          <w:sz w:val="24"/>
          <w:szCs w:val="24"/>
          <w:rtl/>
        </w:rPr>
        <w:t>?</w:t>
      </w:r>
    </w:p>
    <w:p w14:paraId="43211F5B" w14:textId="77777777" w:rsidR="00AC4A54" w:rsidRDefault="00AC4A54" w:rsidP="008856A7">
      <w:pPr>
        <w:spacing w:line="480" w:lineRule="auto"/>
        <w:rPr>
          <w:rFonts w:ascii="David" w:hAnsi="David" w:cs="David"/>
          <w:sz w:val="24"/>
          <w:szCs w:val="24"/>
          <w:rtl/>
        </w:rPr>
      </w:pPr>
    </w:p>
    <w:p w14:paraId="488280A3" w14:textId="0070A28C" w:rsidR="00293DE5" w:rsidRDefault="008105C3" w:rsidP="004E6FA0">
      <w:pPr>
        <w:spacing w:line="480" w:lineRule="auto"/>
        <w:rPr>
          <w:rFonts w:ascii="David" w:hAnsi="David" w:cs="David"/>
          <w:sz w:val="24"/>
          <w:szCs w:val="24"/>
          <w:rtl/>
        </w:rPr>
      </w:pPr>
      <w:r>
        <w:rPr>
          <w:rFonts w:ascii="David" w:hAnsi="David" w:cs="David" w:hint="cs"/>
          <w:sz w:val="24"/>
          <w:szCs w:val="24"/>
          <w:rtl/>
        </w:rPr>
        <w:t xml:space="preserve">מעדותו של בן בוכרי עולה כי </w:t>
      </w:r>
      <w:r w:rsidR="00FA061D">
        <w:rPr>
          <w:rFonts w:ascii="David" w:hAnsi="David" w:cs="David" w:hint="cs"/>
          <w:sz w:val="24"/>
          <w:szCs w:val="24"/>
          <w:rtl/>
        </w:rPr>
        <w:t>כהן ששילם את מחצית השקל, על אף שהוא פטור מן התשלום, נותן את שקלו כנדבה</w:t>
      </w:r>
      <w:r w:rsidR="00D33F5C">
        <w:rPr>
          <w:rFonts w:ascii="David" w:hAnsi="David" w:cs="David" w:hint="cs"/>
          <w:sz w:val="24"/>
          <w:szCs w:val="24"/>
          <w:rtl/>
        </w:rPr>
        <w:t>.</w:t>
      </w:r>
      <w:r w:rsidR="00FA061D">
        <w:rPr>
          <w:rFonts w:ascii="David" w:hAnsi="David" w:cs="David" w:hint="cs"/>
          <w:sz w:val="24"/>
          <w:szCs w:val="24"/>
          <w:rtl/>
        </w:rPr>
        <w:t xml:space="preserve"> כך עלול להראות כאילו קורבנות הציבור באים מנדבת היחיד</w:t>
      </w:r>
      <w:r w:rsidR="00C17FE0">
        <w:rPr>
          <w:rFonts w:ascii="David" w:hAnsi="David" w:cs="David" w:hint="cs"/>
          <w:sz w:val="24"/>
          <w:szCs w:val="24"/>
          <w:rtl/>
        </w:rPr>
        <w:t>,</w:t>
      </w:r>
      <w:r w:rsidR="00FA061D">
        <w:rPr>
          <w:rFonts w:ascii="David" w:hAnsi="David" w:cs="David" w:hint="cs"/>
          <w:sz w:val="24"/>
          <w:szCs w:val="24"/>
          <w:rtl/>
        </w:rPr>
        <w:t xml:space="preserve"> </w:t>
      </w:r>
      <w:r w:rsidR="00D41048">
        <w:rPr>
          <w:rFonts w:ascii="David" w:hAnsi="David" w:cs="David" w:hint="cs"/>
          <w:sz w:val="24"/>
          <w:szCs w:val="24"/>
          <w:rtl/>
        </w:rPr>
        <w:t xml:space="preserve">וזהו בדיוק </w:t>
      </w:r>
      <w:r w:rsidR="00FA061D">
        <w:rPr>
          <w:rFonts w:ascii="David" w:hAnsi="David" w:cs="David" w:hint="cs"/>
          <w:sz w:val="24"/>
          <w:szCs w:val="24"/>
          <w:rtl/>
        </w:rPr>
        <w:t>הדבר ש</w:t>
      </w:r>
      <w:r w:rsidR="00A6796D">
        <w:rPr>
          <w:rFonts w:ascii="David" w:hAnsi="David" w:cs="David" w:hint="cs"/>
          <w:sz w:val="24"/>
          <w:szCs w:val="24"/>
          <w:rtl/>
        </w:rPr>
        <w:t>א</w:t>
      </w:r>
      <w:r w:rsidR="00FA061D">
        <w:rPr>
          <w:rFonts w:ascii="David" w:hAnsi="David" w:cs="David" w:hint="cs"/>
          <w:sz w:val="24"/>
          <w:szCs w:val="24"/>
          <w:rtl/>
        </w:rPr>
        <w:t>ל</w:t>
      </w:r>
      <w:r w:rsidR="00A6796D">
        <w:rPr>
          <w:rFonts w:ascii="David" w:hAnsi="David" w:cs="David" w:hint="cs"/>
          <w:sz w:val="24"/>
          <w:szCs w:val="24"/>
          <w:rtl/>
        </w:rPr>
        <w:t>י</w:t>
      </w:r>
      <w:r w:rsidR="00FA061D">
        <w:rPr>
          <w:rFonts w:ascii="David" w:hAnsi="David" w:cs="David" w:hint="cs"/>
          <w:sz w:val="24"/>
          <w:szCs w:val="24"/>
          <w:rtl/>
        </w:rPr>
        <w:t xml:space="preserve">ו התנגדו הפרושים. למרות זאת, </w:t>
      </w:r>
      <w:r w:rsidR="00FE40CC">
        <w:rPr>
          <w:rFonts w:ascii="David" w:hAnsi="David" w:cs="David" w:hint="cs"/>
          <w:sz w:val="24"/>
          <w:szCs w:val="24"/>
          <w:rtl/>
        </w:rPr>
        <w:t xml:space="preserve">לשיטת בן בוכרי </w:t>
      </w:r>
      <w:r w:rsidR="00FA061D">
        <w:rPr>
          <w:rFonts w:ascii="David" w:hAnsi="David" w:cs="David" w:hint="cs"/>
          <w:sz w:val="24"/>
          <w:szCs w:val="24"/>
          <w:rtl/>
        </w:rPr>
        <w:t>אין הדבר חטא</w:t>
      </w:r>
      <w:r w:rsidR="00FE40CC">
        <w:rPr>
          <w:rFonts w:ascii="David" w:hAnsi="David" w:cs="David" w:hint="cs"/>
          <w:sz w:val="24"/>
          <w:szCs w:val="24"/>
          <w:rtl/>
        </w:rPr>
        <w:t xml:space="preserve"> (בעיני הפרושים)</w:t>
      </w:r>
      <w:r w:rsidR="00FA061D">
        <w:rPr>
          <w:rFonts w:ascii="David" w:hAnsi="David" w:cs="David" w:hint="cs"/>
          <w:sz w:val="24"/>
          <w:szCs w:val="24"/>
          <w:rtl/>
        </w:rPr>
        <w:t xml:space="preserve">, שכן </w:t>
      </w:r>
      <w:r w:rsidR="00C86CF2">
        <w:rPr>
          <w:rFonts w:ascii="David" w:hAnsi="David" w:cs="David" w:hint="cs"/>
          <w:sz w:val="24"/>
          <w:szCs w:val="24"/>
          <w:rtl/>
        </w:rPr>
        <w:t xml:space="preserve">ההנחה היא </w:t>
      </w:r>
      <w:r w:rsidR="00C17FE0">
        <w:rPr>
          <w:rFonts w:ascii="David" w:hAnsi="David" w:cs="David" w:hint="cs"/>
          <w:sz w:val="24"/>
          <w:szCs w:val="24"/>
          <w:rtl/>
        </w:rPr>
        <w:t>ש</w:t>
      </w:r>
      <w:r w:rsidR="00FA061D">
        <w:rPr>
          <w:rFonts w:ascii="David" w:hAnsi="David" w:cs="David" w:hint="cs"/>
          <w:sz w:val="24"/>
          <w:szCs w:val="24"/>
          <w:rtl/>
        </w:rPr>
        <w:t xml:space="preserve">הכהן מסר את שקלו לציבור במתנה גמורה כך התערבה תרומתו בתוך תרומות השקלים כולן, </w:t>
      </w:r>
      <w:r w:rsidR="00D645E7">
        <w:rPr>
          <w:rFonts w:ascii="David" w:hAnsi="David" w:cs="David" w:hint="cs"/>
          <w:sz w:val="24"/>
          <w:szCs w:val="24"/>
          <w:rtl/>
        </w:rPr>
        <w:t>ו</w:t>
      </w:r>
      <w:r w:rsidR="00C17FE0">
        <w:rPr>
          <w:rFonts w:ascii="David" w:hAnsi="David" w:cs="David" w:hint="cs"/>
          <w:sz w:val="24"/>
          <w:szCs w:val="24"/>
          <w:rtl/>
        </w:rPr>
        <w:t xml:space="preserve">על כן </w:t>
      </w:r>
      <w:r w:rsidR="00FA061D">
        <w:rPr>
          <w:rFonts w:ascii="David" w:hAnsi="David" w:cs="David" w:hint="cs"/>
          <w:sz w:val="24"/>
          <w:szCs w:val="24"/>
          <w:rtl/>
        </w:rPr>
        <w:t>קורבנות הציבור באי</w:t>
      </w:r>
      <w:r w:rsidR="007D24CA">
        <w:rPr>
          <w:rFonts w:ascii="David" w:hAnsi="David" w:cs="David" w:hint="cs"/>
          <w:sz w:val="24"/>
          <w:szCs w:val="24"/>
          <w:rtl/>
        </w:rPr>
        <w:t>ם</w:t>
      </w:r>
      <w:r w:rsidR="00FA061D">
        <w:rPr>
          <w:rFonts w:ascii="David" w:hAnsi="David" w:cs="David" w:hint="cs"/>
          <w:sz w:val="24"/>
          <w:szCs w:val="24"/>
          <w:rtl/>
        </w:rPr>
        <w:t xml:space="preserve"> משל הציבור ולא משל הכהן היחיד.</w:t>
      </w:r>
      <w:r w:rsidR="00FA061D">
        <w:rPr>
          <w:rStyle w:val="a5"/>
          <w:rFonts w:ascii="David" w:hAnsi="David" w:cs="David"/>
          <w:sz w:val="24"/>
          <w:szCs w:val="24"/>
          <w:rtl/>
        </w:rPr>
        <w:footnoteReference w:id="26"/>
      </w:r>
      <w:r w:rsidR="00FA061D">
        <w:rPr>
          <w:rFonts w:ascii="David" w:hAnsi="David" w:cs="David" w:hint="cs"/>
          <w:sz w:val="24"/>
          <w:szCs w:val="24"/>
          <w:rtl/>
        </w:rPr>
        <w:t xml:space="preserve"> </w:t>
      </w:r>
      <w:r w:rsidR="00C21F59">
        <w:rPr>
          <w:rFonts w:ascii="David" w:hAnsi="David" w:cs="David" w:hint="cs"/>
          <w:sz w:val="24"/>
          <w:szCs w:val="24"/>
          <w:rtl/>
        </w:rPr>
        <w:t xml:space="preserve">על תפיסה זו </w:t>
      </w:r>
      <w:r w:rsidR="00C21F59">
        <w:rPr>
          <w:rFonts w:ascii="David" w:hAnsi="David" w:cs="David" w:hint="cs"/>
          <w:sz w:val="24"/>
          <w:szCs w:val="24"/>
          <w:rtl/>
        </w:rPr>
        <w:lastRenderedPageBreak/>
        <w:t xml:space="preserve">מגיב </w:t>
      </w:r>
      <w:r w:rsidR="007D24CA">
        <w:rPr>
          <w:rFonts w:ascii="David" w:hAnsi="David" w:cs="David" w:hint="cs"/>
          <w:sz w:val="24"/>
          <w:szCs w:val="24"/>
          <w:rtl/>
        </w:rPr>
        <w:t xml:space="preserve">בחריפות </w:t>
      </w:r>
      <w:r w:rsidR="004E6FA0">
        <w:rPr>
          <w:rFonts w:ascii="David" w:hAnsi="David" w:cs="David" w:hint="cs"/>
          <w:sz w:val="24"/>
          <w:szCs w:val="24"/>
          <w:rtl/>
        </w:rPr>
        <w:t xml:space="preserve">רבן </w:t>
      </w:r>
      <w:r w:rsidR="00C21F59">
        <w:rPr>
          <w:rFonts w:ascii="David" w:hAnsi="David" w:cs="David" w:hint="cs"/>
          <w:sz w:val="24"/>
          <w:szCs w:val="24"/>
          <w:rtl/>
        </w:rPr>
        <w:t>יוחנן בן זכאי</w:t>
      </w:r>
      <w:r w:rsidR="004E6FA0">
        <w:rPr>
          <w:rFonts w:ascii="David" w:hAnsi="David" w:cs="David" w:hint="cs"/>
          <w:sz w:val="24"/>
          <w:szCs w:val="24"/>
          <w:rtl/>
        </w:rPr>
        <w:t>,</w:t>
      </w:r>
      <w:r w:rsidR="00C21F59">
        <w:rPr>
          <w:rFonts w:ascii="David" w:hAnsi="David" w:cs="David" w:hint="cs"/>
          <w:sz w:val="24"/>
          <w:szCs w:val="24"/>
          <w:rtl/>
        </w:rPr>
        <w:t xml:space="preserve"> </w:t>
      </w:r>
      <w:r w:rsidR="004E6FA0">
        <w:rPr>
          <w:rFonts w:ascii="David" w:hAnsi="David" w:cs="David" w:hint="cs"/>
          <w:sz w:val="24"/>
          <w:szCs w:val="24"/>
          <w:rtl/>
        </w:rPr>
        <w:t>ש</w:t>
      </w:r>
      <w:r w:rsidR="008818BD">
        <w:rPr>
          <w:rFonts w:ascii="David" w:hAnsi="David" w:cs="David" w:hint="cs"/>
          <w:sz w:val="24"/>
          <w:szCs w:val="24"/>
          <w:rtl/>
        </w:rPr>
        <w:t>אינו מוכן להסתפק בהשארת תשלום מחצית השקל להכרע</w:t>
      </w:r>
      <w:r w:rsidR="000425A9">
        <w:rPr>
          <w:rFonts w:ascii="David" w:hAnsi="David" w:cs="David" w:hint="cs"/>
          <w:sz w:val="24"/>
          <w:szCs w:val="24"/>
          <w:rtl/>
        </w:rPr>
        <w:t>תו</w:t>
      </w:r>
      <w:r w:rsidR="008818BD">
        <w:rPr>
          <w:rFonts w:ascii="David" w:hAnsi="David" w:cs="David" w:hint="cs"/>
          <w:sz w:val="24"/>
          <w:szCs w:val="24"/>
          <w:rtl/>
        </w:rPr>
        <w:t xml:space="preserve"> </w:t>
      </w:r>
      <w:r w:rsidR="000425A9">
        <w:rPr>
          <w:rFonts w:ascii="David" w:hAnsi="David" w:cs="David" w:hint="cs"/>
          <w:sz w:val="24"/>
          <w:szCs w:val="24"/>
          <w:rtl/>
        </w:rPr>
        <w:t>ה</w:t>
      </w:r>
      <w:r w:rsidR="008818BD">
        <w:rPr>
          <w:rFonts w:ascii="David" w:hAnsi="David" w:cs="David" w:hint="cs"/>
          <w:sz w:val="24"/>
          <w:szCs w:val="24"/>
          <w:rtl/>
        </w:rPr>
        <w:t xml:space="preserve">אישית (התנדבות) של הכהן. </w:t>
      </w:r>
      <w:proofErr w:type="spellStart"/>
      <w:r w:rsidR="00C17FE0">
        <w:rPr>
          <w:rFonts w:ascii="David" w:hAnsi="David" w:cs="David" w:hint="cs"/>
          <w:sz w:val="24"/>
          <w:szCs w:val="24"/>
          <w:rtl/>
        </w:rPr>
        <w:t>ריב"ז</w:t>
      </w:r>
      <w:proofErr w:type="spellEnd"/>
      <w:r w:rsidR="00C17FE0">
        <w:rPr>
          <w:rFonts w:ascii="David" w:hAnsi="David" w:cs="David" w:hint="cs"/>
          <w:sz w:val="24"/>
          <w:szCs w:val="24"/>
          <w:rtl/>
        </w:rPr>
        <w:t xml:space="preserve"> </w:t>
      </w:r>
      <w:r w:rsidR="00C21F59">
        <w:rPr>
          <w:rFonts w:ascii="David" w:hAnsi="David" w:cs="David" w:hint="cs"/>
          <w:sz w:val="24"/>
          <w:szCs w:val="24"/>
          <w:rtl/>
        </w:rPr>
        <w:t xml:space="preserve">משנה את נוסח הדברים </w:t>
      </w:r>
      <w:r w:rsidR="00EF0A3F">
        <w:rPr>
          <w:rFonts w:ascii="David" w:hAnsi="David" w:cs="David" w:hint="cs"/>
          <w:sz w:val="24"/>
          <w:szCs w:val="24"/>
          <w:rtl/>
        </w:rPr>
        <w:t>ו</w:t>
      </w:r>
      <w:r w:rsidR="007D24CA">
        <w:rPr>
          <w:rFonts w:ascii="David" w:hAnsi="David" w:cs="David" w:hint="cs"/>
          <w:sz w:val="24"/>
          <w:szCs w:val="24"/>
          <w:rtl/>
        </w:rPr>
        <w:t>מתאים אותם ל</w:t>
      </w:r>
      <w:r w:rsidR="00C21F59">
        <w:rPr>
          <w:rFonts w:ascii="David" w:hAnsi="David" w:cs="David" w:hint="cs"/>
          <w:sz w:val="24"/>
          <w:szCs w:val="24"/>
          <w:rtl/>
        </w:rPr>
        <w:t xml:space="preserve">שיטתם של </w:t>
      </w:r>
      <w:r w:rsidR="00D33534">
        <w:rPr>
          <w:rFonts w:ascii="David" w:hAnsi="David" w:cs="David" w:hint="cs"/>
          <w:sz w:val="24"/>
          <w:szCs w:val="24"/>
          <w:rtl/>
        </w:rPr>
        <w:t>ה</w:t>
      </w:r>
      <w:r w:rsidR="00C21F59">
        <w:rPr>
          <w:rFonts w:ascii="David" w:hAnsi="David" w:cs="David" w:hint="cs"/>
          <w:sz w:val="24"/>
          <w:szCs w:val="24"/>
          <w:rtl/>
        </w:rPr>
        <w:t>חכמים</w:t>
      </w:r>
      <w:r w:rsidR="00D33534">
        <w:rPr>
          <w:rFonts w:ascii="David" w:hAnsi="David" w:cs="David" w:hint="cs"/>
          <w:sz w:val="24"/>
          <w:szCs w:val="24"/>
          <w:rtl/>
        </w:rPr>
        <w:t>.</w:t>
      </w:r>
      <w:r w:rsidR="00C21F59">
        <w:rPr>
          <w:rFonts w:ascii="David" w:hAnsi="David" w:cs="David" w:hint="cs"/>
          <w:sz w:val="24"/>
          <w:szCs w:val="24"/>
          <w:rtl/>
        </w:rPr>
        <w:t xml:space="preserve"> ל</w:t>
      </w:r>
      <w:r w:rsidR="00D33534">
        <w:rPr>
          <w:rFonts w:ascii="David" w:hAnsi="David" w:cs="David" w:hint="cs"/>
          <w:sz w:val="24"/>
          <w:szCs w:val="24"/>
          <w:rtl/>
        </w:rPr>
        <w:t>דבריו</w:t>
      </w:r>
      <w:r w:rsidR="0048464C">
        <w:rPr>
          <w:rFonts w:ascii="David" w:hAnsi="David" w:cs="David" w:hint="cs"/>
          <w:sz w:val="24"/>
          <w:szCs w:val="24"/>
          <w:rtl/>
        </w:rPr>
        <w:t>,</w:t>
      </w:r>
      <w:r w:rsidR="00C21F59">
        <w:rPr>
          <w:rFonts w:ascii="David" w:hAnsi="David" w:cs="David" w:hint="cs"/>
          <w:sz w:val="24"/>
          <w:szCs w:val="24"/>
          <w:rtl/>
        </w:rPr>
        <w:t xml:space="preserve"> התחמקות </w:t>
      </w:r>
      <w:proofErr w:type="spellStart"/>
      <w:r w:rsidR="00C21F59">
        <w:rPr>
          <w:rFonts w:ascii="David" w:hAnsi="David" w:cs="David" w:hint="cs"/>
          <w:sz w:val="24"/>
          <w:szCs w:val="24"/>
          <w:rtl/>
        </w:rPr>
        <w:t>הכהנים</w:t>
      </w:r>
      <w:proofErr w:type="spellEnd"/>
      <w:r w:rsidR="00C21F59">
        <w:rPr>
          <w:rFonts w:ascii="David" w:hAnsi="David" w:cs="David" w:hint="cs"/>
          <w:sz w:val="24"/>
          <w:szCs w:val="24"/>
          <w:rtl/>
        </w:rPr>
        <w:t xml:space="preserve"> מתשלום המס</w:t>
      </w:r>
      <w:r w:rsidR="00C17FE0">
        <w:rPr>
          <w:rFonts w:ascii="David" w:hAnsi="David" w:cs="David" w:hint="cs"/>
          <w:sz w:val="24"/>
          <w:szCs w:val="24"/>
          <w:rtl/>
        </w:rPr>
        <w:t>,</w:t>
      </w:r>
      <w:r w:rsidR="00C21F59">
        <w:rPr>
          <w:rFonts w:ascii="David" w:hAnsi="David" w:cs="David" w:hint="cs"/>
          <w:sz w:val="24"/>
          <w:szCs w:val="24"/>
          <w:rtl/>
        </w:rPr>
        <w:t xml:space="preserve"> והוצאתם את עצמם מ</w:t>
      </w:r>
      <w:r w:rsidR="00A952D3">
        <w:rPr>
          <w:rFonts w:ascii="David" w:hAnsi="David" w:cs="David" w:hint="cs"/>
          <w:sz w:val="24"/>
          <w:szCs w:val="24"/>
          <w:rtl/>
        </w:rPr>
        <w:t>כלל</w:t>
      </w:r>
      <w:r w:rsidR="00C21F59">
        <w:rPr>
          <w:rFonts w:ascii="David" w:hAnsi="David" w:cs="David" w:hint="cs"/>
          <w:sz w:val="24"/>
          <w:szCs w:val="24"/>
          <w:rtl/>
        </w:rPr>
        <w:t xml:space="preserve"> הציבור</w:t>
      </w:r>
      <w:r w:rsidR="00C17FE0">
        <w:rPr>
          <w:rFonts w:ascii="David" w:hAnsi="David" w:cs="David" w:hint="cs"/>
          <w:sz w:val="24"/>
          <w:szCs w:val="24"/>
          <w:rtl/>
        </w:rPr>
        <w:t>,</w:t>
      </w:r>
      <w:r w:rsidR="00C21F59">
        <w:rPr>
          <w:rFonts w:ascii="David" w:hAnsi="David" w:cs="David" w:hint="cs"/>
          <w:sz w:val="24"/>
          <w:szCs w:val="24"/>
          <w:rtl/>
        </w:rPr>
        <w:t xml:space="preserve"> </w:t>
      </w:r>
      <w:r w:rsidR="002C6EC5">
        <w:rPr>
          <w:rFonts w:ascii="David" w:hAnsi="David" w:cs="David" w:hint="cs"/>
          <w:sz w:val="24"/>
          <w:szCs w:val="24"/>
          <w:rtl/>
        </w:rPr>
        <w:t xml:space="preserve">מהווה </w:t>
      </w:r>
      <w:r w:rsidR="00C21F59">
        <w:rPr>
          <w:rFonts w:ascii="David" w:hAnsi="David" w:cs="David" w:hint="cs"/>
          <w:sz w:val="24"/>
          <w:szCs w:val="24"/>
          <w:rtl/>
        </w:rPr>
        <w:t xml:space="preserve">חטא. </w:t>
      </w:r>
      <w:r w:rsidR="002C6EC5">
        <w:rPr>
          <w:rFonts w:ascii="David" w:hAnsi="David" w:cs="David" w:hint="cs"/>
          <w:sz w:val="24"/>
          <w:szCs w:val="24"/>
          <w:rtl/>
        </w:rPr>
        <w:t xml:space="preserve">באותה נשימה </w:t>
      </w:r>
      <w:r w:rsidR="00C21F59">
        <w:rPr>
          <w:rFonts w:ascii="David" w:hAnsi="David" w:cs="David" w:hint="cs"/>
          <w:sz w:val="24"/>
          <w:szCs w:val="24"/>
          <w:rtl/>
        </w:rPr>
        <w:t xml:space="preserve">מביא </w:t>
      </w:r>
      <w:proofErr w:type="spellStart"/>
      <w:r w:rsidR="00C21F59">
        <w:rPr>
          <w:rFonts w:ascii="David" w:hAnsi="David" w:cs="David" w:hint="cs"/>
          <w:sz w:val="24"/>
          <w:szCs w:val="24"/>
          <w:rtl/>
        </w:rPr>
        <w:t>ריב"ז</w:t>
      </w:r>
      <w:proofErr w:type="spellEnd"/>
      <w:r w:rsidR="00C21F59">
        <w:rPr>
          <w:rFonts w:ascii="David" w:hAnsi="David" w:cs="David" w:hint="cs"/>
          <w:sz w:val="24"/>
          <w:szCs w:val="24"/>
          <w:rtl/>
        </w:rPr>
        <w:t xml:space="preserve"> את הנמקתם של </w:t>
      </w:r>
      <w:proofErr w:type="spellStart"/>
      <w:r w:rsidR="00C21F59">
        <w:rPr>
          <w:rFonts w:ascii="David" w:hAnsi="David" w:cs="David" w:hint="cs"/>
          <w:sz w:val="24"/>
          <w:szCs w:val="24"/>
          <w:rtl/>
        </w:rPr>
        <w:t>הכהנים</w:t>
      </w:r>
      <w:proofErr w:type="spellEnd"/>
      <w:r w:rsidR="006942AA">
        <w:rPr>
          <w:rFonts w:ascii="David" w:hAnsi="David" w:cs="David" w:hint="cs"/>
          <w:sz w:val="24"/>
          <w:szCs w:val="24"/>
          <w:rtl/>
        </w:rPr>
        <w:t xml:space="preserve"> </w:t>
      </w:r>
      <w:r w:rsidR="00D645E7">
        <w:rPr>
          <w:rFonts w:ascii="David" w:hAnsi="David" w:cs="David" w:hint="cs"/>
          <w:sz w:val="24"/>
          <w:szCs w:val="24"/>
          <w:rtl/>
        </w:rPr>
        <w:t>לשיטתם</w:t>
      </w:r>
      <w:r w:rsidR="008818BD">
        <w:rPr>
          <w:rFonts w:ascii="David" w:hAnsi="David" w:cs="David" w:hint="cs"/>
          <w:sz w:val="24"/>
          <w:szCs w:val="24"/>
          <w:rtl/>
        </w:rPr>
        <w:t>:</w:t>
      </w:r>
      <w:r w:rsidR="00C21F59">
        <w:rPr>
          <w:rFonts w:ascii="David" w:hAnsi="David" w:cs="David" w:hint="cs"/>
          <w:sz w:val="24"/>
          <w:szCs w:val="24"/>
          <w:rtl/>
        </w:rPr>
        <w:t xml:space="preserve"> </w:t>
      </w:r>
      <w:proofErr w:type="spellStart"/>
      <w:r w:rsidR="00C21F59">
        <w:rPr>
          <w:rFonts w:ascii="David" w:hAnsi="David" w:cs="David" w:hint="cs"/>
          <w:sz w:val="24"/>
          <w:szCs w:val="24"/>
          <w:rtl/>
        </w:rPr>
        <w:t>הכהנים</w:t>
      </w:r>
      <w:proofErr w:type="spellEnd"/>
      <w:r w:rsidR="00C21F59">
        <w:rPr>
          <w:rFonts w:ascii="David" w:hAnsi="David" w:cs="David" w:hint="cs"/>
          <w:sz w:val="24"/>
          <w:szCs w:val="24"/>
          <w:rtl/>
        </w:rPr>
        <w:t xml:space="preserve"> דורשים את הפסוק </w:t>
      </w:r>
      <w:proofErr w:type="spellStart"/>
      <w:r w:rsidR="00C21F59">
        <w:rPr>
          <w:rFonts w:ascii="David" w:hAnsi="David" w:cs="David" w:hint="cs"/>
          <w:sz w:val="24"/>
          <w:szCs w:val="24"/>
          <w:rtl/>
        </w:rPr>
        <w:t>מויקרא</w:t>
      </w:r>
      <w:proofErr w:type="spellEnd"/>
      <w:r w:rsidR="00C21F59">
        <w:rPr>
          <w:rFonts w:ascii="David" w:hAnsi="David" w:cs="David" w:hint="cs"/>
          <w:sz w:val="24"/>
          <w:szCs w:val="24"/>
          <w:rtl/>
        </w:rPr>
        <w:t xml:space="preserve"> ו, </w:t>
      </w:r>
      <w:proofErr w:type="spellStart"/>
      <w:r w:rsidR="00C21F59">
        <w:rPr>
          <w:rFonts w:ascii="David" w:hAnsi="David" w:cs="David" w:hint="cs"/>
          <w:sz w:val="24"/>
          <w:szCs w:val="24"/>
          <w:rtl/>
        </w:rPr>
        <w:t>טז</w:t>
      </w:r>
      <w:proofErr w:type="spellEnd"/>
      <w:r w:rsidR="00AA1788">
        <w:rPr>
          <w:rFonts w:ascii="David" w:hAnsi="David" w:cs="David" w:hint="cs"/>
          <w:sz w:val="24"/>
          <w:szCs w:val="24"/>
          <w:rtl/>
        </w:rPr>
        <w:t>:</w:t>
      </w:r>
      <w:r w:rsidR="002F2571">
        <w:rPr>
          <w:rFonts w:ascii="David" w:hAnsi="David" w:cs="David" w:hint="cs"/>
          <w:sz w:val="24"/>
          <w:szCs w:val="24"/>
          <w:rtl/>
        </w:rPr>
        <w:t xml:space="preserve"> </w:t>
      </w:r>
      <w:r w:rsidR="002F2571" w:rsidRPr="002F2571">
        <w:rPr>
          <w:rFonts w:asciiTheme="majorBidi" w:hAnsiTheme="majorBidi" w:cstheme="majorBidi"/>
          <w:sz w:val="24"/>
          <w:szCs w:val="24"/>
        </w:rPr>
        <w:t>“</w:t>
      </w:r>
      <w:r w:rsidR="00994D0E">
        <w:rPr>
          <w:rFonts w:asciiTheme="majorBidi" w:hAnsiTheme="majorBidi" w:cstheme="majorBidi"/>
          <w:sz w:val="24"/>
          <w:szCs w:val="24"/>
        </w:rPr>
        <w:t>So, too, every meal offering of a priest shall be a whole offering: it shall not be eaten</w:t>
      </w:r>
      <w:r w:rsidR="002F2571" w:rsidRPr="002F2571">
        <w:rPr>
          <w:rFonts w:asciiTheme="majorBidi" w:hAnsiTheme="majorBidi" w:cstheme="majorBidi"/>
          <w:sz w:val="24"/>
          <w:szCs w:val="24"/>
        </w:rPr>
        <w:t>”</w:t>
      </w:r>
      <w:r w:rsidR="002F2571" w:rsidRPr="002F2571">
        <w:rPr>
          <w:rFonts w:asciiTheme="majorBidi" w:hAnsiTheme="majorBidi" w:cstheme="majorBidi"/>
          <w:sz w:val="24"/>
          <w:szCs w:val="24"/>
          <w:rtl/>
        </w:rPr>
        <w:t>.</w:t>
      </w:r>
      <w:r w:rsidR="008818BD">
        <w:rPr>
          <w:rFonts w:ascii="David" w:hAnsi="David" w:cs="David" w:hint="cs"/>
          <w:sz w:val="24"/>
          <w:szCs w:val="24"/>
          <w:rtl/>
        </w:rPr>
        <w:t xml:space="preserve"> לפי הפסוק מנחות הכוהנים נשרפות כליל </w:t>
      </w:r>
      <w:r w:rsidR="002C6EC5">
        <w:rPr>
          <w:rFonts w:ascii="David" w:hAnsi="David" w:cs="David" w:hint="cs"/>
          <w:sz w:val="24"/>
          <w:szCs w:val="24"/>
          <w:rtl/>
        </w:rPr>
        <w:t xml:space="preserve">על המזבח </w:t>
      </w:r>
      <w:r w:rsidR="008818BD">
        <w:rPr>
          <w:rFonts w:ascii="David" w:hAnsi="David" w:cs="David" w:hint="cs"/>
          <w:sz w:val="24"/>
          <w:szCs w:val="24"/>
          <w:rtl/>
        </w:rPr>
        <w:t xml:space="preserve">ואינן נאכלות (על ידי </w:t>
      </w:r>
      <w:proofErr w:type="spellStart"/>
      <w:r w:rsidR="008818BD">
        <w:rPr>
          <w:rFonts w:ascii="David" w:hAnsi="David" w:cs="David" w:hint="cs"/>
          <w:sz w:val="24"/>
          <w:szCs w:val="24"/>
          <w:rtl/>
        </w:rPr>
        <w:t>הכהנים</w:t>
      </w:r>
      <w:proofErr w:type="spellEnd"/>
      <w:r w:rsidR="008818BD">
        <w:rPr>
          <w:rFonts w:ascii="David" w:hAnsi="David" w:cs="David" w:hint="cs"/>
          <w:sz w:val="24"/>
          <w:szCs w:val="24"/>
          <w:rtl/>
        </w:rPr>
        <w:t xml:space="preserve">). לעומתן, מנחות הבאות משקלי הציבור, כגון </w:t>
      </w:r>
      <w:r w:rsidR="00077A92">
        <w:rPr>
          <w:rFonts w:ascii="SBL Greek" w:hAnsi="SBL Greek" w:cs="David"/>
          <w:sz w:val="24"/>
          <w:szCs w:val="24"/>
        </w:rPr>
        <w:t>“</w:t>
      </w:r>
      <w:r w:rsidR="00077A92" w:rsidRPr="00077A92">
        <w:rPr>
          <w:rFonts w:ascii="David" w:hAnsi="David" w:cs="David"/>
          <w:sz w:val="24"/>
          <w:szCs w:val="24"/>
        </w:rPr>
        <w:t>the</w:t>
      </w:r>
      <w:r w:rsidR="00B65E86">
        <w:rPr>
          <w:rFonts w:ascii="David" w:hAnsi="David" w:cs="David"/>
          <w:sz w:val="24"/>
          <w:szCs w:val="24"/>
        </w:rPr>
        <w:t xml:space="preserve"> first</w:t>
      </w:r>
      <w:r w:rsidR="00077A92" w:rsidRPr="00077A92">
        <w:rPr>
          <w:rFonts w:ascii="David" w:hAnsi="David" w:cs="David"/>
          <w:sz w:val="24"/>
          <w:szCs w:val="24"/>
        </w:rPr>
        <w:t xml:space="preserve"> sheaf of </w:t>
      </w:r>
      <w:r w:rsidR="00B65E86">
        <w:rPr>
          <w:rFonts w:ascii="David" w:hAnsi="David" w:cs="David"/>
          <w:sz w:val="24"/>
          <w:szCs w:val="24"/>
        </w:rPr>
        <w:t xml:space="preserve">your </w:t>
      </w:r>
      <w:r w:rsidR="00077A92" w:rsidRPr="00077A92">
        <w:rPr>
          <w:rFonts w:ascii="David" w:hAnsi="David" w:cs="David"/>
          <w:sz w:val="24"/>
          <w:szCs w:val="24"/>
        </w:rPr>
        <w:t>Harvest</w:t>
      </w:r>
      <w:r w:rsidR="00077A92">
        <w:rPr>
          <w:rFonts w:ascii="SBL Greek" w:hAnsi="SBL Greek" w:cs="David"/>
          <w:sz w:val="24"/>
          <w:szCs w:val="24"/>
        </w:rPr>
        <w:t>”</w:t>
      </w:r>
      <w:r w:rsidR="00077A92">
        <w:rPr>
          <w:rFonts w:ascii="David" w:hAnsi="David" w:cs="David"/>
          <w:sz w:val="24"/>
          <w:szCs w:val="24"/>
        </w:rPr>
        <w:t>,</w:t>
      </w:r>
      <w:r w:rsidR="00C6169B">
        <w:rPr>
          <w:rFonts w:ascii="David" w:hAnsi="David" w:cs="David"/>
          <w:sz w:val="24"/>
          <w:szCs w:val="24"/>
        </w:rPr>
        <w:t xml:space="preserve"> </w:t>
      </w:r>
      <w:r w:rsidR="00071123">
        <w:rPr>
          <w:rFonts w:ascii="SBL Greek" w:hAnsi="SBL Greek" w:cs="David"/>
          <w:sz w:val="24"/>
          <w:szCs w:val="24"/>
        </w:rPr>
        <w:t>“</w:t>
      </w:r>
      <w:r w:rsidR="00C6169B">
        <w:rPr>
          <w:rFonts w:ascii="David" w:hAnsi="David" w:cs="David"/>
          <w:sz w:val="24"/>
          <w:szCs w:val="24"/>
        </w:rPr>
        <w:t>the</w:t>
      </w:r>
      <w:r w:rsidR="00077A92" w:rsidRPr="00077A92">
        <w:rPr>
          <w:rFonts w:ascii="David" w:hAnsi="David" w:cs="David"/>
          <w:sz w:val="24"/>
          <w:szCs w:val="24"/>
        </w:rPr>
        <w:t xml:space="preserve"> two loaves</w:t>
      </w:r>
      <w:r w:rsidR="00B65E86">
        <w:rPr>
          <w:rFonts w:ascii="David" w:hAnsi="David" w:cs="David"/>
          <w:sz w:val="24"/>
          <w:szCs w:val="24"/>
        </w:rPr>
        <w:t xml:space="preserve"> of bread</w:t>
      </w:r>
      <w:r w:rsidR="00C6169B">
        <w:rPr>
          <w:rFonts w:ascii="SBL Greek" w:hAnsi="SBL Greek" w:cs="David"/>
          <w:sz w:val="24"/>
          <w:szCs w:val="24"/>
        </w:rPr>
        <w:t>”</w:t>
      </w:r>
      <w:r w:rsidR="00C6169B">
        <w:rPr>
          <w:rFonts w:ascii="David" w:hAnsi="David" w:cs="David"/>
          <w:sz w:val="24"/>
          <w:szCs w:val="24"/>
        </w:rPr>
        <w:t xml:space="preserve"> and </w:t>
      </w:r>
      <w:r w:rsidR="00C6169B">
        <w:rPr>
          <w:rFonts w:ascii="SBL Greek" w:hAnsi="SBL Greek" w:cs="David"/>
          <w:sz w:val="24"/>
          <w:szCs w:val="24"/>
        </w:rPr>
        <w:t>“</w:t>
      </w:r>
      <w:r w:rsidR="00C6169B">
        <w:rPr>
          <w:rFonts w:ascii="David" w:hAnsi="David" w:cs="David"/>
          <w:sz w:val="24"/>
          <w:szCs w:val="24"/>
        </w:rPr>
        <w:t>the</w:t>
      </w:r>
      <w:r w:rsidR="00B65E86">
        <w:rPr>
          <w:rFonts w:ascii="David" w:hAnsi="David" w:cs="David"/>
          <w:sz w:val="24"/>
          <w:szCs w:val="24"/>
        </w:rPr>
        <w:t xml:space="preserve"> </w:t>
      </w:r>
      <w:r w:rsidR="00994D0E">
        <w:rPr>
          <w:rFonts w:ascii="SBL Greek" w:hAnsi="SBL Greek" w:cs="David"/>
          <w:sz w:val="24"/>
          <w:szCs w:val="24"/>
        </w:rPr>
        <w:t>bread of display</w:t>
      </w:r>
      <w:r w:rsidR="00C6169B">
        <w:rPr>
          <w:rFonts w:ascii="SBL Greek" w:hAnsi="SBL Greek" w:cs="David"/>
          <w:sz w:val="24"/>
          <w:szCs w:val="24"/>
        </w:rPr>
        <w:t>”</w:t>
      </w:r>
      <w:r w:rsidR="00C6169B">
        <w:rPr>
          <w:rFonts w:ascii="David" w:hAnsi="David" w:cs="David"/>
          <w:sz w:val="24"/>
          <w:szCs w:val="24"/>
        </w:rPr>
        <w:t xml:space="preserve"> </w:t>
      </w:r>
      <w:r w:rsidR="00C6169B">
        <w:rPr>
          <w:rFonts w:ascii="David" w:hAnsi="David" w:cs="David" w:hint="cs"/>
          <w:sz w:val="24"/>
          <w:szCs w:val="24"/>
          <w:rtl/>
        </w:rPr>
        <w:t xml:space="preserve"> </w:t>
      </w:r>
      <w:r w:rsidR="008818BD">
        <w:rPr>
          <w:rFonts w:ascii="David" w:hAnsi="David" w:cs="David" w:hint="cs"/>
          <w:sz w:val="24"/>
          <w:szCs w:val="24"/>
          <w:rtl/>
        </w:rPr>
        <w:t>(</w:t>
      </w:r>
      <w:r w:rsidR="00C6169B">
        <w:rPr>
          <w:rFonts w:ascii="David" w:hAnsi="David" w:cs="David" w:hint="cs"/>
          <w:sz w:val="24"/>
          <w:szCs w:val="24"/>
          <w:rtl/>
        </w:rPr>
        <w:t>שמות כה</w:t>
      </w:r>
      <w:r w:rsidR="00D650A3">
        <w:rPr>
          <w:rFonts w:ascii="David" w:hAnsi="David" w:cs="David" w:hint="cs"/>
          <w:sz w:val="24"/>
          <w:szCs w:val="24"/>
          <w:rtl/>
        </w:rPr>
        <w:t xml:space="preserve">, ל; </w:t>
      </w:r>
      <w:r w:rsidR="008818BD">
        <w:rPr>
          <w:rFonts w:ascii="David" w:hAnsi="David" w:cs="David" w:hint="cs"/>
          <w:sz w:val="24"/>
          <w:szCs w:val="24"/>
          <w:rtl/>
        </w:rPr>
        <w:t xml:space="preserve">ויקרא </w:t>
      </w:r>
      <w:proofErr w:type="spellStart"/>
      <w:r w:rsidR="008818BD">
        <w:rPr>
          <w:rFonts w:ascii="David" w:hAnsi="David" w:cs="David" w:hint="cs"/>
          <w:sz w:val="24"/>
          <w:szCs w:val="24"/>
          <w:rtl/>
        </w:rPr>
        <w:t>כג</w:t>
      </w:r>
      <w:proofErr w:type="spellEnd"/>
      <w:r w:rsidR="008818BD">
        <w:rPr>
          <w:rFonts w:ascii="David" w:hAnsi="David" w:cs="David" w:hint="cs"/>
          <w:sz w:val="24"/>
          <w:szCs w:val="24"/>
          <w:rtl/>
        </w:rPr>
        <w:t xml:space="preserve">, י-יא; </w:t>
      </w:r>
      <w:proofErr w:type="spellStart"/>
      <w:r w:rsidR="008818BD">
        <w:rPr>
          <w:rFonts w:ascii="David" w:hAnsi="David" w:cs="David" w:hint="cs"/>
          <w:sz w:val="24"/>
          <w:szCs w:val="24"/>
          <w:rtl/>
        </w:rPr>
        <w:t>טז-יז</w:t>
      </w:r>
      <w:proofErr w:type="spellEnd"/>
      <w:r w:rsidR="008818BD">
        <w:rPr>
          <w:rFonts w:ascii="David" w:hAnsi="David" w:cs="David" w:hint="cs"/>
          <w:sz w:val="24"/>
          <w:szCs w:val="24"/>
          <w:rtl/>
        </w:rPr>
        <w:t>)</w:t>
      </w:r>
      <w:r w:rsidR="00C21F59">
        <w:rPr>
          <w:rFonts w:ascii="David" w:hAnsi="David" w:cs="David" w:hint="cs"/>
          <w:sz w:val="24"/>
          <w:szCs w:val="24"/>
          <w:rtl/>
        </w:rPr>
        <w:t xml:space="preserve"> </w:t>
      </w:r>
      <w:r w:rsidR="008818BD">
        <w:rPr>
          <w:rFonts w:ascii="David" w:hAnsi="David" w:cs="David" w:hint="cs"/>
          <w:sz w:val="24"/>
          <w:szCs w:val="24"/>
          <w:rtl/>
        </w:rPr>
        <w:t xml:space="preserve">הן מנחות שניתנות למאכל </w:t>
      </w:r>
      <w:proofErr w:type="spellStart"/>
      <w:r w:rsidR="008818BD">
        <w:rPr>
          <w:rFonts w:ascii="David" w:hAnsi="David" w:cs="David" w:hint="cs"/>
          <w:sz w:val="24"/>
          <w:szCs w:val="24"/>
          <w:rtl/>
        </w:rPr>
        <w:t>לכהנים</w:t>
      </w:r>
      <w:proofErr w:type="spellEnd"/>
      <w:r w:rsidR="008818BD">
        <w:rPr>
          <w:rFonts w:ascii="David" w:hAnsi="David" w:cs="David" w:hint="cs"/>
          <w:sz w:val="24"/>
          <w:szCs w:val="24"/>
          <w:rtl/>
        </w:rPr>
        <w:t xml:space="preserve">. העובדה כי הפסוק מגדיר את </w:t>
      </w:r>
      <w:proofErr w:type="spellStart"/>
      <w:r w:rsidR="008818BD">
        <w:rPr>
          <w:rFonts w:ascii="David" w:hAnsi="David" w:cs="David" w:hint="cs"/>
          <w:sz w:val="24"/>
          <w:szCs w:val="24"/>
          <w:rtl/>
        </w:rPr>
        <w:t>קרבנות</w:t>
      </w:r>
      <w:proofErr w:type="spellEnd"/>
      <w:r w:rsidR="008818BD">
        <w:rPr>
          <w:rFonts w:ascii="David" w:hAnsi="David" w:cs="David" w:hint="cs"/>
          <w:sz w:val="24"/>
          <w:szCs w:val="24"/>
          <w:rtl/>
        </w:rPr>
        <w:t xml:space="preserve"> הציבור </w:t>
      </w:r>
      <w:r w:rsidR="002B2038">
        <w:rPr>
          <w:rFonts w:ascii="David" w:hAnsi="David" w:cs="David" w:hint="cs"/>
          <w:sz w:val="24"/>
          <w:szCs w:val="24"/>
          <w:rtl/>
        </w:rPr>
        <w:t xml:space="preserve">הללו </w:t>
      </w:r>
      <w:proofErr w:type="spellStart"/>
      <w:r w:rsidR="008818BD">
        <w:rPr>
          <w:rFonts w:ascii="David" w:hAnsi="David" w:cs="David" w:hint="cs"/>
          <w:sz w:val="24"/>
          <w:szCs w:val="24"/>
          <w:rtl/>
        </w:rPr>
        <w:t>כקרבנות</w:t>
      </w:r>
      <w:proofErr w:type="spellEnd"/>
      <w:r w:rsidR="008818BD">
        <w:rPr>
          <w:rFonts w:ascii="David" w:hAnsi="David" w:cs="David" w:hint="cs"/>
          <w:sz w:val="24"/>
          <w:szCs w:val="24"/>
          <w:rtl/>
        </w:rPr>
        <w:t xml:space="preserve"> שמיועדים לאכילת </w:t>
      </w:r>
      <w:proofErr w:type="spellStart"/>
      <w:r w:rsidR="008818BD">
        <w:rPr>
          <w:rFonts w:ascii="David" w:hAnsi="David" w:cs="David" w:hint="cs"/>
          <w:sz w:val="24"/>
          <w:szCs w:val="24"/>
          <w:rtl/>
        </w:rPr>
        <w:t>הכהנים</w:t>
      </w:r>
      <w:proofErr w:type="spellEnd"/>
      <w:r w:rsidR="008818BD">
        <w:rPr>
          <w:rFonts w:ascii="David" w:hAnsi="David" w:cs="David" w:hint="cs"/>
          <w:sz w:val="24"/>
          <w:szCs w:val="24"/>
          <w:rtl/>
        </w:rPr>
        <w:t xml:space="preserve"> </w:t>
      </w:r>
      <w:r w:rsidR="002B2038">
        <w:rPr>
          <w:rFonts w:ascii="David" w:hAnsi="David" w:cs="David" w:hint="cs"/>
          <w:sz w:val="24"/>
          <w:szCs w:val="24"/>
          <w:rtl/>
        </w:rPr>
        <w:t>מהווה ראיה</w:t>
      </w:r>
      <w:r w:rsidR="002073DC">
        <w:rPr>
          <w:rFonts w:ascii="David" w:hAnsi="David" w:cs="David" w:hint="cs"/>
          <w:sz w:val="24"/>
          <w:szCs w:val="24"/>
          <w:rtl/>
        </w:rPr>
        <w:t>,</w:t>
      </w:r>
      <w:r w:rsidR="002B2038">
        <w:rPr>
          <w:rFonts w:ascii="David" w:hAnsi="David" w:cs="David" w:hint="cs"/>
          <w:sz w:val="24"/>
          <w:szCs w:val="24"/>
          <w:rtl/>
        </w:rPr>
        <w:t xml:space="preserve"> </w:t>
      </w:r>
      <w:r w:rsidR="008818BD">
        <w:rPr>
          <w:rFonts w:ascii="David" w:hAnsi="David" w:cs="David" w:hint="cs"/>
          <w:sz w:val="24"/>
          <w:szCs w:val="24"/>
          <w:rtl/>
        </w:rPr>
        <w:t>ל</w:t>
      </w:r>
      <w:r w:rsidR="00AD3973">
        <w:rPr>
          <w:rFonts w:ascii="David" w:hAnsi="David" w:cs="David" w:hint="cs"/>
          <w:sz w:val="24"/>
          <w:szCs w:val="24"/>
          <w:rtl/>
        </w:rPr>
        <w:t>שיטת</w:t>
      </w:r>
      <w:r w:rsidR="008818BD">
        <w:rPr>
          <w:rFonts w:ascii="David" w:hAnsi="David" w:cs="David" w:hint="cs"/>
          <w:sz w:val="24"/>
          <w:szCs w:val="24"/>
          <w:rtl/>
        </w:rPr>
        <w:t>ם</w:t>
      </w:r>
      <w:r w:rsidR="002073DC">
        <w:rPr>
          <w:rFonts w:ascii="David" w:hAnsi="David" w:cs="David" w:hint="cs"/>
          <w:sz w:val="24"/>
          <w:szCs w:val="24"/>
          <w:rtl/>
        </w:rPr>
        <w:t>,</w:t>
      </w:r>
      <w:r w:rsidR="008818BD">
        <w:rPr>
          <w:rFonts w:ascii="David" w:hAnsi="David" w:cs="David" w:hint="cs"/>
          <w:sz w:val="24"/>
          <w:szCs w:val="24"/>
          <w:rtl/>
        </w:rPr>
        <w:t xml:space="preserve"> שאי</w:t>
      </w:r>
      <w:r w:rsidR="00AD3973">
        <w:rPr>
          <w:rFonts w:ascii="David" w:hAnsi="David" w:cs="David" w:hint="cs"/>
          <w:sz w:val="24"/>
          <w:szCs w:val="24"/>
          <w:rtl/>
        </w:rPr>
        <w:t>נם</w:t>
      </w:r>
      <w:r w:rsidR="008818BD">
        <w:rPr>
          <w:rFonts w:ascii="David" w:hAnsi="David" w:cs="David" w:hint="cs"/>
          <w:sz w:val="24"/>
          <w:szCs w:val="24"/>
          <w:rtl/>
        </w:rPr>
        <w:t xml:space="preserve"> חייבים בשקלים, ואינם שותפים במנחות (=קורבנות) הציבור.</w:t>
      </w:r>
      <w:r w:rsidR="002B2038">
        <w:rPr>
          <w:rFonts w:ascii="David" w:hAnsi="David" w:cs="David" w:hint="cs"/>
          <w:sz w:val="24"/>
          <w:szCs w:val="24"/>
          <w:rtl/>
        </w:rPr>
        <w:t xml:space="preserve"> </w:t>
      </w:r>
      <w:r w:rsidR="00DC3585">
        <w:rPr>
          <w:rFonts w:ascii="David" w:hAnsi="David" w:cs="David" w:hint="cs"/>
          <w:sz w:val="24"/>
          <w:szCs w:val="24"/>
          <w:rtl/>
        </w:rPr>
        <w:t>מכאן ש</w:t>
      </w:r>
      <w:r w:rsidR="002B2038">
        <w:rPr>
          <w:rFonts w:ascii="David" w:hAnsi="David" w:cs="David" w:hint="cs"/>
          <w:sz w:val="24"/>
          <w:szCs w:val="24"/>
          <w:rtl/>
        </w:rPr>
        <w:t>הכהן שמוסר את שקלו לציבור במתנה</w:t>
      </w:r>
      <w:r w:rsidR="00206586">
        <w:rPr>
          <w:rFonts w:ascii="David" w:hAnsi="David" w:cs="David" w:hint="cs"/>
          <w:sz w:val="24"/>
          <w:szCs w:val="24"/>
          <w:rtl/>
        </w:rPr>
        <w:t xml:space="preserve"> (נדבה)</w:t>
      </w:r>
      <w:r w:rsidR="002B2038">
        <w:rPr>
          <w:rFonts w:ascii="David" w:hAnsi="David" w:cs="David" w:hint="cs"/>
          <w:sz w:val="24"/>
          <w:szCs w:val="24"/>
          <w:rtl/>
        </w:rPr>
        <w:t xml:space="preserve">, מוציא את השקל מחזקתו, ועל כן אינו חוטא </w:t>
      </w:r>
      <w:r w:rsidR="00FE40CC" w:rsidRPr="00D71FF7">
        <w:rPr>
          <w:rFonts w:ascii="David" w:hAnsi="David" w:cs="David" w:hint="cs"/>
          <w:b/>
          <w:bCs/>
          <w:sz w:val="24"/>
          <w:szCs w:val="24"/>
          <w:rtl/>
        </w:rPr>
        <w:t xml:space="preserve">לשיטת </w:t>
      </w:r>
      <w:proofErr w:type="spellStart"/>
      <w:r w:rsidR="00FE40CC" w:rsidRPr="00D71FF7">
        <w:rPr>
          <w:rFonts w:ascii="David" w:hAnsi="David" w:cs="David" w:hint="cs"/>
          <w:b/>
          <w:bCs/>
          <w:sz w:val="24"/>
          <w:szCs w:val="24"/>
          <w:rtl/>
        </w:rPr>
        <w:t>הכהנים</w:t>
      </w:r>
      <w:proofErr w:type="spellEnd"/>
      <w:r w:rsidR="00FE40CC">
        <w:rPr>
          <w:rFonts w:ascii="David" w:hAnsi="David" w:cs="David" w:hint="cs"/>
          <w:sz w:val="24"/>
          <w:szCs w:val="24"/>
          <w:rtl/>
        </w:rPr>
        <w:t xml:space="preserve"> </w:t>
      </w:r>
      <w:r w:rsidR="002B2038">
        <w:rPr>
          <w:rFonts w:ascii="David" w:hAnsi="David" w:cs="David" w:hint="cs"/>
          <w:sz w:val="24"/>
          <w:szCs w:val="24"/>
          <w:rtl/>
        </w:rPr>
        <w:t xml:space="preserve">(באכילת מנחת כהן שאמורה </w:t>
      </w:r>
      <w:proofErr w:type="spellStart"/>
      <w:r w:rsidR="002B2038">
        <w:rPr>
          <w:rFonts w:ascii="David" w:hAnsi="David" w:cs="David" w:hint="cs"/>
          <w:sz w:val="24"/>
          <w:szCs w:val="24"/>
          <w:rtl/>
        </w:rPr>
        <w:t>להשרף</w:t>
      </w:r>
      <w:proofErr w:type="spellEnd"/>
      <w:r w:rsidR="002B2038">
        <w:rPr>
          <w:rFonts w:ascii="David" w:hAnsi="David" w:cs="David" w:hint="cs"/>
          <w:sz w:val="24"/>
          <w:szCs w:val="24"/>
          <w:rtl/>
        </w:rPr>
        <w:t xml:space="preserve"> כליל על המזבח).</w:t>
      </w:r>
      <w:r w:rsidR="006E4D6A">
        <w:rPr>
          <w:rFonts w:ascii="David" w:hAnsi="David" w:cs="David" w:hint="cs"/>
          <w:sz w:val="24"/>
          <w:szCs w:val="24"/>
          <w:rtl/>
        </w:rPr>
        <w:t xml:space="preserve"> על דרשת פסוקים זו קובל </w:t>
      </w:r>
      <w:proofErr w:type="spellStart"/>
      <w:r w:rsidR="006E4D6A">
        <w:rPr>
          <w:rFonts w:ascii="David" w:hAnsi="David" w:cs="David" w:hint="cs"/>
          <w:sz w:val="24"/>
          <w:szCs w:val="24"/>
          <w:rtl/>
        </w:rPr>
        <w:t>ריב"ז</w:t>
      </w:r>
      <w:proofErr w:type="spellEnd"/>
      <w:r w:rsidR="006E4D6A">
        <w:rPr>
          <w:rFonts w:ascii="David" w:hAnsi="David" w:cs="David" w:hint="cs"/>
          <w:sz w:val="24"/>
          <w:szCs w:val="24"/>
          <w:rtl/>
        </w:rPr>
        <w:t xml:space="preserve"> "</w:t>
      </w:r>
      <w:proofErr w:type="spellStart"/>
      <w:r w:rsidR="006E4D6A">
        <w:rPr>
          <w:rFonts w:ascii="David" w:hAnsi="David" w:cs="David" w:hint="cs"/>
          <w:sz w:val="24"/>
          <w:szCs w:val="24"/>
          <w:rtl/>
        </w:rPr>
        <w:t>שהכהנים</w:t>
      </w:r>
      <w:proofErr w:type="spellEnd"/>
      <w:r w:rsidR="006E4D6A">
        <w:rPr>
          <w:rFonts w:ascii="David" w:hAnsi="David" w:cs="David" w:hint="cs"/>
          <w:sz w:val="24"/>
          <w:szCs w:val="24"/>
          <w:rtl/>
        </w:rPr>
        <w:t xml:space="preserve"> דורשים מקרא זה לעצמן", כלומר לטובתם, </w:t>
      </w:r>
      <w:r w:rsidR="00EF545E">
        <w:rPr>
          <w:rFonts w:ascii="David" w:hAnsi="David" w:cs="David" w:hint="cs"/>
          <w:sz w:val="24"/>
          <w:szCs w:val="24"/>
          <w:rtl/>
        </w:rPr>
        <w:t>כדי להגן</w:t>
      </w:r>
      <w:r w:rsidR="006E4D6A">
        <w:rPr>
          <w:rFonts w:ascii="David" w:hAnsi="David" w:cs="David" w:hint="cs"/>
          <w:sz w:val="24"/>
          <w:szCs w:val="24"/>
          <w:rtl/>
        </w:rPr>
        <w:t xml:space="preserve"> על טובות ההנאה שלהם.</w:t>
      </w:r>
    </w:p>
    <w:p w14:paraId="02D47565" w14:textId="079FF7D9" w:rsidR="008E3DAB" w:rsidRDefault="00335950" w:rsidP="006E4C7C">
      <w:pPr>
        <w:spacing w:line="480" w:lineRule="auto"/>
        <w:rPr>
          <w:rFonts w:ascii="David" w:hAnsi="David" w:cs="David"/>
          <w:sz w:val="24"/>
          <w:szCs w:val="24"/>
          <w:rtl/>
        </w:rPr>
      </w:pPr>
      <w:r>
        <w:rPr>
          <w:rFonts w:ascii="David" w:hAnsi="David" w:cs="David"/>
          <w:sz w:val="24"/>
          <w:szCs w:val="24"/>
          <w:rtl/>
        </w:rPr>
        <w:tab/>
      </w:r>
      <w:r w:rsidRPr="00DF535D">
        <w:rPr>
          <w:rFonts w:ascii="David" w:hAnsi="David" w:cs="David"/>
          <w:sz w:val="24"/>
          <w:szCs w:val="24"/>
          <w:rtl/>
        </w:rPr>
        <w:t>משנ</w:t>
      </w:r>
      <w:r>
        <w:rPr>
          <w:rFonts w:ascii="David" w:hAnsi="David" w:cs="David" w:hint="cs"/>
          <w:sz w:val="24"/>
          <w:szCs w:val="24"/>
          <w:rtl/>
        </w:rPr>
        <w:t>יות</w:t>
      </w:r>
      <w:r w:rsidRPr="00DF535D">
        <w:rPr>
          <w:rFonts w:ascii="David" w:hAnsi="David" w:cs="David"/>
          <w:sz w:val="24"/>
          <w:szCs w:val="24"/>
          <w:rtl/>
        </w:rPr>
        <w:t xml:space="preserve"> </w:t>
      </w:r>
      <w:r>
        <w:rPr>
          <w:rFonts w:ascii="David" w:hAnsi="David" w:cs="David" w:hint="cs"/>
          <w:sz w:val="24"/>
          <w:szCs w:val="24"/>
          <w:rtl/>
        </w:rPr>
        <w:t>אלו</w:t>
      </w:r>
      <w:r w:rsidR="00A12DAD">
        <w:rPr>
          <w:rFonts w:ascii="David" w:hAnsi="David" w:cs="David" w:hint="cs"/>
          <w:sz w:val="24"/>
          <w:szCs w:val="24"/>
          <w:rtl/>
        </w:rPr>
        <w:t xml:space="preserve"> משקפות איפה את העובדה</w:t>
      </w:r>
      <w:r w:rsidR="00B46539">
        <w:rPr>
          <w:rFonts w:ascii="David" w:hAnsi="David" w:cs="David" w:hint="cs"/>
          <w:sz w:val="24"/>
          <w:szCs w:val="24"/>
          <w:rtl/>
        </w:rPr>
        <w:t>,</w:t>
      </w:r>
      <w:r w:rsidR="00A12DAD">
        <w:rPr>
          <w:rFonts w:ascii="David" w:hAnsi="David" w:cs="David" w:hint="cs"/>
          <w:sz w:val="24"/>
          <w:szCs w:val="24"/>
          <w:rtl/>
        </w:rPr>
        <w:t xml:space="preserve"> </w:t>
      </w:r>
      <w:r w:rsidR="00AF67F6">
        <w:rPr>
          <w:rFonts w:ascii="David" w:hAnsi="David" w:cs="David" w:hint="cs"/>
          <w:sz w:val="24"/>
          <w:szCs w:val="24"/>
          <w:rtl/>
        </w:rPr>
        <w:t xml:space="preserve">כי </w:t>
      </w:r>
      <w:r w:rsidRPr="00DF535D">
        <w:rPr>
          <w:rFonts w:ascii="David" w:hAnsi="David" w:cs="David"/>
          <w:sz w:val="24"/>
          <w:szCs w:val="24"/>
          <w:rtl/>
        </w:rPr>
        <w:t>למרות שהפרושים גברו על הצדוקים</w:t>
      </w:r>
      <w:r w:rsidR="000B4EC6">
        <w:rPr>
          <w:rFonts w:ascii="David" w:hAnsi="David" w:cs="David" w:hint="cs"/>
          <w:sz w:val="24"/>
          <w:szCs w:val="24"/>
          <w:rtl/>
        </w:rPr>
        <w:t xml:space="preserve"> </w:t>
      </w:r>
      <w:r w:rsidR="00022805">
        <w:rPr>
          <w:rFonts w:ascii="David" w:hAnsi="David" w:cs="David" w:hint="cs"/>
          <w:sz w:val="24"/>
          <w:szCs w:val="24"/>
          <w:rtl/>
        </w:rPr>
        <w:t xml:space="preserve">והנהיגו את </w:t>
      </w:r>
      <w:r w:rsidR="000B4EC6">
        <w:rPr>
          <w:rFonts w:ascii="David" w:hAnsi="David" w:cs="David" w:hint="cs"/>
          <w:sz w:val="24"/>
          <w:szCs w:val="24"/>
          <w:rtl/>
        </w:rPr>
        <w:t xml:space="preserve">מימון </w:t>
      </w:r>
      <w:proofErr w:type="spellStart"/>
      <w:r w:rsidR="000B4EC6">
        <w:rPr>
          <w:rFonts w:ascii="David" w:hAnsi="David" w:cs="David" w:hint="cs"/>
          <w:sz w:val="24"/>
          <w:szCs w:val="24"/>
          <w:rtl/>
        </w:rPr>
        <w:t>קרבנות</w:t>
      </w:r>
      <w:proofErr w:type="spellEnd"/>
      <w:r w:rsidR="000B4EC6">
        <w:rPr>
          <w:rFonts w:ascii="David" w:hAnsi="David" w:cs="David" w:hint="cs"/>
          <w:sz w:val="24"/>
          <w:szCs w:val="24"/>
          <w:rtl/>
        </w:rPr>
        <w:t xml:space="preserve"> הציבור מכספי הציבור</w:t>
      </w:r>
      <w:r w:rsidR="00C21A0A">
        <w:rPr>
          <w:rFonts w:ascii="David" w:hAnsi="David" w:cs="David" w:hint="cs"/>
          <w:sz w:val="24"/>
          <w:szCs w:val="24"/>
          <w:rtl/>
        </w:rPr>
        <w:t xml:space="preserve">, </w:t>
      </w:r>
      <w:r w:rsidRPr="00DF535D">
        <w:rPr>
          <w:rFonts w:ascii="David" w:hAnsi="David" w:cs="David"/>
          <w:sz w:val="24"/>
          <w:szCs w:val="24"/>
          <w:rtl/>
        </w:rPr>
        <w:t>ו</w:t>
      </w:r>
      <w:r w:rsidR="00DE4667">
        <w:rPr>
          <w:rFonts w:ascii="David" w:hAnsi="David" w:cs="David" w:hint="cs"/>
          <w:sz w:val="24"/>
          <w:szCs w:val="24"/>
          <w:rtl/>
        </w:rPr>
        <w:t xml:space="preserve">על </w:t>
      </w:r>
      <w:r w:rsidR="00834E93">
        <w:rPr>
          <w:rFonts w:ascii="David" w:hAnsi="David" w:cs="David" w:hint="cs"/>
          <w:sz w:val="24"/>
          <w:szCs w:val="24"/>
          <w:rtl/>
        </w:rPr>
        <w:t xml:space="preserve">אף </w:t>
      </w:r>
      <w:r w:rsidR="00DE4667">
        <w:rPr>
          <w:rFonts w:ascii="David" w:hAnsi="David" w:cs="David" w:hint="cs"/>
          <w:sz w:val="24"/>
          <w:szCs w:val="24"/>
          <w:rtl/>
        </w:rPr>
        <w:t>הצלחתם בהשרשת</w:t>
      </w:r>
      <w:r w:rsidRPr="00DF535D">
        <w:rPr>
          <w:rFonts w:ascii="David" w:hAnsi="David" w:cs="David"/>
          <w:sz w:val="24"/>
          <w:szCs w:val="24"/>
          <w:rtl/>
        </w:rPr>
        <w:t xml:space="preserve"> תשלום מחצית השקל</w:t>
      </w:r>
      <w:r>
        <w:rPr>
          <w:rFonts w:ascii="David" w:hAnsi="David" w:cs="David" w:hint="cs"/>
          <w:sz w:val="24"/>
          <w:szCs w:val="24"/>
          <w:rtl/>
        </w:rPr>
        <w:t xml:space="preserve"> </w:t>
      </w:r>
      <w:r w:rsidR="00157C29">
        <w:rPr>
          <w:rFonts w:ascii="David" w:hAnsi="David" w:cs="David" w:hint="cs"/>
          <w:sz w:val="24"/>
          <w:szCs w:val="24"/>
          <w:rtl/>
        </w:rPr>
        <w:t xml:space="preserve">בלבבות אנשי </w:t>
      </w:r>
      <w:r w:rsidR="000C7D84">
        <w:rPr>
          <w:rFonts w:ascii="David" w:hAnsi="David" w:cs="David" w:hint="cs"/>
          <w:sz w:val="24"/>
          <w:szCs w:val="24"/>
          <w:rtl/>
        </w:rPr>
        <w:t>הקהילות היהודיות,</w:t>
      </w:r>
      <w:r w:rsidRPr="00DF535D">
        <w:rPr>
          <w:rFonts w:ascii="David" w:hAnsi="David" w:cs="David"/>
          <w:sz w:val="24"/>
          <w:szCs w:val="24"/>
          <w:rtl/>
        </w:rPr>
        <w:t xml:space="preserve"> הם </w:t>
      </w:r>
      <w:r w:rsidR="00DC3585">
        <w:rPr>
          <w:rFonts w:ascii="David" w:hAnsi="David" w:cs="David" w:hint="cs"/>
          <w:sz w:val="24"/>
          <w:szCs w:val="24"/>
          <w:rtl/>
        </w:rPr>
        <w:t xml:space="preserve">כשלו </w:t>
      </w:r>
      <w:r w:rsidR="00AF67F6">
        <w:rPr>
          <w:rFonts w:ascii="David" w:hAnsi="David" w:cs="David" w:hint="cs"/>
          <w:sz w:val="24"/>
          <w:szCs w:val="24"/>
          <w:rtl/>
        </w:rPr>
        <w:t>ב</w:t>
      </w:r>
      <w:r w:rsidR="00DE4667">
        <w:rPr>
          <w:rFonts w:ascii="David" w:hAnsi="David" w:cs="David" w:hint="cs"/>
          <w:sz w:val="24"/>
          <w:szCs w:val="24"/>
          <w:rtl/>
        </w:rPr>
        <w:t>מימוש</w:t>
      </w:r>
      <w:r w:rsidR="00157C29">
        <w:rPr>
          <w:rFonts w:ascii="David" w:hAnsi="David" w:cs="David" w:hint="cs"/>
          <w:sz w:val="24"/>
          <w:szCs w:val="24"/>
          <w:rtl/>
        </w:rPr>
        <w:t>ו</w:t>
      </w:r>
      <w:r w:rsidR="00DE4667">
        <w:rPr>
          <w:rFonts w:ascii="David" w:hAnsi="David" w:cs="David" w:hint="cs"/>
          <w:sz w:val="24"/>
          <w:szCs w:val="24"/>
          <w:rtl/>
        </w:rPr>
        <w:t xml:space="preserve"> השלם של </w:t>
      </w:r>
      <w:r w:rsidR="00157C29">
        <w:rPr>
          <w:rFonts w:ascii="David" w:hAnsi="David" w:cs="David" w:hint="cs"/>
          <w:sz w:val="24"/>
          <w:szCs w:val="24"/>
          <w:rtl/>
        </w:rPr>
        <w:t xml:space="preserve">הרעיון </w:t>
      </w:r>
      <w:r w:rsidR="00B46539">
        <w:rPr>
          <w:rFonts w:ascii="David" w:hAnsi="David" w:cs="David" w:hint="cs"/>
          <w:sz w:val="24"/>
          <w:szCs w:val="24"/>
          <w:rtl/>
        </w:rPr>
        <w:t>ו</w:t>
      </w:r>
      <w:r w:rsidR="00DE4667">
        <w:rPr>
          <w:rFonts w:ascii="David" w:hAnsi="David" w:cs="David" w:hint="cs"/>
          <w:sz w:val="24"/>
          <w:szCs w:val="24"/>
          <w:rtl/>
        </w:rPr>
        <w:t xml:space="preserve">לא הצליחו להביא את </w:t>
      </w:r>
      <w:proofErr w:type="spellStart"/>
      <w:r w:rsidRPr="00DF535D">
        <w:rPr>
          <w:rFonts w:ascii="David" w:hAnsi="David" w:cs="David"/>
          <w:sz w:val="24"/>
          <w:szCs w:val="24"/>
          <w:rtl/>
        </w:rPr>
        <w:t>הכהנים</w:t>
      </w:r>
      <w:proofErr w:type="spellEnd"/>
      <w:r w:rsidR="00AF67F6">
        <w:rPr>
          <w:rFonts w:ascii="David" w:hAnsi="David" w:cs="David" w:hint="cs"/>
          <w:sz w:val="24"/>
          <w:szCs w:val="24"/>
          <w:rtl/>
        </w:rPr>
        <w:t xml:space="preserve"> </w:t>
      </w:r>
      <w:r w:rsidR="000B4EC6">
        <w:rPr>
          <w:rFonts w:ascii="David" w:hAnsi="David" w:cs="David" w:hint="cs"/>
          <w:sz w:val="24"/>
          <w:szCs w:val="24"/>
          <w:rtl/>
        </w:rPr>
        <w:t>ל</w:t>
      </w:r>
      <w:r w:rsidR="00157C29">
        <w:rPr>
          <w:rFonts w:ascii="David" w:hAnsi="David" w:cs="David" w:hint="cs"/>
          <w:sz w:val="24"/>
          <w:szCs w:val="24"/>
          <w:rtl/>
        </w:rPr>
        <w:t>שתף עצמם בכלל הציבור ול</w:t>
      </w:r>
      <w:r w:rsidR="000B4EC6">
        <w:rPr>
          <w:rFonts w:ascii="David" w:hAnsi="David" w:cs="David" w:hint="cs"/>
          <w:sz w:val="24"/>
          <w:szCs w:val="24"/>
          <w:rtl/>
        </w:rPr>
        <w:t>קחת</w:t>
      </w:r>
      <w:r w:rsidR="00675652">
        <w:rPr>
          <w:rFonts w:ascii="David" w:hAnsi="David" w:cs="David" w:hint="cs"/>
          <w:sz w:val="24"/>
          <w:szCs w:val="24"/>
          <w:rtl/>
        </w:rPr>
        <w:t xml:space="preserve"> </w:t>
      </w:r>
      <w:r w:rsidR="000B4EC6">
        <w:rPr>
          <w:rFonts w:ascii="David" w:hAnsi="David" w:cs="David" w:hint="cs"/>
          <w:sz w:val="24"/>
          <w:szCs w:val="24"/>
          <w:rtl/>
        </w:rPr>
        <w:t>חלק במימון זה.</w:t>
      </w:r>
      <w:r w:rsidR="00C17FE0">
        <w:rPr>
          <w:rStyle w:val="a5"/>
          <w:rFonts w:ascii="David" w:hAnsi="David" w:cs="David"/>
          <w:sz w:val="24"/>
          <w:szCs w:val="24"/>
          <w:rtl/>
        </w:rPr>
        <w:footnoteReference w:id="27"/>
      </w:r>
      <w:r w:rsidR="00C17FE0" w:rsidRPr="00DF535D">
        <w:rPr>
          <w:rFonts w:ascii="David" w:hAnsi="David" w:cs="David"/>
          <w:sz w:val="24"/>
          <w:szCs w:val="24"/>
          <w:rtl/>
        </w:rPr>
        <w:t xml:space="preserve"> </w:t>
      </w:r>
      <w:r w:rsidRPr="00DF535D">
        <w:rPr>
          <w:rFonts w:ascii="David" w:hAnsi="David" w:cs="David"/>
          <w:sz w:val="24"/>
          <w:szCs w:val="24"/>
          <w:rtl/>
        </w:rPr>
        <w:t xml:space="preserve"> </w:t>
      </w:r>
      <w:r w:rsidR="00A12DAD">
        <w:rPr>
          <w:rFonts w:ascii="David" w:hAnsi="David" w:cs="David" w:hint="cs"/>
          <w:sz w:val="24"/>
          <w:szCs w:val="24"/>
          <w:rtl/>
        </w:rPr>
        <w:t xml:space="preserve">לו היו </w:t>
      </w:r>
      <w:r w:rsidR="002B2331">
        <w:rPr>
          <w:rFonts w:ascii="David" w:hAnsi="David" w:cs="David" w:hint="cs"/>
          <w:sz w:val="24"/>
          <w:szCs w:val="24"/>
          <w:rtl/>
        </w:rPr>
        <w:t xml:space="preserve">החכמים </w:t>
      </w:r>
      <w:r w:rsidR="00A12DAD">
        <w:rPr>
          <w:rFonts w:ascii="David" w:hAnsi="David" w:cs="David" w:hint="cs"/>
          <w:sz w:val="24"/>
          <w:szCs w:val="24"/>
          <w:rtl/>
        </w:rPr>
        <w:t xml:space="preserve">מצליחים להשליט </w:t>
      </w:r>
      <w:r w:rsidR="00A12DAD">
        <w:rPr>
          <w:rFonts w:ascii="David" w:hAnsi="David" w:cs="David" w:hint="cs"/>
          <w:sz w:val="24"/>
          <w:szCs w:val="24"/>
          <w:rtl/>
        </w:rPr>
        <w:lastRenderedPageBreak/>
        <w:t xml:space="preserve">את עמדתם האידאולוגית-הדתית </w:t>
      </w:r>
      <w:r w:rsidR="00EB0FD0">
        <w:rPr>
          <w:rFonts w:ascii="David" w:hAnsi="David" w:cs="David" w:hint="cs"/>
          <w:sz w:val="24"/>
          <w:szCs w:val="24"/>
          <w:rtl/>
        </w:rPr>
        <w:t>הטהורה</w:t>
      </w:r>
      <w:r w:rsidR="003110D9">
        <w:rPr>
          <w:rFonts w:ascii="David" w:hAnsi="David" w:cs="David" w:hint="cs"/>
          <w:sz w:val="24"/>
          <w:szCs w:val="24"/>
          <w:rtl/>
        </w:rPr>
        <w:t>,</w:t>
      </w:r>
      <w:r w:rsidR="00EB0FD0">
        <w:rPr>
          <w:rFonts w:ascii="David" w:hAnsi="David" w:cs="David" w:hint="cs"/>
          <w:sz w:val="24"/>
          <w:szCs w:val="24"/>
          <w:rtl/>
        </w:rPr>
        <w:t xml:space="preserve"> </w:t>
      </w:r>
      <w:r w:rsidR="00A12DAD">
        <w:rPr>
          <w:rFonts w:ascii="David" w:hAnsi="David" w:cs="David" w:hint="cs"/>
          <w:sz w:val="24"/>
          <w:szCs w:val="24"/>
          <w:rtl/>
        </w:rPr>
        <w:t xml:space="preserve">הרי שהיו נוקטים בנוסח הלכה כפי שמציע אותו רבן יוחנן בן זכאי. </w:t>
      </w:r>
      <w:r w:rsidR="009D23E6">
        <w:rPr>
          <w:rFonts w:ascii="David" w:hAnsi="David" w:cs="David" w:hint="cs"/>
          <w:sz w:val="24"/>
          <w:szCs w:val="24"/>
          <w:rtl/>
        </w:rPr>
        <w:t xml:space="preserve">ברי איפה כי הנמקת "מפני דרכי השלום" </w:t>
      </w:r>
      <w:r w:rsidR="00E64FE4">
        <w:rPr>
          <w:rFonts w:ascii="David" w:hAnsi="David" w:cs="David" w:hint="cs"/>
          <w:sz w:val="24"/>
          <w:szCs w:val="24"/>
          <w:rtl/>
        </w:rPr>
        <w:t>שניתנ</w:t>
      </w:r>
      <w:r w:rsidR="00465E37">
        <w:rPr>
          <w:rFonts w:ascii="David" w:hAnsi="David" w:cs="David" w:hint="cs"/>
          <w:sz w:val="24"/>
          <w:szCs w:val="24"/>
          <w:rtl/>
        </w:rPr>
        <w:t>ה</w:t>
      </w:r>
      <w:r w:rsidR="00E64FE4">
        <w:rPr>
          <w:rFonts w:ascii="David" w:hAnsi="David" w:cs="David" w:hint="cs"/>
          <w:sz w:val="24"/>
          <w:szCs w:val="24"/>
          <w:rtl/>
        </w:rPr>
        <w:t xml:space="preserve"> </w:t>
      </w:r>
      <w:r w:rsidR="009D23E6">
        <w:rPr>
          <w:rFonts w:ascii="David" w:hAnsi="David" w:cs="David" w:hint="cs"/>
          <w:sz w:val="24"/>
          <w:szCs w:val="24"/>
          <w:rtl/>
        </w:rPr>
        <w:t xml:space="preserve">לפטור </w:t>
      </w:r>
      <w:proofErr w:type="spellStart"/>
      <w:r w:rsidR="009D23E6">
        <w:rPr>
          <w:rFonts w:ascii="David" w:hAnsi="David" w:cs="David" w:hint="cs"/>
          <w:sz w:val="24"/>
          <w:szCs w:val="24"/>
          <w:rtl/>
        </w:rPr>
        <w:t>הכהנים</w:t>
      </w:r>
      <w:proofErr w:type="spellEnd"/>
      <w:r w:rsidR="009D23E6">
        <w:rPr>
          <w:rFonts w:ascii="David" w:hAnsi="David" w:cs="David" w:hint="cs"/>
          <w:sz w:val="24"/>
          <w:szCs w:val="24"/>
          <w:rtl/>
        </w:rPr>
        <w:t xml:space="preserve"> </w:t>
      </w:r>
      <w:r w:rsidR="00E64FE4">
        <w:rPr>
          <w:rFonts w:ascii="David" w:hAnsi="David" w:cs="David" w:hint="cs"/>
          <w:sz w:val="24"/>
          <w:szCs w:val="24"/>
          <w:rtl/>
        </w:rPr>
        <w:t xml:space="preserve">מתשלום מחצית השקל </w:t>
      </w:r>
      <w:r w:rsidR="00CD5046">
        <w:rPr>
          <w:rFonts w:ascii="David" w:hAnsi="David" w:cs="David"/>
          <w:sz w:val="24"/>
          <w:szCs w:val="24"/>
          <w:rtl/>
        </w:rPr>
        <w:t>–</w:t>
      </w:r>
      <w:r w:rsidR="00CD5046">
        <w:rPr>
          <w:rFonts w:ascii="David" w:hAnsi="David" w:cs="David" w:hint="cs"/>
          <w:sz w:val="24"/>
          <w:szCs w:val="24"/>
          <w:rtl/>
        </w:rPr>
        <w:t xml:space="preserve"> בכך שלא אוכפים עליהם</w:t>
      </w:r>
      <w:r w:rsidR="0077417A">
        <w:rPr>
          <w:rFonts w:ascii="David" w:hAnsi="David" w:cs="David" w:hint="cs"/>
          <w:sz w:val="24"/>
          <w:szCs w:val="24"/>
          <w:rtl/>
        </w:rPr>
        <w:t>,</w:t>
      </w:r>
      <w:r w:rsidR="00CD5046">
        <w:rPr>
          <w:rFonts w:ascii="David" w:hAnsi="David" w:cs="David" w:hint="cs"/>
          <w:sz w:val="24"/>
          <w:szCs w:val="24"/>
          <w:rtl/>
        </w:rPr>
        <w:t xml:space="preserve"> למעשה</w:t>
      </w:r>
      <w:r w:rsidR="0077417A">
        <w:rPr>
          <w:rFonts w:ascii="David" w:hAnsi="David" w:cs="David" w:hint="cs"/>
          <w:sz w:val="24"/>
          <w:szCs w:val="24"/>
          <w:rtl/>
        </w:rPr>
        <w:t>,</w:t>
      </w:r>
      <w:r w:rsidR="00CD5046">
        <w:rPr>
          <w:rFonts w:ascii="David" w:hAnsi="David" w:cs="David" w:hint="cs"/>
          <w:sz w:val="24"/>
          <w:szCs w:val="24"/>
          <w:rtl/>
        </w:rPr>
        <w:t xml:space="preserve"> את התשלום - </w:t>
      </w:r>
      <w:r w:rsidR="00E64FE4">
        <w:rPr>
          <w:rFonts w:ascii="David" w:hAnsi="David" w:cs="David" w:hint="cs"/>
          <w:sz w:val="24"/>
          <w:szCs w:val="24"/>
          <w:rtl/>
        </w:rPr>
        <w:t>לא מהווה</w:t>
      </w:r>
      <w:r w:rsidR="000F6CFC">
        <w:rPr>
          <w:rFonts w:ascii="David" w:hAnsi="David" w:cs="David" w:hint="cs"/>
          <w:sz w:val="24"/>
          <w:szCs w:val="24"/>
          <w:rtl/>
        </w:rPr>
        <w:t xml:space="preserve"> עיקרון הלכתי </w:t>
      </w:r>
      <w:r w:rsidR="00E64FE4">
        <w:rPr>
          <w:rFonts w:ascii="David" w:hAnsi="David" w:cs="David" w:hint="cs"/>
          <w:sz w:val="24"/>
          <w:szCs w:val="24"/>
          <w:rtl/>
        </w:rPr>
        <w:t>של החכמים</w:t>
      </w:r>
      <w:r w:rsidR="000F6CFC">
        <w:rPr>
          <w:rFonts w:ascii="David" w:hAnsi="David" w:cs="David" w:hint="cs"/>
          <w:sz w:val="24"/>
          <w:szCs w:val="24"/>
          <w:rtl/>
        </w:rPr>
        <w:t xml:space="preserve">. להפך, </w:t>
      </w:r>
      <w:r w:rsidR="009D23E6">
        <w:rPr>
          <w:rFonts w:ascii="David" w:hAnsi="David" w:cs="David" w:hint="cs"/>
          <w:sz w:val="24"/>
          <w:szCs w:val="24"/>
          <w:rtl/>
        </w:rPr>
        <w:t xml:space="preserve">היא </w:t>
      </w:r>
      <w:r w:rsidR="00DA697F">
        <w:rPr>
          <w:rFonts w:ascii="David" w:hAnsi="David" w:cs="David" w:hint="cs"/>
          <w:sz w:val="24"/>
          <w:szCs w:val="24"/>
          <w:rtl/>
        </w:rPr>
        <w:t>מ</w:t>
      </w:r>
      <w:r w:rsidR="00E64FE4">
        <w:rPr>
          <w:rFonts w:ascii="David" w:hAnsi="David" w:cs="David" w:hint="cs"/>
          <w:sz w:val="24"/>
          <w:szCs w:val="24"/>
          <w:rtl/>
        </w:rPr>
        <w:t xml:space="preserve">שמשת </w:t>
      </w:r>
      <w:r w:rsidR="000D6D2E">
        <w:rPr>
          <w:rFonts w:ascii="David" w:hAnsi="David" w:cs="David" w:hint="cs"/>
          <w:sz w:val="24"/>
          <w:szCs w:val="24"/>
          <w:rtl/>
        </w:rPr>
        <w:t>כ</w:t>
      </w:r>
      <w:r w:rsidR="009D23E6">
        <w:rPr>
          <w:rFonts w:ascii="David" w:hAnsi="David" w:cs="David" w:hint="cs"/>
          <w:sz w:val="24"/>
          <w:szCs w:val="24"/>
          <w:rtl/>
        </w:rPr>
        <w:t>הצדקה ל</w:t>
      </w:r>
      <w:r w:rsidR="00392998">
        <w:rPr>
          <w:rFonts w:ascii="David" w:hAnsi="David" w:cs="David" w:hint="cs"/>
          <w:sz w:val="24"/>
          <w:szCs w:val="24"/>
          <w:rtl/>
        </w:rPr>
        <w:t>נסיגה שלהם מ</w:t>
      </w:r>
      <w:r w:rsidR="00B33188">
        <w:rPr>
          <w:rFonts w:ascii="David" w:hAnsi="David" w:cs="David" w:hint="cs"/>
          <w:sz w:val="24"/>
          <w:szCs w:val="24"/>
          <w:rtl/>
        </w:rPr>
        <w:t>עיקרון שותפותו של העם כולו בתשלום המס למקדש</w:t>
      </w:r>
      <w:r w:rsidR="005A06CF">
        <w:rPr>
          <w:rFonts w:ascii="David" w:hAnsi="David" w:cs="David" w:hint="cs"/>
          <w:sz w:val="24"/>
          <w:szCs w:val="24"/>
          <w:rtl/>
        </w:rPr>
        <w:t xml:space="preserve">, </w:t>
      </w:r>
      <w:r w:rsidR="00DA697F">
        <w:rPr>
          <w:rFonts w:ascii="David" w:hAnsi="David" w:cs="David" w:hint="cs"/>
          <w:sz w:val="24"/>
          <w:szCs w:val="24"/>
          <w:rtl/>
        </w:rPr>
        <w:t>ו</w:t>
      </w:r>
      <w:r w:rsidR="00D323F8">
        <w:rPr>
          <w:rFonts w:ascii="David" w:hAnsi="David" w:cs="David" w:hint="cs"/>
          <w:sz w:val="24"/>
          <w:szCs w:val="24"/>
          <w:rtl/>
        </w:rPr>
        <w:t xml:space="preserve">צומחת </w:t>
      </w:r>
      <w:r w:rsidR="001B1A7A">
        <w:rPr>
          <w:rFonts w:ascii="David" w:hAnsi="David" w:cs="David" w:hint="cs"/>
          <w:sz w:val="24"/>
          <w:szCs w:val="24"/>
          <w:rtl/>
        </w:rPr>
        <w:t xml:space="preserve">כל כולה </w:t>
      </w:r>
      <w:r w:rsidR="00D323F8">
        <w:rPr>
          <w:rFonts w:ascii="David" w:hAnsi="David" w:cs="David" w:hint="cs"/>
          <w:sz w:val="24"/>
          <w:szCs w:val="24"/>
          <w:rtl/>
        </w:rPr>
        <w:t xml:space="preserve">מתוך </w:t>
      </w:r>
      <w:r w:rsidR="005A06CF">
        <w:rPr>
          <w:rFonts w:ascii="David" w:hAnsi="David" w:cs="David" w:hint="cs"/>
          <w:sz w:val="24"/>
          <w:szCs w:val="24"/>
          <w:rtl/>
        </w:rPr>
        <w:t>יחסי הכוח הראליים ב</w:t>
      </w:r>
      <w:r w:rsidR="00DE7030">
        <w:rPr>
          <w:rFonts w:ascii="David" w:hAnsi="David" w:cs="David" w:hint="cs"/>
          <w:sz w:val="24"/>
          <w:szCs w:val="24"/>
          <w:rtl/>
        </w:rPr>
        <w:t>זירה</w:t>
      </w:r>
      <w:r w:rsidR="005A06CF">
        <w:rPr>
          <w:rFonts w:ascii="David" w:hAnsi="David" w:cs="David" w:hint="cs"/>
          <w:sz w:val="24"/>
          <w:szCs w:val="24"/>
          <w:rtl/>
        </w:rPr>
        <w:t xml:space="preserve"> הפוליטי</w:t>
      </w:r>
      <w:r w:rsidR="00CD6A4E">
        <w:rPr>
          <w:rFonts w:ascii="David" w:hAnsi="David" w:cs="David" w:hint="cs"/>
          <w:sz w:val="24"/>
          <w:szCs w:val="24"/>
          <w:rtl/>
        </w:rPr>
        <w:t>ת</w:t>
      </w:r>
      <w:r w:rsidR="009D23E6">
        <w:rPr>
          <w:rFonts w:ascii="David" w:hAnsi="David" w:cs="David" w:hint="cs"/>
          <w:sz w:val="24"/>
          <w:szCs w:val="24"/>
          <w:rtl/>
        </w:rPr>
        <w:t>.</w:t>
      </w:r>
      <w:r w:rsidR="00630B7D">
        <w:rPr>
          <w:rFonts w:ascii="David" w:hAnsi="David" w:cs="David" w:hint="cs"/>
          <w:sz w:val="24"/>
          <w:szCs w:val="24"/>
          <w:rtl/>
        </w:rPr>
        <w:t xml:space="preserve"> </w:t>
      </w:r>
      <w:r w:rsidR="00392998">
        <w:rPr>
          <w:rFonts w:ascii="David" w:hAnsi="David" w:cs="David" w:hint="cs"/>
          <w:sz w:val="24"/>
          <w:szCs w:val="24"/>
          <w:rtl/>
        </w:rPr>
        <w:t xml:space="preserve">נסיגה זו, </w:t>
      </w:r>
      <w:r w:rsidR="00EB04E8">
        <w:rPr>
          <w:rFonts w:ascii="David" w:hAnsi="David" w:cs="David" w:hint="cs"/>
          <w:sz w:val="24"/>
          <w:szCs w:val="24"/>
          <w:rtl/>
        </w:rPr>
        <w:t>יתכן שנבע</w:t>
      </w:r>
      <w:r w:rsidR="00392998">
        <w:rPr>
          <w:rFonts w:ascii="David" w:hAnsi="David" w:cs="David" w:hint="cs"/>
          <w:sz w:val="24"/>
          <w:szCs w:val="24"/>
          <w:rtl/>
        </w:rPr>
        <w:t>ה</w:t>
      </w:r>
      <w:r w:rsidR="00EB04E8">
        <w:rPr>
          <w:rFonts w:ascii="David" w:hAnsi="David" w:cs="David" w:hint="cs"/>
          <w:sz w:val="24"/>
          <w:szCs w:val="24"/>
          <w:rtl/>
        </w:rPr>
        <w:t xml:space="preserve"> מ</w:t>
      </w:r>
      <w:r w:rsidR="00630B7D">
        <w:rPr>
          <w:rFonts w:ascii="David" w:hAnsi="David" w:cs="David" w:hint="cs"/>
          <w:sz w:val="24"/>
          <w:szCs w:val="24"/>
          <w:rtl/>
        </w:rPr>
        <w:t>חשש</w:t>
      </w:r>
      <w:r w:rsidR="00DA697F">
        <w:rPr>
          <w:rFonts w:ascii="David" w:hAnsi="David" w:cs="David" w:hint="cs"/>
          <w:sz w:val="24"/>
          <w:szCs w:val="24"/>
          <w:rtl/>
        </w:rPr>
        <w:t>ם</w:t>
      </w:r>
      <w:r w:rsidR="00EB04E8">
        <w:rPr>
          <w:rFonts w:ascii="David" w:hAnsi="David" w:cs="David" w:hint="cs"/>
          <w:sz w:val="24"/>
          <w:szCs w:val="24"/>
          <w:rtl/>
        </w:rPr>
        <w:t xml:space="preserve"> של החכמים</w:t>
      </w:r>
      <w:r w:rsidR="00630B7D">
        <w:rPr>
          <w:rFonts w:ascii="David" w:hAnsi="David" w:cs="David" w:hint="cs"/>
          <w:sz w:val="24"/>
          <w:szCs w:val="24"/>
          <w:rtl/>
        </w:rPr>
        <w:t xml:space="preserve"> כי מאבק חריף יותר </w:t>
      </w:r>
      <w:proofErr w:type="spellStart"/>
      <w:r w:rsidR="00630B7D">
        <w:rPr>
          <w:rFonts w:ascii="David" w:hAnsi="David" w:cs="David" w:hint="cs"/>
          <w:sz w:val="24"/>
          <w:szCs w:val="24"/>
          <w:rtl/>
        </w:rPr>
        <w:t>בכהנים</w:t>
      </w:r>
      <w:proofErr w:type="spellEnd"/>
      <w:r w:rsidR="00630B7D">
        <w:rPr>
          <w:rFonts w:ascii="David" w:hAnsi="David" w:cs="David" w:hint="cs"/>
          <w:sz w:val="24"/>
          <w:szCs w:val="24"/>
          <w:rtl/>
        </w:rPr>
        <w:t xml:space="preserve"> יביא לשסע במרקם הפנימי של החברה היהודית</w:t>
      </w:r>
      <w:r w:rsidR="00221E01">
        <w:rPr>
          <w:rFonts w:ascii="David" w:hAnsi="David" w:cs="David" w:hint="cs"/>
          <w:sz w:val="24"/>
          <w:szCs w:val="24"/>
          <w:rtl/>
        </w:rPr>
        <w:t>;</w:t>
      </w:r>
      <w:r w:rsidR="00630B7D">
        <w:rPr>
          <w:rFonts w:ascii="David" w:hAnsi="David" w:cs="David" w:hint="cs"/>
          <w:sz w:val="24"/>
          <w:szCs w:val="24"/>
          <w:rtl/>
        </w:rPr>
        <w:t xml:space="preserve"> ושמא </w:t>
      </w:r>
      <w:r w:rsidR="00EB04E8">
        <w:rPr>
          <w:rFonts w:ascii="David" w:hAnsi="David" w:cs="David" w:hint="cs"/>
          <w:sz w:val="24"/>
          <w:szCs w:val="24"/>
          <w:rtl/>
        </w:rPr>
        <w:t>מ</w:t>
      </w:r>
      <w:r w:rsidR="000F6CFC">
        <w:rPr>
          <w:rFonts w:ascii="David" w:hAnsi="David" w:cs="David" w:hint="cs"/>
          <w:sz w:val="24"/>
          <w:szCs w:val="24"/>
          <w:rtl/>
        </w:rPr>
        <w:t>הבנתם את מגבלות כוחם הפוליטי אל מול</w:t>
      </w:r>
      <w:r w:rsidR="00630B7D">
        <w:rPr>
          <w:rFonts w:ascii="David" w:hAnsi="David" w:cs="David" w:hint="cs"/>
          <w:sz w:val="24"/>
          <w:szCs w:val="24"/>
          <w:rtl/>
        </w:rPr>
        <w:t xml:space="preserve"> </w:t>
      </w:r>
      <w:proofErr w:type="spellStart"/>
      <w:r w:rsidR="00630B7D">
        <w:rPr>
          <w:rFonts w:ascii="David" w:hAnsi="David" w:cs="David" w:hint="cs"/>
          <w:sz w:val="24"/>
          <w:szCs w:val="24"/>
          <w:rtl/>
        </w:rPr>
        <w:t>הכהנים</w:t>
      </w:r>
      <w:proofErr w:type="spellEnd"/>
      <w:r w:rsidR="00630B7D">
        <w:rPr>
          <w:rFonts w:ascii="David" w:hAnsi="David" w:cs="David" w:hint="cs"/>
          <w:sz w:val="24"/>
          <w:szCs w:val="24"/>
          <w:rtl/>
        </w:rPr>
        <w:t>, שנהנו מיוקרה חברתית בשכבות</w:t>
      </w:r>
      <w:r w:rsidR="00DA697F">
        <w:rPr>
          <w:rFonts w:ascii="David" w:hAnsi="David" w:cs="David" w:hint="cs"/>
          <w:sz w:val="24"/>
          <w:szCs w:val="24"/>
          <w:rtl/>
        </w:rPr>
        <w:t xml:space="preserve"> רחבות של הציבור</w:t>
      </w:r>
      <w:r w:rsidR="00D323F8">
        <w:rPr>
          <w:rFonts w:ascii="David" w:hAnsi="David" w:cs="David" w:hint="cs"/>
          <w:sz w:val="24"/>
          <w:szCs w:val="24"/>
          <w:rtl/>
        </w:rPr>
        <w:t xml:space="preserve">, בוודאי ביחס לאותם תחומים - עבודת המקדש - המסורים להם </w:t>
      </w:r>
      <w:r w:rsidR="001C3390">
        <w:rPr>
          <w:rFonts w:ascii="David" w:hAnsi="David" w:cs="David" w:hint="cs"/>
          <w:sz w:val="24"/>
          <w:szCs w:val="24"/>
          <w:rtl/>
        </w:rPr>
        <w:t>מן ה</w:t>
      </w:r>
      <w:r w:rsidR="00D323F8">
        <w:rPr>
          <w:rFonts w:ascii="David" w:hAnsi="David" w:cs="David" w:hint="cs"/>
          <w:sz w:val="24"/>
          <w:szCs w:val="24"/>
          <w:rtl/>
        </w:rPr>
        <w:t>תורה</w:t>
      </w:r>
      <w:r w:rsidR="00EB04E8">
        <w:rPr>
          <w:rFonts w:ascii="David" w:hAnsi="David" w:cs="David" w:hint="cs"/>
          <w:sz w:val="24"/>
          <w:szCs w:val="24"/>
          <w:rtl/>
        </w:rPr>
        <w:t>.</w:t>
      </w:r>
    </w:p>
    <w:p w14:paraId="592830F7" w14:textId="118F2E00" w:rsidR="008E3DAB" w:rsidRDefault="008E3DAB" w:rsidP="00CF10C1">
      <w:pPr>
        <w:spacing w:line="480" w:lineRule="auto"/>
        <w:ind w:firstLine="720"/>
        <w:rPr>
          <w:rFonts w:ascii="David" w:hAnsi="David" w:cs="David"/>
          <w:sz w:val="24"/>
          <w:szCs w:val="24"/>
          <w:rtl/>
        </w:rPr>
      </w:pPr>
      <w:r w:rsidRPr="00087F49">
        <w:rPr>
          <w:rFonts w:ascii="David" w:hAnsi="David" w:cs="David"/>
          <w:sz w:val="24"/>
          <w:szCs w:val="24"/>
          <w:rtl/>
        </w:rPr>
        <w:t>הלכה נוספת</w:t>
      </w:r>
      <w:r w:rsidR="00442440">
        <w:rPr>
          <w:rFonts w:ascii="David" w:hAnsi="David" w:cs="David" w:hint="cs"/>
          <w:sz w:val="24"/>
          <w:szCs w:val="24"/>
          <w:rtl/>
        </w:rPr>
        <w:t>,</w:t>
      </w:r>
      <w:r w:rsidRPr="00087F49">
        <w:rPr>
          <w:rFonts w:ascii="David" w:hAnsi="David" w:cs="David"/>
          <w:sz w:val="24"/>
          <w:szCs w:val="24"/>
          <w:rtl/>
        </w:rPr>
        <w:t xml:space="preserve"> שניתן לראות בה </w:t>
      </w:r>
      <w:r w:rsidR="00156A38">
        <w:rPr>
          <w:rFonts w:ascii="David" w:hAnsi="David" w:cs="David" w:hint="cs"/>
          <w:sz w:val="24"/>
          <w:szCs w:val="24"/>
          <w:rtl/>
        </w:rPr>
        <w:t xml:space="preserve">וויתור </w:t>
      </w:r>
      <w:r w:rsidRPr="00087F49">
        <w:rPr>
          <w:rFonts w:ascii="David" w:hAnsi="David" w:cs="David"/>
          <w:sz w:val="24"/>
          <w:szCs w:val="24"/>
          <w:rtl/>
        </w:rPr>
        <w:t xml:space="preserve">של חכמים </w:t>
      </w:r>
      <w:r w:rsidR="00A54309">
        <w:rPr>
          <w:rFonts w:ascii="David" w:hAnsi="David" w:cs="David" w:hint="cs"/>
          <w:sz w:val="24"/>
          <w:szCs w:val="24"/>
          <w:rtl/>
        </w:rPr>
        <w:t xml:space="preserve">על </w:t>
      </w:r>
      <w:r w:rsidR="00A32A75">
        <w:rPr>
          <w:rFonts w:ascii="David" w:hAnsi="David" w:cs="David" w:hint="cs"/>
          <w:sz w:val="24"/>
          <w:szCs w:val="24"/>
          <w:rtl/>
        </w:rPr>
        <w:t>תפיסתם ההלכתית</w:t>
      </w:r>
      <w:r w:rsidR="00442440">
        <w:rPr>
          <w:rFonts w:ascii="David" w:hAnsi="David" w:cs="David" w:hint="cs"/>
          <w:sz w:val="24"/>
          <w:szCs w:val="24"/>
          <w:rtl/>
        </w:rPr>
        <w:t>,</w:t>
      </w:r>
      <w:r w:rsidRPr="00087F49">
        <w:rPr>
          <w:rFonts w:ascii="David" w:hAnsi="David" w:cs="David"/>
          <w:sz w:val="24"/>
          <w:szCs w:val="24"/>
          <w:rtl/>
        </w:rPr>
        <w:t xml:space="preserve"> נמצאת </w:t>
      </w:r>
      <w:proofErr w:type="spellStart"/>
      <w:r w:rsidRPr="00087F49">
        <w:rPr>
          <w:rFonts w:ascii="David" w:hAnsi="David" w:cs="David"/>
          <w:sz w:val="24"/>
          <w:szCs w:val="24"/>
          <w:rtl/>
        </w:rPr>
        <w:t>בתוספתא</w:t>
      </w:r>
      <w:proofErr w:type="spellEnd"/>
      <w:r w:rsidRPr="00087F49">
        <w:rPr>
          <w:rFonts w:ascii="David" w:hAnsi="David" w:cs="David"/>
          <w:sz w:val="24"/>
          <w:szCs w:val="24"/>
          <w:rtl/>
        </w:rPr>
        <w:t>, פאה ג</w:t>
      </w:r>
      <w:r w:rsidR="00385C1F">
        <w:rPr>
          <w:rFonts w:ascii="David" w:hAnsi="David" w:cs="David" w:hint="cs"/>
          <w:sz w:val="24"/>
          <w:szCs w:val="24"/>
          <w:rtl/>
        </w:rPr>
        <w:t>,</w:t>
      </w:r>
      <w:r w:rsidRPr="00087F49">
        <w:rPr>
          <w:rFonts w:ascii="David" w:hAnsi="David" w:cs="David"/>
          <w:sz w:val="24"/>
          <w:szCs w:val="24"/>
          <w:rtl/>
        </w:rPr>
        <w:t xml:space="preserve"> א: </w:t>
      </w:r>
    </w:p>
    <w:p w14:paraId="56D735BE" w14:textId="0C5582DE" w:rsidR="00E8363F" w:rsidRDefault="00E8363F" w:rsidP="00E8363F">
      <w:pPr>
        <w:bidi w:val="0"/>
        <w:spacing w:line="480" w:lineRule="auto"/>
        <w:ind w:left="720"/>
        <w:rPr>
          <w:rFonts w:ascii="David" w:hAnsi="David" w:cs="David"/>
          <w:sz w:val="24"/>
          <w:szCs w:val="24"/>
        </w:rPr>
      </w:pPr>
      <w:r w:rsidRPr="00E8363F">
        <w:rPr>
          <w:rFonts w:ascii="David" w:hAnsi="David" w:cs="David"/>
          <w:sz w:val="24"/>
          <w:szCs w:val="24"/>
        </w:rPr>
        <w:t>If there were [in the field] poor people who are not fitting [to be allowed] to glean [the gifts to the poor, then] if the owner of the field can prevent</w:t>
      </w:r>
      <w:r w:rsidR="009132F2" w:rsidRPr="009132F2">
        <w:rPr>
          <w:rFonts w:ascii="David" w:hAnsi="David" w:cs="David"/>
          <w:sz w:val="24"/>
          <w:szCs w:val="24"/>
        </w:rPr>
        <w:t xml:space="preserve"> </w:t>
      </w:r>
      <w:r w:rsidR="009132F2">
        <w:rPr>
          <w:rStyle w:val="a5"/>
          <w:rFonts w:ascii="David" w:hAnsi="David" w:cs="David"/>
          <w:sz w:val="24"/>
          <w:szCs w:val="24"/>
          <w:rtl/>
        </w:rPr>
        <w:footnoteReference w:id="28"/>
      </w:r>
      <w:r w:rsidR="009132F2" w:rsidRPr="00087F49">
        <w:rPr>
          <w:rFonts w:ascii="David" w:hAnsi="David" w:cs="David"/>
          <w:sz w:val="24"/>
          <w:szCs w:val="24"/>
          <w:rtl/>
        </w:rPr>
        <w:t xml:space="preserve"> </w:t>
      </w:r>
      <w:r w:rsidRPr="00E8363F">
        <w:rPr>
          <w:rFonts w:ascii="David" w:hAnsi="David" w:cs="David"/>
          <w:sz w:val="24"/>
          <w:szCs w:val="24"/>
        </w:rPr>
        <w:t xml:space="preserve"> them [from gleaning], he is allowed to do so, but if [he is] not [able to prevent them from gleaning, then] he should leave them alone [and let them glean anyway] because of peaceful relations [between people]</w:t>
      </w:r>
      <w:r w:rsidRPr="00E8363F">
        <w:rPr>
          <w:rFonts w:ascii="David" w:hAnsi="David" w:cs="David"/>
          <w:sz w:val="24"/>
          <w:szCs w:val="24"/>
          <w:rtl/>
        </w:rPr>
        <w:t>.</w:t>
      </w:r>
    </w:p>
    <w:p w14:paraId="6F86A69B" w14:textId="318DE11B" w:rsidR="00E22C21" w:rsidRDefault="008E3DAB" w:rsidP="00100051">
      <w:pPr>
        <w:spacing w:line="480" w:lineRule="auto"/>
        <w:rPr>
          <w:rFonts w:ascii="David" w:hAnsi="David" w:cs="David"/>
          <w:sz w:val="24"/>
          <w:szCs w:val="24"/>
          <w:rtl/>
        </w:rPr>
      </w:pPr>
      <w:r>
        <w:rPr>
          <w:rFonts w:ascii="David" w:hAnsi="David" w:cs="David"/>
          <w:sz w:val="24"/>
          <w:szCs w:val="24"/>
          <w:rtl/>
        </w:rPr>
        <w:lastRenderedPageBreak/>
        <w:t xml:space="preserve">המונח </w:t>
      </w:r>
      <w:r w:rsidR="00A642AF">
        <w:rPr>
          <w:rFonts w:ascii="SBL Greek" w:hAnsi="SBL Greek" w:cs="David"/>
          <w:sz w:val="24"/>
          <w:szCs w:val="24"/>
        </w:rPr>
        <w:t>‘</w:t>
      </w:r>
      <w:r w:rsidR="00A642AF" w:rsidRPr="00A642AF">
        <w:rPr>
          <w:rFonts w:ascii="David" w:hAnsi="David" w:cs="David"/>
          <w:sz w:val="24"/>
          <w:szCs w:val="24"/>
        </w:rPr>
        <w:t>fitting</w:t>
      </w:r>
      <w:r w:rsidR="007941E6">
        <w:rPr>
          <w:rFonts w:ascii="SBL Greek" w:hAnsi="SBL Greek" w:cs="David"/>
          <w:sz w:val="24"/>
          <w:szCs w:val="24"/>
        </w:rPr>
        <w:t>’</w:t>
      </w:r>
      <w:r w:rsidR="00A642AF" w:rsidRPr="00A642AF">
        <w:rPr>
          <w:rFonts w:ascii="David" w:hAnsi="David" w:cs="David"/>
          <w:sz w:val="24"/>
          <w:szCs w:val="24"/>
        </w:rPr>
        <w:t xml:space="preserve"> [to be allowed]</w:t>
      </w:r>
      <w:r w:rsidR="00A642AF" w:rsidRPr="00A642AF">
        <w:rPr>
          <w:rFonts w:ascii="David" w:hAnsi="David" w:cs="David"/>
          <w:sz w:val="24"/>
          <w:szCs w:val="24"/>
          <w:rtl/>
        </w:rPr>
        <w:t xml:space="preserve"> </w:t>
      </w:r>
      <w:r w:rsidR="00C945A1">
        <w:rPr>
          <w:rFonts w:ascii="David" w:hAnsi="David" w:cs="David" w:hint="cs"/>
          <w:sz w:val="24"/>
          <w:szCs w:val="24"/>
          <w:rtl/>
        </w:rPr>
        <w:t>ה</w:t>
      </w:r>
      <w:r w:rsidRPr="00087F49">
        <w:rPr>
          <w:rFonts w:ascii="David" w:hAnsi="David" w:cs="David"/>
          <w:sz w:val="24"/>
          <w:szCs w:val="24"/>
          <w:rtl/>
        </w:rPr>
        <w:t xml:space="preserve">תפרש בשתי דרכים: </w:t>
      </w:r>
      <w:r>
        <w:rPr>
          <w:rFonts w:ascii="David" w:hAnsi="David" w:cs="David"/>
          <w:sz w:val="24"/>
          <w:szCs w:val="24"/>
          <w:rtl/>
        </w:rPr>
        <w:t xml:space="preserve">עניים </w:t>
      </w:r>
      <w:r w:rsidRPr="00087F49">
        <w:rPr>
          <w:rFonts w:ascii="David" w:hAnsi="David" w:cs="David"/>
          <w:sz w:val="24"/>
          <w:szCs w:val="24"/>
          <w:rtl/>
        </w:rPr>
        <w:t xml:space="preserve">שאינם </w:t>
      </w:r>
      <w:proofErr w:type="spellStart"/>
      <w:r w:rsidR="00530A8F">
        <w:rPr>
          <w:rFonts w:ascii="David" w:hAnsi="David" w:cs="David"/>
          <w:sz w:val="24"/>
          <w:szCs w:val="24"/>
          <w:rtl/>
        </w:rPr>
        <w:t>שאינם</w:t>
      </w:r>
      <w:proofErr w:type="spellEnd"/>
      <w:r w:rsidR="00964A59">
        <w:rPr>
          <w:rFonts w:ascii="David" w:hAnsi="David" w:cs="David"/>
          <w:sz w:val="24"/>
          <w:szCs w:val="24"/>
          <w:rtl/>
        </w:rPr>
        <w:t xml:space="preserve"> ישרים;</w:t>
      </w:r>
      <w:r w:rsidRPr="00087F49">
        <w:rPr>
          <w:rFonts w:ascii="David" w:hAnsi="David" w:cs="David"/>
          <w:sz w:val="24"/>
          <w:szCs w:val="24"/>
          <w:rtl/>
        </w:rPr>
        <w:t xml:space="preserve"> או שיש בידיהם 200 זוז</w:t>
      </w:r>
      <w:r w:rsidR="009B19C2">
        <w:rPr>
          <w:rFonts w:ascii="David" w:hAnsi="David" w:cs="David"/>
          <w:sz w:val="24"/>
          <w:szCs w:val="24"/>
          <w:rtl/>
        </w:rPr>
        <w:t>,</w:t>
      </w:r>
      <w:r w:rsidRPr="00087F49">
        <w:rPr>
          <w:rFonts w:ascii="David" w:hAnsi="David" w:cs="David"/>
          <w:sz w:val="24"/>
          <w:szCs w:val="24"/>
          <w:rtl/>
        </w:rPr>
        <w:t xml:space="preserve"> ועל כן </w:t>
      </w:r>
      <w:r w:rsidR="00671E4F">
        <w:rPr>
          <w:rFonts w:ascii="David" w:hAnsi="David" w:cs="David" w:hint="cs"/>
          <w:sz w:val="24"/>
          <w:szCs w:val="24"/>
          <w:rtl/>
        </w:rPr>
        <w:t>לא נופלים ל</w:t>
      </w:r>
      <w:r w:rsidR="00E77CA7">
        <w:rPr>
          <w:rFonts w:ascii="David" w:hAnsi="David" w:cs="David"/>
          <w:sz w:val="24"/>
          <w:szCs w:val="24"/>
          <w:rtl/>
        </w:rPr>
        <w:t>גדר '</w:t>
      </w:r>
      <w:r w:rsidRPr="00087F49">
        <w:rPr>
          <w:rFonts w:ascii="David" w:hAnsi="David" w:cs="David"/>
          <w:sz w:val="24"/>
          <w:szCs w:val="24"/>
          <w:rtl/>
        </w:rPr>
        <w:t>עני</w:t>
      </w:r>
      <w:r w:rsidR="00E77CA7">
        <w:rPr>
          <w:rFonts w:ascii="David" w:hAnsi="David" w:cs="David"/>
          <w:sz w:val="24"/>
          <w:szCs w:val="24"/>
          <w:rtl/>
        </w:rPr>
        <w:t>'</w:t>
      </w:r>
      <w:r>
        <w:rPr>
          <w:rFonts w:ascii="David" w:hAnsi="David" w:cs="David"/>
          <w:sz w:val="24"/>
          <w:szCs w:val="24"/>
          <w:rtl/>
        </w:rPr>
        <w:t>.</w:t>
      </w:r>
      <w:r w:rsidR="009B19C2">
        <w:rPr>
          <w:rFonts w:ascii="David" w:hAnsi="David" w:cs="David"/>
          <w:sz w:val="24"/>
          <w:szCs w:val="24"/>
          <w:rtl/>
        </w:rPr>
        <w:t xml:space="preserve"> לשני הפירושים </w:t>
      </w:r>
      <w:r w:rsidR="00B379AD">
        <w:rPr>
          <w:rFonts w:ascii="David" w:hAnsi="David" w:cs="David"/>
          <w:sz w:val="24"/>
          <w:szCs w:val="24"/>
          <w:rtl/>
        </w:rPr>
        <w:t xml:space="preserve">אנשים </w:t>
      </w:r>
      <w:r w:rsidR="009B19C2">
        <w:rPr>
          <w:rFonts w:ascii="David" w:hAnsi="David" w:cs="David"/>
          <w:sz w:val="24"/>
          <w:szCs w:val="24"/>
          <w:rtl/>
        </w:rPr>
        <w:t>אלו אינם רשאים ללקט את</w:t>
      </w:r>
      <w:r w:rsidR="008C2515">
        <w:rPr>
          <w:rFonts w:ascii="David" w:hAnsi="David" w:cs="David" w:hint="cs"/>
          <w:sz w:val="24"/>
          <w:szCs w:val="24"/>
          <w:rtl/>
        </w:rPr>
        <w:t xml:space="preserve"> היבול שנשר בשדה</w:t>
      </w:r>
      <w:r w:rsidR="009B19C2">
        <w:rPr>
          <w:rFonts w:ascii="David" w:hAnsi="David" w:cs="David"/>
          <w:sz w:val="24"/>
          <w:szCs w:val="24"/>
          <w:rtl/>
        </w:rPr>
        <w:t>, שכן הם גוזלים</w:t>
      </w:r>
      <w:r w:rsidR="00140638">
        <w:rPr>
          <w:rFonts w:ascii="David" w:hAnsi="David" w:cs="David"/>
          <w:sz w:val="24"/>
          <w:szCs w:val="24"/>
          <w:rtl/>
        </w:rPr>
        <w:t xml:space="preserve"> </w:t>
      </w:r>
      <w:r w:rsidR="009B19C2">
        <w:rPr>
          <w:rFonts w:ascii="David" w:hAnsi="David" w:cs="David"/>
          <w:sz w:val="24"/>
          <w:szCs w:val="24"/>
          <w:rtl/>
        </w:rPr>
        <w:t xml:space="preserve">מידי עניים </w:t>
      </w:r>
      <w:r w:rsidR="000825A7">
        <w:rPr>
          <w:rFonts w:ascii="David" w:hAnsi="David" w:cs="David"/>
          <w:sz w:val="24"/>
          <w:szCs w:val="24"/>
          <w:rtl/>
        </w:rPr>
        <w:t xml:space="preserve">הגונים </w:t>
      </w:r>
      <w:r w:rsidR="00845016">
        <w:rPr>
          <w:rFonts w:ascii="David" w:hAnsi="David" w:cs="David" w:hint="cs"/>
          <w:sz w:val="24"/>
          <w:szCs w:val="24"/>
          <w:rtl/>
        </w:rPr>
        <w:t>(</w:t>
      </w:r>
      <w:r w:rsidR="000825A7">
        <w:rPr>
          <w:rFonts w:ascii="David" w:hAnsi="David" w:cs="David"/>
          <w:sz w:val="24"/>
          <w:szCs w:val="24"/>
          <w:rtl/>
        </w:rPr>
        <w:t xml:space="preserve">או </w:t>
      </w:r>
      <w:r w:rsidR="009B19C2">
        <w:rPr>
          <w:rFonts w:ascii="David" w:hAnsi="David" w:cs="David"/>
          <w:sz w:val="24"/>
          <w:szCs w:val="24"/>
          <w:rtl/>
        </w:rPr>
        <w:t>אמיתיים</w:t>
      </w:r>
      <w:r w:rsidR="00845016">
        <w:rPr>
          <w:rFonts w:ascii="David" w:hAnsi="David" w:cs="David" w:hint="cs"/>
          <w:sz w:val="24"/>
          <w:szCs w:val="24"/>
          <w:rtl/>
        </w:rPr>
        <w:t>)</w:t>
      </w:r>
      <w:r w:rsidR="009B19C2">
        <w:rPr>
          <w:rFonts w:ascii="David" w:hAnsi="David" w:cs="David"/>
          <w:sz w:val="24"/>
          <w:szCs w:val="24"/>
          <w:rtl/>
        </w:rPr>
        <w:t xml:space="preserve"> את מה ששייך להם.</w:t>
      </w:r>
      <w:r w:rsidR="00A505F6">
        <w:rPr>
          <w:rStyle w:val="a5"/>
          <w:rFonts w:ascii="David" w:hAnsi="David" w:cs="David"/>
          <w:sz w:val="24"/>
          <w:szCs w:val="24"/>
          <w:rtl/>
        </w:rPr>
        <w:footnoteReference w:id="29"/>
      </w:r>
      <w:r w:rsidR="00EB04E8">
        <w:rPr>
          <w:rFonts w:ascii="David" w:hAnsi="David" w:cs="David"/>
          <w:sz w:val="24"/>
          <w:szCs w:val="24"/>
          <w:rtl/>
        </w:rPr>
        <w:t xml:space="preserve"> </w:t>
      </w:r>
      <w:r w:rsidR="00E82FEE">
        <w:rPr>
          <w:rFonts w:ascii="David" w:hAnsi="David" w:cs="David"/>
          <w:sz w:val="24"/>
          <w:szCs w:val="24"/>
          <w:rtl/>
        </w:rPr>
        <w:t xml:space="preserve"> בשונה מן הפטור </w:t>
      </w:r>
      <w:proofErr w:type="spellStart"/>
      <w:r w:rsidR="00E82FEE">
        <w:rPr>
          <w:rFonts w:ascii="David" w:hAnsi="David" w:cs="David"/>
          <w:sz w:val="24"/>
          <w:szCs w:val="24"/>
          <w:rtl/>
        </w:rPr>
        <w:t>לכהנים</w:t>
      </w:r>
      <w:proofErr w:type="spellEnd"/>
      <w:r w:rsidR="003143FB">
        <w:rPr>
          <w:rFonts w:ascii="David" w:hAnsi="David" w:cs="David" w:hint="cs"/>
          <w:sz w:val="24"/>
          <w:szCs w:val="24"/>
          <w:rtl/>
        </w:rPr>
        <w:t>,</w:t>
      </w:r>
      <w:r w:rsidR="00E82FEE">
        <w:rPr>
          <w:rFonts w:ascii="David" w:hAnsi="David" w:cs="David"/>
          <w:sz w:val="24"/>
          <w:szCs w:val="24"/>
          <w:rtl/>
        </w:rPr>
        <w:t xml:space="preserve"> </w:t>
      </w:r>
      <w:r w:rsidR="003143FB">
        <w:rPr>
          <w:rFonts w:ascii="David" w:hAnsi="David" w:cs="David" w:hint="cs"/>
          <w:sz w:val="24"/>
          <w:szCs w:val="24"/>
          <w:rtl/>
        </w:rPr>
        <w:t xml:space="preserve">שהסדיר </w:t>
      </w:r>
      <w:r w:rsidR="00E82FEE">
        <w:rPr>
          <w:rFonts w:ascii="David" w:hAnsi="David" w:cs="David"/>
          <w:sz w:val="24"/>
          <w:szCs w:val="24"/>
          <w:rtl/>
        </w:rPr>
        <w:t>הפעל</w:t>
      </w:r>
      <w:r w:rsidR="00112632">
        <w:rPr>
          <w:rFonts w:ascii="David" w:hAnsi="David" w:cs="David" w:hint="cs"/>
          <w:sz w:val="24"/>
          <w:szCs w:val="24"/>
          <w:rtl/>
        </w:rPr>
        <w:t>ה</w:t>
      </w:r>
      <w:r w:rsidR="00E82FEE">
        <w:rPr>
          <w:rFonts w:ascii="David" w:hAnsi="David" w:cs="David"/>
          <w:sz w:val="24"/>
          <w:szCs w:val="24"/>
          <w:rtl/>
        </w:rPr>
        <w:t xml:space="preserve"> של מוסד ציבורי, כאן מיועדת התקנה עבור ה</w:t>
      </w:r>
      <w:r w:rsidR="007916B9">
        <w:rPr>
          <w:rFonts w:ascii="David" w:hAnsi="David" w:cs="David" w:hint="cs"/>
          <w:sz w:val="24"/>
          <w:szCs w:val="24"/>
          <w:rtl/>
        </w:rPr>
        <w:t>אדם ה</w:t>
      </w:r>
      <w:r w:rsidR="00E82FEE">
        <w:rPr>
          <w:rFonts w:ascii="David" w:hAnsi="David" w:cs="David"/>
          <w:sz w:val="24"/>
          <w:szCs w:val="24"/>
          <w:rtl/>
        </w:rPr>
        <w:t>פרט</w:t>
      </w:r>
      <w:r w:rsidR="007916B9">
        <w:rPr>
          <w:rFonts w:ascii="David" w:hAnsi="David" w:cs="David" w:hint="cs"/>
          <w:sz w:val="24"/>
          <w:szCs w:val="24"/>
          <w:rtl/>
        </w:rPr>
        <w:t>י</w:t>
      </w:r>
      <w:r w:rsidR="00E82FEE">
        <w:rPr>
          <w:rFonts w:ascii="David" w:hAnsi="David" w:cs="David"/>
          <w:sz w:val="24"/>
          <w:szCs w:val="24"/>
          <w:rtl/>
        </w:rPr>
        <w:t>. ניכר כי התקנה מנסה לאזן בין יכול</w:t>
      </w:r>
      <w:r w:rsidR="006856B0">
        <w:rPr>
          <w:rFonts w:ascii="David" w:hAnsi="David" w:cs="David"/>
          <w:sz w:val="24"/>
          <w:szCs w:val="24"/>
          <w:rtl/>
        </w:rPr>
        <w:t>ו</w:t>
      </w:r>
      <w:r w:rsidR="00E82FEE">
        <w:rPr>
          <w:rFonts w:ascii="David" w:hAnsi="David" w:cs="David"/>
          <w:sz w:val="24"/>
          <w:szCs w:val="24"/>
          <w:rtl/>
        </w:rPr>
        <w:t>תיו הממשיות של בעל הבית לבין דרישת ההלכה</w:t>
      </w:r>
      <w:r w:rsidR="000719E1">
        <w:rPr>
          <w:rFonts w:ascii="David" w:hAnsi="David" w:cs="David" w:hint="cs"/>
          <w:sz w:val="24"/>
          <w:szCs w:val="24"/>
          <w:rtl/>
        </w:rPr>
        <w:t>.</w:t>
      </w:r>
      <w:r w:rsidR="00E82FEE">
        <w:rPr>
          <w:rFonts w:ascii="David" w:hAnsi="David" w:cs="David"/>
          <w:sz w:val="24"/>
          <w:szCs w:val="24"/>
          <w:rtl/>
        </w:rPr>
        <w:t xml:space="preserve"> סוף סוף</w:t>
      </w:r>
      <w:r w:rsidR="003B0721">
        <w:rPr>
          <w:rFonts w:ascii="David" w:hAnsi="David" w:cs="David" w:hint="cs"/>
          <w:sz w:val="24"/>
          <w:szCs w:val="24"/>
          <w:rtl/>
        </w:rPr>
        <w:t>,</w:t>
      </w:r>
      <w:r w:rsidR="00E82FEE">
        <w:rPr>
          <w:rFonts w:ascii="David" w:hAnsi="David" w:cs="David"/>
          <w:sz w:val="24"/>
          <w:szCs w:val="24"/>
          <w:rtl/>
        </w:rPr>
        <w:t xml:space="preserve"> </w:t>
      </w:r>
      <w:r w:rsidR="003B0721">
        <w:rPr>
          <w:rFonts w:ascii="David" w:hAnsi="David" w:cs="David" w:hint="cs"/>
          <w:sz w:val="24"/>
          <w:szCs w:val="24"/>
          <w:rtl/>
        </w:rPr>
        <w:t xml:space="preserve">האם </w:t>
      </w:r>
      <w:r w:rsidR="00E82FEE">
        <w:rPr>
          <w:rFonts w:ascii="David" w:hAnsi="David" w:cs="David"/>
          <w:sz w:val="24"/>
          <w:szCs w:val="24"/>
          <w:rtl/>
        </w:rPr>
        <w:t xml:space="preserve">בעל הבית </w:t>
      </w:r>
      <w:r w:rsidR="003B0721">
        <w:rPr>
          <w:rFonts w:ascii="David" w:hAnsi="David" w:cs="David" w:hint="cs"/>
          <w:sz w:val="24"/>
          <w:szCs w:val="24"/>
          <w:rtl/>
        </w:rPr>
        <w:t xml:space="preserve">יכול </w:t>
      </w:r>
      <w:r w:rsidR="00E82FEE">
        <w:rPr>
          <w:rFonts w:ascii="David" w:hAnsi="David" w:cs="David"/>
          <w:sz w:val="24"/>
          <w:szCs w:val="24"/>
          <w:rtl/>
        </w:rPr>
        <w:t xml:space="preserve">לבדוק באופן פרטני מה טיבו </w:t>
      </w:r>
      <w:r w:rsidR="004C564F">
        <w:rPr>
          <w:rFonts w:ascii="David" w:hAnsi="David" w:cs="David" w:hint="cs"/>
          <w:sz w:val="24"/>
          <w:szCs w:val="24"/>
          <w:rtl/>
        </w:rPr>
        <w:t xml:space="preserve">או </w:t>
      </w:r>
      <w:r w:rsidR="00341290">
        <w:rPr>
          <w:rFonts w:ascii="David" w:hAnsi="David" w:cs="David"/>
          <w:sz w:val="24"/>
          <w:szCs w:val="24"/>
          <w:rtl/>
        </w:rPr>
        <w:t xml:space="preserve">מצבו הכלכלי </w:t>
      </w:r>
      <w:r w:rsidR="00E82FEE">
        <w:rPr>
          <w:rFonts w:ascii="David" w:hAnsi="David" w:cs="David"/>
          <w:sz w:val="24"/>
          <w:szCs w:val="24"/>
          <w:rtl/>
        </w:rPr>
        <w:t xml:space="preserve">של </w:t>
      </w:r>
      <w:r w:rsidR="00AA7850">
        <w:rPr>
          <w:rFonts w:ascii="David" w:hAnsi="David" w:cs="David"/>
          <w:sz w:val="24"/>
          <w:szCs w:val="24"/>
          <w:rtl/>
        </w:rPr>
        <w:t xml:space="preserve">כל </w:t>
      </w:r>
      <w:r w:rsidR="00E82FEE">
        <w:rPr>
          <w:rFonts w:ascii="David" w:hAnsi="David" w:cs="David"/>
          <w:sz w:val="24"/>
          <w:szCs w:val="24"/>
          <w:rtl/>
        </w:rPr>
        <w:t>אדם שבא ללקט בשדהו?</w:t>
      </w:r>
      <w:r w:rsidR="00104630">
        <w:rPr>
          <w:rFonts w:ascii="David" w:hAnsi="David" w:cs="David"/>
          <w:sz w:val="24"/>
          <w:szCs w:val="24"/>
          <w:rtl/>
        </w:rPr>
        <w:t xml:space="preserve"> </w:t>
      </w:r>
      <w:r w:rsidR="003B0721">
        <w:rPr>
          <w:rFonts w:ascii="David" w:hAnsi="David" w:cs="David" w:hint="cs"/>
          <w:sz w:val="24"/>
          <w:szCs w:val="24"/>
          <w:rtl/>
        </w:rPr>
        <w:t xml:space="preserve">חובה </w:t>
      </w:r>
      <w:r w:rsidR="00AF5A87">
        <w:rPr>
          <w:rFonts w:ascii="David" w:hAnsi="David" w:cs="David"/>
          <w:sz w:val="24"/>
          <w:szCs w:val="24"/>
          <w:rtl/>
        </w:rPr>
        <w:t>כזו עלולה ל</w:t>
      </w:r>
      <w:r w:rsidR="00104630">
        <w:rPr>
          <w:rFonts w:ascii="David" w:hAnsi="David" w:cs="David"/>
          <w:sz w:val="24"/>
          <w:szCs w:val="24"/>
          <w:rtl/>
        </w:rPr>
        <w:t>גזול ממנו זמן עבודה יקר</w:t>
      </w:r>
      <w:r w:rsidR="00F940C3">
        <w:rPr>
          <w:rFonts w:ascii="David" w:hAnsi="David" w:cs="David" w:hint="cs"/>
          <w:sz w:val="24"/>
          <w:szCs w:val="24"/>
          <w:rtl/>
        </w:rPr>
        <w:t>,</w:t>
      </w:r>
      <w:r w:rsidR="00104630">
        <w:rPr>
          <w:rFonts w:ascii="David" w:hAnsi="David" w:cs="David"/>
          <w:sz w:val="24"/>
          <w:szCs w:val="24"/>
          <w:rtl/>
        </w:rPr>
        <w:t xml:space="preserve"> לעורר מבוכה גדולה לשני הצדדים</w:t>
      </w:r>
      <w:r w:rsidR="00C945A1">
        <w:rPr>
          <w:rFonts w:ascii="David" w:hAnsi="David" w:cs="David" w:hint="cs"/>
          <w:sz w:val="24"/>
          <w:szCs w:val="24"/>
          <w:rtl/>
        </w:rPr>
        <w:t>,</w:t>
      </w:r>
      <w:r w:rsidR="00556D5B">
        <w:rPr>
          <w:rFonts w:ascii="David" w:hAnsi="David" w:cs="David" w:hint="cs"/>
          <w:sz w:val="24"/>
          <w:szCs w:val="24"/>
          <w:rtl/>
        </w:rPr>
        <w:t xml:space="preserve"> </w:t>
      </w:r>
      <w:r w:rsidR="0001748D">
        <w:rPr>
          <w:rFonts w:ascii="David" w:hAnsi="David" w:cs="David" w:hint="cs"/>
          <w:sz w:val="24"/>
          <w:szCs w:val="24"/>
          <w:rtl/>
        </w:rPr>
        <w:t>א</w:t>
      </w:r>
      <w:r w:rsidR="00556D5B">
        <w:rPr>
          <w:rFonts w:ascii="David" w:hAnsi="David" w:cs="David" w:hint="cs"/>
          <w:sz w:val="24"/>
          <w:szCs w:val="24"/>
          <w:rtl/>
        </w:rPr>
        <w:t>ו</w:t>
      </w:r>
      <w:r w:rsidR="0001748D">
        <w:rPr>
          <w:rFonts w:ascii="David" w:hAnsi="David" w:cs="David" w:hint="cs"/>
          <w:sz w:val="24"/>
          <w:szCs w:val="24"/>
          <w:rtl/>
        </w:rPr>
        <w:t xml:space="preserve"> </w:t>
      </w:r>
      <w:r w:rsidR="00F940C3">
        <w:rPr>
          <w:rFonts w:ascii="David" w:hAnsi="David" w:cs="David" w:hint="cs"/>
          <w:sz w:val="24"/>
          <w:szCs w:val="24"/>
          <w:rtl/>
        </w:rPr>
        <w:t>חלילה</w:t>
      </w:r>
      <w:r w:rsidR="00556D5B">
        <w:rPr>
          <w:rFonts w:ascii="David" w:hAnsi="David" w:cs="David" w:hint="cs"/>
          <w:sz w:val="24"/>
          <w:szCs w:val="24"/>
          <w:rtl/>
        </w:rPr>
        <w:t xml:space="preserve"> לגרום לעימות אלים ביניהם</w:t>
      </w:r>
      <w:r w:rsidR="00C945A1">
        <w:rPr>
          <w:rFonts w:ascii="David" w:hAnsi="David" w:cs="David" w:hint="cs"/>
          <w:sz w:val="24"/>
          <w:szCs w:val="24"/>
          <w:rtl/>
        </w:rPr>
        <w:t>.</w:t>
      </w:r>
      <w:r w:rsidR="00104630">
        <w:rPr>
          <w:rFonts w:ascii="David" w:hAnsi="David" w:cs="David"/>
          <w:sz w:val="24"/>
          <w:szCs w:val="24"/>
          <w:rtl/>
        </w:rPr>
        <w:t xml:space="preserve"> מסיבות אלו נראה כי ההלכה קובעת </w:t>
      </w:r>
      <w:r w:rsidR="002B1EFB">
        <w:rPr>
          <w:rFonts w:ascii="David" w:hAnsi="David" w:cs="David" w:hint="cs"/>
          <w:sz w:val="24"/>
          <w:szCs w:val="24"/>
          <w:rtl/>
        </w:rPr>
        <w:t>ש</w:t>
      </w:r>
      <w:r w:rsidR="00104630">
        <w:rPr>
          <w:rFonts w:ascii="David" w:hAnsi="David" w:cs="David"/>
          <w:sz w:val="24"/>
          <w:szCs w:val="24"/>
          <w:rtl/>
        </w:rPr>
        <w:t>אם אין בידיו של בעל הבית למחות</w:t>
      </w:r>
      <w:r w:rsidR="00EE0F56">
        <w:rPr>
          <w:rFonts w:ascii="David" w:hAnsi="David" w:cs="David"/>
          <w:sz w:val="24"/>
          <w:szCs w:val="24"/>
          <w:rtl/>
        </w:rPr>
        <w:t xml:space="preserve"> </w:t>
      </w:r>
      <w:r w:rsidR="0001748D">
        <w:rPr>
          <w:rFonts w:ascii="David" w:hAnsi="David" w:cs="David" w:hint="cs"/>
          <w:sz w:val="24"/>
          <w:szCs w:val="24"/>
          <w:rtl/>
        </w:rPr>
        <w:t xml:space="preserve">ביד אנשים אלו </w:t>
      </w:r>
      <w:r w:rsidR="00EE0F56">
        <w:rPr>
          <w:rFonts w:ascii="David" w:hAnsi="David" w:cs="David"/>
          <w:sz w:val="24"/>
          <w:szCs w:val="24"/>
          <w:rtl/>
        </w:rPr>
        <w:t xml:space="preserve">עליו להניח </w:t>
      </w:r>
      <w:r w:rsidR="0001748D">
        <w:rPr>
          <w:rFonts w:ascii="David" w:hAnsi="David" w:cs="David" w:hint="cs"/>
          <w:sz w:val="24"/>
          <w:szCs w:val="24"/>
          <w:rtl/>
        </w:rPr>
        <w:t xml:space="preserve">להם </w:t>
      </w:r>
      <w:r w:rsidR="00EE0F56">
        <w:rPr>
          <w:rFonts w:ascii="David" w:hAnsi="David" w:cs="David"/>
          <w:sz w:val="24"/>
          <w:szCs w:val="24"/>
          <w:rtl/>
        </w:rPr>
        <w:t>ללקוט בשדהו</w:t>
      </w:r>
      <w:r w:rsidR="00104630">
        <w:rPr>
          <w:rFonts w:ascii="David" w:hAnsi="David" w:cs="David"/>
          <w:sz w:val="24"/>
          <w:szCs w:val="24"/>
          <w:rtl/>
        </w:rPr>
        <w:t>.</w:t>
      </w:r>
      <w:r w:rsidR="00104630" w:rsidRPr="00104630">
        <w:rPr>
          <w:rFonts w:ascii="David" w:hAnsi="David" w:cs="David"/>
          <w:sz w:val="24"/>
          <w:szCs w:val="24"/>
          <w:rtl/>
        </w:rPr>
        <w:t xml:space="preserve"> </w:t>
      </w:r>
      <w:r w:rsidR="00E82FEE">
        <w:rPr>
          <w:rFonts w:ascii="David" w:hAnsi="David" w:cs="David"/>
          <w:sz w:val="24"/>
          <w:szCs w:val="24"/>
          <w:rtl/>
        </w:rPr>
        <w:t xml:space="preserve">עם זאת התקנה איננה נסוגה לחלוטין </w:t>
      </w:r>
      <w:r w:rsidR="000F3900">
        <w:rPr>
          <w:rFonts w:ascii="David" w:hAnsi="David" w:cs="David" w:hint="cs"/>
          <w:sz w:val="24"/>
          <w:szCs w:val="24"/>
          <w:rtl/>
        </w:rPr>
        <w:t>משיטתם ההלכתית של</w:t>
      </w:r>
      <w:r w:rsidR="00E82FEE">
        <w:rPr>
          <w:rFonts w:ascii="David" w:hAnsi="David" w:cs="David"/>
          <w:sz w:val="24"/>
          <w:szCs w:val="24"/>
          <w:rtl/>
        </w:rPr>
        <w:t xml:space="preserve"> </w:t>
      </w:r>
      <w:r w:rsidR="000F3900">
        <w:rPr>
          <w:rFonts w:ascii="David" w:hAnsi="David" w:cs="David" w:hint="cs"/>
          <w:sz w:val="24"/>
          <w:szCs w:val="24"/>
          <w:rtl/>
        </w:rPr>
        <w:t>ה</w:t>
      </w:r>
      <w:r w:rsidR="00E82FEE">
        <w:rPr>
          <w:rFonts w:ascii="David" w:hAnsi="David" w:cs="David"/>
          <w:sz w:val="24"/>
          <w:szCs w:val="24"/>
          <w:rtl/>
        </w:rPr>
        <w:t>חכמים (לז</w:t>
      </w:r>
      <w:r w:rsidR="00341290">
        <w:rPr>
          <w:rFonts w:ascii="David" w:hAnsi="David" w:cs="David"/>
          <w:sz w:val="24"/>
          <w:szCs w:val="24"/>
          <w:rtl/>
        </w:rPr>
        <w:t>ַ</w:t>
      </w:r>
      <w:r w:rsidR="00E82FEE">
        <w:rPr>
          <w:rFonts w:ascii="David" w:hAnsi="David" w:cs="David"/>
          <w:sz w:val="24"/>
          <w:szCs w:val="24"/>
          <w:rtl/>
        </w:rPr>
        <w:t>כות בלקט רק עני ראוי)</w:t>
      </w:r>
      <w:r w:rsidR="00737397">
        <w:rPr>
          <w:rFonts w:ascii="David" w:hAnsi="David" w:cs="David"/>
          <w:sz w:val="24"/>
          <w:szCs w:val="24"/>
          <w:rtl/>
        </w:rPr>
        <w:t>,</w:t>
      </w:r>
      <w:r w:rsidR="00104630">
        <w:rPr>
          <w:rFonts w:ascii="David" w:hAnsi="David" w:cs="David"/>
          <w:sz w:val="24"/>
          <w:szCs w:val="24"/>
          <w:rtl/>
        </w:rPr>
        <w:t xml:space="preserve"> שהרי היא </w:t>
      </w:r>
      <w:r w:rsidR="00E82FEE">
        <w:rPr>
          <w:rFonts w:ascii="David" w:hAnsi="David" w:cs="David"/>
          <w:sz w:val="24"/>
          <w:szCs w:val="24"/>
          <w:rtl/>
        </w:rPr>
        <w:t xml:space="preserve">קובעת במפורש </w:t>
      </w:r>
      <w:r w:rsidR="00B1217E">
        <w:rPr>
          <w:rFonts w:ascii="David" w:hAnsi="David" w:cs="David"/>
          <w:sz w:val="24"/>
          <w:szCs w:val="24"/>
          <w:rtl/>
        </w:rPr>
        <w:t>ש</w:t>
      </w:r>
      <w:r w:rsidR="00E82FEE">
        <w:rPr>
          <w:rFonts w:ascii="David" w:hAnsi="David" w:cs="David"/>
          <w:sz w:val="24"/>
          <w:szCs w:val="24"/>
          <w:rtl/>
        </w:rPr>
        <w:t>'אם יכול בעל הבית למחות בידן – ממחה"</w:t>
      </w:r>
      <w:r w:rsidR="00251FA5">
        <w:rPr>
          <w:rFonts w:ascii="David" w:hAnsi="David" w:cs="David"/>
          <w:sz w:val="24"/>
          <w:szCs w:val="24"/>
          <w:rtl/>
        </w:rPr>
        <w:t>.</w:t>
      </w:r>
      <w:r w:rsidR="007F623F">
        <w:rPr>
          <w:rFonts w:ascii="David" w:hAnsi="David" w:cs="David"/>
          <w:sz w:val="24"/>
          <w:szCs w:val="24"/>
          <w:rtl/>
        </w:rPr>
        <w:t xml:space="preserve"> </w:t>
      </w:r>
      <w:r w:rsidR="002F0DBA">
        <w:rPr>
          <w:rFonts w:ascii="David" w:hAnsi="David" w:cs="David" w:hint="cs"/>
          <w:sz w:val="24"/>
          <w:szCs w:val="24"/>
          <w:rtl/>
        </w:rPr>
        <w:t xml:space="preserve">אם כן </w:t>
      </w:r>
      <w:r w:rsidR="007F623F">
        <w:rPr>
          <w:rFonts w:ascii="David" w:hAnsi="David" w:cs="David"/>
          <w:sz w:val="24"/>
          <w:szCs w:val="24"/>
          <w:rtl/>
        </w:rPr>
        <w:t>יש לומר</w:t>
      </w:r>
      <w:r w:rsidR="00251FA5">
        <w:rPr>
          <w:rFonts w:ascii="David" w:hAnsi="David" w:cs="David"/>
          <w:sz w:val="24"/>
          <w:szCs w:val="24"/>
          <w:rtl/>
        </w:rPr>
        <w:t>,</w:t>
      </w:r>
      <w:r w:rsidR="002F0DBA">
        <w:rPr>
          <w:rFonts w:ascii="David" w:hAnsi="David" w:cs="David" w:hint="cs"/>
          <w:sz w:val="24"/>
          <w:szCs w:val="24"/>
          <w:rtl/>
        </w:rPr>
        <w:t xml:space="preserve"> ש</w:t>
      </w:r>
      <w:r w:rsidR="00907139">
        <w:rPr>
          <w:rFonts w:ascii="David" w:hAnsi="David" w:cs="David"/>
          <w:sz w:val="24"/>
          <w:szCs w:val="24"/>
          <w:rtl/>
        </w:rPr>
        <w:t xml:space="preserve">גם </w:t>
      </w:r>
      <w:r w:rsidR="002F0DBA">
        <w:rPr>
          <w:rFonts w:ascii="David" w:hAnsi="David" w:cs="David" w:hint="cs"/>
          <w:sz w:val="24"/>
          <w:szCs w:val="24"/>
          <w:rtl/>
        </w:rPr>
        <w:t xml:space="preserve">כאן </w:t>
      </w:r>
      <w:r w:rsidR="00737397">
        <w:rPr>
          <w:rFonts w:ascii="David" w:hAnsi="David" w:cs="David"/>
          <w:sz w:val="24"/>
          <w:szCs w:val="24"/>
          <w:rtl/>
        </w:rPr>
        <w:t xml:space="preserve">משמשת </w:t>
      </w:r>
      <w:r w:rsidR="00E77CA7" w:rsidRPr="00087F49">
        <w:rPr>
          <w:rFonts w:ascii="David" w:hAnsi="David" w:cs="David"/>
          <w:sz w:val="24"/>
          <w:szCs w:val="24"/>
          <w:rtl/>
        </w:rPr>
        <w:t>ה</w:t>
      </w:r>
      <w:r w:rsidR="00A17C71">
        <w:rPr>
          <w:rFonts w:ascii="David" w:hAnsi="David" w:cs="David"/>
          <w:sz w:val="24"/>
          <w:szCs w:val="24"/>
          <w:rtl/>
        </w:rPr>
        <w:t>נמקת</w:t>
      </w:r>
      <w:r w:rsidR="00E77CA7" w:rsidRPr="00087F49">
        <w:rPr>
          <w:rFonts w:ascii="David" w:hAnsi="David" w:cs="David"/>
          <w:sz w:val="24"/>
          <w:szCs w:val="24"/>
          <w:rtl/>
        </w:rPr>
        <w:t xml:space="preserve"> 'דרכי השלום' </w:t>
      </w:r>
      <w:r w:rsidR="00E77CA7">
        <w:rPr>
          <w:rFonts w:ascii="David" w:hAnsi="David" w:cs="David"/>
          <w:sz w:val="24"/>
          <w:szCs w:val="24"/>
          <w:rtl/>
        </w:rPr>
        <w:t>כהסבר ל</w:t>
      </w:r>
      <w:r w:rsidR="00E77CA7" w:rsidRPr="00087F49">
        <w:rPr>
          <w:rFonts w:ascii="David" w:hAnsi="David" w:cs="David"/>
          <w:sz w:val="24"/>
          <w:szCs w:val="24"/>
          <w:rtl/>
        </w:rPr>
        <w:t xml:space="preserve">וויתור </w:t>
      </w:r>
      <w:r w:rsidR="00E77CA7">
        <w:rPr>
          <w:rFonts w:ascii="David" w:hAnsi="David" w:cs="David"/>
          <w:sz w:val="24"/>
          <w:szCs w:val="24"/>
          <w:rtl/>
        </w:rPr>
        <w:t xml:space="preserve">על עיקרון הלכתי </w:t>
      </w:r>
      <w:r w:rsidR="00E77CA7" w:rsidRPr="00087F49">
        <w:rPr>
          <w:rFonts w:ascii="David" w:hAnsi="David" w:cs="David"/>
          <w:sz w:val="24"/>
          <w:szCs w:val="24"/>
          <w:rtl/>
        </w:rPr>
        <w:t>מטעם</w:t>
      </w:r>
      <w:r w:rsidR="00E77CA7">
        <w:rPr>
          <w:rFonts w:ascii="David" w:hAnsi="David" w:cs="David"/>
          <w:sz w:val="24"/>
          <w:szCs w:val="24"/>
          <w:rtl/>
        </w:rPr>
        <w:t xml:space="preserve"> של </w:t>
      </w:r>
      <w:r w:rsidR="00353054">
        <w:rPr>
          <w:rFonts w:ascii="David" w:hAnsi="David" w:cs="David"/>
          <w:sz w:val="24"/>
          <w:szCs w:val="24"/>
        </w:rPr>
        <w:t>r</w:t>
      </w:r>
      <w:r w:rsidR="00353054" w:rsidRPr="00353054">
        <w:rPr>
          <w:rFonts w:ascii="David" w:hAnsi="David" w:cs="David"/>
          <w:sz w:val="24"/>
          <w:szCs w:val="24"/>
        </w:rPr>
        <w:t>ealpolitik</w:t>
      </w:r>
      <w:r w:rsidR="00353054">
        <w:rPr>
          <w:rFonts w:ascii="David" w:hAnsi="David" w:cs="David" w:hint="cs"/>
          <w:sz w:val="24"/>
          <w:szCs w:val="24"/>
          <w:rtl/>
        </w:rPr>
        <w:t xml:space="preserve"> </w:t>
      </w:r>
      <w:r w:rsidR="00E77CA7" w:rsidRPr="00087F49">
        <w:rPr>
          <w:rFonts w:ascii="David" w:hAnsi="David" w:cs="David"/>
          <w:sz w:val="24"/>
          <w:szCs w:val="24"/>
          <w:rtl/>
        </w:rPr>
        <w:t>ולא כטעם ערכי</w:t>
      </w:r>
      <w:r w:rsidR="00737397">
        <w:rPr>
          <w:rFonts w:ascii="David" w:hAnsi="David" w:cs="David"/>
          <w:sz w:val="24"/>
          <w:szCs w:val="24"/>
          <w:rtl/>
        </w:rPr>
        <w:t xml:space="preserve"> שאותו היו מעוניינים חכמים לקדם</w:t>
      </w:r>
      <w:r w:rsidR="00E77CA7" w:rsidRPr="00087F49">
        <w:rPr>
          <w:rFonts w:ascii="David" w:hAnsi="David" w:cs="David"/>
          <w:sz w:val="24"/>
          <w:szCs w:val="24"/>
          <w:rtl/>
        </w:rPr>
        <w:t>.</w:t>
      </w:r>
      <w:r w:rsidR="00E77CA7">
        <w:rPr>
          <w:rStyle w:val="a5"/>
          <w:rFonts w:ascii="David" w:hAnsi="David" w:cs="David"/>
          <w:sz w:val="24"/>
          <w:szCs w:val="24"/>
          <w:rtl/>
        </w:rPr>
        <w:footnoteReference w:id="30"/>
      </w:r>
      <w:r w:rsidR="00907139">
        <w:rPr>
          <w:rFonts w:ascii="David" w:hAnsi="David" w:cs="David"/>
          <w:sz w:val="24"/>
          <w:szCs w:val="24"/>
          <w:rtl/>
        </w:rPr>
        <w:t xml:space="preserve"> דרך נוספת </w:t>
      </w:r>
      <w:r w:rsidR="00A17C71">
        <w:rPr>
          <w:rFonts w:ascii="David" w:hAnsi="David" w:cs="David"/>
          <w:sz w:val="24"/>
          <w:szCs w:val="24"/>
          <w:rtl/>
        </w:rPr>
        <w:t xml:space="preserve">להסביר את מבנה התקנה </w:t>
      </w:r>
      <w:r w:rsidR="00173274">
        <w:rPr>
          <w:rFonts w:ascii="David" w:hAnsi="David" w:cs="David"/>
          <w:sz w:val="24"/>
          <w:szCs w:val="24"/>
          <w:rtl/>
        </w:rPr>
        <w:t>(</w:t>
      </w:r>
      <w:r w:rsidR="00F23851">
        <w:rPr>
          <w:rFonts w:ascii="David" w:hAnsi="David" w:cs="David" w:hint="cs"/>
          <w:sz w:val="24"/>
          <w:szCs w:val="24"/>
          <w:rtl/>
        </w:rPr>
        <w:t>באופן</w:t>
      </w:r>
      <w:r w:rsidR="00173274">
        <w:rPr>
          <w:rFonts w:ascii="David" w:hAnsi="David" w:cs="David"/>
          <w:sz w:val="24"/>
          <w:szCs w:val="24"/>
          <w:rtl/>
        </w:rPr>
        <w:t xml:space="preserve"> ש</w:t>
      </w:r>
      <w:r w:rsidR="00F23851">
        <w:rPr>
          <w:rFonts w:ascii="David" w:hAnsi="David" w:cs="David" w:hint="cs"/>
          <w:sz w:val="24"/>
          <w:szCs w:val="24"/>
          <w:rtl/>
        </w:rPr>
        <w:t>לא</w:t>
      </w:r>
      <w:r w:rsidR="00173274">
        <w:rPr>
          <w:rFonts w:ascii="David" w:hAnsi="David" w:cs="David"/>
          <w:sz w:val="24"/>
          <w:szCs w:val="24"/>
          <w:rtl/>
        </w:rPr>
        <w:t xml:space="preserve"> שולל את</w:t>
      </w:r>
      <w:r w:rsidR="00B57F5A">
        <w:rPr>
          <w:rFonts w:ascii="David" w:hAnsi="David" w:cs="David" w:hint="cs"/>
          <w:sz w:val="24"/>
          <w:szCs w:val="24"/>
          <w:rtl/>
        </w:rPr>
        <w:t xml:space="preserve"> קודמו</w:t>
      </w:r>
      <w:r w:rsidR="00173274">
        <w:rPr>
          <w:rFonts w:ascii="David" w:hAnsi="David" w:cs="David"/>
          <w:sz w:val="24"/>
          <w:szCs w:val="24"/>
          <w:rtl/>
        </w:rPr>
        <w:t xml:space="preserve">) </w:t>
      </w:r>
      <w:r w:rsidR="00907139">
        <w:rPr>
          <w:rFonts w:ascii="David" w:hAnsi="David" w:cs="David"/>
          <w:sz w:val="24"/>
          <w:szCs w:val="24"/>
          <w:rtl/>
        </w:rPr>
        <w:t>היא לראות ב</w:t>
      </w:r>
      <w:r w:rsidR="00010F00">
        <w:rPr>
          <w:rFonts w:ascii="David" w:hAnsi="David" w:cs="David"/>
          <w:sz w:val="24"/>
          <w:szCs w:val="24"/>
          <w:rtl/>
        </w:rPr>
        <w:t>ו</w:t>
      </w:r>
      <w:r w:rsidR="0038307E">
        <w:rPr>
          <w:rFonts w:ascii="David" w:hAnsi="David" w:cs="David"/>
          <w:sz w:val="24"/>
          <w:szCs w:val="24"/>
          <w:rtl/>
        </w:rPr>
        <w:t xml:space="preserve"> </w:t>
      </w:r>
      <w:r w:rsidR="00104630">
        <w:rPr>
          <w:rFonts w:ascii="David" w:hAnsi="David" w:cs="David"/>
          <w:sz w:val="24"/>
          <w:szCs w:val="24"/>
          <w:rtl/>
        </w:rPr>
        <w:t xml:space="preserve">מקרה פרטי של </w:t>
      </w:r>
      <w:r w:rsidR="00E00127">
        <w:rPr>
          <w:rFonts w:ascii="David" w:hAnsi="David" w:cs="David"/>
          <w:sz w:val="24"/>
          <w:szCs w:val="24"/>
          <w:rtl/>
        </w:rPr>
        <w:t xml:space="preserve">ההבחנה </w:t>
      </w:r>
      <w:r w:rsidR="00AB0CE9">
        <w:rPr>
          <w:rFonts w:ascii="David" w:hAnsi="David" w:cs="David" w:hint="cs"/>
          <w:sz w:val="24"/>
          <w:szCs w:val="24"/>
          <w:rtl/>
        </w:rPr>
        <w:t xml:space="preserve">המשפטית </w:t>
      </w:r>
      <w:r w:rsidR="00E00127">
        <w:rPr>
          <w:rFonts w:ascii="David" w:hAnsi="David" w:cs="David"/>
          <w:sz w:val="24"/>
          <w:szCs w:val="24"/>
          <w:rtl/>
        </w:rPr>
        <w:t xml:space="preserve">בין </w:t>
      </w:r>
      <w:r w:rsidR="00481935">
        <w:rPr>
          <w:rFonts w:ascii="David" w:hAnsi="David" w:cs="David" w:hint="cs"/>
          <w:sz w:val="24"/>
          <w:szCs w:val="24"/>
          <w:rtl/>
        </w:rPr>
        <w:t xml:space="preserve">שני מצבים - </w:t>
      </w:r>
      <w:r w:rsidR="00104630">
        <w:rPr>
          <w:rFonts w:ascii="David" w:hAnsi="David" w:cs="David"/>
          <w:sz w:val="24"/>
          <w:szCs w:val="24"/>
          <w:rtl/>
        </w:rPr>
        <w:t xml:space="preserve">'מלכתחילה </w:t>
      </w:r>
      <w:r w:rsidR="00E00127">
        <w:rPr>
          <w:rFonts w:ascii="David" w:hAnsi="David" w:cs="David"/>
          <w:sz w:val="24"/>
          <w:szCs w:val="24"/>
          <w:rtl/>
        </w:rPr>
        <w:t>'</w:t>
      </w:r>
      <w:r w:rsidR="00104630">
        <w:rPr>
          <w:rFonts w:ascii="David" w:hAnsi="David" w:cs="David"/>
          <w:sz w:val="24"/>
          <w:szCs w:val="24"/>
          <w:rtl/>
        </w:rPr>
        <w:t>ו</w:t>
      </w:r>
      <w:r w:rsidR="00E00127">
        <w:rPr>
          <w:rFonts w:ascii="David" w:hAnsi="David" w:cs="David"/>
          <w:sz w:val="24"/>
          <w:szCs w:val="24"/>
          <w:rtl/>
        </w:rPr>
        <w:t>'</w:t>
      </w:r>
      <w:r w:rsidR="00104630">
        <w:rPr>
          <w:rFonts w:ascii="David" w:hAnsi="David" w:cs="David"/>
          <w:sz w:val="24"/>
          <w:szCs w:val="24"/>
          <w:rtl/>
        </w:rPr>
        <w:t xml:space="preserve">בדיעבד'. </w:t>
      </w:r>
      <w:r w:rsidR="0081332E">
        <w:rPr>
          <w:rFonts w:ascii="David" w:hAnsi="David" w:cs="David" w:hint="cs"/>
          <w:sz w:val="24"/>
          <w:szCs w:val="24"/>
          <w:rtl/>
        </w:rPr>
        <w:t>בעוד ש</w:t>
      </w:r>
      <w:r w:rsidR="00104630">
        <w:rPr>
          <w:rFonts w:ascii="David" w:hAnsi="David" w:cs="David"/>
          <w:sz w:val="24"/>
          <w:szCs w:val="24"/>
          <w:rtl/>
        </w:rPr>
        <w:t>המונח 'מלכתחילה' מציין את מצב העניינים ההתחלתי</w:t>
      </w:r>
      <w:r w:rsidR="00530B4B">
        <w:rPr>
          <w:rFonts w:ascii="David" w:hAnsi="David" w:cs="David"/>
          <w:sz w:val="24"/>
          <w:szCs w:val="24"/>
          <w:rtl/>
        </w:rPr>
        <w:t>, או שראוי היה להיעשות</w:t>
      </w:r>
      <w:r w:rsidR="00433659">
        <w:rPr>
          <w:rFonts w:ascii="David" w:hAnsi="David" w:cs="David" w:hint="cs"/>
          <w:sz w:val="24"/>
          <w:szCs w:val="24"/>
          <w:rtl/>
        </w:rPr>
        <w:t>,</w:t>
      </w:r>
      <w:r w:rsidR="00104630">
        <w:rPr>
          <w:rFonts w:ascii="David" w:hAnsi="David" w:cs="David"/>
          <w:sz w:val="24"/>
          <w:szCs w:val="24"/>
          <w:rtl/>
        </w:rPr>
        <w:t xml:space="preserve"> </w:t>
      </w:r>
      <w:r w:rsidR="0081332E">
        <w:rPr>
          <w:rFonts w:ascii="David" w:hAnsi="David" w:cs="David" w:hint="cs"/>
          <w:sz w:val="24"/>
          <w:szCs w:val="24"/>
          <w:rtl/>
        </w:rPr>
        <w:t xml:space="preserve">מציין </w:t>
      </w:r>
      <w:r w:rsidR="00104630">
        <w:rPr>
          <w:rFonts w:ascii="David" w:hAnsi="David" w:cs="David"/>
          <w:sz w:val="24"/>
          <w:szCs w:val="24"/>
          <w:rtl/>
        </w:rPr>
        <w:t xml:space="preserve">המונח 'בדיעבד' את מצב העניינים שהתהווה בעקבות עשיית מעשה כלשהו. במקרים שבהם הדין </w:t>
      </w:r>
      <w:r w:rsidR="00E00127">
        <w:rPr>
          <w:rFonts w:ascii="David" w:hAnsi="David" w:cs="David"/>
          <w:sz w:val="24"/>
          <w:szCs w:val="24"/>
          <w:rtl/>
        </w:rPr>
        <w:t>'</w:t>
      </w:r>
      <w:r w:rsidR="00104630">
        <w:rPr>
          <w:rFonts w:ascii="David" w:hAnsi="David" w:cs="David"/>
          <w:sz w:val="24"/>
          <w:szCs w:val="24"/>
          <w:rtl/>
        </w:rPr>
        <w:t>לכתחילה</w:t>
      </w:r>
      <w:r w:rsidR="00E00127">
        <w:rPr>
          <w:rFonts w:ascii="David" w:hAnsi="David" w:cs="David"/>
          <w:sz w:val="24"/>
          <w:szCs w:val="24"/>
          <w:rtl/>
        </w:rPr>
        <w:t>'</w:t>
      </w:r>
      <w:r w:rsidR="00104630">
        <w:rPr>
          <w:rFonts w:ascii="David" w:hAnsi="David" w:cs="David"/>
          <w:sz w:val="24"/>
          <w:szCs w:val="24"/>
          <w:rtl/>
        </w:rPr>
        <w:t xml:space="preserve"> קובע איסור </w:t>
      </w:r>
      <w:r w:rsidR="00C4774F">
        <w:rPr>
          <w:rFonts w:ascii="David" w:hAnsi="David" w:cs="David" w:hint="cs"/>
          <w:sz w:val="24"/>
          <w:szCs w:val="24"/>
          <w:rtl/>
        </w:rPr>
        <w:t xml:space="preserve"> - </w:t>
      </w:r>
      <w:r w:rsidR="00104630">
        <w:rPr>
          <w:rFonts w:ascii="David" w:hAnsi="David" w:cs="David"/>
          <w:sz w:val="24"/>
          <w:szCs w:val="24"/>
          <w:rtl/>
        </w:rPr>
        <w:t xml:space="preserve">כמו במקרה שלנו: אסור לתת לעניים שאינם </w:t>
      </w:r>
      <w:proofErr w:type="spellStart"/>
      <w:r w:rsidR="00104630">
        <w:rPr>
          <w:rFonts w:ascii="David" w:hAnsi="David" w:cs="David"/>
          <w:sz w:val="24"/>
          <w:szCs w:val="24"/>
          <w:rtl/>
        </w:rPr>
        <w:t>ראויין</w:t>
      </w:r>
      <w:proofErr w:type="spellEnd"/>
      <w:r w:rsidR="00104630">
        <w:rPr>
          <w:rFonts w:ascii="David" w:hAnsi="David" w:cs="David"/>
          <w:sz w:val="24"/>
          <w:szCs w:val="24"/>
          <w:rtl/>
        </w:rPr>
        <w:t xml:space="preserve"> ללקט</w:t>
      </w:r>
      <w:r w:rsidR="00C4774F">
        <w:rPr>
          <w:rFonts w:ascii="David" w:hAnsi="David" w:cs="David" w:hint="cs"/>
          <w:sz w:val="24"/>
          <w:szCs w:val="24"/>
          <w:rtl/>
        </w:rPr>
        <w:t xml:space="preserve"> -</w:t>
      </w:r>
      <w:r w:rsidR="00104630">
        <w:rPr>
          <w:rFonts w:ascii="David" w:hAnsi="David" w:cs="David"/>
          <w:sz w:val="24"/>
          <w:szCs w:val="24"/>
          <w:rtl/>
        </w:rPr>
        <w:t xml:space="preserve"> מתייחס הדין </w:t>
      </w:r>
      <w:r w:rsidR="00E00127">
        <w:rPr>
          <w:rFonts w:ascii="David" w:hAnsi="David" w:cs="David"/>
          <w:sz w:val="24"/>
          <w:szCs w:val="24"/>
          <w:rtl/>
        </w:rPr>
        <w:t>'</w:t>
      </w:r>
      <w:r w:rsidR="00104630">
        <w:rPr>
          <w:rFonts w:ascii="David" w:hAnsi="David" w:cs="David"/>
          <w:sz w:val="24"/>
          <w:szCs w:val="24"/>
          <w:rtl/>
        </w:rPr>
        <w:t>בדיעבד</w:t>
      </w:r>
      <w:r w:rsidR="00E00127">
        <w:rPr>
          <w:rFonts w:ascii="David" w:hAnsi="David" w:cs="David"/>
          <w:sz w:val="24"/>
          <w:szCs w:val="24"/>
          <w:rtl/>
        </w:rPr>
        <w:t>'</w:t>
      </w:r>
      <w:r w:rsidR="00104630">
        <w:rPr>
          <w:rFonts w:ascii="David" w:hAnsi="David" w:cs="David"/>
          <w:sz w:val="24"/>
          <w:szCs w:val="24"/>
          <w:rtl/>
        </w:rPr>
        <w:t xml:space="preserve"> למצב שנוצר כתוצאה מביצוע המעשה האסור, תוך הפרת כלל ההתנהגות הראשוני </w:t>
      </w:r>
      <w:r w:rsidR="00104630">
        <w:rPr>
          <w:rFonts w:ascii="David" w:hAnsi="David" w:cs="David"/>
          <w:sz w:val="24"/>
          <w:szCs w:val="24"/>
          <w:rtl/>
        </w:rPr>
        <w:lastRenderedPageBreak/>
        <w:t>שקבעה הנורמה ההלכתית</w:t>
      </w:r>
      <w:r w:rsidR="00906F0A">
        <w:rPr>
          <w:rFonts w:ascii="David" w:hAnsi="David" w:cs="David"/>
          <w:sz w:val="24"/>
          <w:szCs w:val="24"/>
          <w:rtl/>
        </w:rPr>
        <w:t>.</w:t>
      </w:r>
      <w:r w:rsidR="00906F0A">
        <w:rPr>
          <w:rStyle w:val="a5"/>
          <w:rFonts w:ascii="David" w:hAnsi="David" w:cs="David"/>
          <w:sz w:val="24"/>
          <w:szCs w:val="24"/>
          <w:rtl/>
        </w:rPr>
        <w:footnoteReference w:id="31"/>
      </w:r>
      <w:r w:rsidR="00906F0A">
        <w:rPr>
          <w:rFonts w:ascii="David" w:hAnsi="David" w:cs="David"/>
          <w:sz w:val="24"/>
          <w:szCs w:val="24"/>
          <w:rtl/>
        </w:rPr>
        <w:t xml:space="preserve"> </w:t>
      </w:r>
      <w:r w:rsidR="00906F0A" w:rsidRPr="00906F0A">
        <w:rPr>
          <w:rFonts w:ascii="David" w:hAnsi="David" w:cs="David"/>
          <w:sz w:val="24"/>
          <w:szCs w:val="24"/>
          <w:rtl/>
        </w:rPr>
        <w:t xml:space="preserve">תוצאת התקנה כאן, ואולי גם מטרתה, </w:t>
      </w:r>
      <w:r w:rsidR="00100051">
        <w:rPr>
          <w:rFonts w:ascii="David" w:hAnsi="David" w:cs="David"/>
          <w:sz w:val="24"/>
          <w:szCs w:val="24"/>
          <w:rtl/>
        </w:rPr>
        <w:t xml:space="preserve">היא </w:t>
      </w:r>
      <w:r w:rsidR="00E4581C">
        <w:rPr>
          <w:rFonts w:ascii="David" w:hAnsi="David" w:cs="David"/>
          <w:sz w:val="24"/>
          <w:szCs w:val="24"/>
          <w:rtl/>
        </w:rPr>
        <w:t>לקבוע את כלל ההתנהגות הראוי</w:t>
      </w:r>
      <w:r w:rsidR="000A6497">
        <w:rPr>
          <w:rFonts w:ascii="David" w:hAnsi="David" w:cs="David" w:hint="cs"/>
          <w:sz w:val="24"/>
          <w:szCs w:val="24"/>
          <w:rtl/>
        </w:rPr>
        <w:t xml:space="preserve"> - </w:t>
      </w:r>
      <w:r w:rsidR="00E4581C">
        <w:rPr>
          <w:rFonts w:ascii="David" w:hAnsi="David" w:cs="David"/>
          <w:sz w:val="24"/>
          <w:szCs w:val="24"/>
          <w:rtl/>
        </w:rPr>
        <w:t xml:space="preserve"> </w:t>
      </w:r>
      <w:r w:rsidR="000A6497">
        <w:rPr>
          <w:rFonts w:ascii="David" w:hAnsi="David" w:cs="David" w:hint="cs"/>
          <w:sz w:val="24"/>
          <w:szCs w:val="24"/>
          <w:rtl/>
        </w:rPr>
        <w:t xml:space="preserve">למחות ביד עניים לא ראויים - </w:t>
      </w:r>
      <w:r w:rsidR="00E4581C">
        <w:rPr>
          <w:rFonts w:ascii="David" w:hAnsi="David" w:cs="David"/>
          <w:sz w:val="24"/>
          <w:szCs w:val="24"/>
          <w:rtl/>
        </w:rPr>
        <w:t xml:space="preserve">אולם בד בבד </w:t>
      </w:r>
      <w:r w:rsidR="00906F0A" w:rsidRPr="00906F0A">
        <w:rPr>
          <w:rFonts w:ascii="David" w:hAnsi="David" w:cs="David"/>
          <w:sz w:val="24"/>
          <w:szCs w:val="24"/>
          <w:rtl/>
        </w:rPr>
        <w:t xml:space="preserve">לבטל סנקציה אפשרית </w:t>
      </w:r>
      <w:r w:rsidR="00100051">
        <w:rPr>
          <w:rFonts w:ascii="David" w:hAnsi="David" w:cs="David"/>
          <w:sz w:val="24"/>
          <w:szCs w:val="24"/>
          <w:rtl/>
        </w:rPr>
        <w:t xml:space="preserve">שתוטל </w:t>
      </w:r>
      <w:r w:rsidR="00F96D0B">
        <w:rPr>
          <w:rFonts w:ascii="David" w:hAnsi="David" w:cs="David"/>
          <w:sz w:val="24"/>
          <w:szCs w:val="24"/>
          <w:rtl/>
        </w:rPr>
        <w:t xml:space="preserve">על מי </w:t>
      </w:r>
      <w:r w:rsidR="00907139">
        <w:rPr>
          <w:rFonts w:ascii="David" w:hAnsi="David" w:cs="David"/>
          <w:sz w:val="24"/>
          <w:szCs w:val="24"/>
          <w:rtl/>
        </w:rPr>
        <w:t>שעברו על האיסור</w:t>
      </w:r>
      <w:r w:rsidR="000E4DBA">
        <w:rPr>
          <w:rFonts w:ascii="David" w:hAnsi="David" w:cs="David"/>
          <w:sz w:val="24"/>
          <w:szCs w:val="24"/>
          <w:rtl/>
        </w:rPr>
        <w:t>,</w:t>
      </w:r>
      <w:r w:rsidR="00907139">
        <w:rPr>
          <w:rFonts w:ascii="David" w:hAnsi="David" w:cs="David"/>
          <w:sz w:val="24"/>
          <w:szCs w:val="24"/>
          <w:rtl/>
        </w:rPr>
        <w:t xml:space="preserve"> ו</w:t>
      </w:r>
      <w:r w:rsidR="00A933B7">
        <w:rPr>
          <w:rFonts w:ascii="David" w:hAnsi="David" w:cs="David"/>
          <w:sz w:val="24"/>
          <w:szCs w:val="24"/>
          <w:rtl/>
        </w:rPr>
        <w:t>גרמו</w:t>
      </w:r>
      <w:r w:rsidR="00907139">
        <w:rPr>
          <w:rFonts w:ascii="David" w:hAnsi="David" w:cs="David"/>
          <w:sz w:val="24"/>
          <w:szCs w:val="24"/>
          <w:rtl/>
        </w:rPr>
        <w:t xml:space="preserve"> לכך שעניים שאינם ראויים זוכים בלקט.</w:t>
      </w:r>
      <w:r w:rsidR="006F25EA">
        <w:rPr>
          <w:rStyle w:val="a5"/>
          <w:rFonts w:ascii="David" w:hAnsi="David" w:cs="David"/>
          <w:sz w:val="24"/>
          <w:szCs w:val="24"/>
          <w:rtl/>
        </w:rPr>
        <w:footnoteReference w:id="32"/>
      </w:r>
    </w:p>
    <w:p w14:paraId="34FCD176" w14:textId="77777777" w:rsidR="005250A8" w:rsidRDefault="005250A8" w:rsidP="00100051">
      <w:pPr>
        <w:spacing w:line="480" w:lineRule="auto"/>
        <w:rPr>
          <w:rFonts w:ascii="David" w:hAnsi="David" w:cs="David"/>
          <w:sz w:val="24"/>
          <w:szCs w:val="24"/>
          <w:rtl/>
        </w:rPr>
      </w:pPr>
    </w:p>
    <w:p w14:paraId="4186FA6B" w14:textId="61813299" w:rsidR="00491499" w:rsidRPr="00491499" w:rsidRDefault="00915619" w:rsidP="00797FEF">
      <w:pPr>
        <w:pStyle w:val="ab"/>
        <w:numPr>
          <w:ilvl w:val="0"/>
          <w:numId w:val="18"/>
        </w:numPr>
        <w:spacing w:line="480" w:lineRule="auto"/>
        <w:ind w:left="360"/>
        <w:rPr>
          <w:rFonts w:ascii="David" w:hAnsi="David" w:cs="David"/>
          <w:sz w:val="24"/>
          <w:szCs w:val="24"/>
          <w:rtl/>
        </w:rPr>
      </w:pPr>
      <w:r>
        <w:rPr>
          <w:rFonts w:ascii="David" w:hAnsi="David" w:cs="David" w:hint="cs"/>
          <w:b/>
          <w:bCs/>
          <w:sz w:val="24"/>
          <w:szCs w:val="24"/>
          <w:rtl/>
        </w:rPr>
        <w:t xml:space="preserve">גישה פרגמטית: </w:t>
      </w:r>
      <w:r w:rsidR="005E5176" w:rsidRPr="00491499">
        <w:rPr>
          <w:rFonts w:ascii="David" w:hAnsi="David" w:cs="David" w:hint="cs"/>
          <w:b/>
          <w:bCs/>
          <w:sz w:val="24"/>
          <w:szCs w:val="24"/>
          <w:rtl/>
        </w:rPr>
        <w:t>"מפני דרכי השלום" כהנמקה לתקנות שעונות על לקונות בחוק</w:t>
      </w:r>
      <w:r w:rsidR="00AA4FB1" w:rsidRPr="00491499">
        <w:rPr>
          <w:rFonts w:ascii="David" w:hAnsi="David" w:cs="David" w:hint="cs"/>
          <w:b/>
          <w:bCs/>
          <w:sz w:val="24"/>
          <w:szCs w:val="24"/>
          <w:rtl/>
        </w:rPr>
        <w:t xml:space="preserve"> </w:t>
      </w:r>
    </w:p>
    <w:p w14:paraId="209ED4A8" w14:textId="208A2EC4" w:rsidR="007F5789" w:rsidRDefault="006F5CC0" w:rsidP="001311E3">
      <w:pPr>
        <w:spacing w:line="480" w:lineRule="auto"/>
        <w:ind w:left="360"/>
        <w:rPr>
          <w:rFonts w:ascii="David" w:hAnsi="David" w:cs="David"/>
          <w:sz w:val="24"/>
          <w:szCs w:val="24"/>
          <w:rtl/>
        </w:rPr>
      </w:pPr>
      <w:r w:rsidRPr="00B86851">
        <w:rPr>
          <w:rFonts w:ascii="David" w:hAnsi="David" w:cs="David" w:hint="cs"/>
          <w:sz w:val="24"/>
          <w:szCs w:val="24"/>
          <w:rtl/>
        </w:rPr>
        <w:t>דומה ש</w:t>
      </w:r>
      <w:r w:rsidR="001C5221" w:rsidRPr="00B86851">
        <w:rPr>
          <w:rFonts w:ascii="David" w:hAnsi="David" w:cs="David" w:hint="cs"/>
          <w:sz w:val="24"/>
          <w:szCs w:val="24"/>
          <w:rtl/>
        </w:rPr>
        <w:t xml:space="preserve">עם כניסתה </w:t>
      </w:r>
      <w:r w:rsidR="00C017BC" w:rsidRPr="00B86851">
        <w:rPr>
          <w:rFonts w:ascii="David" w:hAnsi="David" w:cs="David" w:hint="cs"/>
          <w:sz w:val="24"/>
          <w:szCs w:val="24"/>
          <w:rtl/>
        </w:rPr>
        <w:t xml:space="preserve">של הנמקת "דרכי השלום" אל תוך השיח ההלכתי </w:t>
      </w:r>
      <w:r w:rsidR="00A15EE9" w:rsidRPr="00B86851">
        <w:rPr>
          <w:rFonts w:ascii="David" w:hAnsi="David" w:cs="David" w:hint="cs"/>
          <w:sz w:val="24"/>
          <w:szCs w:val="24"/>
          <w:rtl/>
        </w:rPr>
        <w:t xml:space="preserve">השתנתה </w:t>
      </w:r>
      <w:r w:rsidR="00A9696C" w:rsidRPr="00B86851">
        <w:rPr>
          <w:rFonts w:ascii="David" w:hAnsi="David" w:cs="David" w:hint="cs"/>
          <w:sz w:val="24"/>
          <w:szCs w:val="24"/>
          <w:rtl/>
        </w:rPr>
        <w:t>גישתם הערכית של החכמים כלפיה</w:t>
      </w:r>
      <w:r w:rsidR="002B7A03">
        <w:rPr>
          <w:rFonts w:ascii="David" w:hAnsi="David" w:cs="David" w:hint="cs"/>
          <w:sz w:val="24"/>
          <w:szCs w:val="24"/>
          <w:rtl/>
        </w:rPr>
        <w:t>.</w:t>
      </w:r>
      <w:r w:rsidR="0086389B">
        <w:rPr>
          <w:rFonts w:ascii="David" w:hAnsi="David" w:cs="David" w:hint="cs"/>
          <w:sz w:val="24"/>
          <w:szCs w:val="24"/>
          <w:rtl/>
        </w:rPr>
        <w:t xml:space="preserve"> </w:t>
      </w:r>
      <w:r w:rsidR="002B7A03">
        <w:rPr>
          <w:rFonts w:ascii="David" w:hAnsi="David" w:cs="David" w:hint="cs"/>
          <w:sz w:val="24"/>
          <w:szCs w:val="24"/>
          <w:rtl/>
        </w:rPr>
        <w:t xml:space="preserve">עתה </w:t>
      </w:r>
      <w:r w:rsidR="0086389B">
        <w:rPr>
          <w:rFonts w:ascii="David" w:hAnsi="David" w:cs="David" w:hint="cs"/>
          <w:sz w:val="24"/>
          <w:szCs w:val="24"/>
          <w:rtl/>
        </w:rPr>
        <w:t>היא מ</w:t>
      </w:r>
      <w:r w:rsidR="00C017BC" w:rsidRPr="00B86851">
        <w:rPr>
          <w:rFonts w:ascii="David" w:hAnsi="David" w:cs="David" w:hint="cs"/>
          <w:sz w:val="24"/>
          <w:szCs w:val="24"/>
          <w:rtl/>
        </w:rPr>
        <w:t>שמש</w:t>
      </w:r>
      <w:r w:rsidR="0086389B">
        <w:rPr>
          <w:rFonts w:ascii="David" w:hAnsi="David" w:cs="David" w:hint="cs"/>
          <w:sz w:val="24"/>
          <w:szCs w:val="24"/>
          <w:rtl/>
        </w:rPr>
        <w:t>ת</w:t>
      </w:r>
      <w:r w:rsidR="00C017BC" w:rsidRPr="00B86851">
        <w:rPr>
          <w:rFonts w:ascii="David" w:hAnsi="David" w:cs="David" w:hint="cs"/>
          <w:sz w:val="24"/>
          <w:szCs w:val="24"/>
          <w:rtl/>
        </w:rPr>
        <w:t xml:space="preserve"> כהצדקה</w:t>
      </w:r>
      <w:r w:rsidR="003C77E0">
        <w:rPr>
          <w:rFonts w:ascii="David" w:hAnsi="David" w:cs="David" w:hint="cs"/>
          <w:sz w:val="24"/>
          <w:szCs w:val="24"/>
          <w:rtl/>
        </w:rPr>
        <w:t xml:space="preserve"> </w:t>
      </w:r>
      <w:r w:rsidR="00C017BC" w:rsidRPr="00B86851">
        <w:rPr>
          <w:rFonts w:ascii="David" w:hAnsi="David" w:cs="David" w:hint="cs"/>
          <w:sz w:val="24"/>
          <w:szCs w:val="24"/>
          <w:rtl/>
        </w:rPr>
        <w:t xml:space="preserve">לתקנות </w:t>
      </w:r>
      <w:r w:rsidR="00750D94">
        <w:rPr>
          <w:rFonts w:ascii="David" w:hAnsi="David" w:cs="David" w:hint="cs"/>
          <w:sz w:val="24"/>
          <w:szCs w:val="24"/>
          <w:rtl/>
        </w:rPr>
        <w:t>ש</w:t>
      </w:r>
      <w:r w:rsidR="001C5221" w:rsidRPr="00B86851">
        <w:rPr>
          <w:rFonts w:ascii="David" w:hAnsi="David" w:cs="David" w:hint="cs"/>
          <w:sz w:val="24"/>
          <w:szCs w:val="24"/>
          <w:rtl/>
        </w:rPr>
        <w:t>מ</w:t>
      </w:r>
      <w:r w:rsidR="00BB7C02">
        <w:rPr>
          <w:rFonts w:ascii="David" w:hAnsi="David" w:cs="David" w:hint="cs"/>
          <w:sz w:val="24"/>
          <w:szCs w:val="24"/>
          <w:rtl/>
        </w:rPr>
        <w:t>מ</w:t>
      </w:r>
      <w:r w:rsidR="001C5221" w:rsidRPr="00B86851">
        <w:rPr>
          <w:rFonts w:ascii="David" w:hAnsi="David" w:cs="David" w:hint="cs"/>
          <w:sz w:val="24"/>
          <w:szCs w:val="24"/>
          <w:rtl/>
        </w:rPr>
        <w:t>לא</w:t>
      </w:r>
      <w:r w:rsidR="00780D9B">
        <w:rPr>
          <w:rFonts w:ascii="David" w:hAnsi="David" w:cs="David" w:hint="cs"/>
          <w:sz w:val="24"/>
          <w:szCs w:val="24"/>
          <w:rtl/>
        </w:rPr>
        <w:t>ות</w:t>
      </w:r>
      <w:r w:rsidR="001C5221" w:rsidRPr="00B86851">
        <w:rPr>
          <w:rFonts w:ascii="David" w:hAnsi="David" w:cs="David" w:hint="cs"/>
          <w:sz w:val="24"/>
          <w:szCs w:val="24"/>
          <w:rtl/>
        </w:rPr>
        <w:t xml:space="preserve"> </w:t>
      </w:r>
      <w:r w:rsidR="00B2616F" w:rsidRPr="00B86851">
        <w:rPr>
          <w:rFonts w:ascii="David" w:hAnsi="David" w:cs="David" w:hint="cs"/>
          <w:sz w:val="24"/>
          <w:szCs w:val="24"/>
          <w:rtl/>
        </w:rPr>
        <w:t>לקונ</w:t>
      </w:r>
      <w:r w:rsidR="00BB7C02">
        <w:rPr>
          <w:rFonts w:ascii="David" w:hAnsi="David" w:cs="David" w:hint="cs"/>
          <w:sz w:val="24"/>
          <w:szCs w:val="24"/>
          <w:rtl/>
        </w:rPr>
        <w:t>ה</w:t>
      </w:r>
      <w:r w:rsidR="00B76D62" w:rsidRPr="00B86851">
        <w:rPr>
          <w:rFonts w:ascii="David" w:hAnsi="David" w:cs="David" w:hint="cs"/>
          <w:sz w:val="24"/>
          <w:szCs w:val="24"/>
          <w:rtl/>
        </w:rPr>
        <w:t xml:space="preserve"> </w:t>
      </w:r>
      <w:r w:rsidR="00B2616F" w:rsidRPr="00B86851">
        <w:rPr>
          <w:rFonts w:ascii="David" w:hAnsi="David" w:cs="David" w:hint="cs"/>
          <w:sz w:val="24"/>
          <w:szCs w:val="24"/>
          <w:rtl/>
        </w:rPr>
        <w:t>בהלכה</w:t>
      </w:r>
      <w:r w:rsidR="0035654C" w:rsidRPr="00B86851">
        <w:rPr>
          <w:rFonts w:ascii="David" w:hAnsi="David" w:cs="David" w:hint="cs"/>
          <w:sz w:val="24"/>
          <w:szCs w:val="24"/>
          <w:rtl/>
        </w:rPr>
        <w:t xml:space="preserve">. </w:t>
      </w:r>
      <w:r w:rsidR="00B2616F" w:rsidRPr="00B86851">
        <w:rPr>
          <w:rFonts w:ascii="David" w:hAnsi="David" w:cs="David" w:hint="cs"/>
          <w:sz w:val="24"/>
          <w:szCs w:val="24"/>
          <w:rtl/>
        </w:rPr>
        <w:t>תוכנה הרעיוני</w:t>
      </w:r>
      <w:r w:rsidR="003C77E0">
        <w:rPr>
          <w:rFonts w:ascii="David" w:hAnsi="David" w:cs="David" w:hint="cs"/>
          <w:sz w:val="24"/>
          <w:szCs w:val="24"/>
          <w:rtl/>
        </w:rPr>
        <w:t xml:space="preserve"> </w:t>
      </w:r>
      <w:r w:rsidR="00EE582A" w:rsidRPr="00B86851">
        <w:rPr>
          <w:rFonts w:ascii="David" w:hAnsi="David" w:cs="David"/>
          <w:sz w:val="24"/>
          <w:szCs w:val="24"/>
          <w:rtl/>
        </w:rPr>
        <w:t>–</w:t>
      </w:r>
      <w:r w:rsidR="00EE582A" w:rsidRPr="00B86851">
        <w:rPr>
          <w:rFonts w:ascii="David" w:hAnsi="David" w:cs="David" w:hint="cs"/>
          <w:sz w:val="24"/>
          <w:szCs w:val="24"/>
          <w:rtl/>
        </w:rPr>
        <w:t xml:space="preserve"> השכנת שלום בין פרטים או בין קבוצות </w:t>
      </w:r>
      <w:r w:rsidR="00FD796B" w:rsidRPr="00B86851">
        <w:rPr>
          <w:rFonts w:ascii="David" w:hAnsi="David" w:cs="David" w:hint="cs"/>
          <w:sz w:val="24"/>
          <w:szCs w:val="24"/>
          <w:rtl/>
        </w:rPr>
        <w:t xml:space="preserve">שונות </w:t>
      </w:r>
      <w:r w:rsidR="00B2616F" w:rsidRPr="00B86851">
        <w:rPr>
          <w:rFonts w:ascii="David" w:hAnsi="David" w:cs="David" w:hint="cs"/>
          <w:sz w:val="24"/>
          <w:szCs w:val="24"/>
          <w:rtl/>
        </w:rPr>
        <w:t>ב</w:t>
      </w:r>
      <w:r w:rsidR="0051764B" w:rsidRPr="00B86851">
        <w:rPr>
          <w:rFonts w:ascii="David" w:hAnsi="David" w:cs="David" w:hint="cs"/>
          <w:sz w:val="24"/>
          <w:szCs w:val="24"/>
          <w:rtl/>
        </w:rPr>
        <w:t xml:space="preserve">קהילה </w:t>
      </w:r>
      <w:r w:rsidR="00B2616F" w:rsidRPr="00B86851">
        <w:rPr>
          <w:rFonts w:ascii="David" w:hAnsi="David" w:cs="David" w:hint="cs"/>
          <w:sz w:val="24"/>
          <w:szCs w:val="24"/>
          <w:rtl/>
        </w:rPr>
        <w:t xml:space="preserve"> </w:t>
      </w:r>
      <w:r w:rsidR="00EE582A" w:rsidRPr="00B86851">
        <w:rPr>
          <w:rFonts w:ascii="David" w:hAnsi="David" w:cs="David"/>
          <w:sz w:val="24"/>
          <w:szCs w:val="24"/>
          <w:rtl/>
        </w:rPr>
        <w:t>–</w:t>
      </w:r>
      <w:r w:rsidR="00EE582A" w:rsidRPr="00B86851">
        <w:rPr>
          <w:rFonts w:ascii="David" w:hAnsi="David" w:cs="David" w:hint="cs"/>
          <w:sz w:val="24"/>
          <w:szCs w:val="24"/>
          <w:rtl/>
        </w:rPr>
        <w:t xml:space="preserve"> </w:t>
      </w:r>
      <w:r w:rsidR="001158A7" w:rsidRPr="00B86851">
        <w:rPr>
          <w:rFonts w:ascii="David" w:hAnsi="David" w:cs="David" w:hint="cs"/>
          <w:sz w:val="24"/>
          <w:szCs w:val="24"/>
          <w:rtl/>
        </w:rPr>
        <w:t>עש</w:t>
      </w:r>
      <w:r w:rsidR="001633C8">
        <w:rPr>
          <w:rFonts w:ascii="David" w:hAnsi="David" w:cs="David" w:hint="cs"/>
          <w:sz w:val="24"/>
          <w:szCs w:val="24"/>
          <w:rtl/>
        </w:rPr>
        <w:t>ת</w:t>
      </w:r>
      <w:r w:rsidR="001158A7" w:rsidRPr="00B86851">
        <w:rPr>
          <w:rFonts w:ascii="David" w:hAnsi="David" w:cs="David" w:hint="cs"/>
          <w:sz w:val="24"/>
          <w:szCs w:val="24"/>
          <w:rtl/>
        </w:rPr>
        <w:t xml:space="preserve">ה </w:t>
      </w:r>
      <w:r w:rsidR="00B2616F" w:rsidRPr="00B86851">
        <w:rPr>
          <w:rFonts w:ascii="David" w:hAnsi="David" w:cs="David" w:hint="cs"/>
          <w:sz w:val="24"/>
          <w:szCs w:val="24"/>
          <w:rtl/>
        </w:rPr>
        <w:t xml:space="preserve">אותה </w:t>
      </w:r>
      <w:r w:rsidR="00EE582A" w:rsidRPr="00B86851">
        <w:rPr>
          <w:rFonts w:ascii="David" w:hAnsi="David" w:cs="David" w:hint="cs"/>
          <w:sz w:val="24"/>
          <w:szCs w:val="24"/>
          <w:rtl/>
        </w:rPr>
        <w:t>מתאי</w:t>
      </w:r>
      <w:r w:rsidR="00B2616F" w:rsidRPr="00B86851">
        <w:rPr>
          <w:rFonts w:ascii="David" w:hAnsi="David" w:cs="David" w:hint="cs"/>
          <w:sz w:val="24"/>
          <w:szCs w:val="24"/>
          <w:rtl/>
        </w:rPr>
        <w:t>מה</w:t>
      </w:r>
      <w:r w:rsidR="00EE582A" w:rsidRPr="00B86851">
        <w:rPr>
          <w:rFonts w:ascii="David" w:hAnsi="David" w:cs="David" w:hint="cs"/>
          <w:sz w:val="24"/>
          <w:szCs w:val="24"/>
          <w:rtl/>
        </w:rPr>
        <w:t xml:space="preserve"> </w:t>
      </w:r>
      <w:r w:rsidR="00F50D85" w:rsidRPr="00B86851">
        <w:rPr>
          <w:rFonts w:ascii="David" w:hAnsi="David" w:cs="David" w:hint="cs"/>
          <w:sz w:val="24"/>
          <w:szCs w:val="24"/>
          <w:rtl/>
        </w:rPr>
        <w:t xml:space="preserve">למצבים </w:t>
      </w:r>
      <w:r w:rsidR="00B2616F" w:rsidRPr="00B86851">
        <w:rPr>
          <w:rFonts w:ascii="David" w:hAnsi="David" w:cs="David" w:hint="cs"/>
          <w:sz w:val="24"/>
          <w:szCs w:val="24"/>
          <w:rtl/>
        </w:rPr>
        <w:t>רבים</w:t>
      </w:r>
      <w:r w:rsidR="003C77E0">
        <w:rPr>
          <w:rFonts w:ascii="David" w:hAnsi="David" w:cs="David" w:hint="cs"/>
          <w:sz w:val="24"/>
          <w:szCs w:val="24"/>
          <w:rtl/>
        </w:rPr>
        <w:t xml:space="preserve"> </w:t>
      </w:r>
      <w:r w:rsidR="003C77E0" w:rsidRPr="003C77E0">
        <w:rPr>
          <w:rFonts w:ascii="David" w:hAnsi="David" w:cs="David"/>
          <w:sz w:val="24"/>
          <w:szCs w:val="24"/>
          <w:rtl/>
        </w:rPr>
        <w:t>שבהם עשוי להיווצר עלבון</w:t>
      </w:r>
      <w:r w:rsidR="00ED0E1A">
        <w:rPr>
          <w:rFonts w:ascii="David" w:hAnsi="David" w:cs="David" w:hint="cs"/>
          <w:sz w:val="24"/>
          <w:szCs w:val="24"/>
          <w:rtl/>
        </w:rPr>
        <w:t>, או ריב,</w:t>
      </w:r>
      <w:r w:rsidR="003C77E0" w:rsidRPr="003C77E0">
        <w:rPr>
          <w:rFonts w:ascii="David" w:hAnsi="David" w:cs="David"/>
          <w:sz w:val="24"/>
          <w:szCs w:val="24"/>
          <w:rtl/>
        </w:rPr>
        <w:t xml:space="preserve"> שעלול להתדרדר למעשים אלימים.</w:t>
      </w:r>
      <w:r w:rsidR="00EE582A" w:rsidRPr="00B86851">
        <w:rPr>
          <w:rFonts w:ascii="David" w:hAnsi="David" w:cs="David" w:hint="cs"/>
          <w:sz w:val="24"/>
          <w:szCs w:val="24"/>
          <w:rtl/>
        </w:rPr>
        <w:t xml:space="preserve"> ואמנם ניתן לראות כי </w:t>
      </w:r>
      <w:r w:rsidR="000A4228">
        <w:rPr>
          <w:rFonts w:ascii="David" w:hAnsi="David" w:cs="David" w:hint="cs"/>
          <w:sz w:val="24"/>
          <w:szCs w:val="24"/>
          <w:rtl/>
        </w:rPr>
        <w:t xml:space="preserve">הלכות 'דרכי השלום' </w:t>
      </w:r>
      <w:r w:rsidR="00EE582A" w:rsidRPr="00B86851">
        <w:rPr>
          <w:rFonts w:ascii="David" w:hAnsi="David" w:cs="David" w:hint="cs"/>
          <w:sz w:val="24"/>
          <w:szCs w:val="24"/>
          <w:rtl/>
        </w:rPr>
        <w:t>עוסקות ב</w:t>
      </w:r>
      <w:r w:rsidR="000A4228">
        <w:rPr>
          <w:rFonts w:ascii="David" w:hAnsi="David" w:cs="David" w:hint="cs"/>
          <w:sz w:val="24"/>
          <w:szCs w:val="24"/>
          <w:rtl/>
        </w:rPr>
        <w:t>מגוון רחב של</w:t>
      </w:r>
      <w:r w:rsidR="00C9637D">
        <w:rPr>
          <w:rFonts w:ascii="David" w:hAnsi="David" w:cs="David" w:hint="cs"/>
          <w:sz w:val="24"/>
          <w:szCs w:val="24"/>
          <w:rtl/>
        </w:rPr>
        <w:t xml:space="preserve"> אינטראקציות בין-אישיות</w:t>
      </w:r>
      <w:r w:rsidR="00E30315" w:rsidRPr="00B86851">
        <w:rPr>
          <w:rFonts w:ascii="David" w:hAnsi="David" w:cs="David" w:hint="cs"/>
          <w:sz w:val="24"/>
          <w:szCs w:val="24"/>
          <w:rtl/>
        </w:rPr>
        <w:t>:</w:t>
      </w:r>
      <w:r w:rsidR="00EE582A" w:rsidRPr="00B86851">
        <w:rPr>
          <w:rFonts w:ascii="David" w:hAnsi="David" w:cs="David" w:hint="cs"/>
          <w:sz w:val="24"/>
          <w:szCs w:val="24"/>
          <w:rtl/>
        </w:rPr>
        <w:t xml:space="preserve"> בין שכנים לבית </w:t>
      </w:r>
      <w:r w:rsidR="00360F2E" w:rsidRPr="00B86851">
        <w:rPr>
          <w:rFonts w:ascii="David" w:hAnsi="David" w:cs="David" w:hint="cs"/>
          <w:sz w:val="24"/>
          <w:szCs w:val="24"/>
          <w:rtl/>
        </w:rPr>
        <w:t xml:space="preserve">משותף </w:t>
      </w:r>
      <w:r w:rsidR="00EE582A" w:rsidRPr="00B86851">
        <w:rPr>
          <w:rFonts w:ascii="David" w:hAnsi="David" w:cs="David" w:hint="cs"/>
          <w:sz w:val="24"/>
          <w:szCs w:val="24"/>
          <w:rtl/>
        </w:rPr>
        <w:t>או לחלקות השדה;</w:t>
      </w:r>
      <w:r w:rsidR="00B44852">
        <w:rPr>
          <w:rStyle w:val="a5"/>
          <w:rFonts w:ascii="David" w:hAnsi="David" w:cs="David"/>
          <w:sz w:val="24"/>
          <w:szCs w:val="24"/>
          <w:rtl/>
        </w:rPr>
        <w:footnoteReference w:id="33"/>
      </w:r>
      <w:r w:rsidR="00EE582A" w:rsidRPr="00B86851">
        <w:rPr>
          <w:rFonts w:ascii="David" w:hAnsi="David" w:cs="David" w:hint="cs"/>
          <w:sz w:val="24"/>
          <w:szCs w:val="24"/>
          <w:rtl/>
        </w:rPr>
        <w:t xml:space="preserve"> במרחב הציבורי</w:t>
      </w:r>
      <w:r w:rsidR="00C9637D">
        <w:rPr>
          <w:rFonts w:ascii="David" w:hAnsi="David" w:cs="David" w:hint="cs"/>
          <w:sz w:val="24"/>
          <w:szCs w:val="24"/>
          <w:rtl/>
        </w:rPr>
        <w:t>:</w:t>
      </w:r>
      <w:r w:rsidR="00EE582A" w:rsidRPr="00B86851">
        <w:rPr>
          <w:rFonts w:ascii="David" w:hAnsi="David" w:cs="David" w:hint="cs"/>
          <w:sz w:val="24"/>
          <w:szCs w:val="24"/>
          <w:rtl/>
        </w:rPr>
        <w:t xml:space="preserve"> בבית הכנסת</w:t>
      </w:r>
      <w:r w:rsidR="00CF436F">
        <w:rPr>
          <w:rStyle w:val="a5"/>
          <w:rFonts w:ascii="David" w:hAnsi="David" w:cs="David"/>
          <w:sz w:val="24"/>
          <w:szCs w:val="24"/>
          <w:rtl/>
        </w:rPr>
        <w:footnoteReference w:id="34"/>
      </w:r>
      <w:r w:rsidR="00EE582A" w:rsidRPr="00B86851">
        <w:rPr>
          <w:rFonts w:ascii="David" w:hAnsi="David" w:cs="David" w:hint="cs"/>
          <w:sz w:val="24"/>
          <w:szCs w:val="24"/>
          <w:rtl/>
        </w:rPr>
        <w:t xml:space="preserve"> או ברשות הרבים; בין אנשים שמחזיקים בדרגות שונ</w:t>
      </w:r>
      <w:r w:rsidR="006357D2" w:rsidRPr="00B86851">
        <w:rPr>
          <w:rFonts w:ascii="David" w:hAnsi="David" w:cs="David" w:hint="cs"/>
          <w:sz w:val="24"/>
          <w:szCs w:val="24"/>
          <w:rtl/>
        </w:rPr>
        <w:t>ות של הקפדה הלכתית</w:t>
      </w:r>
      <w:r w:rsidR="00EE582A" w:rsidRPr="00B86851">
        <w:rPr>
          <w:rFonts w:ascii="David" w:hAnsi="David" w:cs="David" w:hint="cs"/>
          <w:sz w:val="24"/>
          <w:szCs w:val="24"/>
          <w:rtl/>
        </w:rPr>
        <w:t>;</w:t>
      </w:r>
      <w:r w:rsidR="00B71FA9">
        <w:rPr>
          <w:rStyle w:val="a5"/>
          <w:rFonts w:ascii="David" w:hAnsi="David" w:cs="David"/>
          <w:sz w:val="24"/>
          <w:szCs w:val="24"/>
          <w:rtl/>
        </w:rPr>
        <w:footnoteReference w:id="35"/>
      </w:r>
      <w:r w:rsidR="00EE582A" w:rsidRPr="00B86851">
        <w:rPr>
          <w:rFonts w:ascii="David" w:hAnsi="David" w:cs="David" w:hint="cs"/>
          <w:sz w:val="24"/>
          <w:szCs w:val="24"/>
          <w:rtl/>
        </w:rPr>
        <w:t xml:space="preserve"> </w:t>
      </w:r>
      <w:r w:rsidR="00CA0418">
        <w:rPr>
          <w:rFonts w:ascii="David" w:hAnsi="David" w:cs="David" w:hint="cs"/>
          <w:sz w:val="24"/>
          <w:szCs w:val="24"/>
          <w:rtl/>
        </w:rPr>
        <w:t>ו</w:t>
      </w:r>
      <w:r w:rsidR="00A30A85">
        <w:rPr>
          <w:rFonts w:ascii="David" w:hAnsi="David" w:cs="David" w:hint="cs"/>
          <w:sz w:val="24"/>
          <w:szCs w:val="24"/>
          <w:rtl/>
        </w:rPr>
        <w:t>ב</w:t>
      </w:r>
      <w:r w:rsidR="00EE582A" w:rsidRPr="00B86851">
        <w:rPr>
          <w:rFonts w:ascii="David" w:hAnsi="David" w:cs="David" w:hint="cs"/>
          <w:sz w:val="24"/>
          <w:szCs w:val="24"/>
          <w:rtl/>
        </w:rPr>
        <w:t>מגע יומיומי עם שכנים נוכרים.</w:t>
      </w:r>
      <w:r w:rsidR="00B2616F">
        <w:rPr>
          <w:rStyle w:val="a5"/>
          <w:rFonts w:ascii="David" w:hAnsi="David" w:cs="David"/>
          <w:sz w:val="24"/>
          <w:szCs w:val="24"/>
          <w:rtl/>
        </w:rPr>
        <w:footnoteReference w:id="36"/>
      </w:r>
      <w:r w:rsidR="003E77C2" w:rsidRPr="00B86851">
        <w:rPr>
          <w:rFonts w:ascii="David" w:hAnsi="David" w:cs="David" w:hint="cs"/>
          <w:sz w:val="24"/>
          <w:szCs w:val="24"/>
          <w:rtl/>
        </w:rPr>
        <w:t xml:space="preserve"> </w:t>
      </w:r>
      <w:r w:rsidR="001311E3">
        <w:rPr>
          <w:rFonts w:ascii="David" w:hAnsi="David" w:cs="David" w:hint="cs"/>
          <w:sz w:val="24"/>
          <w:szCs w:val="24"/>
          <w:rtl/>
        </w:rPr>
        <w:t>בשונה</w:t>
      </w:r>
      <w:r w:rsidR="00F43431">
        <w:rPr>
          <w:rFonts w:ascii="David" w:hAnsi="David" w:cs="David" w:hint="cs"/>
          <w:sz w:val="24"/>
          <w:szCs w:val="24"/>
          <w:rtl/>
        </w:rPr>
        <w:t xml:space="preserve"> מן ההלכות הקודמות </w:t>
      </w:r>
      <w:r w:rsidR="00CA0418">
        <w:rPr>
          <w:rFonts w:ascii="David" w:hAnsi="David" w:cs="David" w:hint="cs"/>
          <w:sz w:val="24"/>
          <w:szCs w:val="24"/>
          <w:rtl/>
        </w:rPr>
        <w:t xml:space="preserve">שראינו, על </w:t>
      </w:r>
      <w:r w:rsidR="00CA0418" w:rsidRPr="00B86851">
        <w:rPr>
          <w:rFonts w:ascii="David" w:hAnsi="David" w:cs="David" w:hint="cs"/>
          <w:sz w:val="24"/>
          <w:szCs w:val="24"/>
          <w:rtl/>
        </w:rPr>
        <w:t xml:space="preserve">רובן המכריע של </w:t>
      </w:r>
      <w:r w:rsidR="00CA0418">
        <w:rPr>
          <w:rFonts w:ascii="David" w:hAnsi="David" w:cs="David" w:hint="cs"/>
          <w:sz w:val="24"/>
          <w:szCs w:val="24"/>
          <w:rtl/>
        </w:rPr>
        <w:t xml:space="preserve">הלכות </w:t>
      </w:r>
      <w:r w:rsidR="00CA0418">
        <w:rPr>
          <w:rFonts w:ascii="David" w:hAnsi="David" w:cs="David" w:hint="cs"/>
          <w:sz w:val="24"/>
          <w:szCs w:val="24"/>
          <w:rtl/>
        </w:rPr>
        <w:lastRenderedPageBreak/>
        <w:t>אלו אין מחלוקת מפורשת מבחינה תאולוגית או אידיאולוגית</w:t>
      </w:r>
      <w:r w:rsidR="001311E3">
        <w:rPr>
          <w:rFonts w:ascii="David" w:hAnsi="David" w:cs="David" w:hint="cs"/>
          <w:sz w:val="24"/>
          <w:szCs w:val="24"/>
          <w:rtl/>
        </w:rPr>
        <w:t>,</w:t>
      </w:r>
      <w:r w:rsidR="00750D94">
        <w:rPr>
          <w:rFonts w:ascii="David" w:hAnsi="David" w:cs="David" w:hint="cs"/>
          <w:sz w:val="24"/>
          <w:szCs w:val="24"/>
          <w:rtl/>
        </w:rPr>
        <w:t xml:space="preserve"> </w:t>
      </w:r>
      <w:r w:rsidR="00CA0418">
        <w:rPr>
          <w:rFonts w:ascii="David" w:hAnsi="David" w:cs="David" w:hint="cs"/>
          <w:sz w:val="24"/>
          <w:szCs w:val="24"/>
          <w:rtl/>
        </w:rPr>
        <w:t xml:space="preserve">ונראה </w:t>
      </w:r>
      <w:r w:rsidR="00C978F8" w:rsidRPr="00C978F8">
        <w:rPr>
          <w:rFonts w:ascii="David" w:hAnsi="David" w:cs="David"/>
          <w:sz w:val="24"/>
          <w:szCs w:val="24"/>
          <w:rtl/>
        </w:rPr>
        <w:t xml:space="preserve">כי יחסם </w:t>
      </w:r>
      <w:r w:rsidR="00C978F8">
        <w:rPr>
          <w:rFonts w:ascii="David" w:hAnsi="David" w:cs="David" w:hint="cs"/>
          <w:sz w:val="24"/>
          <w:szCs w:val="24"/>
          <w:rtl/>
        </w:rPr>
        <w:t xml:space="preserve">של החכמים </w:t>
      </w:r>
      <w:r w:rsidR="00CA0418">
        <w:rPr>
          <w:rFonts w:ascii="David" w:hAnsi="David" w:cs="David" w:hint="cs"/>
          <w:sz w:val="24"/>
          <w:szCs w:val="24"/>
          <w:rtl/>
        </w:rPr>
        <w:t xml:space="preserve">אליהן </w:t>
      </w:r>
      <w:r w:rsidR="00C978F8" w:rsidRPr="00C978F8">
        <w:rPr>
          <w:rFonts w:ascii="David" w:hAnsi="David" w:cs="David"/>
          <w:sz w:val="24"/>
          <w:szCs w:val="24"/>
          <w:rtl/>
        </w:rPr>
        <w:t>הוא פרגמטי ומעשי</w:t>
      </w:r>
      <w:r w:rsidR="00CA0418">
        <w:rPr>
          <w:rFonts w:ascii="David" w:hAnsi="David" w:cs="David" w:hint="cs"/>
          <w:sz w:val="24"/>
          <w:szCs w:val="24"/>
          <w:rtl/>
        </w:rPr>
        <w:t>.</w:t>
      </w:r>
      <w:r w:rsidR="00C978F8" w:rsidRPr="00C978F8">
        <w:rPr>
          <w:rFonts w:ascii="David" w:hAnsi="David" w:cs="David"/>
          <w:sz w:val="24"/>
          <w:szCs w:val="24"/>
          <w:rtl/>
        </w:rPr>
        <w:t xml:space="preserve"> לעיתים הם אפילו תופסים אות</w:t>
      </w:r>
      <w:r w:rsidR="00CA0418">
        <w:rPr>
          <w:rFonts w:ascii="David" w:hAnsi="David" w:cs="David" w:hint="cs"/>
          <w:sz w:val="24"/>
          <w:szCs w:val="24"/>
          <w:rtl/>
        </w:rPr>
        <w:t>ן כביטוי לע</w:t>
      </w:r>
      <w:r w:rsidR="00C978F8" w:rsidRPr="00C978F8">
        <w:rPr>
          <w:rFonts w:ascii="David" w:hAnsi="David" w:cs="David"/>
          <w:sz w:val="24"/>
          <w:szCs w:val="24"/>
          <w:rtl/>
        </w:rPr>
        <w:t>קרון הלכתי חיובי, שראוי לקד</w:t>
      </w:r>
      <w:r w:rsidR="007337E9">
        <w:rPr>
          <w:rFonts w:ascii="David" w:hAnsi="David" w:cs="David" w:hint="cs"/>
          <w:sz w:val="24"/>
          <w:szCs w:val="24"/>
          <w:rtl/>
        </w:rPr>
        <w:t>מו</w:t>
      </w:r>
      <w:r w:rsidR="00C978F8" w:rsidRPr="00C978F8">
        <w:rPr>
          <w:rFonts w:ascii="David" w:hAnsi="David" w:cs="David"/>
          <w:sz w:val="24"/>
          <w:szCs w:val="24"/>
          <w:rtl/>
        </w:rPr>
        <w:t xml:space="preserve">. מסקנה זו מתבססת </w:t>
      </w:r>
      <w:r w:rsidR="003E6357">
        <w:rPr>
          <w:rFonts w:ascii="David" w:hAnsi="David" w:cs="David" w:hint="cs"/>
          <w:sz w:val="24"/>
          <w:szCs w:val="24"/>
          <w:rtl/>
        </w:rPr>
        <w:t xml:space="preserve">במיוחד </w:t>
      </w:r>
      <w:r w:rsidR="00C978F8" w:rsidRPr="00C978F8">
        <w:rPr>
          <w:rFonts w:ascii="David" w:hAnsi="David" w:cs="David"/>
          <w:sz w:val="24"/>
          <w:szCs w:val="24"/>
          <w:rtl/>
        </w:rPr>
        <w:t>על מיקרים,</w:t>
      </w:r>
      <w:r w:rsidR="008371D9">
        <w:rPr>
          <w:rFonts w:ascii="David" w:hAnsi="David" w:cs="David" w:hint="cs"/>
          <w:sz w:val="24"/>
          <w:szCs w:val="24"/>
          <w:rtl/>
        </w:rPr>
        <w:t xml:space="preserve"> כגון יחסים עם שכנים חשודים על השביעית</w:t>
      </w:r>
      <w:r w:rsidR="00281566">
        <w:rPr>
          <w:rStyle w:val="a5"/>
          <w:rFonts w:ascii="David" w:hAnsi="David" w:cs="David"/>
          <w:sz w:val="24"/>
          <w:szCs w:val="24"/>
          <w:rtl/>
        </w:rPr>
        <w:footnoteReference w:id="37"/>
      </w:r>
      <w:r w:rsidR="008371D9">
        <w:rPr>
          <w:rFonts w:ascii="David" w:hAnsi="David" w:cs="David" w:hint="cs"/>
          <w:sz w:val="24"/>
          <w:szCs w:val="24"/>
          <w:rtl/>
        </w:rPr>
        <w:t xml:space="preserve"> או </w:t>
      </w:r>
      <w:r w:rsidR="00BB18CC">
        <w:rPr>
          <w:rFonts w:ascii="David" w:hAnsi="David" w:cs="David" w:hint="cs"/>
          <w:sz w:val="24"/>
          <w:szCs w:val="24"/>
          <w:rtl/>
        </w:rPr>
        <w:t xml:space="preserve">עם </w:t>
      </w:r>
      <w:r w:rsidR="008371D9">
        <w:rPr>
          <w:rFonts w:ascii="David" w:hAnsi="David" w:cs="David" w:hint="cs"/>
          <w:sz w:val="24"/>
          <w:szCs w:val="24"/>
          <w:rtl/>
        </w:rPr>
        <w:t>'עמי ארצות' שאינם מקפידים בטהרה,</w:t>
      </w:r>
      <w:r w:rsidR="00CF450A">
        <w:rPr>
          <w:rStyle w:val="a5"/>
          <w:rFonts w:ascii="David" w:hAnsi="David" w:cs="David"/>
          <w:sz w:val="24"/>
          <w:szCs w:val="24"/>
          <w:rtl/>
        </w:rPr>
        <w:footnoteReference w:id="38"/>
      </w:r>
      <w:r w:rsidR="00C978F8" w:rsidRPr="00C978F8">
        <w:rPr>
          <w:rFonts w:ascii="David" w:hAnsi="David" w:cs="David"/>
          <w:sz w:val="24"/>
          <w:szCs w:val="24"/>
          <w:rtl/>
        </w:rPr>
        <w:t xml:space="preserve"> שבהם ניתן לראות כי בפני החכמים עמדה אפשרות ל</w:t>
      </w:r>
      <w:r w:rsidR="003E6357">
        <w:rPr>
          <w:rFonts w:ascii="David" w:hAnsi="David" w:cs="David" w:hint="cs"/>
          <w:sz w:val="24"/>
          <w:szCs w:val="24"/>
          <w:rtl/>
        </w:rPr>
        <w:t>פסיקה</w:t>
      </w:r>
      <w:r w:rsidR="00C978F8" w:rsidRPr="00C978F8">
        <w:rPr>
          <w:rFonts w:ascii="David" w:hAnsi="David" w:cs="David"/>
          <w:sz w:val="24"/>
          <w:szCs w:val="24"/>
          <w:rtl/>
        </w:rPr>
        <w:t xml:space="preserve"> אחרת</w:t>
      </w:r>
      <w:r w:rsidR="005A2234">
        <w:rPr>
          <w:rFonts w:ascii="David" w:hAnsi="David" w:cs="David" w:hint="cs"/>
          <w:sz w:val="24"/>
          <w:szCs w:val="24"/>
          <w:rtl/>
        </w:rPr>
        <w:t>,</w:t>
      </w:r>
      <w:r w:rsidR="008371D9">
        <w:rPr>
          <w:rFonts w:ascii="David" w:hAnsi="David" w:cs="David" w:hint="cs"/>
          <w:sz w:val="24"/>
          <w:szCs w:val="24"/>
          <w:rtl/>
        </w:rPr>
        <w:t xml:space="preserve"> </w:t>
      </w:r>
      <w:r w:rsidR="00C978F8" w:rsidRPr="00C978F8">
        <w:rPr>
          <w:rFonts w:ascii="David" w:hAnsi="David" w:cs="David"/>
          <w:sz w:val="24"/>
          <w:szCs w:val="24"/>
          <w:rtl/>
        </w:rPr>
        <w:t>שמשקפת את ה"אמת" ההלכתית לשיטתם</w:t>
      </w:r>
      <w:r w:rsidR="00FF30ED">
        <w:rPr>
          <w:rFonts w:ascii="David" w:hAnsi="David" w:cs="David" w:hint="cs"/>
          <w:sz w:val="24"/>
          <w:szCs w:val="24"/>
          <w:rtl/>
        </w:rPr>
        <w:t>:</w:t>
      </w:r>
      <w:r w:rsidR="005A2234">
        <w:rPr>
          <w:rFonts w:ascii="David" w:hAnsi="David" w:cs="David" w:hint="cs"/>
          <w:sz w:val="24"/>
          <w:szCs w:val="24"/>
          <w:rtl/>
        </w:rPr>
        <w:t xml:space="preserve"> להימנע ממגע</w:t>
      </w:r>
      <w:r w:rsidR="00D908B8">
        <w:rPr>
          <w:rFonts w:ascii="David" w:hAnsi="David" w:cs="David" w:hint="cs"/>
          <w:sz w:val="24"/>
          <w:szCs w:val="24"/>
          <w:rtl/>
        </w:rPr>
        <w:t xml:space="preserve"> עם אנשים אלו</w:t>
      </w:r>
      <w:r w:rsidR="008371D9">
        <w:rPr>
          <w:rFonts w:ascii="David" w:hAnsi="David" w:cs="David" w:hint="cs"/>
          <w:sz w:val="24"/>
          <w:szCs w:val="24"/>
          <w:rtl/>
        </w:rPr>
        <w:t>.</w:t>
      </w:r>
      <w:r w:rsidR="00C978F8" w:rsidRPr="00C978F8">
        <w:rPr>
          <w:rFonts w:ascii="David" w:hAnsi="David" w:cs="David"/>
          <w:sz w:val="24"/>
          <w:szCs w:val="24"/>
          <w:rtl/>
        </w:rPr>
        <w:t xml:space="preserve"> בכל זאת</w:t>
      </w:r>
      <w:r w:rsidR="00996E5A">
        <w:rPr>
          <w:rFonts w:ascii="David" w:hAnsi="David" w:cs="David" w:hint="cs"/>
          <w:sz w:val="24"/>
          <w:szCs w:val="24"/>
          <w:rtl/>
        </w:rPr>
        <w:t>,</w:t>
      </w:r>
      <w:r w:rsidR="00C978F8" w:rsidRPr="00C978F8">
        <w:rPr>
          <w:rFonts w:ascii="David" w:hAnsi="David" w:cs="David"/>
          <w:sz w:val="24"/>
          <w:szCs w:val="24"/>
          <w:rtl/>
        </w:rPr>
        <w:t xml:space="preserve"> </w:t>
      </w:r>
      <w:r w:rsidR="001311E3">
        <w:rPr>
          <w:rFonts w:ascii="David" w:hAnsi="David" w:cs="David" w:hint="cs"/>
          <w:sz w:val="24"/>
          <w:szCs w:val="24"/>
          <w:rtl/>
        </w:rPr>
        <w:t xml:space="preserve">במאזן השיקולים </w:t>
      </w:r>
      <w:r w:rsidR="00D22255">
        <w:rPr>
          <w:rFonts w:ascii="David" w:hAnsi="David" w:cs="David" w:hint="cs"/>
          <w:sz w:val="24"/>
          <w:szCs w:val="24"/>
          <w:rtl/>
        </w:rPr>
        <w:t xml:space="preserve">שעשו </w:t>
      </w:r>
      <w:r w:rsidR="001311E3">
        <w:rPr>
          <w:rFonts w:ascii="David" w:hAnsi="David" w:cs="David" w:hint="cs"/>
          <w:sz w:val="24"/>
          <w:szCs w:val="24"/>
          <w:rtl/>
        </w:rPr>
        <w:t xml:space="preserve">העדיפו חכמים את עיקרון 'דרכי השלום' על פני כלל או עיקרון הלכתי אחר שהתחרה בו, תוך לקיחת סיכון </w:t>
      </w:r>
      <w:r w:rsidR="00165A42">
        <w:rPr>
          <w:rFonts w:ascii="David" w:hAnsi="David" w:cs="David" w:hint="cs"/>
          <w:sz w:val="24"/>
          <w:szCs w:val="24"/>
          <w:rtl/>
        </w:rPr>
        <w:t>ש</w:t>
      </w:r>
      <w:r w:rsidR="00A32183">
        <w:rPr>
          <w:rFonts w:ascii="David" w:hAnsi="David" w:cs="David" w:hint="cs"/>
          <w:sz w:val="24"/>
          <w:szCs w:val="24"/>
          <w:rtl/>
        </w:rPr>
        <w:t>פסיקתם עלולה לה</w:t>
      </w:r>
      <w:r w:rsidR="00C978F8" w:rsidRPr="00C978F8">
        <w:rPr>
          <w:rFonts w:ascii="David" w:hAnsi="David" w:cs="David"/>
          <w:sz w:val="24"/>
          <w:szCs w:val="24"/>
          <w:rtl/>
        </w:rPr>
        <w:t>ביא לפגיעה בדי</w:t>
      </w:r>
      <w:r w:rsidR="00996E5A">
        <w:rPr>
          <w:rFonts w:ascii="David" w:hAnsi="David" w:cs="David" w:hint="cs"/>
          <w:sz w:val="24"/>
          <w:szCs w:val="24"/>
          <w:rtl/>
        </w:rPr>
        <w:t>ן</w:t>
      </w:r>
      <w:r w:rsidR="00C978F8" w:rsidRPr="00C978F8">
        <w:rPr>
          <w:rFonts w:ascii="David" w:hAnsi="David" w:cs="David"/>
          <w:sz w:val="24"/>
          <w:szCs w:val="24"/>
          <w:rtl/>
        </w:rPr>
        <w:t xml:space="preserve"> התורה. </w:t>
      </w:r>
    </w:p>
    <w:p w14:paraId="668243F1" w14:textId="2DB438F1" w:rsidR="0091175C" w:rsidRPr="00D32BDE" w:rsidRDefault="00CC15DC" w:rsidP="007F5789">
      <w:pPr>
        <w:spacing w:line="480" w:lineRule="auto"/>
        <w:ind w:left="360" w:firstLine="60"/>
        <w:rPr>
          <w:rFonts w:ascii="David" w:hAnsi="David" w:cs="David"/>
          <w:sz w:val="24"/>
          <w:szCs w:val="24"/>
          <w:rtl/>
        </w:rPr>
      </w:pPr>
      <w:r>
        <w:rPr>
          <w:rFonts w:ascii="David" w:hAnsi="David" w:cs="David" w:hint="cs"/>
          <w:sz w:val="24"/>
          <w:szCs w:val="24"/>
          <w:rtl/>
        </w:rPr>
        <w:t xml:space="preserve">ואולם, </w:t>
      </w:r>
      <w:r w:rsidR="00A14BA7">
        <w:rPr>
          <w:rFonts w:ascii="David" w:hAnsi="David" w:cs="David" w:hint="cs"/>
          <w:sz w:val="24"/>
          <w:szCs w:val="24"/>
          <w:rtl/>
        </w:rPr>
        <w:t xml:space="preserve">מן הבחינה </w:t>
      </w:r>
      <w:proofErr w:type="spellStart"/>
      <w:r w:rsidR="00A14BA7">
        <w:rPr>
          <w:rFonts w:ascii="David" w:hAnsi="David" w:cs="David" w:hint="cs"/>
          <w:sz w:val="24"/>
          <w:szCs w:val="24"/>
          <w:rtl/>
        </w:rPr>
        <w:t>היוריספרודנטית</w:t>
      </w:r>
      <w:proofErr w:type="spellEnd"/>
      <w:r w:rsidR="00A14BA7">
        <w:rPr>
          <w:rFonts w:ascii="David" w:hAnsi="David" w:cs="David" w:hint="cs"/>
          <w:sz w:val="24"/>
          <w:szCs w:val="24"/>
          <w:rtl/>
        </w:rPr>
        <w:t xml:space="preserve"> </w:t>
      </w:r>
      <w:r w:rsidR="0001383E">
        <w:rPr>
          <w:rFonts w:ascii="David" w:hAnsi="David" w:cs="David" w:hint="cs"/>
          <w:sz w:val="24"/>
          <w:szCs w:val="24"/>
          <w:rtl/>
        </w:rPr>
        <w:t xml:space="preserve">נראה </w:t>
      </w:r>
      <w:r w:rsidR="009A0244">
        <w:rPr>
          <w:rFonts w:ascii="David" w:hAnsi="David" w:cs="David" w:hint="cs"/>
          <w:sz w:val="24"/>
          <w:szCs w:val="24"/>
          <w:rtl/>
        </w:rPr>
        <w:t>ש</w:t>
      </w:r>
      <w:r w:rsidR="00137DD8">
        <w:rPr>
          <w:rFonts w:ascii="David" w:hAnsi="David" w:cs="David" w:hint="cs"/>
          <w:sz w:val="24"/>
          <w:szCs w:val="24"/>
          <w:rtl/>
        </w:rPr>
        <w:t xml:space="preserve">כוחן </w:t>
      </w:r>
      <w:r w:rsidR="006E73A6">
        <w:rPr>
          <w:rFonts w:ascii="David" w:hAnsi="David" w:cs="David" w:hint="cs"/>
          <w:sz w:val="24"/>
          <w:szCs w:val="24"/>
          <w:rtl/>
        </w:rPr>
        <w:t xml:space="preserve">המעשי </w:t>
      </w:r>
      <w:r w:rsidR="00A14BA7">
        <w:rPr>
          <w:rFonts w:ascii="David" w:hAnsi="David" w:cs="David" w:hint="cs"/>
          <w:sz w:val="24"/>
          <w:szCs w:val="24"/>
          <w:rtl/>
        </w:rPr>
        <w:t xml:space="preserve">של הלכות אלו </w:t>
      </w:r>
      <w:r w:rsidR="00600836">
        <w:rPr>
          <w:rFonts w:ascii="David" w:hAnsi="David" w:cs="David" w:hint="cs"/>
          <w:sz w:val="24"/>
          <w:szCs w:val="24"/>
          <w:rtl/>
        </w:rPr>
        <w:t>הוגב</w:t>
      </w:r>
      <w:r w:rsidR="00137DD8">
        <w:rPr>
          <w:rFonts w:ascii="David" w:hAnsi="David" w:cs="David" w:hint="cs"/>
          <w:sz w:val="24"/>
          <w:szCs w:val="24"/>
          <w:rtl/>
        </w:rPr>
        <w:t>ל</w:t>
      </w:r>
      <w:r w:rsidR="006E73A6">
        <w:rPr>
          <w:rFonts w:ascii="David" w:hAnsi="David" w:cs="David" w:hint="cs"/>
          <w:sz w:val="24"/>
          <w:szCs w:val="24"/>
          <w:rtl/>
        </w:rPr>
        <w:t xml:space="preserve"> </w:t>
      </w:r>
      <w:r w:rsidR="0001383E">
        <w:rPr>
          <w:rFonts w:ascii="David" w:hAnsi="David" w:cs="David" w:hint="cs"/>
          <w:sz w:val="24"/>
          <w:szCs w:val="24"/>
          <w:rtl/>
        </w:rPr>
        <w:t>ב</w:t>
      </w:r>
      <w:r w:rsidR="00B963D5">
        <w:rPr>
          <w:rFonts w:ascii="David" w:hAnsi="David" w:cs="David" w:hint="cs"/>
          <w:sz w:val="24"/>
          <w:szCs w:val="24"/>
          <w:rtl/>
        </w:rPr>
        <w:t>השוואה</w:t>
      </w:r>
      <w:r w:rsidR="0001383E">
        <w:rPr>
          <w:rFonts w:ascii="David" w:hAnsi="David" w:cs="David" w:hint="cs"/>
          <w:sz w:val="24"/>
          <w:szCs w:val="24"/>
          <w:rtl/>
        </w:rPr>
        <w:t xml:space="preserve"> </w:t>
      </w:r>
      <w:r w:rsidR="00945BAF">
        <w:rPr>
          <w:rFonts w:ascii="David" w:hAnsi="David" w:cs="David" w:hint="cs"/>
          <w:sz w:val="24"/>
          <w:szCs w:val="24"/>
          <w:rtl/>
        </w:rPr>
        <w:t>ל</w:t>
      </w:r>
      <w:r w:rsidR="009A5886">
        <w:rPr>
          <w:rFonts w:ascii="David" w:hAnsi="David" w:cs="David" w:hint="cs"/>
          <w:sz w:val="24"/>
          <w:szCs w:val="24"/>
          <w:rtl/>
        </w:rPr>
        <w:t>קטגוריות משפטיות</w:t>
      </w:r>
      <w:r w:rsidR="0001383E">
        <w:rPr>
          <w:rFonts w:ascii="David" w:hAnsi="David" w:cs="David" w:hint="cs"/>
          <w:sz w:val="24"/>
          <w:szCs w:val="24"/>
          <w:rtl/>
        </w:rPr>
        <w:t xml:space="preserve"> אחרות.</w:t>
      </w:r>
      <w:r w:rsidR="002C06C9" w:rsidRPr="002C06C9">
        <w:rPr>
          <w:rFonts w:ascii="David" w:hAnsi="David" w:cs="David" w:hint="cs"/>
          <w:sz w:val="24"/>
          <w:szCs w:val="24"/>
          <w:rtl/>
        </w:rPr>
        <w:t xml:space="preserve"> </w:t>
      </w:r>
      <w:r w:rsidR="00C17438">
        <w:rPr>
          <w:rFonts w:ascii="David" w:hAnsi="David" w:cs="David" w:hint="cs"/>
          <w:sz w:val="24"/>
          <w:szCs w:val="24"/>
          <w:rtl/>
        </w:rPr>
        <w:t>ב</w:t>
      </w:r>
      <w:r w:rsidR="00D94B13">
        <w:rPr>
          <w:rFonts w:ascii="David" w:hAnsi="David" w:cs="David" w:hint="cs"/>
          <w:sz w:val="24"/>
          <w:szCs w:val="24"/>
          <w:rtl/>
        </w:rPr>
        <w:t>דוגמ</w:t>
      </w:r>
      <w:r w:rsidR="00C17438">
        <w:rPr>
          <w:rFonts w:ascii="David" w:hAnsi="David" w:cs="David" w:hint="cs"/>
          <w:sz w:val="24"/>
          <w:szCs w:val="24"/>
          <w:rtl/>
        </w:rPr>
        <w:t>א</w:t>
      </w:r>
      <w:r w:rsidR="00D94B13">
        <w:rPr>
          <w:rFonts w:ascii="David" w:hAnsi="David" w:cs="David" w:hint="cs"/>
          <w:sz w:val="24"/>
          <w:szCs w:val="24"/>
          <w:rtl/>
        </w:rPr>
        <w:t xml:space="preserve"> </w:t>
      </w:r>
      <w:r w:rsidR="00D36BBF">
        <w:rPr>
          <w:rFonts w:ascii="David" w:hAnsi="David" w:cs="David" w:hint="cs"/>
          <w:sz w:val="24"/>
          <w:szCs w:val="24"/>
          <w:rtl/>
        </w:rPr>
        <w:t>הבא</w:t>
      </w:r>
      <w:r w:rsidR="00CE4BE9">
        <w:rPr>
          <w:rFonts w:ascii="David" w:hAnsi="David" w:cs="David" w:hint="cs"/>
          <w:sz w:val="24"/>
          <w:szCs w:val="24"/>
          <w:rtl/>
        </w:rPr>
        <w:t>ה</w:t>
      </w:r>
      <w:r w:rsidR="00D36BBF">
        <w:rPr>
          <w:rFonts w:ascii="David" w:hAnsi="David" w:cs="David" w:hint="cs"/>
          <w:sz w:val="24"/>
          <w:szCs w:val="24"/>
          <w:rtl/>
        </w:rPr>
        <w:t xml:space="preserve"> </w:t>
      </w:r>
      <w:r w:rsidR="000858BD">
        <w:rPr>
          <w:rFonts w:ascii="David" w:hAnsi="David" w:cs="David" w:hint="cs"/>
          <w:sz w:val="24"/>
          <w:szCs w:val="24"/>
          <w:rtl/>
        </w:rPr>
        <w:t xml:space="preserve">נראה </w:t>
      </w:r>
      <w:r w:rsidR="00EE7279">
        <w:rPr>
          <w:rFonts w:ascii="David" w:hAnsi="David" w:cs="David" w:hint="cs"/>
          <w:sz w:val="24"/>
          <w:szCs w:val="24"/>
          <w:rtl/>
        </w:rPr>
        <w:t>כי החכמים סברו שתקנה שמנומקת</w:t>
      </w:r>
      <w:r w:rsidR="00D94B13">
        <w:rPr>
          <w:rFonts w:ascii="David" w:hAnsi="David" w:cs="David" w:hint="cs"/>
          <w:sz w:val="24"/>
          <w:szCs w:val="24"/>
          <w:rtl/>
        </w:rPr>
        <w:t xml:space="preserve"> </w:t>
      </w:r>
      <w:r w:rsidR="00CF3925">
        <w:rPr>
          <w:rFonts w:ascii="David" w:hAnsi="David" w:cs="David" w:hint="cs"/>
          <w:sz w:val="24"/>
          <w:szCs w:val="24"/>
          <w:rtl/>
        </w:rPr>
        <w:t>'</w:t>
      </w:r>
      <w:r w:rsidR="00D94B13">
        <w:rPr>
          <w:rFonts w:ascii="David" w:hAnsi="David" w:cs="David" w:hint="cs"/>
          <w:sz w:val="24"/>
          <w:szCs w:val="24"/>
          <w:rtl/>
        </w:rPr>
        <w:t xml:space="preserve">מפני </w:t>
      </w:r>
      <w:r w:rsidR="00D94B13">
        <w:rPr>
          <w:rFonts w:ascii="David" w:hAnsi="David" w:cs="David" w:hint="cs"/>
          <w:sz w:val="24"/>
          <w:szCs w:val="24"/>
          <w:rtl/>
        </w:rPr>
        <w:lastRenderedPageBreak/>
        <w:t>דרכי השלום</w:t>
      </w:r>
      <w:r w:rsidR="00CF3925">
        <w:rPr>
          <w:rFonts w:ascii="David" w:hAnsi="David" w:cs="David" w:hint="cs"/>
          <w:sz w:val="24"/>
          <w:szCs w:val="24"/>
          <w:rtl/>
        </w:rPr>
        <w:t>'</w:t>
      </w:r>
      <w:r w:rsidR="00D94B13">
        <w:rPr>
          <w:rFonts w:ascii="David" w:hAnsi="David" w:cs="David" w:hint="cs"/>
          <w:sz w:val="24"/>
          <w:szCs w:val="24"/>
          <w:rtl/>
        </w:rPr>
        <w:t xml:space="preserve"> איננה יכולה </w:t>
      </w:r>
      <w:r w:rsidR="00EE7279">
        <w:rPr>
          <w:rFonts w:ascii="David" w:hAnsi="David" w:cs="David" w:hint="cs"/>
          <w:sz w:val="24"/>
          <w:szCs w:val="24"/>
          <w:rtl/>
        </w:rPr>
        <w:t xml:space="preserve">להטיל חובה </w:t>
      </w:r>
      <w:r w:rsidR="000A1EE2">
        <w:rPr>
          <w:rFonts w:ascii="David" w:hAnsi="David" w:cs="David" w:hint="cs"/>
          <w:sz w:val="24"/>
          <w:szCs w:val="24"/>
          <w:rtl/>
        </w:rPr>
        <w:t xml:space="preserve">(סנקציה) </w:t>
      </w:r>
      <w:r w:rsidR="00EE7279">
        <w:rPr>
          <w:rFonts w:ascii="David" w:hAnsi="David" w:cs="David" w:hint="cs"/>
          <w:sz w:val="24"/>
          <w:szCs w:val="24"/>
          <w:rtl/>
        </w:rPr>
        <w:t>על מי שעובר עליה</w:t>
      </w:r>
      <w:r w:rsidR="00CA5440">
        <w:rPr>
          <w:rFonts w:ascii="David" w:hAnsi="David" w:cs="David" w:hint="cs"/>
          <w:sz w:val="24"/>
          <w:szCs w:val="24"/>
          <w:rtl/>
        </w:rPr>
        <w:t>.</w:t>
      </w:r>
      <w:r w:rsidR="000858BD">
        <w:rPr>
          <w:rStyle w:val="a5"/>
          <w:rFonts w:ascii="David" w:hAnsi="David" w:cs="David"/>
          <w:sz w:val="24"/>
          <w:szCs w:val="24"/>
          <w:rtl/>
        </w:rPr>
        <w:footnoteReference w:id="39"/>
      </w:r>
      <w:r w:rsidR="00D7702D">
        <w:rPr>
          <w:rFonts w:ascii="David" w:hAnsi="David" w:cs="David" w:hint="cs"/>
          <w:sz w:val="24"/>
          <w:szCs w:val="24"/>
          <w:rtl/>
        </w:rPr>
        <w:t xml:space="preserve"> </w:t>
      </w:r>
      <w:r w:rsidR="005E6B13" w:rsidRPr="0031011F">
        <w:rPr>
          <w:rFonts w:ascii="David" w:hAnsi="David" w:cs="David" w:hint="cs"/>
          <w:sz w:val="24"/>
          <w:szCs w:val="24"/>
          <w:rtl/>
        </w:rPr>
        <w:t>ב</w:t>
      </w:r>
      <w:r w:rsidR="00D7702D" w:rsidRPr="0031011F">
        <w:rPr>
          <w:rFonts w:ascii="David" w:hAnsi="David" w:cs="David" w:hint="cs"/>
          <w:sz w:val="24"/>
          <w:szCs w:val="24"/>
          <w:rtl/>
        </w:rPr>
        <w:t>מ</w:t>
      </w:r>
      <w:r w:rsidR="00A10C40">
        <w:rPr>
          <w:rFonts w:ascii="David" w:hAnsi="David" w:cs="David" w:hint="cs"/>
          <w:sz w:val="24"/>
          <w:szCs w:val="24"/>
          <w:rtl/>
        </w:rPr>
        <w:t>שנה</w:t>
      </w:r>
      <w:r w:rsidR="00D7702D" w:rsidRPr="0031011F">
        <w:rPr>
          <w:rFonts w:ascii="David" w:hAnsi="David" w:cs="David" w:hint="cs"/>
          <w:sz w:val="24"/>
          <w:szCs w:val="24"/>
          <w:rtl/>
        </w:rPr>
        <w:t xml:space="preserve"> גיטין ה</w:t>
      </w:r>
      <w:r w:rsidR="00FC7307" w:rsidRPr="0031011F">
        <w:rPr>
          <w:rFonts w:ascii="David" w:hAnsi="David" w:cs="David" w:hint="cs"/>
          <w:sz w:val="24"/>
          <w:szCs w:val="24"/>
          <w:rtl/>
        </w:rPr>
        <w:t>,</w:t>
      </w:r>
      <w:r w:rsidR="00D7702D" w:rsidRPr="0031011F">
        <w:rPr>
          <w:rFonts w:ascii="David" w:hAnsi="David" w:cs="David" w:hint="cs"/>
          <w:sz w:val="24"/>
          <w:szCs w:val="24"/>
          <w:rtl/>
        </w:rPr>
        <w:t xml:space="preserve"> </w:t>
      </w:r>
      <w:r w:rsidR="00017C01" w:rsidRPr="0031011F">
        <w:rPr>
          <w:rFonts w:ascii="David" w:hAnsi="David" w:cs="David" w:hint="cs"/>
          <w:sz w:val="24"/>
          <w:szCs w:val="24"/>
          <w:rtl/>
        </w:rPr>
        <w:t>ט</w:t>
      </w:r>
      <w:r w:rsidR="00D7702D" w:rsidRPr="0031011F">
        <w:rPr>
          <w:rFonts w:ascii="David" w:hAnsi="David" w:cs="David" w:hint="cs"/>
          <w:sz w:val="24"/>
          <w:szCs w:val="24"/>
          <w:rtl/>
        </w:rPr>
        <w:t xml:space="preserve"> </w:t>
      </w:r>
      <w:r w:rsidR="005E6B13" w:rsidRPr="0031011F">
        <w:rPr>
          <w:rFonts w:ascii="David" w:hAnsi="David" w:cs="David" w:hint="cs"/>
          <w:sz w:val="24"/>
          <w:szCs w:val="24"/>
          <w:rtl/>
        </w:rPr>
        <w:t>מובאות</w:t>
      </w:r>
      <w:r w:rsidR="00A81FC1" w:rsidRPr="0031011F">
        <w:rPr>
          <w:rFonts w:ascii="David" w:hAnsi="David" w:cs="David" w:hint="cs"/>
          <w:sz w:val="24"/>
          <w:szCs w:val="24"/>
          <w:rtl/>
        </w:rPr>
        <w:t>,</w:t>
      </w:r>
      <w:r w:rsidR="005E6B13" w:rsidRPr="0031011F">
        <w:rPr>
          <w:rFonts w:ascii="David" w:hAnsi="David" w:cs="David" w:hint="cs"/>
          <w:sz w:val="24"/>
          <w:szCs w:val="24"/>
          <w:rtl/>
        </w:rPr>
        <w:t xml:space="preserve"> </w:t>
      </w:r>
      <w:r w:rsidR="00A34642" w:rsidRPr="0031011F">
        <w:rPr>
          <w:rFonts w:ascii="David" w:hAnsi="David" w:cs="David" w:hint="cs"/>
          <w:sz w:val="24"/>
          <w:szCs w:val="24"/>
          <w:rtl/>
        </w:rPr>
        <w:t xml:space="preserve">בין </w:t>
      </w:r>
      <w:r w:rsidR="00A10C40">
        <w:rPr>
          <w:rFonts w:ascii="David" w:hAnsi="David" w:cs="David" w:hint="cs"/>
          <w:sz w:val="24"/>
          <w:szCs w:val="24"/>
          <w:rtl/>
        </w:rPr>
        <w:t>ה</w:t>
      </w:r>
      <w:r w:rsidR="00A34642" w:rsidRPr="0031011F">
        <w:rPr>
          <w:rFonts w:ascii="David" w:hAnsi="David" w:cs="David" w:hint="cs"/>
          <w:sz w:val="24"/>
          <w:szCs w:val="24"/>
          <w:rtl/>
        </w:rPr>
        <w:t>שאר</w:t>
      </w:r>
      <w:r w:rsidR="00A81FC1" w:rsidRPr="0031011F">
        <w:rPr>
          <w:rFonts w:ascii="David" w:hAnsi="David" w:cs="David" w:hint="cs"/>
          <w:sz w:val="24"/>
          <w:szCs w:val="24"/>
          <w:rtl/>
        </w:rPr>
        <w:t>,</w:t>
      </w:r>
      <w:r w:rsidR="00A34642" w:rsidRPr="0031011F">
        <w:rPr>
          <w:rFonts w:ascii="David" w:hAnsi="David" w:cs="David" w:hint="cs"/>
          <w:sz w:val="24"/>
          <w:szCs w:val="24"/>
          <w:rtl/>
        </w:rPr>
        <w:t xml:space="preserve"> </w:t>
      </w:r>
      <w:r w:rsidR="005E6B13" w:rsidRPr="0031011F">
        <w:rPr>
          <w:rFonts w:ascii="David" w:hAnsi="David" w:cs="David" w:hint="cs"/>
          <w:sz w:val="24"/>
          <w:szCs w:val="24"/>
          <w:rtl/>
        </w:rPr>
        <w:t>ההלכות הבאות</w:t>
      </w:r>
      <w:r w:rsidR="00D7702D" w:rsidRPr="0031011F">
        <w:rPr>
          <w:rFonts w:ascii="David" w:hAnsi="David" w:cs="David" w:hint="cs"/>
          <w:sz w:val="24"/>
          <w:szCs w:val="24"/>
          <w:rtl/>
        </w:rPr>
        <w:t>:</w:t>
      </w:r>
      <w:r w:rsidR="00603688" w:rsidRPr="00603688">
        <w:rPr>
          <w:rFonts w:ascii="Times New Roman" w:eastAsia="Calibri" w:hAnsi="Times New Roman" w:cs="Times New Roman"/>
          <w:b/>
          <w:bCs/>
          <w:sz w:val="24"/>
          <w:szCs w:val="24"/>
          <w:vertAlign w:val="superscript"/>
        </w:rPr>
        <w:t xml:space="preserve"> </w:t>
      </w:r>
      <w:r w:rsidR="00603688" w:rsidRPr="00603688">
        <w:rPr>
          <w:rFonts w:ascii="David" w:hAnsi="David" w:cs="David"/>
          <w:sz w:val="24"/>
          <w:szCs w:val="24"/>
          <w:vertAlign w:val="superscript"/>
        </w:rPr>
        <w:footnoteReference w:id="40"/>
      </w:r>
      <w:r w:rsidR="00D94B13" w:rsidRPr="00603688">
        <w:rPr>
          <w:rFonts w:ascii="David" w:hAnsi="David" w:cs="David" w:hint="cs"/>
          <w:sz w:val="24"/>
          <w:szCs w:val="24"/>
          <w:rtl/>
        </w:rPr>
        <w:t xml:space="preserve"> </w:t>
      </w:r>
    </w:p>
    <w:p w14:paraId="07977FE5" w14:textId="77777777" w:rsidR="00D32BDE" w:rsidRPr="00D32BDE" w:rsidRDefault="00D32BDE" w:rsidP="00D32BDE">
      <w:pPr>
        <w:pStyle w:val="ab"/>
        <w:numPr>
          <w:ilvl w:val="0"/>
          <w:numId w:val="2"/>
        </w:numPr>
        <w:bidi w:val="0"/>
        <w:spacing w:line="480" w:lineRule="auto"/>
        <w:rPr>
          <w:rFonts w:ascii="Times New Roman" w:eastAsia="Calibri" w:hAnsi="Times New Roman" w:cs="Times New Roman"/>
          <w:sz w:val="24"/>
          <w:szCs w:val="24"/>
        </w:rPr>
      </w:pPr>
      <w:r w:rsidRPr="00D32BDE">
        <w:rPr>
          <w:rFonts w:ascii="Times New Roman" w:eastAsia="Calibri" w:hAnsi="Times New Roman" w:cs="Times New Roman"/>
          <w:sz w:val="24"/>
          <w:szCs w:val="24"/>
        </w:rPr>
        <w:t xml:space="preserve">[Taking] objects found by a deaf-mute, an idiot, or a minor is reckoned as a kind of robbery – in the interests of peace. R. Jose </w:t>
      </w:r>
      <w:proofErr w:type="gramStart"/>
      <w:r w:rsidRPr="00D32BDE">
        <w:rPr>
          <w:rFonts w:ascii="Times New Roman" w:eastAsia="Calibri" w:hAnsi="Times New Roman" w:cs="Times New Roman"/>
          <w:sz w:val="24"/>
          <w:szCs w:val="24"/>
        </w:rPr>
        <w:t>says:</w:t>
      </w:r>
      <w:proofErr w:type="gramEnd"/>
      <w:r w:rsidRPr="00D32BDE">
        <w:rPr>
          <w:rFonts w:ascii="Times New Roman" w:eastAsia="Calibri" w:hAnsi="Times New Roman" w:cs="Times New Roman"/>
          <w:sz w:val="24"/>
          <w:szCs w:val="24"/>
        </w:rPr>
        <w:t xml:space="preserve"> it is actual robbery</w:t>
      </w:r>
      <w:r w:rsidRPr="00D32BDE">
        <w:rPr>
          <w:rFonts w:ascii="Times New Roman" w:eastAsia="Calibri" w:hAnsi="Times New Roman" w:cs="Times New Roman"/>
          <w:sz w:val="24"/>
          <w:szCs w:val="24"/>
          <w:rtl/>
        </w:rPr>
        <w:t>.</w:t>
      </w:r>
    </w:p>
    <w:p w14:paraId="4EE04107" w14:textId="77777777" w:rsidR="00D32BDE" w:rsidRPr="00D32BDE" w:rsidRDefault="00D32BDE" w:rsidP="00D32BDE">
      <w:pPr>
        <w:pStyle w:val="ab"/>
        <w:numPr>
          <w:ilvl w:val="0"/>
          <w:numId w:val="2"/>
        </w:numPr>
        <w:bidi w:val="0"/>
        <w:spacing w:line="480" w:lineRule="auto"/>
        <w:rPr>
          <w:rFonts w:ascii="Times New Roman" w:eastAsia="Calibri" w:hAnsi="Times New Roman" w:cs="Times New Roman"/>
          <w:sz w:val="24"/>
          <w:szCs w:val="24"/>
        </w:rPr>
      </w:pPr>
      <w:r w:rsidRPr="00D32BDE">
        <w:rPr>
          <w:rFonts w:ascii="Times New Roman" w:eastAsia="Calibri" w:hAnsi="Times New Roman" w:cs="Times New Roman"/>
          <w:sz w:val="24"/>
          <w:szCs w:val="24"/>
        </w:rPr>
        <w:t xml:space="preserve">[The taking of] beasts, birds and fishes from snares [set by others] is reckoned as a kind of robbery - in the interests of peace. R. Jose </w:t>
      </w:r>
      <w:proofErr w:type="gramStart"/>
      <w:r w:rsidRPr="00D32BDE">
        <w:rPr>
          <w:rFonts w:ascii="Times New Roman" w:eastAsia="Calibri" w:hAnsi="Times New Roman" w:cs="Times New Roman"/>
          <w:sz w:val="24"/>
          <w:szCs w:val="24"/>
        </w:rPr>
        <w:t>says:</w:t>
      </w:r>
      <w:proofErr w:type="gramEnd"/>
      <w:r w:rsidRPr="00D32BDE">
        <w:rPr>
          <w:rFonts w:ascii="Times New Roman" w:eastAsia="Calibri" w:hAnsi="Times New Roman" w:cs="Times New Roman"/>
          <w:sz w:val="24"/>
          <w:szCs w:val="24"/>
        </w:rPr>
        <w:t xml:space="preserve"> it is actual robbery</w:t>
      </w:r>
      <w:r w:rsidRPr="00D32BDE">
        <w:rPr>
          <w:rFonts w:ascii="Times New Roman" w:eastAsia="Calibri" w:hAnsi="Times New Roman" w:cs="Times New Roman"/>
          <w:sz w:val="24"/>
          <w:szCs w:val="24"/>
          <w:rtl/>
        </w:rPr>
        <w:t>.</w:t>
      </w:r>
    </w:p>
    <w:p w14:paraId="30F07BE8" w14:textId="77777777" w:rsidR="00D32BDE" w:rsidRDefault="00D32BDE" w:rsidP="00D32BDE">
      <w:pPr>
        <w:pStyle w:val="ab"/>
        <w:numPr>
          <w:ilvl w:val="0"/>
          <w:numId w:val="2"/>
        </w:numPr>
        <w:bidi w:val="0"/>
        <w:spacing w:line="480" w:lineRule="auto"/>
        <w:rPr>
          <w:rFonts w:ascii="Times New Roman" w:eastAsia="Calibri" w:hAnsi="Times New Roman" w:cs="Times New Roman"/>
          <w:sz w:val="24"/>
          <w:szCs w:val="24"/>
        </w:rPr>
      </w:pPr>
      <w:r w:rsidRPr="00D32BDE">
        <w:rPr>
          <w:rFonts w:ascii="Times New Roman" w:eastAsia="Calibri" w:hAnsi="Times New Roman" w:cs="Times New Roman"/>
          <w:sz w:val="24"/>
          <w:szCs w:val="24"/>
        </w:rPr>
        <w:lastRenderedPageBreak/>
        <w:t xml:space="preserve">If a poor man gleans on the top of an olive tree, [to take the fruit] that is beneath him is counted as a kind of robbery. R. Jose </w:t>
      </w:r>
      <w:proofErr w:type="gramStart"/>
      <w:r w:rsidRPr="00D32BDE">
        <w:rPr>
          <w:rFonts w:ascii="Times New Roman" w:eastAsia="Calibri" w:hAnsi="Times New Roman" w:cs="Times New Roman"/>
          <w:sz w:val="24"/>
          <w:szCs w:val="24"/>
        </w:rPr>
        <w:t>says:</w:t>
      </w:r>
      <w:proofErr w:type="gramEnd"/>
      <w:r w:rsidRPr="00D32BDE">
        <w:rPr>
          <w:rFonts w:ascii="Times New Roman" w:eastAsia="Calibri" w:hAnsi="Times New Roman" w:cs="Times New Roman"/>
          <w:sz w:val="24"/>
          <w:szCs w:val="24"/>
        </w:rPr>
        <w:t xml:space="preserve"> it is actual robbery.</w:t>
      </w:r>
    </w:p>
    <w:p w14:paraId="5A39BBE3" w14:textId="77777777" w:rsidR="00E32526" w:rsidRDefault="00E32526" w:rsidP="00E32526">
      <w:pPr>
        <w:pStyle w:val="ab"/>
        <w:bidi w:val="0"/>
        <w:spacing w:line="480" w:lineRule="auto"/>
        <w:ind w:left="420"/>
        <w:rPr>
          <w:rFonts w:ascii="Times New Roman" w:eastAsia="Calibri" w:hAnsi="Times New Roman" w:cs="Times New Roman"/>
          <w:sz w:val="24"/>
          <w:szCs w:val="24"/>
        </w:rPr>
      </w:pPr>
    </w:p>
    <w:p w14:paraId="1095693A" w14:textId="77777777" w:rsidR="00D26F27" w:rsidRDefault="00E32526" w:rsidP="002157AF">
      <w:pPr>
        <w:spacing w:line="480" w:lineRule="auto"/>
        <w:contextualSpacing/>
        <w:jc w:val="right"/>
        <w:rPr>
          <w:rFonts w:ascii="David" w:hAnsi="David" w:cs="David"/>
          <w:sz w:val="24"/>
          <w:szCs w:val="24"/>
          <w:rtl/>
        </w:rPr>
      </w:pPr>
      <w:r w:rsidRPr="004C15ED">
        <w:rPr>
          <w:rFonts w:ascii="Times New Roman" w:hAnsi="Times New Roman" w:cs="Times New Roman"/>
          <w:color w:val="000000"/>
          <w:sz w:val="24"/>
          <w:szCs w:val="24"/>
        </w:rPr>
        <w:t>These three</w:t>
      </w:r>
      <w:r w:rsidRPr="004C15ED">
        <w:rPr>
          <w:rFonts w:ascii="Times New Roman" w:hAnsi="Times New Roman" w:cs="Times New Roman"/>
          <w:sz w:val="24"/>
          <w:szCs w:val="24"/>
        </w:rPr>
        <w:t xml:space="preserve"> </w:t>
      </w:r>
      <w:r w:rsidRPr="004C15ED">
        <w:rPr>
          <w:rFonts w:ascii="Times New Roman" w:hAnsi="Times New Roman" w:cs="Times New Roman"/>
          <w:i/>
          <w:iCs/>
          <w:sz w:val="24"/>
          <w:szCs w:val="24"/>
        </w:rPr>
        <w:t xml:space="preserve">halakhot </w:t>
      </w:r>
      <w:r w:rsidRPr="004C15ED">
        <w:rPr>
          <w:rFonts w:ascii="Times New Roman" w:hAnsi="Times New Roman" w:cs="Times New Roman"/>
          <w:sz w:val="24"/>
          <w:szCs w:val="24"/>
        </w:rPr>
        <w:t xml:space="preserve">are connected by their shared subject matter, and all include a dispute between the tannaitic tradition that quotes the </w:t>
      </w:r>
      <w:proofErr w:type="spellStart"/>
      <w:r w:rsidRPr="004C15ED">
        <w:rPr>
          <w:rFonts w:ascii="Times New Roman" w:hAnsi="Times New Roman" w:cs="Times New Roman"/>
          <w:sz w:val="24"/>
          <w:szCs w:val="24"/>
        </w:rPr>
        <w:t>halakhah</w:t>
      </w:r>
      <w:proofErr w:type="spellEnd"/>
      <w:r w:rsidRPr="004C15ED">
        <w:rPr>
          <w:rFonts w:ascii="Times New Roman" w:hAnsi="Times New Roman" w:cs="Times New Roman"/>
          <w:sz w:val="24"/>
          <w:szCs w:val="24"/>
        </w:rPr>
        <w:t xml:space="preserve"> (</w:t>
      </w:r>
      <w:proofErr w:type="spellStart"/>
      <w:r w:rsidRPr="004C15ED">
        <w:rPr>
          <w:rFonts w:ascii="Times New Roman" w:hAnsi="Times New Roman" w:cs="Times New Roman"/>
          <w:i/>
          <w:iCs/>
          <w:sz w:val="24"/>
          <w:szCs w:val="24"/>
        </w:rPr>
        <w:t>tanna</w:t>
      </w:r>
      <w:proofErr w:type="spellEnd"/>
      <w:r w:rsidRPr="004C15ED">
        <w:rPr>
          <w:rFonts w:ascii="Times New Roman" w:hAnsi="Times New Roman" w:cs="Times New Roman"/>
          <w:sz w:val="24"/>
          <w:szCs w:val="24"/>
        </w:rPr>
        <w:t xml:space="preserve"> </w:t>
      </w:r>
      <w:proofErr w:type="spellStart"/>
      <w:r w:rsidRPr="004C15ED">
        <w:rPr>
          <w:rFonts w:ascii="Times New Roman" w:hAnsi="Times New Roman" w:cs="Times New Roman"/>
          <w:i/>
          <w:iCs/>
          <w:sz w:val="24"/>
          <w:szCs w:val="24"/>
        </w:rPr>
        <w:t>kama</w:t>
      </w:r>
      <w:proofErr w:type="spellEnd"/>
      <w:r w:rsidRPr="004C15ED">
        <w:rPr>
          <w:rFonts w:ascii="Times New Roman" w:hAnsi="Times New Roman" w:cs="Times New Roman"/>
          <w:sz w:val="24"/>
          <w:szCs w:val="24"/>
        </w:rPr>
        <w:t xml:space="preserve">) and the opinion of R. </w:t>
      </w:r>
      <w:proofErr w:type="spellStart"/>
      <w:r w:rsidRPr="004C15ED">
        <w:rPr>
          <w:rFonts w:ascii="Times New Roman" w:hAnsi="Times New Roman" w:cs="Times New Roman"/>
          <w:sz w:val="24"/>
          <w:szCs w:val="24"/>
        </w:rPr>
        <w:t>Yose</w:t>
      </w:r>
      <w:proofErr w:type="spellEnd"/>
      <w:r w:rsidRPr="004C15ED">
        <w:rPr>
          <w:rFonts w:ascii="Times New Roman" w:hAnsi="Times New Roman" w:cs="Times New Roman"/>
          <w:sz w:val="24"/>
          <w:szCs w:val="24"/>
        </w:rPr>
        <w:t>.</w:t>
      </w:r>
      <w:r w:rsidRPr="004C15ED">
        <w:rPr>
          <w:rStyle w:val="a5"/>
          <w:rFonts w:ascii="Times New Roman" w:hAnsi="Times New Roman" w:cs="Times New Roman"/>
          <w:sz w:val="24"/>
          <w:szCs w:val="24"/>
        </w:rPr>
        <w:footnoteReference w:id="41"/>
      </w:r>
      <w:r w:rsidRPr="004C15ED">
        <w:rPr>
          <w:rFonts w:ascii="Times New Roman" w:hAnsi="Times New Roman" w:cs="Times New Roman"/>
          <w:sz w:val="24"/>
          <w:szCs w:val="24"/>
        </w:rPr>
        <w:t xml:space="preserve"> The </w:t>
      </w:r>
      <w:r w:rsidRPr="004C15ED">
        <w:rPr>
          <w:rFonts w:ascii="Times New Roman" w:hAnsi="Times New Roman" w:cs="Times New Roman"/>
          <w:i/>
          <w:iCs/>
          <w:sz w:val="24"/>
          <w:szCs w:val="24"/>
        </w:rPr>
        <w:t xml:space="preserve">halakhot </w:t>
      </w:r>
      <w:r w:rsidRPr="004C15ED">
        <w:rPr>
          <w:rFonts w:ascii="Times New Roman" w:hAnsi="Times New Roman" w:cs="Times New Roman"/>
          <w:sz w:val="24"/>
          <w:szCs w:val="24"/>
        </w:rPr>
        <w:t>settle the prop</w:t>
      </w:r>
      <w:r w:rsidRPr="004C15ED">
        <w:rPr>
          <w:rFonts w:ascii="Times New Roman" w:hAnsi="Times New Roman" w:cs="Times New Roman"/>
          <w:color w:val="000000"/>
          <w:sz w:val="24"/>
          <w:szCs w:val="24"/>
        </w:rPr>
        <w:t xml:space="preserve">erty rights in cases in which the ownership of the property is considered to be unclear. </w:t>
      </w:r>
      <w:proofErr w:type="spellStart"/>
      <w:r w:rsidRPr="004C15ED">
        <w:rPr>
          <w:rFonts w:ascii="Times New Roman" w:hAnsi="Times New Roman" w:cs="Times New Roman"/>
          <w:sz w:val="24"/>
          <w:szCs w:val="24"/>
        </w:rPr>
        <w:t>Halakhah</w:t>
      </w:r>
      <w:proofErr w:type="spellEnd"/>
      <w:r w:rsidRPr="004C15ED">
        <w:rPr>
          <w:rFonts w:ascii="Times New Roman" w:hAnsi="Times New Roman" w:cs="Times New Roman"/>
          <w:sz w:val="24"/>
          <w:szCs w:val="24"/>
        </w:rPr>
        <w:t xml:space="preserve"> </w:t>
      </w:r>
      <w:r w:rsidR="002E3162">
        <w:rPr>
          <w:rFonts w:ascii="Times New Roman" w:hAnsi="Times New Roman" w:cs="Times New Roman"/>
          <w:sz w:val="24"/>
          <w:szCs w:val="24"/>
        </w:rPr>
        <w:t>1</w:t>
      </w:r>
      <w:r w:rsidRPr="004C15ED">
        <w:rPr>
          <w:rFonts w:ascii="Times New Roman" w:hAnsi="Times New Roman" w:cs="Times New Roman"/>
          <w:sz w:val="24"/>
          <w:szCs w:val="24"/>
        </w:rPr>
        <w:t xml:space="preserve"> deals with people — a deaf-mute, an idiot, or a minor — who in many instances were considered by the sages to not be competent to uphold halakhic norms, including bearing witness, marrying, and the right</w:t>
      </w:r>
      <w:r w:rsidRPr="004C15ED">
        <w:rPr>
          <w:rFonts w:ascii="Times New Roman" w:hAnsi="Times New Roman" w:cs="Times New Roman"/>
          <w:color w:val="000000"/>
          <w:sz w:val="24"/>
          <w:szCs w:val="24"/>
        </w:rPr>
        <w:t xml:space="preserve"> to hold</w:t>
      </w:r>
      <w:r w:rsidRPr="004C15ED">
        <w:rPr>
          <w:rFonts w:ascii="Times New Roman" w:hAnsi="Times New Roman" w:cs="Times New Roman"/>
          <w:sz w:val="24"/>
          <w:szCs w:val="24"/>
        </w:rPr>
        <w:t xml:space="preserve"> property.</w:t>
      </w:r>
      <w:r w:rsidRPr="004C15ED">
        <w:rPr>
          <w:rStyle w:val="a5"/>
          <w:rFonts w:ascii="Times New Roman" w:hAnsi="Times New Roman" w:cs="Times New Roman"/>
          <w:sz w:val="24"/>
          <w:szCs w:val="24"/>
        </w:rPr>
        <w:footnoteReference w:id="42"/>
      </w:r>
      <w:r w:rsidRPr="004C15ED">
        <w:rPr>
          <w:rFonts w:ascii="Times New Roman" w:hAnsi="Times New Roman" w:cs="Times New Roman"/>
          <w:sz w:val="24"/>
          <w:szCs w:val="24"/>
        </w:rPr>
        <w:t xml:space="preserve"> Whereas </w:t>
      </w:r>
      <w:r w:rsidRPr="004C15ED">
        <w:rPr>
          <w:rFonts w:ascii="Times New Roman" w:hAnsi="Times New Roman" w:cs="Times New Roman"/>
          <w:i/>
          <w:iCs/>
          <w:sz w:val="24"/>
          <w:szCs w:val="24"/>
        </w:rPr>
        <w:t xml:space="preserve">halakhot </w:t>
      </w:r>
      <w:r w:rsidR="002E3162">
        <w:rPr>
          <w:rFonts w:ascii="Times New Roman" w:hAnsi="Times New Roman" w:cs="Times New Roman"/>
          <w:sz w:val="24"/>
          <w:szCs w:val="24"/>
        </w:rPr>
        <w:t>2</w:t>
      </w:r>
      <w:r w:rsidRPr="004C15ED">
        <w:rPr>
          <w:rFonts w:ascii="Times New Roman" w:hAnsi="Times New Roman" w:cs="Times New Roman"/>
          <w:sz w:val="24"/>
          <w:szCs w:val="24"/>
        </w:rPr>
        <w:t xml:space="preserve"> and </w:t>
      </w:r>
      <w:r w:rsidR="002E3162">
        <w:rPr>
          <w:rFonts w:ascii="Times New Roman" w:hAnsi="Times New Roman" w:cs="Times New Roman"/>
          <w:sz w:val="24"/>
          <w:szCs w:val="24"/>
        </w:rPr>
        <w:t>3</w:t>
      </w:r>
      <w:r w:rsidRPr="004C15ED">
        <w:rPr>
          <w:rFonts w:ascii="Times New Roman" w:hAnsi="Times New Roman" w:cs="Times New Roman"/>
          <w:sz w:val="24"/>
          <w:szCs w:val="24"/>
        </w:rPr>
        <w:t xml:space="preserve"> concern situations in which a person acts to obtain some object — by placing traps to catch various animals, or by shaking olive branches to gather the olives that fall from a tree</w:t>
      </w:r>
      <w:r w:rsidR="004E1E7E">
        <w:rPr>
          <w:rFonts w:ascii="Times New Roman" w:hAnsi="Times New Roman" w:cs="Times New Roman"/>
          <w:color w:val="000000"/>
          <w:sz w:val="24"/>
          <w:szCs w:val="24"/>
        </w:rPr>
        <w:t xml:space="preserve"> </w:t>
      </w:r>
      <w:r w:rsidR="004E1E7E" w:rsidRPr="004E1E7E">
        <w:rPr>
          <w:rFonts w:ascii="Times New Roman" w:hAnsi="Times New Roman" w:cs="Times New Roman"/>
          <w:color w:val="000000"/>
          <w:sz w:val="24"/>
          <w:szCs w:val="24"/>
        </w:rPr>
        <w:t xml:space="preserve">(note that at issue is the </w:t>
      </w:r>
      <w:proofErr w:type="spellStart"/>
      <w:r w:rsidR="004E1E7E" w:rsidRPr="004E1E7E">
        <w:rPr>
          <w:rFonts w:ascii="Times New Roman" w:hAnsi="Times New Roman" w:cs="Times New Roman"/>
          <w:color w:val="000000"/>
          <w:sz w:val="24"/>
          <w:szCs w:val="24"/>
        </w:rPr>
        <w:t>halakhah</w:t>
      </w:r>
      <w:proofErr w:type="spellEnd"/>
      <w:r w:rsidR="004E1E7E" w:rsidRPr="004E1E7E">
        <w:rPr>
          <w:rFonts w:ascii="Times New Roman" w:hAnsi="Times New Roman" w:cs="Times New Roman"/>
          <w:color w:val="000000"/>
          <w:sz w:val="24"/>
          <w:szCs w:val="24"/>
        </w:rPr>
        <w:t xml:space="preserve"> concerning the poor who are gathering </w:t>
      </w:r>
      <w:proofErr w:type="spellStart"/>
      <w:r w:rsidR="004E1E7E" w:rsidRPr="004E1E7E">
        <w:rPr>
          <w:rFonts w:ascii="Times New Roman" w:hAnsi="Times New Roman" w:cs="Times New Roman"/>
          <w:color w:val="000000"/>
          <w:sz w:val="24"/>
          <w:szCs w:val="24"/>
        </w:rPr>
        <w:t>pe’ah</w:t>
      </w:r>
      <w:proofErr w:type="spellEnd"/>
      <w:r w:rsidR="004E1E7E" w:rsidRPr="004E1E7E">
        <w:rPr>
          <w:rFonts w:ascii="Times New Roman" w:hAnsi="Times New Roman" w:cs="Times New Roman"/>
          <w:color w:val="000000"/>
          <w:sz w:val="24"/>
          <w:szCs w:val="24"/>
        </w:rPr>
        <w:t xml:space="preserve"> or forgotten fruit, and not the actual owner of the tree)</w:t>
      </w:r>
      <w:r w:rsidR="004E1E7E">
        <w:rPr>
          <w:rFonts w:ascii="Times New Roman" w:hAnsi="Times New Roman" w:cs="Times New Roman"/>
          <w:color w:val="000000"/>
          <w:sz w:val="24"/>
          <w:szCs w:val="24"/>
        </w:rPr>
        <w:t xml:space="preserve"> </w:t>
      </w:r>
      <w:r w:rsidRPr="004C15ED">
        <w:rPr>
          <w:rFonts w:ascii="Times New Roman" w:hAnsi="Times New Roman" w:cs="Times New Roman"/>
          <w:color w:val="000000"/>
          <w:sz w:val="24"/>
          <w:szCs w:val="24"/>
        </w:rPr>
        <w:t>—</w:t>
      </w:r>
      <w:r w:rsidRPr="004C15ED">
        <w:rPr>
          <w:rFonts w:ascii="Times New Roman" w:hAnsi="Times New Roman" w:cs="Times New Roman"/>
          <w:sz w:val="24"/>
          <w:szCs w:val="24"/>
        </w:rPr>
        <w:t xml:space="preserve"> but has yet to obtain it. Hence, according to the usual laws of property, he or she has not yet acquired ownership of the object.</w:t>
      </w:r>
      <w:r w:rsidRPr="004C15ED">
        <w:rPr>
          <w:rStyle w:val="a5"/>
          <w:rFonts w:ascii="Times New Roman" w:hAnsi="Times New Roman" w:cs="Times New Roman"/>
          <w:sz w:val="24"/>
          <w:szCs w:val="24"/>
        </w:rPr>
        <w:footnoteReference w:id="43"/>
      </w:r>
      <w:r w:rsidRPr="004C15ED">
        <w:rPr>
          <w:rFonts w:ascii="Times New Roman" w:hAnsi="Times New Roman" w:cs="Times New Roman"/>
          <w:sz w:val="24"/>
          <w:szCs w:val="24"/>
        </w:rPr>
        <w:t xml:space="preserve"> During this liminal, intermediary phase, the object has been seized by another. Now the question arises: Did this second person steal the object, or</w:t>
      </w:r>
      <w:r w:rsidRPr="004C15ED">
        <w:rPr>
          <w:rFonts w:ascii="Times New Roman" w:hAnsi="Times New Roman" w:cs="Times New Roman"/>
          <w:color w:val="000000"/>
          <w:sz w:val="24"/>
          <w:szCs w:val="24"/>
        </w:rPr>
        <w:t xml:space="preserve"> is he or she now</w:t>
      </w:r>
      <w:r w:rsidRPr="004C15ED">
        <w:rPr>
          <w:rFonts w:ascii="Times New Roman" w:hAnsi="Times New Roman" w:cs="Times New Roman"/>
          <w:sz w:val="24"/>
          <w:szCs w:val="24"/>
        </w:rPr>
        <w:t xml:space="preserve"> its legal owner? In all three cases, the sages, including R. </w:t>
      </w:r>
      <w:proofErr w:type="spellStart"/>
      <w:r w:rsidRPr="004C15ED">
        <w:rPr>
          <w:rFonts w:ascii="Times New Roman" w:hAnsi="Times New Roman" w:cs="Times New Roman"/>
          <w:sz w:val="24"/>
          <w:szCs w:val="24"/>
        </w:rPr>
        <w:t>Yose</w:t>
      </w:r>
      <w:proofErr w:type="spellEnd"/>
      <w:r w:rsidRPr="004C15ED">
        <w:rPr>
          <w:rFonts w:ascii="Times New Roman" w:hAnsi="Times New Roman" w:cs="Times New Roman"/>
          <w:sz w:val="24"/>
          <w:szCs w:val="24"/>
        </w:rPr>
        <w:t xml:space="preserve">, decide that the object belongs to the first person, even if he is not competent to hold various property rights, </w:t>
      </w:r>
      <w:r w:rsidRPr="004C15ED">
        <w:rPr>
          <w:rFonts w:ascii="Times New Roman" w:hAnsi="Times New Roman" w:cs="Times New Roman"/>
          <w:color w:val="000000"/>
          <w:sz w:val="24"/>
          <w:szCs w:val="24"/>
        </w:rPr>
        <w:t>or that he had not</w:t>
      </w:r>
      <w:r w:rsidRPr="004C15ED">
        <w:rPr>
          <w:rFonts w:ascii="Times New Roman" w:hAnsi="Times New Roman" w:cs="Times New Roman"/>
          <w:sz w:val="24"/>
          <w:szCs w:val="24"/>
        </w:rPr>
        <w:t xml:space="preserve"> yet obtained ownership of the item. The taking of </w:t>
      </w:r>
      <w:r w:rsidRPr="004C15ED">
        <w:rPr>
          <w:rFonts w:ascii="Times New Roman" w:hAnsi="Times New Roman" w:cs="Times New Roman"/>
          <w:sz w:val="24"/>
          <w:szCs w:val="24"/>
        </w:rPr>
        <w:lastRenderedPageBreak/>
        <w:t>an object by another —'found objects’,</w:t>
      </w:r>
      <w:r w:rsidRPr="004C15ED">
        <w:rPr>
          <w:rStyle w:val="a5"/>
          <w:rFonts w:ascii="Times New Roman" w:hAnsi="Times New Roman" w:cs="Times New Roman"/>
          <w:sz w:val="24"/>
          <w:szCs w:val="24"/>
        </w:rPr>
        <w:footnoteReference w:id="44"/>
      </w:r>
      <w:r w:rsidRPr="004C15ED">
        <w:rPr>
          <w:rFonts w:ascii="Times New Roman" w:hAnsi="Times New Roman" w:cs="Times New Roman"/>
          <w:sz w:val="24"/>
          <w:szCs w:val="24"/>
        </w:rPr>
        <w:t xml:space="preserve"> an animal or olives — is considered theft. However, the justification "for the sake of peace" indicates that</w:t>
      </w:r>
      <w:r w:rsidRPr="00D4207A">
        <w:rPr>
          <w:rFonts w:ascii="Times New Roman" w:hAnsi="Times New Roman" w:cs="Times New Roman"/>
          <w:i/>
          <w:iCs/>
          <w:sz w:val="24"/>
          <w:szCs w:val="24"/>
        </w:rPr>
        <w:t xml:space="preserve"> </w:t>
      </w:r>
      <w:proofErr w:type="spellStart"/>
      <w:r w:rsidR="00D4207A" w:rsidRPr="00D4207A">
        <w:rPr>
          <w:rFonts w:ascii="Times New Roman" w:hAnsi="Times New Roman" w:cs="Times New Roman"/>
          <w:i/>
          <w:iCs/>
          <w:sz w:val="24"/>
          <w:szCs w:val="24"/>
        </w:rPr>
        <w:t>tanna</w:t>
      </w:r>
      <w:proofErr w:type="spellEnd"/>
      <w:r w:rsidR="00D4207A" w:rsidRPr="00D4207A">
        <w:rPr>
          <w:rFonts w:ascii="Times New Roman" w:hAnsi="Times New Roman" w:cs="Times New Roman"/>
          <w:i/>
          <w:iCs/>
          <w:sz w:val="24"/>
          <w:szCs w:val="24"/>
        </w:rPr>
        <w:t xml:space="preserve"> </w:t>
      </w:r>
      <w:proofErr w:type="spellStart"/>
      <w:r w:rsidR="00D4207A" w:rsidRPr="00D4207A">
        <w:rPr>
          <w:rFonts w:ascii="Times New Roman" w:hAnsi="Times New Roman" w:cs="Times New Roman"/>
          <w:i/>
          <w:iCs/>
          <w:sz w:val="24"/>
          <w:szCs w:val="24"/>
        </w:rPr>
        <w:t>kama</w:t>
      </w:r>
      <w:proofErr w:type="spellEnd"/>
      <w:r w:rsidR="00D4207A">
        <w:rPr>
          <w:rFonts w:ascii="Times New Roman" w:hAnsi="Times New Roman" w:cs="Times New Roman"/>
          <w:sz w:val="24"/>
          <w:szCs w:val="24"/>
        </w:rPr>
        <w:t xml:space="preserve"> (i.e. the first opinion in the three halakhot)</w:t>
      </w:r>
      <w:r w:rsidR="00D4207A" w:rsidRPr="00D4207A">
        <w:rPr>
          <w:rFonts w:ascii="Times New Roman" w:hAnsi="Times New Roman" w:cs="Times New Roman"/>
          <w:sz w:val="24"/>
          <w:szCs w:val="24"/>
        </w:rPr>
        <w:t xml:space="preserve"> </w:t>
      </w:r>
    </w:p>
    <w:p w14:paraId="3E04D957" w14:textId="1A620A0E" w:rsidR="00AB74C3" w:rsidRPr="000D21E7" w:rsidRDefault="00D26F27" w:rsidP="00295909">
      <w:pPr>
        <w:spacing w:line="480" w:lineRule="auto"/>
        <w:contextualSpacing/>
        <w:rPr>
          <w:rFonts w:ascii="David" w:hAnsi="David" w:cs="David"/>
          <w:sz w:val="24"/>
          <w:szCs w:val="24"/>
          <w:rtl/>
        </w:rPr>
      </w:pPr>
      <w:r>
        <w:rPr>
          <w:rFonts w:ascii="David" w:hAnsi="David" w:cs="David" w:hint="cs"/>
          <w:sz w:val="24"/>
          <w:szCs w:val="24"/>
          <w:rtl/>
        </w:rPr>
        <w:t xml:space="preserve">סבור כי </w:t>
      </w:r>
      <w:r w:rsidRPr="002E14EE">
        <w:rPr>
          <w:rFonts w:ascii="David" w:hAnsi="David" w:cs="David"/>
          <w:sz w:val="24"/>
          <w:szCs w:val="24"/>
          <w:rtl/>
        </w:rPr>
        <w:t>הגדרתו הקניינית המ</w:t>
      </w:r>
      <w:r>
        <w:rPr>
          <w:rFonts w:ascii="David" w:hAnsi="David" w:cs="David" w:hint="cs"/>
          <w:sz w:val="24"/>
          <w:szCs w:val="24"/>
          <w:rtl/>
        </w:rPr>
        <w:t>הות</w:t>
      </w:r>
      <w:r w:rsidRPr="002E14EE">
        <w:rPr>
          <w:rFonts w:ascii="David" w:hAnsi="David" w:cs="David"/>
          <w:sz w:val="24"/>
          <w:szCs w:val="24"/>
          <w:rtl/>
        </w:rPr>
        <w:t xml:space="preserve">ית (האונטולוגית) של </w:t>
      </w:r>
      <w:r>
        <w:rPr>
          <w:rFonts w:ascii="David" w:hAnsi="David" w:cs="David" w:hint="cs"/>
          <w:sz w:val="24"/>
          <w:szCs w:val="24"/>
          <w:rtl/>
        </w:rPr>
        <w:t>ה</w:t>
      </w:r>
      <w:r w:rsidRPr="002E14EE">
        <w:rPr>
          <w:rFonts w:ascii="David" w:hAnsi="David" w:cs="David"/>
          <w:sz w:val="24"/>
          <w:szCs w:val="24"/>
          <w:rtl/>
        </w:rPr>
        <w:t>אובייקט</w:t>
      </w:r>
      <w:r>
        <w:rPr>
          <w:rFonts w:ascii="David" w:hAnsi="David" w:cs="David" w:hint="cs"/>
          <w:sz w:val="24"/>
          <w:szCs w:val="24"/>
          <w:rtl/>
        </w:rPr>
        <w:t xml:space="preserve"> (זיתים, עופות דגים וכו') לא השתנתה</w:t>
      </w:r>
      <w:r w:rsidR="005E2262">
        <w:rPr>
          <w:rFonts w:ascii="David" w:hAnsi="David" w:cs="David" w:hint="cs"/>
          <w:sz w:val="24"/>
          <w:szCs w:val="24"/>
          <w:rtl/>
        </w:rPr>
        <w:t>,</w:t>
      </w:r>
      <w:r>
        <w:rPr>
          <w:rFonts w:ascii="David" w:hAnsi="David" w:cs="David" w:hint="cs"/>
          <w:sz w:val="24"/>
          <w:szCs w:val="24"/>
          <w:rtl/>
        </w:rPr>
        <w:t xml:space="preserve"> והוא נותר במהותו בבחינת 'הפקר' לכל</w:t>
      </w:r>
      <w:r w:rsidRPr="002E14EE">
        <w:rPr>
          <w:rFonts w:ascii="David" w:hAnsi="David" w:cs="David"/>
          <w:sz w:val="24"/>
          <w:szCs w:val="24"/>
          <w:rtl/>
        </w:rPr>
        <w:t>.</w:t>
      </w:r>
      <w:r w:rsidR="00295909">
        <w:rPr>
          <w:rFonts w:ascii="David" w:hAnsi="David" w:cs="David" w:hint="cs"/>
          <w:sz w:val="24"/>
          <w:szCs w:val="24"/>
          <w:rtl/>
        </w:rPr>
        <w:t xml:space="preserve"> </w:t>
      </w:r>
      <w:r w:rsidR="00AB74C3" w:rsidRPr="000D21E7">
        <w:rPr>
          <w:rFonts w:ascii="David" w:hAnsi="David" w:cs="David"/>
          <w:sz w:val="24"/>
          <w:szCs w:val="24"/>
          <w:rtl/>
        </w:rPr>
        <w:t xml:space="preserve">במילים אחרות, </w:t>
      </w:r>
      <w:r w:rsidR="0092603E">
        <w:rPr>
          <w:rFonts w:ascii="David" w:hAnsi="David" w:cs="David" w:hint="cs"/>
          <w:sz w:val="24"/>
          <w:szCs w:val="24"/>
          <w:rtl/>
        </w:rPr>
        <w:t xml:space="preserve">תנא קמא אינו </w:t>
      </w:r>
      <w:r w:rsidR="00C4269A">
        <w:rPr>
          <w:rFonts w:ascii="David" w:hAnsi="David" w:cs="David" w:hint="cs"/>
          <w:sz w:val="24"/>
          <w:szCs w:val="24"/>
          <w:rtl/>
        </w:rPr>
        <w:t>מכליל מקרים אלו תחת הקטגוריה ה</w:t>
      </w:r>
      <w:r w:rsidR="005C2C1F">
        <w:rPr>
          <w:rFonts w:ascii="David" w:hAnsi="David" w:cs="David" w:hint="cs"/>
          <w:sz w:val="24"/>
          <w:szCs w:val="24"/>
          <w:rtl/>
        </w:rPr>
        <w:t>משפטית</w:t>
      </w:r>
      <w:r w:rsidR="00C4269A">
        <w:rPr>
          <w:rFonts w:ascii="David" w:hAnsi="David" w:cs="David" w:hint="cs"/>
          <w:sz w:val="24"/>
          <w:szCs w:val="24"/>
          <w:rtl/>
        </w:rPr>
        <w:t xml:space="preserve"> של דיני הקניין, אלא </w:t>
      </w:r>
      <w:r w:rsidR="00ED77F4">
        <w:rPr>
          <w:rFonts w:ascii="David" w:hAnsi="David" w:cs="David" w:hint="cs"/>
          <w:sz w:val="24"/>
          <w:szCs w:val="24"/>
          <w:rtl/>
        </w:rPr>
        <w:t xml:space="preserve">מחיל </w:t>
      </w:r>
      <w:r w:rsidR="00266008" w:rsidRPr="000D21E7">
        <w:rPr>
          <w:rFonts w:ascii="David" w:hAnsi="David" w:cs="David"/>
          <w:sz w:val="24"/>
          <w:szCs w:val="24"/>
          <w:rtl/>
        </w:rPr>
        <w:t>על</w:t>
      </w:r>
      <w:r w:rsidR="00295909">
        <w:rPr>
          <w:rFonts w:ascii="David" w:hAnsi="David" w:cs="David" w:hint="cs"/>
          <w:sz w:val="24"/>
          <w:szCs w:val="24"/>
          <w:rtl/>
        </w:rPr>
        <w:t>יהם</w:t>
      </w:r>
      <w:r w:rsidR="00266008" w:rsidRPr="000D21E7">
        <w:rPr>
          <w:rFonts w:ascii="David" w:hAnsi="David" w:cs="David"/>
          <w:sz w:val="24"/>
          <w:szCs w:val="24"/>
          <w:rtl/>
        </w:rPr>
        <w:t xml:space="preserve"> </w:t>
      </w:r>
      <w:r w:rsidR="00AB74C3" w:rsidRPr="000D21E7">
        <w:rPr>
          <w:rFonts w:ascii="David" w:hAnsi="David" w:cs="David"/>
          <w:sz w:val="24"/>
          <w:szCs w:val="24"/>
          <w:rtl/>
        </w:rPr>
        <w:t>קטגוריה אחרת,</w:t>
      </w:r>
    </w:p>
    <w:p w14:paraId="2D05E31B" w14:textId="5BC1CFF5" w:rsidR="00E32526" w:rsidRDefault="00E32526" w:rsidP="002157AF">
      <w:pPr>
        <w:spacing w:line="480" w:lineRule="auto"/>
        <w:contextualSpacing/>
        <w:jc w:val="right"/>
        <w:rPr>
          <w:rFonts w:ascii="Times New Roman" w:hAnsi="Times New Roman" w:cs="Times New Roman"/>
          <w:sz w:val="24"/>
          <w:szCs w:val="24"/>
        </w:rPr>
      </w:pPr>
      <w:r w:rsidRPr="004C15ED">
        <w:rPr>
          <w:rFonts w:ascii="Times New Roman" w:hAnsi="Times New Roman" w:cs="Times New Roman"/>
          <w:color w:val="000000"/>
          <w:sz w:val="24"/>
          <w:szCs w:val="24"/>
        </w:rPr>
        <w:t>because of ethics or public policy</w:t>
      </w:r>
      <w:r w:rsidR="00AB74C3">
        <w:rPr>
          <w:rFonts w:ascii="Times New Roman" w:hAnsi="Times New Roman" w:cs="Times New Roman"/>
          <w:sz w:val="24"/>
          <w:szCs w:val="24"/>
        </w:rPr>
        <w:t>.</w:t>
      </w:r>
      <w:r w:rsidRPr="004C15ED">
        <w:rPr>
          <w:rFonts w:ascii="Times New Roman" w:hAnsi="Times New Roman" w:cs="Times New Roman"/>
          <w:sz w:val="24"/>
          <w:szCs w:val="24"/>
        </w:rPr>
        <w:t xml:space="preserve"> </w:t>
      </w:r>
    </w:p>
    <w:p w14:paraId="79E6845B" w14:textId="0D7713B4" w:rsidR="00507A78" w:rsidRDefault="00667B73" w:rsidP="00591D8F">
      <w:pPr>
        <w:pStyle w:val="a3"/>
        <w:bidi w:val="0"/>
        <w:spacing w:line="480" w:lineRule="auto"/>
        <w:ind w:firstLine="360"/>
        <w:contextualSpacing/>
        <w:rPr>
          <w:rFonts w:ascii="Times New Roman" w:hAnsi="Times New Roman" w:cs="Calibri"/>
          <w:sz w:val="24"/>
          <w:szCs w:val="24"/>
          <w:rtl/>
        </w:rPr>
      </w:pPr>
      <w:r>
        <w:rPr>
          <w:rFonts w:ascii="Times New Roman" w:hAnsi="Times New Roman" w:cs="Times New Roman"/>
          <w:sz w:val="24"/>
          <w:szCs w:val="24"/>
        </w:rPr>
        <w:t xml:space="preserve">In contrast, </w:t>
      </w:r>
      <w:r w:rsidR="00245B81">
        <w:rPr>
          <w:rFonts w:ascii="Times New Roman" w:hAnsi="Times New Roman" w:cs="Times New Roman"/>
          <w:sz w:val="24"/>
          <w:szCs w:val="24"/>
        </w:rPr>
        <w:t xml:space="preserve">R. </w:t>
      </w:r>
      <w:proofErr w:type="spellStart"/>
      <w:r w:rsidR="00245B81">
        <w:rPr>
          <w:rFonts w:ascii="Times New Roman" w:hAnsi="Times New Roman" w:cs="Times New Roman"/>
          <w:sz w:val="24"/>
          <w:szCs w:val="24"/>
        </w:rPr>
        <w:t>Yose</w:t>
      </w:r>
      <w:proofErr w:type="spellEnd"/>
      <w:r w:rsidR="00541871" w:rsidRPr="00541871">
        <w:rPr>
          <w:rFonts w:ascii="Times New Roman" w:hAnsi="Times New Roman" w:cs="Times New Roman"/>
          <w:sz w:val="24"/>
          <w:szCs w:val="24"/>
        </w:rPr>
        <w:t xml:space="preserve"> </w:t>
      </w:r>
      <w:r w:rsidR="009613A6">
        <w:rPr>
          <w:rFonts w:ascii="Times New Roman" w:hAnsi="Times New Roman" w:cs="Times New Roman"/>
          <w:sz w:val="24"/>
          <w:szCs w:val="24"/>
        </w:rPr>
        <w:t>believe</w:t>
      </w:r>
      <w:r w:rsidR="00AA4FB1">
        <w:rPr>
          <w:rFonts w:ascii="Times New Roman" w:hAnsi="Times New Roman" w:cs="Times New Roman"/>
          <w:sz w:val="24"/>
          <w:szCs w:val="24"/>
        </w:rPr>
        <w:t>s</w:t>
      </w:r>
      <w:r w:rsidR="009613A6">
        <w:rPr>
          <w:rFonts w:ascii="Times New Roman" w:hAnsi="Times New Roman" w:cs="Times New Roman"/>
          <w:sz w:val="24"/>
          <w:szCs w:val="24"/>
        </w:rPr>
        <w:t xml:space="preserve"> </w:t>
      </w:r>
      <w:r w:rsidR="00AF576C">
        <w:rPr>
          <w:rFonts w:ascii="Times New Roman" w:hAnsi="Times New Roman" w:cs="Times New Roman"/>
          <w:sz w:val="24"/>
          <w:szCs w:val="24"/>
        </w:rPr>
        <w:t>th</w:t>
      </w:r>
      <w:r w:rsidR="00541871" w:rsidRPr="00541871">
        <w:rPr>
          <w:rFonts w:ascii="Times New Roman" w:hAnsi="Times New Roman" w:cs="Times New Roman"/>
          <w:sz w:val="24"/>
          <w:szCs w:val="24"/>
        </w:rPr>
        <w:t xml:space="preserve">at the found property </w:t>
      </w:r>
      <w:r w:rsidR="00591D8F">
        <w:rPr>
          <w:rFonts w:ascii="Times New Roman" w:hAnsi="Times New Roman"/>
          <w:sz w:val="24"/>
          <w:szCs w:val="24"/>
        </w:rPr>
        <w:t xml:space="preserve">should be the </w:t>
      </w:r>
      <w:r w:rsidR="00541871" w:rsidRPr="00541871">
        <w:rPr>
          <w:rFonts w:ascii="Times New Roman" w:hAnsi="Times New Roman" w:cs="Times New Roman"/>
          <w:sz w:val="24"/>
          <w:szCs w:val="24"/>
        </w:rPr>
        <w:t>legal property of the deaf-mute</w:t>
      </w:r>
      <w:r w:rsidR="00937FB1">
        <w:rPr>
          <w:rFonts w:ascii="Times New Roman" w:hAnsi="Times New Roman" w:cs="Times New Roman"/>
          <w:sz w:val="24"/>
          <w:szCs w:val="24"/>
        </w:rPr>
        <w:t xml:space="preserve"> </w:t>
      </w:r>
      <w:proofErr w:type="spellStart"/>
      <w:r w:rsidR="00937FB1">
        <w:rPr>
          <w:rFonts w:ascii="Times New Roman" w:hAnsi="Times New Roman" w:cs="Times New Roman"/>
          <w:sz w:val="24"/>
          <w:szCs w:val="24"/>
        </w:rPr>
        <w:t>ect</w:t>
      </w:r>
      <w:proofErr w:type="spellEnd"/>
      <w:r w:rsidR="00937FB1">
        <w:rPr>
          <w:rFonts w:ascii="Times New Roman" w:hAnsi="Times New Roman" w:cs="Times New Roman"/>
          <w:sz w:val="24"/>
          <w:szCs w:val="24"/>
        </w:rPr>
        <w:t xml:space="preserve">. or the first person who </w:t>
      </w:r>
      <w:proofErr w:type="gramStart"/>
      <w:r w:rsidR="008F75C5">
        <w:rPr>
          <w:rFonts w:ascii="Times New Roman" w:hAnsi="Times New Roman" w:cs="Times New Roman"/>
          <w:sz w:val="24"/>
          <w:szCs w:val="24"/>
        </w:rPr>
        <w:t>made an effort</w:t>
      </w:r>
      <w:proofErr w:type="gramEnd"/>
      <w:r w:rsidR="008F75C5">
        <w:rPr>
          <w:rFonts w:ascii="Times New Roman" w:hAnsi="Times New Roman" w:cs="Times New Roman"/>
          <w:sz w:val="24"/>
          <w:szCs w:val="24"/>
        </w:rPr>
        <w:t xml:space="preserve"> </w:t>
      </w:r>
      <w:r w:rsidR="00937FB1">
        <w:rPr>
          <w:rFonts w:ascii="Times New Roman" w:hAnsi="Times New Roman" w:cs="Times New Roman"/>
          <w:sz w:val="24"/>
          <w:szCs w:val="24"/>
        </w:rPr>
        <w:t>to get them</w:t>
      </w:r>
      <w:r>
        <w:rPr>
          <w:rFonts w:ascii="Times New Roman" w:hAnsi="Times New Roman" w:cs="Times New Roman"/>
          <w:sz w:val="24"/>
          <w:szCs w:val="24"/>
        </w:rPr>
        <w:t xml:space="preserve">. </w:t>
      </w:r>
      <w:r w:rsidR="00AA4FB1">
        <w:rPr>
          <w:rFonts w:ascii="Times New Roman" w:hAnsi="Times New Roman" w:cs="Times New Roman"/>
          <w:sz w:val="24"/>
          <w:szCs w:val="24"/>
        </w:rPr>
        <w:t xml:space="preserve">It is possible to assume that R. </w:t>
      </w:r>
      <w:proofErr w:type="spellStart"/>
      <w:r w:rsidR="00AA4FB1">
        <w:rPr>
          <w:rFonts w:ascii="Times New Roman" w:hAnsi="Times New Roman" w:cs="Times New Roman"/>
          <w:sz w:val="24"/>
          <w:szCs w:val="24"/>
        </w:rPr>
        <w:t>Yose</w:t>
      </w:r>
      <w:proofErr w:type="spellEnd"/>
      <w:r>
        <w:rPr>
          <w:rFonts w:ascii="Times New Roman" w:hAnsi="Times New Roman" w:cs="Times New Roman"/>
          <w:sz w:val="24"/>
          <w:szCs w:val="24"/>
        </w:rPr>
        <w:t xml:space="preserve"> Think</w:t>
      </w:r>
      <w:r w:rsidR="00AA4FB1">
        <w:rPr>
          <w:rFonts w:ascii="Times New Roman" w:hAnsi="Times New Roman" w:cs="Times New Roman"/>
          <w:sz w:val="24"/>
          <w:szCs w:val="24"/>
        </w:rPr>
        <w:t>ing</w:t>
      </w:r>
      <w:r>
        <w:rPr>
          <w:rFonts w:ascii="Times New Roman" w:hAnsi="Times New Roman" w:cs="Times New Roman"/>
          <w:sz w:val="24"/>
          <w:szCs w:val="24"/>
        </w:rPr>
        <w:t xml:space="preserve"> that</w:t>
      </w:r>
      <w:r w:rsidR="00541871" w:rsidRPr="00541871">
        <w:rPr>
          <w:rFonts w:ascii="Times New Roman" w:hAnsi="Times New Roman" w:cs="Times New Roman"/>
          <w:sz w:val="24"/>
          <w:szCs w:val="24"/>
        </w:rPr>
        <w:t xml:space="preserve"> </w:t>
      </w:r>
      <w:r w:rsidR="00245B81">
        <w:rPr>
          <w:rFonts w:ascii="Times New Roman" w:hAnsi="Times New Roman" w:cs="Times New Roman"/>
          <w:sz w:val="24"/>
          <w:szCs w:val="24"/>
        </w:rPr>
        <w:t xml:space="preserve">an </w:t>
      </w:r>
      <w:r w:rsidR="00541871" w:rsidRPr="00541871">
        <w:rPr>
          <w:rFonts w:ascii="Times New Roman" w:hAnsi="Times New Roman" w:cs="Times New Roman"/>
          <w:sz w:val="24"/>
          <w:szCs w:val="24"/>
        </w:rPr>
        <w:t>active actions to obtain ownership of an object exclude the case entirely from mere 'intent' and transfer it to the category of an 'act' that buys the object (at least more than those who have not actually taken it</w:t>
      </w:r>
      <w:r w:rsidR="00B65B17">
        <w:rPr>
          <w:rFonts w:ascii="Times New Roman" w:hAnsi="Times New Roman" w:cs="Times New Roman"/>
          <w:sz w:val="24"/>
          <w:szCs w:val="24"/>
        </w:rPr>
        <w:t>)</w:t>
      </w:r>
      <w:r w:rsidR="00591D8F">
        <w:rPr>
          <w:rFonts w:ascii="Times New Roman" w:hAnsi="Times New Roman" w:cs="Times New Roman"/>
          <w:sz w:val="24"/>
          <w:szCs w:val="24"/>
        </w:rPr>
        <w:t>.</w:t>
      </w:r>
      <w:r w:rsidR="00541871" w:rsidRPr="00541871">
        <w:rPr>
          <w:rFonts w:ascii="Times New Roman" w:hAnsi="Times New Roman" w:cs="Times New Roman"/>
          <w:sz w:val="24"/>
          <w:szCs w:val="24"/>
        </w:rPr>
        <w:t xml:space="preserve"> </w:t>
      </w:r>
    </w:p>
    <w:p w14:paraId="057818EC" w14:textId="6AB4F02F" w:rsidR="0025042B" w:rsidRDefault="00B65B17" w:rsidP="00A94601">
      <w:pPr>
        <w:pStyle w:val="a3"/>
        <w:spacing w:line="480" w:lineRule="auto"/>
        <w:ind w:firstLine="360"/>
        <w:contextualSpacing/>
        <w:rPr>
          <w:rFonts w:ascii="David" w:hAnsi="David" w:cs="David"/>
          <w:sz w:val="24"/>
          <w:szCs w:val="24"/>
          <w:rtl/>
        </w:rPr>
      </w:pPr>
      <w:r>
        <w:rPr>
          <w:rFonts w:ascii="David" w:hAnsi="David" w:cs="David" w:hint="cs"/>
          <w:sz w:val="24"/>
          <w:szCs w:val="24"/>
          <w:rtl/>
        </w:rPr>
        <w:t xml:space="preserve">האם יש </w:t>
      </w:r>
      <w:r w:rsidR="000A7D45">
        <w:rPr>
          <w:rFonts w:ascii="David" w:hAnsi="David" w:cs="David" w:hint="cs"/>
          <w:sz w:val="24"/>
          <w:szCs w:val="24"/>
          <w:rtl/>
        </w:rPr>
        <w:t>להגדרות השונות תוצאות</w:t>
      </w:r>
      <w:r>
        <w:rPr>
          <w:rFonts w:ascii="David" w:hAnsi="David" w:cs="David" w:hint="cs"/>
          <w:sz w:val="24"/>
          <w:szCs w:val="24"/>
          <w:rtl/>
        </w:rPr>
        <w:t xml:space="preserve"> נורמטיביות</w:t>
      </w:r>
      <w:r w:rsidR="00B373F3">
        <w:rPr>
          <w:rFonts w:ascii="David" w:hAnsi="David" w:cs="David" w:hint="cs"/>
          <w:sz w:val="24"/>
          <w:szCs w:val="24"/>
          <w:rtl/>
        </w:rPr>
        <w:t xml:space="preserve"> אחרות זו מזו</w:t>
      </w:r>
      <w:r>
        <w:rPr>
          <w:rFonts w:ascii="David" w:hAnsi="David" w:cs="David" w:hint="cs"/>
          <w:sz w:val="24"/>
          <w:szCs w:val="24"/>
          <w:rtl/>
        </w:rPr>
        <w:t>? מן ה</w:t>
      </w:r>
      <w:r w:rsidR="000A7D45">
        <w:rPr>
          <w:rFonts w:ascii="David" w:hAnsi="David" w:cs="David" w:hint="cs"/>
          <w:sz w:val="24"/>
          <w:szCs w:val="24"/>
          <w:rtl/>
        </w:rPr>
        <w:t>דיונים</w:t>
      </w:r>
      <w:r>
        <w:rPr>
          <w:rFonts w:ascii="David" w:hAnsi="David" w:cs="David" w:hint="cs"/>
          <w:sz w:val="24"/>
          <w:szCs w:val="24"/>
          <w:rtl/>
        </w:rPr>
        <w:t xml:space="preserve"> בתלמודים עולה שאמנם כן. שני התלמודים </w:t>
      </w:r>
      <w:r w:rsidR="006D7BC3">
        <w:rPr>
          <w:rFonts w:ascii="David" w:hAnsi="David" w:cs="David" w:hint="cs"/>
          <w:sz w:val="24"/>
          <w:szCs w:val="24"/>
          <w:rtl/>
        </w:rPr>
        <w:t xml:space="preserve">טוענים </w:t>
      </w:r>
      <w:r>
        <w:rPr>
          <w:rFonts w:ascii="David" w:hAnsi="David" w:cs="David" w:hint="cs"/>
          <w:sz w:val="24"/>
          <w:szCs w:val="24"/>
          <w:rtl/>
        </w:rPr>
        <w:t xml:space="preserve">כי לשיטת תנא קמא </w:t>
      </w:r>
      <w:r w:rsidR="00EB4179">
        <w:rPr>
          <w:rFonts w:ascii="David" w:hAnsi="David" w:cs="David" w:hint="cs"/>
          <w:sz w:val="24"/>
          <w:szCs w:val="24"/>
          <w:rtl/>
        </w:rPr>
        <w:t xml:space="preserve">(כנראה </w:t>
      </w:r>
      <w:r>
        <w:rPr>
          <w:rFonts w:ascii="David" w:hAnsi="David" w:cs="David" w:hint="cs"/>
          <w:sz w:val="24"/>
          <w:szCs w:val="24"/>
          <w:rtl/>
        </w:rPr>
        <w:t>מכיוון שהאובייקטים</w:t>
      </w:r>
      <w:r w:rsidR="000A7D45">
        <w:rPr>
          <w:rFonts w:ascii="David" w:hAnsi="David" w:cs="David" w:hint="cs"/>
          <w:sz w:val="24"/>
          <w:szCs w:val="24"/>
          <w:rtl/>
        </w:rPr>
        <w:t xml:space="preserve"> לא שינו את מהותם הקניינית</w:t>
      </w:r>
      <w:r w:rsidR="00D01B86">
        <w:rPr>
          <w:rFonts w:ascii="David" w:hAnsi="David" w:cs="David" w:hint="cs"/>
          <w:sz w:val="24"/>
          <w:szCs w:val="24"/>
          <w:rtl/>
        </w:rPr>
        <w:t>)</w:t>
      </w:r>
      <w:r>
        <w:rPr>
          <w:rFonts w:ascii="David" w:hAnsi="David" w:cs="David" w:hint="cs"/>
          <w:sz w:val="24"/>
          <w:szCs w:val="24"/>
          <w:rtl/>
        </w:rPr>
        <w:t xml:space="preserve"> </w:t>
      </w:r>
      <w:r w:rsidR="006D7BC3">
        <w:rPr>
          <w:rFonts w:ascii="David" w:hAnsi="David" w:cs="David" w:hint="cs"/>
          <w:sz w:val="24"/>
          <w:szCs w:val="24"/>
          <w:rtl/>
        </w:rPr>
        <w:t xml:space="preserve">אין להטיל </w:t>
      </w:r>
      <w:r>
        <w:rPr>
          <w:rFonts w:ascii="David" w:hAnsi="David" w:cs="David" w:hint="cs"/>
          <w:sz w:val="24"/>
          <w:szCs w:val="24"/>
          <w:rtl/>
        </w:rPr>
        <w:t>סנקציה על הלוקח</w:t>
      </w:r>
      <w:r w:rsidR="00D01B86">
        <w:rPr>
          <w:rFonts w:ascii="David" w:hAnsi="David" w:cs="David" w:hint="cs"/>
          <w:sz w:val="24"/>
          <w:szCs w:val="24"/>
          <w:rtl/>
        </w:rPr>
        <w:t>, שלא עבר על דין תורה</w:t>
      </w:r>
      <w:r w:rsidR="00252ECB">
        <w:rPr>
          <w:rFonts w:ascii="David" w:hAnsi="David" w:cs="David" w:hint="cs"/>
          <w:sz w:val="24"/>
          <w:szCs w:val="24"/>
          <w:rtl/>
        </w:rPr>
        <w:t>.</w:t>
      </w:r>
      <w:r w:rsidR="008D170B">
        <w:rPr>
          <w:rFonts w:ascii="David" w:hAnsi="David" w:cs="David" w:hint="cs"/>
          <w:sz w:val="24"/>
          <w:szCs w:val="24"/>
          <w:rtl/>
        </w:rPr>
        <w:t xml:space="preserve"> </w:t>
      </w:r>
      <w:r w:rsidR="00252ECB">
        <w:rPr>
          <w:rFonts w:ascii="David" w:hAnsi="David" w:cs="David" w:hint="cs"/>
          <w:sz w:val="24"/>
          <w:szCs w:val="24"/>
          <w:rtl/>
        </w:rPr>
        <w:t xml:space="preserve">לעומת זאת </w:t>
      </w:r>
      <w:r w:rsidR="00775E92">
        <w:rPr>
          <w:rFonts w:ascii="David" w:hAnsi="David" w:cs="David" w:hint="cs"/>
          <w:sz w:val="24"/>
          <w:szCs w:val="24"/>
          <w:rtl/>
        </w:rPr>
        <w:t>שיטת ר' יוסי, שמכלילה את המקרה תחת הקטגוריה ה</w:t>
      </w:r>
      <w:r w:rsidR="002F66C5">
        <w:rPr>
          <w:rFonts w:ascii="David" w:hAnsi="David" w:cs="David" w:hint="cs"/>
          <w:sz w:val="24"/>
          <w:szCs w:val="24"/>
          <w:rtl/>
        </w:rPr>
        <w:t>משפטית</w:t>
      </w:r>
      <w:r w:rsidR="00775E92">
        <w:rPr>
          <w:rFonts w:ascii="David" w:hAnsi="David" w:cs="David" w:hint="cs"/>
          <w:sz w:val="24"/>
          <w:szCs w:val="24"/>
          <w:rtl/>
        </w:rPr>
        <w:t xml:space="preserve"> של דיני קניין</w:t>
      </w:r>
      <w:r w:rsidR="008D3F2C">
        <w:rPr>
          <w:rFonts w:ascii="David" w:hAnsi="David" w:cs="David" w:hint="cs"/>
          <w:sz w:val="24"/>
          <w:szCs w:val="24"/>
          <w:rtl/>
        </w:rPr>
        <w:t>,</w:t>
      </w:r>
      <w:r w:rsidR="00775E92">
        <w:rPr>
          <w:rFonts w:ascii="David" w:hAnsi="David" w:cs="David" w:hint="cs"/>
          <w:sz w:val="24"/>
          <w:szCs w:val="24"/>
          <w:rtl/>
        </w:rPr>
        <w:t xml:space="preserve"> מאפשרת לנגזל לתבוע את </w:t>
      </w:r>
      <w:r w:rsidR="00B053A1">
        <w:rPr>
          <w:rFonts w:ascii="David" w:hAnsi="David" w:cs="David" w:hint="cs"/>
          <w:sz w:val="24"/>
          <w:szCs w:val="24"/>
          <w:rtl/>
        </w:rPr>
        <w:t xml:space="preserve">השבת הגזלה </w:t>
      </w:r>
      <w:r w:rsidR="00775E92">
        <w:rPr>
          <w:rFonts w:ascii="David" w:hAnsi="David" w:cs="David" w:hint="cs"/>
          <w:sz w:val="24"/>
          <w:szCs w:val="24"/>
          <w:rtl/>
        </w:rPr>
        <w:t>בבית הדין.</w:t>
      </w:r>
      <w:r w:rsidR="00477353">
        <w:rPr>
          <w:rStyle w:val="a5"/>
          <w:rFonts w:ascii="David" w:hAnsi="David" w:cs="David"/>
          <w:sz w:val="24"/>
          <w:szCs w:val="24"/>
          <w:rtl/>
        </w:rPr>
        <w:footnoteReference w:id="45"/>
      </w:r>
      <w:r w:rsidR="00477353">
        <w:rPr>
          <w:rFonts w:ascii="David" w:hAnsi="David" w:cs="David" w:hint="cs"/>
          <w:sz w:val="24"/>
          <w:szCs w:val="24"/>
          <w:rtl/>
        </w:rPr>
        <w:t xml:space="preserve"> </w:t>
      </w:r>
      <w:r w:rsidR="00775E92">
        <w:rPr>
          <w:rFonts w:ascii="David" w:hAnsi="David" w:cs="David" w:hint="cs"/>
          <w:sz w:val="24"/>
          <w:szCs w:val="24"/>
          <w:rtl/>
        </w:rPr>
        <w:t xml:space="preserve"> </w:t>
      </w:r>
      <w:r w:rsidR="00252ECB">
        <w:rPr>
          <w:rFonts w:ascii="David" w:hAnsi="David" w:cs="David" w:hint="cs"/>
          <w:sz w:val="24"/>
          <w:szCs w:val="24"/>
          <w:rtl/>
        </w:rPr>
        <w:t xml:space="preserve">ייתכן אפוא, </w:t>
      </w:r>
      <w:r w:rsidR="00064731">
        <w:rPr>
          <w:rFonts w:ascii="David" w:hAnsi="David" w:cs="David" w:hint="cs"/>
          <w:sz w:val="24"/>
          <w:szCs w:val="24"/>
          <w:rtl/>
        </w:rPr>
        <w:t>ש</w:t>
      </w:r>
      <w:r w:rsidR="00FE7197">
        <w:rPr>
          <w:rFonts w:ascii="David" w:hAnsi="David" w:cs="David" w:hint="cs"/>
          <w:sz w:val="24"/>
          <w:szCs w:val="24"/>
          <w:rtl/>
        </w:rPr>
        <w:t xml:space="preserve">ר' יוסי </w:t>
      </w:r>
      <w:r w:rsidR="00445BCE">
        <w:rPr>
          <w:rFonts w:ascii="David" w:hAnsi="David" w:cs="David" w:hint="cs"/>
          <w:sz w:val="24"/>
          <w:szCs w:val="24"/>
          <w:rtl/>
        </w:rPr>
        <w:t>סבר ש</w:t>
      </w:r>
      <w:r w:rsidR="00064731">
        <w:rPr>
          <w:rFonts w:ascii="David" w:hAnsi="David" w:cs="David" w:hint="cs"/>
          <w:sz w:val="24"/>
          <w:szCs w:val="24"/>
          <w:rtl/>
        </w:rPr>
        <w:t xml:space="preserve">במקרים אלו </w:t>
      </w:r>
      <w:r w:rsidR="00445BCE">
        <w:rPr>
          <w:rFonts w:ascii="David" w:hAnsi="David" w:cs="David" w:hint="cs"/>
          <w:sz w:val="24"/>
          <w:szCs w:val="24"/>
          <w:rtl/>
        </w:rPr>
        <w:t>ה</w:t>
      </w:r>
      <w:r w:rsidR="008D170B">
        <w:rPr>
          <w:rFonts w:ascii="David" w:hAnsi="David" w:cs="David" w:hint="cs"/>
          <w:sz w:val="24"/>
          <w:szCs w:val="24"/>
          <w:rtl/>
        </w:rPr>
        <w:t>יצמדות</w:t>
      </w:r>
      <w:r w:rsidR="00445BCE">
        <w:rPr>
          <w:rFonts w:ascii="David" w:hAnsi="David" w:cs="David" w:hint="cs"/>
          <w:sz w:val="24"/>
          <w:szCs w:val="24"/>
          <w:rtl/>
        </w:rPr>
        <w:t xml:space="preserve"> </w:t>
      </w:r>
      <w:r w:rsidR="008D170B">
        <w:rPr>
          <w:rFonts w:ascii="David" w:hAnsi="David" w:cs="David" w:hint="cs"/>
          <w:sz w:val="24"/>
          <w:szCs w:val="24"/>
          <w:rtl/>
        </w:rPr>
        <w:t>ל</w:t>
      </w:r>
      <w:r w:rsidR="00445BCE">
        <w:rPr>
          <w:rFonts w:ascii="David" w:hAnsi="David" w:cs="David" w:hint="cs"/>
          <w:sz w:val="24"/>
          <w:szCs w:val="24"/>
          <w:rtl/>
        </w:rPr>
        <w:t>כללים הפורמאליים</w:t>
      </w:r>
      <w:r w:rsidR="008D170B">
        <w:rPr>
          <w:rFonts w:ascii="David" w:hAnsi="David" w:cs="David" w:hint="cs"/>
          <w:sz w:val="24"/>
          <w:szCs w:val="24"/>
          <w:rtl/>
        </w:rPr>
        <w:t xml:space="preserve"> </w:t>
      </w:r>
      <w:r w:rsidR="008D3F2C">
        <w:rPr>
          <w:rFonts w:ascii="David" w:hAnsi="David" w:cs="David" w:hint="cs"/>
          <w:sz w:val="24"/>
          <w:szCs w:val="24"/>
          <w:rtl/>
        </w:rPr>
        <w:t>(אין קניין מבחינה אונטולוגית</w:t>
      </w:r>
      <w:r w:rsidR="00693EFA">
        <w:rPr>
          <w:rFonts w:ascii="David" w:hAnsi="David" w:cs="David" w:hint="cs"/>
          <w:sz w:val="24"/>
          <w:szCs w:val="24"/>
          <w:rtl/>
        </w:rPr>
        <w:t xml:space="preserve"> </w:t>
      </w:r>
      <w:r w:rsidR="008D3F2C">
        <w:rPr>
          <w:rFonts w:ascii="David" w:hAnsi="David" w:cs="David" w:hint="cs"/>
          <w:sz w:val="24"/>
          <w:szCs w:val="24"/>
          <w:rtl/>
        </w:rPr>
        <w:t xml:space="preserve">= אין עברה) </w:t>
      </w:r>
      <w:r w:rsidR="00282BC9">
        <w:rPr>
          <w:rFonts w:ascii="David" w:hAnsi="David" w:cs="David" w:hint="cs"/>
          <w:sz w:val="24"/>
          <w:szCs w:val="24"/>
          <w:rtl/>
        </w:rPr>
        <w:t xml:space="preserve">תיצור </w:t>
      </w:r>
      <w:r w:rsidR="00445BCE">
        <w:rPr>
          <w:rFonts w:ascii="David" w:hAnsi="David" w:cs="David" w:hint="cs"/>
          <w:sz w:val="24"/>
          <w:szCs w:val="24"/>
          <w:rtl/>
        </w:rPr>
        <w:t>מצב לא צודק</w:t>
      </w:r>
      <w:r w:rsidR="00282BC9">
        <w:rPr>
          <w:rFonts w:ascii="David" w:hAnsi="David" w:cs="David" w:hint="cs"/>
          <w:sz w:val="24"/>
          <w:szCs w:val="24"/>
          <w:rtl/>
        </w:rPr>
        <w:t xml:space="preserve"> (ולא רק </w:t>
      </w:r>
      <w:r w:rsidR="009664A9">
        <w:rPr>
          <w:rFonts w:ascii="David" w:hAnsi="David" w:cs="David" w:hint="cs"/>
          <w:sz w:val="24"/>
          <w:szCs w:val="24"/>
          <w:rtl/>
        </w:rPr>
        <w:t xml:space="preserve">פוגע </w:t>
      </w:r>
      <w:r w:rsidR="0011715B">
        <w:rPr>
          <w:rFonts w:ascii="David" w:hAnsi="David" w:cs="David" w:hint="cs"/>
          <w:sz w:val="24"/>
          <w:szCs w:val="24"/>
          <w:rtl/>
        </w:rPr>
        <w:t xml:space="preserve">ברגשותיו </w:t>
      </w:r>
      <w:r w:rsidR="00167EB4">
        <w:rPr>
          <w:rFonts w:ascii="David" w:hAnsi="David" w:cs="David" w:hint="cs"/>
          <w:sz w:val="24"/>
          <w:szCs w:val="24"/>
          <w:rtl/>
        </w:rPr>
        <w:t xml:space="preserve">של הנגזל, </w:t>
      </w:r>
      <w:r w:rsidR="009664A9">
        <w:rPr>
          <w:rFonts w:ascii="David" w:hAnsi="David" w:cs="David" w:hint="cs"/>
          <w:sz w:val="24"/>
          <w:szCs w:val="24"/>
          <w:rtl/>
        </w:rPr>
        <w:t xml:space="preserve">או </w:t>
      </w:r>
      <w:r w:rsidR="00411748">
        <w:rPr>
          <w:rFonts w:ascii="David" w:hAnsi="David" w:cs="David" w:hint="cs"/>
          <w:sz w:val="24"/>
          <w:szCs w:val="24"/>
          <w:rtl/>
        </w:rPr>
        <w:t>מזיק לשלום הציבור)</w:t>
      </w:r>
      <w:r w:rsidR="00445BCE">
        <w:rPr>
          <w:rFonts w:ascii="David" w:hAnsi="David" w:cs="David" w:hint="cs"/>
          <w:sz w:val="24"/>
          <w:szCs w:val="24"/>
          <w:rtl/>
        </w:rPr>
        <w:t xml:space="preserve">. </w:t>
      </w:r>
      <w:r w:rsidR="00916482">
        <w:rPr>
          <w:rFonts w:ascii="David" w:hAnsi="David" w:cs="David" w:hint="cs"/>
          <w:sz w:val="24"/>
          <w:szCs w:val="24"/>
          <w:rtl/>
        </w:rPr>
        <w:t xml:space="preserve">לפיכך </w:t>
      </w:r>
      <w:r w:rsidR="001C5F15">
        <w:rPr>
          <w:rFonts w:ascii="David" w:hAnsi="David" w:cs="David" w:hint="cs"/>
          <w:sz w:val="24"/>
          <w:szCs w:val="24"/>
          <w:rtl/>
        </w:rPr>
        <w:t>הוא מרחיב</w:t>
      </w:r>
      <w:r w:rsidR="00025E09">
        <w:rPr>
          <w:rFonts w:ascii="David" w:hAnsi="David" w:cs="David" w:hint="cs"/>
          <w:sz w:val="24"/>
          <w:szCs w:val="24"/>
          <w:rtl/>
        </w:rPr>
        <w:t xml:space="preserve"> </w:t>
      </w:r>
      <w:r w:rsidR="00916482">
        <w:rPr>
          <w:rFonts w:ascii="David" w:hAnsi="David" w:cs="David" w:hint="cs"/>
          <w:sz w:val="24"/>
          <w:szCs w:val="24"/>
          <w:rtl/>
        </w:rPr>
        <w:t xml:space="preserve">את הקטגוריה </w:t>
      </w:r>
      <w:r w:rsidR="00E1402B">
        <w:rPr>
          <w:rFonts w:ascii="David" w:hAnsi="David" w:cs="David" w:hint="cs"/>
          <w:sz w:val="24"/>
          <w:szCs w:val="24"/>
          <w:rtl/>
        </w:rPr>
        <w:t>"</w:t>
      </w:r>
      <w:r w:rsidR="00916482">
        <w:rPr>
          <w:rFonts w:ascii="David" w:hAnsi="David" w:cs="David" w:hint="cs"/>
          <w:sz w:val="24"/>
          <w:szCs w:val="24"/>
          <w:rtl/>
        </w:rPr>
        <w:t>דיני קניין</w:t>
      </w:r>
      <w:r w:rsidR="00E1402B">
        <w:rPr>
          <w:rFonts w:ascii="David" w:hAnsi="David" w:cs="David" w:hint="cs"/>
          <w:sz w:val="24"/>
          <w:szCs w:val="24"/>
          <w:rtl/>
        </w:rPr>
        <w:t>"</w:t>
      </w:r>
      <w:r w:rsidR="00DB7019">
        <w:rPr>
          <w:rFonts w:ascii="David" w:hAnsi="David" w:cs="David" w:hint="cs"/>
          <w:sz w:val="24"/>
          <w:szCs w:val="24"/>
          <w:rtl/>
        </w:rPr>
        <w:t xml:space="preserve"> </w:t>
      </w:r>
      <w:r w:rsidR="00353743">
        <w:rPr>
          <w:rFonts w:ascii="David" w:hAnsi="David" w:cs="David" w:hint="cs"/>
          <w:sz w:val="24"/>
          <w:szCs w:val="24"/>
          <w:rtl/>
        </w:rPr>
        <w:lastRenderedPageBreak/>
        <w:t xml:space="preserve">באמצעות </w:t>
      </w:r>
      <w:r w:rsidR="00E40911">
        <w:rPr>
          <w:rFonts w:ascii="David" w:hAnsi="David" w:cs="David" w:hint="cs"/>
          <w:sz w:val="24"/>
          <w:szCs w:val="24"/>
          <w:rtl/>
        </w:rPr>
        <w:t>יצירת כלל נוסף</w:t>
      </w:r>
      <w:r w:rsidR="007824FF">
        <w:rPr>
          <w:rFonts w:ascii="David" w:hAnsi="David" w:cs="David" w:hint="cs"/>
          <w:sz w:val="24"/>
          <w:szCs w:val="24"/>
          <w:rtl/>
        </w:rPr>
        <w:t>.</w:t>
      </w:r>
      <w:r w:rsidR="00B1280F">
        <w:rPr>
          <w:rStyle w:val="a5"/>
          <w:rFonts w:ascii="David" w:hAnsi="David" w:cs="David"/>
          <w:sz w:val="24"/>
          <w:szCs w:val="24"/>
          <w:rtl/>
        </w:rPr>
        <w:footnoteReference w:id="46"/>
      </w:r>
      <w:r w:rsidR="007824FF">
        <w:rPr>
          <w:rFonts w:ascii="David" w:hAnsi="David" w:cs="David" w:hint="cs"/>
          <w:sz w:val="24"/>
          <w:szCs w:val="24"/>
          <w:rtl/>
        </w:rPr>
        <w:t xml:space="preserve"> כך מושגת</w:t>
      </w:r>
      <w:r w:rsidR="00CD6410">
        <w:rPr>
          <w:rFonts w:ascii="David" w:hAnsi="David" w:cs="David" w:hint="cs"/>
          <w:sz w:val="24"/>
          <w:szCs w:val="24"/>
          <w:rtl/>
        </w:rPr>
        <w:t>, לשיטתו,</w:t>
      </w:r>
      <w:r w:rsidR="005703D2">
        <w:rPr>
          <w:rFonts w:ascii="David" w:hAnsi="David" w:cs="David" w:hint="cs"/>
          <w:sz w:val="24"/>
          <w:szCs w:val="24"/>
          <w:rtl/>
        </w:rPr>
        <w:t xml:space="preserve"> </w:t>
      </w:r>
      <w:r w:rsidR="003579B2">
        <w:rPr>
          <w:rFonts w:ascii="David" w:hAnsi="David" w:cs="David" w:hint="cs"/>
          <w:sz w:val="24"/>
          <w:szCs w:val="24"/>
          <w:rtl/>
        </w:rPr>
        <w:t>תוצאה צודקת</w:t>
      </w:r>
      <w:r w:rsidR="00DB7019">
        <w:rPr>
          <w:rFonts w:ascii="David" w:hAnsi="David" w:cs="David" w:hint="cs"/>
          <w:sz w:val="24"/>
          <w:szCs w:val="24"/>
          <w:rtl/>
        </w:rPr>
        <w:t xml:space="preserve"> </w:t>
      </w:r>
      <w:r w:rsidR="00C47685">
        <w:rPr>
          <w:rFonts w:ascii="David" w:hAnsi="David" w:cs="David" w:hint="cs"/>
          <w:sz w:val="24"/>
          <w:szCs w:val="24"/>
          <w:rtl/>
        </w:rPr>
        <w:t>במישור הנורמטיבי</w:t>
      </w:r>
      <w:r w:rsidR="005D1791">
        <w:rPr>
          <w:rFonts w:ascii="David" w:hAnsi="David" w:cs="David" w:hint="cs"/>
          <w:sz w:val="24"/>
          <w:szCs w:val="24"/>
          <w:rtl/>
        </w:rPr>
        <w:t xml:space="preserve"> </w:t>
      </w:r>
      <w:r w:rsidR="00C47685">
        <w:rPr>
          <w:rFonts w:ascii="David" w:hAnsi="David" w:cs="David" w:hint="cs"/>
          <w:sz w:val="24"/>
          <w:szCs w:val="24"/>
          <w:rtl/>
        </w:rPr>
        <w:t xml:space="preserve">ולא </w:t>
      </w:r>
      <w:r w:rsidR="008D1D11">
        <w:rPr>
          <w:rFonts w:ascii="David" w:hAnsi="David" w:cs="David" w:hint="cs"/>
          <w:sz w:val="24"/>
          <w:szCs w:val="24"/>
          <w:rtl/>
        </w:rPr>
        <w:t>ה</w:t>
      </w:r>
      <w:r w:rsidR="00C47685">
        <w:rPr>
          <w:rFonts w:ascii="David" w:hAnsi="David" w:cs="David" w:hint="cs"/>
          <w:sz w:val="24"/>
          <w:szCs w:val="24"/>
          <w:rtl/>
        </w:rPr>
        <w:t>מוסרי בלבד</w:t>
      </w:r>
      <w:r w:rsidR="00445BCE">
        <w:rPr>
          <w:rFonts w:ascii="David" w:hAnsi="David" w:cs="David" w:hint="cs"/>
          <w:sz w:val="24"/>
          <w:szCs w:val="24"/>
          <w:rtl/>
        </w:rPr>
        <w:t>.</w:t>
      </w:r>
      <w:r w:rsidR="00B103DB" w:rsidRPr="002E14EE">
        <w:rPr>
          <w:rStyle w:val="a5"/>
          <w:rFonts w:ascii="David" w:hAnsi="David" w:cs="David"/>
          <w:sz w:val="24"/>
          <w:szCs w:val="24"/>
          <w:rtl/>
        </w:rPr>
        <w:footnoteReference w:id="47"/>
      </w:r>
      <w:r w:rsidR="00D21A1E" w:rsidRPr="002E14EE">
        <w:rPr>
          <w:rFonts w:ascii="David" w:hAnsi="David" w:cs="David"/>
          <w:sz w:val="24"/>
          <w:szCs w:val="24"/>
          <w:rtl/>
        </w:rPr>
        <w:t xml:space="preserve"> </w:t>
      </w:r>
    </w:p>
    <w:p w14:paraId="4A7AB3AE" w14:textId="399BFC36" w:rsidR="00456A5F" w:rsidRDefault="00D5629C" w:rsidP="00663926">
      <w:pPr>
        <w:pStyle w:val="a3"/>
        <w:spacing w:line="480" w:lineRule="auto"/>
        <w:ind w:firstLine="360"/>
        <w:contextualSpacing/>
        <w:rPr>
          <w:rFonts w:ascii="Times New Roman" w:hAnsi="Times New Roman" w:cs="Times New Roman"/>
          <w:sz w:val="24"/>
          <w:szCs w:val="24"/>
          <w:rtl/>
        </w:rPr>
      </w:pPr>
      <w:r>
        <w:rPr>
          <w:rFonts w:ascii="David" w:hAnsi="David" w:cs="David" w:hint="cs"/>
          <w:sz w:val="24"/>
          <w:szCs w:val="24"/>
          <w:rtl/>
        </w:rPr>
        <w:t xml:space="preserve">מכל מקום יש </w:t>
      </w:r>
      <w:r w:rsidR="0025042B">
        <w:rPr>
          <w:rFonts w:ascii="David" w:hAnsi="David" w:cs="David" w:hint="cs"/>
          <w:sz w:val="24"/>
          <w:szCs w:val="24"/>
          <w:rtl/>
        </w:rPr>
        <w:t>לומר</w:t>
      </w:r>
      <w:r w:rsidR="00D62AE0">
        <w:rPr>
          <w:rFonts w:ascii="David" w:hAnsi="David" w:cs="David" w:hint="cs"/>
          <w:sz w:val="24"/>
          <w:szCs w:val="24"/>
          <w:rtl/>
        </w:rPr>
        <w:t>,</w:t>
      </w:r>
      <w:r w:rsidR="0025042B">
        <w:rPr>
          <w:rFonts w:ascii="David" w:hAnsi="David" w:cs="David" w:hint="cs"/>
          <w:sz w:val="24"/>
          <w:szCs w:val="24"/>
          <w:rtl/>
        </w:rPr>
        <w:t xml:space="preserve"> כי ממקרים אלו</w:t>
      </w:r>
      <w:r w:rsidR="00A94601">
        <w:rPr>
          <w:rFonts w:ascii="David" w:hAnsi="David" w:cs="David" w:hint="cs"/>
          <w:sz w:val="24"/>
          <w:szCs w:val="24"/>
          <w:rtl/>
        </w:rPr>
        <w:t xml:space="preserve"> עולה כי ה</w:t>
      </w:r>
      <w:r w:rsidR="008720E6">
        <w:rPr>
          <w:rFonts w:ascii="David" w:hAnsi="David" w:cs="David" w:hint="cs"/>
          <w:sz w:val="24"/>
          <w:szCs w:val="24"/>
          <w:rtl/>
        </w:rPr>
        <w:t>ת</w:t>
      </w:r>
      <w:r w:rsidR="00D62AE0">
        <w:rPr>
          <w:rFonts w:ascii="David" w:hAnsi="David" w:cs="David"/>
          <w:sz w:val="24"/>
          <w:szCs w:val="24"/>
          <w:rtl/>
        </w:rPr>
        <w:t>ַ</w:t>
      </w:r>
      <w:r w:rsidR="008720E6">
        <w:rPr>
          <w:rFonts w:ascii="David" w:hAnsi="David" w:cs="David" w:hint="cs"/>
          <w:sz w:val="24"/>
          <w:szCs w:val="24"/>
          <w:rtl/>
        </w:rPr>
        <w:t>נ</w:t>
      </w:r>
      <w:r w:rsidR="00D62AE0">
        <w:rPr>
          <w:rFonts w:ascii="David" w:hAnsi="David" w:cs="David"/>
          <w:sz w:val="24"/>
          <w:szCs w:val="24"/>
          <w:rtl/>
        </w:rPr>
        <w:t>ָ</w:t>
      </w:r>
      <w:r w:rsidR="008720E6">
        <w:rPr>
          <w:rFonts w:ascii="David" w:hAnsi="David" w:cs="David" w:hint="cs"/>
          <w:sz w:val="24"/>
          <w:szCs w:val="24"/>
          <w:rtl/>
        </w:rPr>
        <w:t>א</w:t>
      </w:r>
      <w:r w:rsidR="00A94601">
        <w:rPr>
          <w:rFonts w:ascii="David" w:hAnsi="David" w:cs="David" w:hint="cs"/>
          <w:sz w:val="24"/>
          <w:szCs w:val="24"/>
          <w:rtl/>
        </w:rPr>
        <w:t xml:space="preserve">ים </w:t>
      </w:r>
      <w:r w:rsidR="00852B70">
        <w:rPr>
          <w:rFonts w:ascii="David" w:hAnsi="David" w:cs="David" w:hint="cs"/>
          <w:sz w:val="24"/>
          <w:szCs w:val="24"/>
          <w:rtl/>
        </w:rPr>
        <w:t xml:space="preserve">- </w:t>
      </w:r>
      <w:r w:rsidR="00A94601">
        <w:rPr>
          <w:rFonts w:ascii="David" w:hAnsi="David" w:cs="David" w:hint="cs"/>
          <w:sz w:val="24"/>
          <w:szCs w:val="24"/>
          <w:rtl/>
        </w:rPr>
        <w:t xml:space="preserve">כולם </w:t>
      </w:r>
      <w:r w:rsidR="00022E10">
        <w:rPr>
          <w:rFonts w:ascii="David" w:hAnsi="David" w:cs="David"/>
          <w:sz w:val="24"/>
          <w:szCs w:val="24"/>
          <w:rtl/>
        </w:rPr>
        <w:t>–</w:t>
      </w:r>
      <w:r w:rsidR="00852B70">
        <w:rPr>
          <w:rFonts w:ascii="David" w:hAnsi="David" w:cs="David" w:hint="cs"/>
          <w:sz w:val="24"/>
          <w:szCs w:val="24"/>
          <w:rtl/>
        </w:rPr>
        <w:t xml:space="preserve"> </w:t>
      </w:r>
      <w:r w:rsidR="00A94601">
        <w:rPr>
          <w:rFonts w:ascii="David" w:hAnsi="David" w:cs="David" w:hint="cs"/>
          <w:sz w:val="24"/>
          <w:szCs w:val="24"/>
          <w:rtl/>
        </w:rPr>
        <w:t xml:space="preserve">סבורים </w:t>
      </w:r>
      <w:r w:rsidR="00022E10">
        <w:rPr>
          <w:rFonts w:ascii="David" w:hAnsi="David" w:cs="David" w:hint="cs"/>
          <w:sz w:val="24"/>
          <w:szCs w:val="24"/>
          <w:rtl/>
        </w:rPr>
        <w:t>ש</w:t>
      </w:r>
      <w:r w:rsidR="00AF3F17">
        <w:rPr>
          <w:rFonts w:ascii="David" w:hAnsi="David" w:cs="David" w:hint="cs"/>
          <w:sz w:val="24"/>
          <w:szCs w:val="24"/>
          <w:rtl/>
        </w:rPr>
        <w:t>ה</w:t>
      </w:r>
      <w:r w:rsidR="00A94601">
        <w:rPr>
          <w:rFonts w:ascii="David" w:hAnsi="David" w:cs="David" w:hint="cs"/>
          <w:sz w:val="24"/>
          <w:szCs w:val="24"/>
          <w:rtl/>
        </w:rPr>
        <w:t>קטגורי</w:t>
      </w:r>
      <w:r w:rsidR="00AF3F17">
        <w:rPr>
          <w:rFonts w:ascii="David" w:hAnsi="David" w:cs="David" w:hint="cs"/>
          <w:sz w:val="24"/>
          <w:szCs w:val="24"/>
          <w:rtl/>
        </w:rPr>
        <w:t>ה המשפטית</w:t>
      </w:r>
      <w:r w:rsidR="00A94601">
        <w:rPr>
          <w:rFonts w:ascii="David" w:hAnsi="David" w:cs="David" w:hint="cs"/>
          <w:sz w:val="24"/>
          <w:szCs w:val="24"/>
          <w:rtl/>
        </w:rPr>
        <w:t xml:space="preserve"> 'מפני דרכי שלום'</w:t>
      </w:r>
      <w:r w:rsidR="001353DC">
        <w:rPr>
          <w:rFonts w:ascii="David" w:hAnsi="David" w:cs="David" w:hint="cs"/>
          <w:sz w:val="24"/>
          <w:szCs w:val="24"/>
          <w:rtl/>
        </w:rPr>
        <w:t xml:space="preserve">, כנראה בהתבססה על הנמקה </w:t>
      </w:r>
      <w:r w:rsidR="000E1F2E">
        <w:rPr>
          <w:rFonts w:ascii="David" w:hAnsi="David" w:cs="David" w:hint="cs"/>
          <w:sz w:val="24"/>
          <w:szCs w:val="24"/>
          <w:rtl/>
        </w:rPr>
        <w:t xml:space="preserve">(רציונל) </w:t>
      </w:r>
      <w:r w:rsidR="001353DC">
        <w:rPr>
          <w:rFonts w:ascii="David" w:hAnsi="David" w:cs="David" w:hint="cs"/>
          <w:sz w:val="24"/>
          <w:szCs w:val="24"/>
          <w:rtl/>
        </w:rPr>
        <w:t>חיצוני</w:t>
      </w:r>
      <w:r w:rsidR="001325C1">
        <w:rPr>
          <w:rFonts w:ascii="David" w:hAnsi="David" w:cs="David" w:hint="cs"/>
          <w:sz w:val="24"/>
          <w:szCs w:val="24"/>
          <w:rtl/>
        </w:rPr>
        <w:t>ת</w:t>
      </w:r>
      <w:r w:rsidR="001353DC">
        <w:rPr>
          <w:rFonts w:ascii="David" w:hAnsi="David" w:cs="David" w:hint="cs"/>
          <w:sz w:val="24"/>
          <w:szCs w:val="24"/>
          <w:rtl/>
        </w:rPr>
        <w:t xml:space="preserve"> ל</w:t>
      </w:r>
      <w:r w:rsidR="00663926">
        <w:rPr>
          <w:rFonts w:ascii="David" w:hAnsi="David" w:cs="David" w:hint="cs"/>
          <w:sz w:val="24"/>
          <w:szCs w:val="24"/>
          <w:rtl/>
        </w:rPr>
        <w:t>קטגוריה</w:t>
      </w:r>
      <w:r w:rsidR="001353DC">
        <w:rPr>
          <w:rFonts w:ascii="David" w:hAnsi="David" w:cs="David" w:hint="cs"/>
          <w:sz w:val="24"/>
          <w:szCs w:val="24"/>
          <w:rtl/>
        </w:rPr>
        <w:t xml:space="preserve"> המשפטי</w:t>
      </w:r>
      <w:r w:rsidR="00663926">
        <w:rPr>
          <w:rFonts w:ascii="David" w:hAnsi="David" w:cs="David" w:hint="cs"/>
          <w:sz w:val="24"/>
          <w:szCs w:val="24"/>
          <w:rtl/>
        </w:rPr>
        <w:t>ת</w:t>
      </w:r>
      <w:r w:rsidR="00954154">
        <w:rPr>
          <w:rFonts w:ascii="David" w:hAnsi="David" w:cs="David" w:hint="cs"/>
          <w:sz w:val="24"/>
          <w:szCs w:val="24"/>
          <w:rtl/>
        </w:rPr>
        <w:t xml:space="preserve"> </w:t>
      </w:r>
      <w:r w:rsidR="001353DC">
        <w:rPr>
          <w:rFonts w:ascii="David" w:hAnsi="David" w:cs="David" w:hint="cs"/>
          <w:sz w:val="24"/>
          <w:szCs w:val="24"/>
          <w:rtl/>
        </w:rPr>
        <w:t>של ההלכות שכלולות בה,</w:t>
      </w:r>
      <w:r w:rsidR="00A94601">
        <w:rPr>
          <w:rFonts w:ascii="David" w:hAnsi="David" w:cs="David" w:hint="cs"/>
          <w:sz w:val="24"/>
          <w:szCs w:val="24"/>
          <w:rtl/>
        </w:rPr>
        <w:t xml:space="preserve"> פחותה בכוחה הנורמטיבי </w:t>
      </w:r>
      <w:r w:rsidR="00663926">
        <w:rPr>
          <w:rFonts w:ascii="David" w:hAnsi="David" w:cs="David" w:hint="cs"/>
          <w:sz w:val="24"/>
          <w:szCs w:val="24"/>
          <w:rtl/>
        </w:rPr>
        <w:t>מכוחן של קטגוריות משפטיות</w:t>
      </w:r>
      <w:r w:rsidR="00CB0218">
        <w:rPr>
          <w:rFonts w:ascii="David" w:hAnsi="David" w:cs="David" w:hint="cs"/>
          <w:sz w:val="24"/>
          <w:szCs w:val="24"/>
          <w:rtl/>
        </w:rPr>
        <w:t>,</w:t>
      </w:r>
      <w:r w:rsidR="00663926">
        <w:rPr>
          <w:rFonts w:ascii="David" w:hAnsi="David" w:cs="David" w:hint="cs"/>
          <w:sz w:val="24"/>
          <w:szCs w:val="24"/>
          <w:rtl/>
        </w:rPr>
        <w:t xml:space="preserve"> </w:t>
      </w:r>
      <w:r w:rsidR="00663926" w:rsidRPr="00663926">
        <w:rPr>
          <w:rFonts w:ascii="David" w:hAnsi="David" w:cs="David"/>
          <w:sz w:val="24"/>
          <w:szCs w:val="24"/>
          <w:rtl/>
        </w:rPr>
        <w:t>שמבוססות על כללים ומבנים משפטיים שמקורם בתורה</w:t>
      </w:r>
      <w:r w:rsidR="003724CB">
        <w:rPr>
          <w:rFonts w:ascii="David" w:hAnsi="David" w:cs="David" w:hint="cs"/>
          <w:sz w:val="24"/>
          <w:szCs w:val="24"/>
          <w:rtl/>
        </w:rPr>
        <w:t>.</w:t>
      </w:r>
      <w:r w:rsidR="00663926">
        <w:rPr>
          <w:rFonts w:ascii="David" w:hAnsi="David" w:cs="David" w:hint="cs"/>
          <w:sz w:val="24"/>
          <w:szCs w:val="24"/>
          <w:rtl/>
        </w:rPr>
        <w:t xml:space="preserve"> </w:t>
      </w:r>
      <w:r w:rsidR="00852B70">
        <w:rPr>
          <w:rFonts w:ascii="David" w:hAnsi="David" w:cs="David" w:hint="cs"/>
          <w:sz w:val="24"/>
          <w:szCs w:val="24"/>
          <w:rtl/>
        </w:rPr>
        <w:t>ל</w:t>
      </w:r>
      <w:r w:rsidR="005E3AFB">
        <w:rPr>
          <w:rFonts w:ascii="David" w:hAnsi="David" w:cs="David" w:hint="cs"/>
          <w:sz w:val="24"/>
          <w:szCs w:val="24"/>
          <w:rtl/>
        </w:rPr>
        <w:t>כל ה</w:t>
      </w:r>
      <w:r w:rsidR="00852B70">
        <w:rPr>
          <w:rFonts w:ascii="David" w:hAnsi="David" w:cs="David" w:hint="cs"/>
          <w:sz w:val="24"/>
          <w:szCs w:val="24"/>
          <w:rtl/>
        </w:rPr>
        <w:t xml:space="preserve">פחות </w:t>
      </w:r>
      <w:r w:rsidR="00CB0218">
        <w:rPr>
          <w:rFonts w:ascii="David" w:hAnsi="David" w:cs="David" w:hint="cs"/>
          <w:sz w:val="24"/>
          <w:szCs w:val="24"/>
          <w:rtl/>
        </w:rPr>
        <w:t>בנוגע ל</w:t>
      </w:r>
      <w:r w:rsidR="00852B70">
        <w:rPr>
          <w:rFonts w:ascii="David" w:hAnsi="David" w:cs="David" w:hint="cs"/>
          <w:sz w:val="24"/>
          <w:szCs w:val="24"/>
          <w:rtl/>
        </w:rPr>
        <w:t>הטלת סנקציה משפטית</w:t>
      </w:r>
      <w:r>
        <w:rPr>
          <w:rFonts w:ascii="Times New Roman" w:hAnsi="Times New Roman" w:cs="Times New Roman" w:hint="cs"/>
          <w:sz w:val="24"/>
          <w:szCs w:val="24"/>
          <w:rtl/>
        </w:rPr>
        <w:t>.</w:t>
      </w:r>
    </w:p>
    <w:p w14:paraId="482FE2F7" w14:textId="77777777" w:rsidR="00274ACE" w:rsidRDefault="00274ACE" w:rsidP="00FF5FCA">
      <w:pPr>
        <w:pStyle w:val="a3"/>
        <w:spacing w:line="480" w:lineRule="auto"/>
        <w:ind w:firstLine="360"/>
        <w:contextualSpacing/>
        <w:rPr>
          <w:rFonts w:ascii="Times New Roman" w:hAnsi="Times New Roman" w:cs="Times New Roman"/>
          <w:sz w:val="24"/>
          <w:szCs w:val="24"/>
          <w:rtl/>
        </w:rPr>
      </w:pPr>
    </w:p>
    <w:p w14:paraId="7E974F45" w14:textId="5669D8B3" w:rsidR="00AE1C77" w:rsidRPr="00C95C66" w:rsidRDefault="004D747C" w:rsidP="004A287F">
      <w:pPr>
        <w:pStyle w:val="ab"/>
        <w:numPr>
          <w:ilvl w:val="0"/>
          <w:numId w:val="18"/>
        </w:numPr>
        <w:spacing w:line="480" w:lineRule="auto"/>
        <w:rPr>
          <w:rFonts w:ascii="David" w:hAnsi="David" w:cs="David"/>
          <w:b/>
          <w:bCs/>
          <w:sz w:val="24"/>
          <w:szCs w:val="24"/>
        </w:rPr>
      </w:pPr>
      <w:r w:rsidRPr="00C95C66">
        <w:rPr>
          <w:rFonts w:ascii="David" w:hAnsi="David" w:cs="David" w:hint="cs"/>
          <w:b/>
          <w:bCs/>
          <w:sz w:val="24"/>
          <w:szCs w:val="24"/>
          <w:rtl/>
        </w:rPr>
        <w:t xml:space="preserve">גישה חיובית כלפי תקנות </w:t>
      </w:r>
      <w:r w:rsidR="003A138A" w:rsidRPr="00C95C66">
        <w:rPr>
          <w:rFonts w:ascii="David" w:hAnsi="David" w:cs="David" w:hint="cs"/>
          <w:b/>
          <w:bCs/>
          <w:sz w:val="24"/>
          <w:szCs w:val="24"/>
          <w:rtl/>
        </w:rPr>
        <w:t>"</w:t>
      </w:r>
      <w:r w:rsidR="00AE1C77" w:rsidRPr="00C95C66">
        <w:rPr>
          <w:rFonts w:ascii="David" w:hAnsi="David" w:cs="David"/>
          <w:b/>
          <w:bCs/>
          <w:sz w:val="24"/>
          <w:szCs w:val="24"/>
          <w:rtl/>
        </w:rPr>
        <w:t>מפני דרכי השלום</w:t>
      </w:r>
      <w:r w:rsidR="003A138A" w:rsidRPr="00C95C66">
        <w:rPr>
          <w:rFonts w:ascii="David" w:hAnsi="David" w:cs="David" w:hint="cs"/>
          <w:b/>
          <w:bCs/>
          <w:sz w:val="24"/>
          <w:szCs w:val="24"/>
          <w:rtl/>
        </w:rPr>
        <w:t>"</w:t>
      </w:r>
      <w:r w:rsidR="00AE1C77" w:rsidRPr="00C95C66">
        <w:rPr>
          <w:rFonts w:ascii="David" w:hAnsi="David" w:cs="David"/>
          <w:b/>
          <w:bCs/>
          <w:sz w:val="24"/>
          <w:szCs w:val="24"/>
          <w:rtl/>
        </w:rPr>
        <w:t xml:space="preserve"> </w:t>
      </w:r>
    </w:p>
    <w:p w14:paraId="70560819" w14:textId="75A0DF30" w:rsidR="00EE6866" w:rsidRDefault="00A70455" w:rsidP="00B77F88">
      <w:pPr>
        <w:spacing w:line="480" w:lineRule="auto"/>
        <w:rPr>
          <w:rFonts w:ascii="David" w:hAnsi="David" w:cs="David"/>
          <w:color w:val="222222"/>
          <w:sz w:val="24"/>
          <w:szCs w:val="24"/>
          <w:shd w:val="clear" w:color="auto" w:fill="FFFFFF"/>
          <w:rtl/>
        </w:rPr>
      </w:pPr>
      <w:r>
        <w:rPr>
          <w:rFonts w:ascii="David" w:hAnsi="David" w:cs="David" w:hint="cs"/>
          <w:sz w:val="24"/>
          <w:szCs w:val="24"/>
          <w:rtl/>
        </w:rPr>
        <w:t xml:space="preserve">גישה </w:t>
      </w:r>
      <w:r w:rsidR="000D21E7">
        <w:rPr>
          <w:rFonts w:ascii="David" w:hAnsi="David" w:cs="David" w:hint="cs"/>
          <w:sz w:val="24"/>
          <w:szCs w:val="24"/>
          <w:rtl/>
        </w:rPr>
        <w:t xml:space="preserve">שלישית </w:t>
      </w:r>
      <w:r w:rsidR="00FB014A">
        <w:rPr>
          <w:rFonts w:ascii="David" w:hAnsi="David" w:cs="David" w:hint="cs"/>
          <w:sz w:val="24"/>
          <w:szCs w:val="24"/>
          <w:rtl/>
        </w:rPr>
        <w:t xml:space="preserve">כלפי הלכות 'מפני דרכי שלום' </w:t>
      </w:r>
      <w:r w:rsidR="00D2166D">
        <w:rPr>
          <w:rFonts w:ascii="David" w:hAnsi="David" w:cs="David" w:hint="cs"/>
          <w:sz w:val="24"/>
          <w:szCs w:val="24"/>
          <w:rtl/>
        </w:rPr>
        <w:t>מתגבשת</w:t>
      </w:r>
      <w:r w:rsidR="00B34E6B">
        <w:rPr>
          <w:rFonts w:ascii="David" w:hAnsi="David" w:cs="David" w:hint="cs"/>
          <w:sz w:val="24"/>
          <w:szCs w:val="24"/>
          <w:rtl/>
        </w:rPr>
        <w:t>,</w:t>
      </w:r>
      <w:r w:rsidR="00D2166D">
        <w:rPr>
          <w:rFonts w:ascii="David" w:hAnsi="David" w:cs="David" w:hint="cs"/>
          <w:sz w:val="24"/>
          <w:szCs w:val="24"/>
          <w:rtl/>
        </w:rPr>
        <w:t xml:space="preserve"> כך נראה</w:t>
      </w:r>
      <w:r w:rsidR="00B34E6B">
        <w:rPr>
          <w:rFonts w:ascii="David" w:hAnsi="David" w:cs="David" w:hint="cs"/>
          <w:sz w:val="24"/>
          <w:szCs w:val="24"/>
          <w:rtl/>
        </w:rPr>
        <w:t>,</w:t>
      </w:r>
      <w:r w:rsidR="00D2166D">
        <w:rPr>
          <w:rFonts w:ascii="David" w:hAnsi="David" w:cs="David" w:hint="cs"/>
          <w:sz w:val="24"/>
          <w:szCs w:val="24"/>
          <w:rtl/>
        </w:rPr>
        <w:t xml:space="preserve"> </w:t>
      </w:r>
      <w:r w:rsidR="00554147">
        <w:rPr>
          <w:rFonts w:ascii="David" w:hAnsi="David" w:cs="David" w:hint="cs"/>
          <w:sz w:val="24"/>
          <w:szCs w:val="24"/>
          <w:rtl/>
        </w:rPr>
        <w:t xml:space="preserve">לקראת סוף תקופת המשנה. </w:t>
      </w:r>
      <w:r w:rsidR="00573385">
        <w:rPr>
          <w:rFonts w:ascii="David" w:hAnsi="David" w:cs="David" w:hint="cs"/>
          <w:sz w:val="24"/>
          <w:szCs w:val="24"/>
          <w:rtl/>
        </w:rPr>
        <w:t xml:space="preserve">מן הבחינה הערכית </w:t>
      </w:r>
      <w:r w:rsidR="00D2166D">
        <w:rPr>
          <w:rFonts w:ascii="David" w:hAnsi="David" w:cs="David" w:hint="cs"/>
          <w:sz w:val="24"/>
          <w:szCs w:val="24"/>
          <w:rtl/>
        </w:rPr>
        <w:t xml:space="preserve">גישה זו </w:t>
      </w:r>
      <w:r w:rsidR="00525EED">
        <w:rPr>
          <w:rFonts w:ascii="David" w:hAnsi="David" w:cs="David" w:hint="cs"/>
          <w:sz w:val="24"/>
          <w:szCs w:val="24"/>
          <w:rtl/>
        </w:rPr>
        <w:t>רואה ב</w:t>
      </w:r>
      <w:r w:rsidR="00BD67F2">
        <w:rPr>
          <w:rFonts w:ascii="David" w:hAnsi="David" w:cs="David" w:hint="cs"/>
          <w:sz w:val="24"/>
          <w:szCs w:val="24"/>
          <w:rtl/>
        </w:rPr>
        <w:t>הלכות</w:t>
      </w:r>
      <w:r w:rsidR="0060516F">
        <w:rPr>
          <w:rFonts w:ascii="David" w:hAnsi="David" w:cs="David" w:hint="cs"/>
          <w:sz w:val="24"/>
          <w:szCs w:val="24"/>
          <w:rtl/>
        </w:rPr>
        <w:t xml:space="preserve"> </w:t>
      </w:r>
      <w:r w:rsidR="00FB014A">
        <w:rPr>
          <w:rFonts w:ascii="David" w:hAnsi="David" w:cs="David" w:hint="cs"/>
          <w:sz w:val="24"/>
          <w:szCs w:val="24"/>
          <w:rtl/>
        </w:rPr>
        <w:t xml:space="preserve">אלו </w:t>
      </w:r>
      <w:r w:rsidR="008A3455">
        <w:rPr>
          <w:rFonts w:ascii="David" w:hAnsi="David" w:cs="David" w:hint="cs"/>
          <w:sz w:val="24"/>
          <w:szCs w:val="24"/>
          <w:rtl/>
        </w:rPr>
        <w:t>כעול</w:t>
      </w:r>
      <w:r w:rsidR="00BD67F2">
        <w:rPr>
          <w:rFonts w:ascii="David" w:hAnsi="David" w:cs="David" w:hint="cs"/>
          <w:sz w:val="24"/>
          <w:szCs w:val="24"/>
          <w:rtl/>
        </w:rPr>
        <w:t>ות</w:t>
      </w:r>
      <w:r w:rsidR="008A3455">
        <w:rPr>
          <w:rFonts w:ascii="David" w:hAnsi="David" w:cs="David" w:hint="cs"/>
          <w:sz w:val="24"/>
          <w:szCs w:val="24"/>
          <w:rtl/>
        </w:rPr>
        <w:t xml:space="preserve"> בקנה אחד עם </w:t>
      </w:r>
      <w:r w:rsidR="0060516F">
        <w:rPr>
          <w:rFonts w:ascii="David" w:hAnsi="David" w:cs="David" w:hint="cs"/>
          <w:sz w:val="24"/>
          <w:szCs w:val="24"/>
          <w:rtl/>
        </w:rPr>
        <w:t>ה'ראוי ההלכתי'</w:t>
      </w:r>
      <w:r w:rsidR="00BD67F2">
        <w:rPr>
          <w:rFonts w:ascii="David" w:hAnsi="David" w:cs="David" w:hint="cs"/>
          <w:sz w:val="24"/>
          <w:szCs w:val="24"/>
          <w:rtl/>
        </w:rPr>
        <w:t xml:space="preserve"> של החכמים</w:t>
      </w:r>
      <w:r w:rsidR="0060516F">
        <w:rPr>
          <w:rFonts w:ascii="David" w:hAnsi="David" w:cs="David" w:hint="cs"/>
          <w:sz w:val="24"/>
          <w:szCs w:val="24"/>
          <w:rtl/>
        </w:rPr>
        <w:t xml:space="preserve">. מסקנה זו מתבססת על </w:t>
      </w:r>
      <w:r w:rsidR="000D21E7">
        <w:rPr>
          <w:rFonts w:ascii="David" w:hAnsi="David" w:cs="David" w:hint="cs"/>
          <w:sz w:val="24"/>
          <w:szCs w:val="24"/>
          <w:rtl/>
        </w:rPr>
        <w:t xml:space="preserve">שני </w:t>
      </w:r>
      <w:r w:rsidR="0060516F">
        <w:rPr>
          <w:rFonts w:ascii="David" w:hAnsi="David" w:cs="David" w:hint="cs"/>
          <w:sz w:val="24"/>
          <w:szCs w:val="24"/>
          <w:rtl/>
        </w:rPr>
        <w:t>היבטים</w:t>
      </w:r>
      <w:r w:rsidR="000D21E7">
        <w:rPr>
          <w:rFonts w:ascii="David" w:hAnsi="David" w:cs="David" w:hint="cs"/>
          <w:sz w:val="24"/>
          <w:szCs w:val="24"/>
          <w:rtl/>
        </w:rPr>
        <w:t>.</w:t>
      </w:r>
      <w:r w:rsidR="0060516F">
        <w:rPr>
          <w:rFonts w:ascii="David" w:hAnsi="David" w:cs="David" w:hint="cs"/>
          <w:sz w:val="24"/>
          <w:szCs w:val="24"/>
          <w:rtl/>
        </w:rPr>
        <w:t xml:space="preserve"> </w:t>
      </w:r>
      <w:r w:rsidR="000D3DED">
        <w:rPr>
          <w:rFonts w:ascii="David" w:hAnsi="David" w:cs="David" w:hint="cs"/>
          <w:sz w:val="24"/>
          <w:szCs w:val="24"/>
          <w:rtl/>
        </w:rPr>
        <w:t xml:space="preserve">ראשית, </w:t>
      </w:r>
      <w:r w:rsidR="000D44BA">
        <w:rPr>
          <w:rFonts w:ascii="David" w:hAnsi="David" w:cs="David" w:hint="cs"/>
          <w:sz w:val="24"/>
          <w:szCs w:val="24"/>
          <w:rtl/>
        </w:rPr>
        <w:t>על</w:t>
      </w:r>
      <w:r w:rsidR="0060516F">
        <w:rPr>
          <w:rFonts w:ascii="David" w:hAnsi="David" w:cs="David" w:hint="cs"/>
          <w:sz w:val="24"/>
          <w:szCs w:val="24"/>
          <w:rtl/>
        </w:rPr>
        <w:t xml:space="preserve"> החלטתו של עורך המשנה ליצור </w:t>
      </w:r>
      <w:r w:rsidR="000D44BA">
        <w:rPr>
          <w:rFonts w:ascii="David" w:hAnsi="David" w:cs="David" w:hint="cs"/>
          <w:sz w:val="24"/>
          <w:szCs w:val="24"/>
          <w:rtl/>
        </w:rPr>
        <w:t xml:space="preserve">קובץ שלם </w:t>
      </w:r>
      <w:r w:rsidR="0060516F">
        <w:rPr>
          <w:rFonts w:ascii="David" w:hAnsi="David" w:cs="David" w:hint="cs"/>
          <w:sz w:val="24"/>
          <w:szCs w:val="24"/>
          <w:rtl/>
        </w:rPr>
        <w:t xml:space="preserve">של </w:t>
      </w:r>
      <w:r w:rsidR="008A49FB">
        <w:rPr>
          <w:rFonts w:ascii="David" w:hAnsi="David" w:cs="David" w:hint="cs"/>
          <w:sz w:val="24"/>
          <w:szCs w:val="24"/>
          <w:rtl/>
        </w:rPr>
        <w:t xml:space="preserve">הלכות </w:t>
      </w:r>
      <w:r w:rsidR="0060516F">
        <w:rPr>
          <w:rFonts w:ascii="David" w:hAnsi="David" w:cs="David" w:hint="cs"/>
          <w:sz w:val="24"/>
          <w:szCs w:val="24"/>
          <w:rtl/>
        </w:rPr>
        <w:t>שמנומקות 'מפני דרכי השלום' (גיטין ה, ח-ט</w:t>
      </w:r>
      <w:r w:rsidR="004E26B9">
        <w:rPr>
          <w:rFonts w:ascii="David" w:hAnsi="David" w:cs="David" w:hint="cs"/>
          <w:sz w:val="24"/>
          <w:szCs w:val="24"/>
          <w:rtl/>
        </w:rPr>
        <w:t>)</w:t>
      </w:r>
      <w:r w:rsidR="008A49FB">
        <w:rPr>
          <w:rFonts w:ascii="David" w:hAnsi="David" w:cs="David" w:hint="cs"/>
          <w:sz w:val="24"/>
          <w:szCs w:val="24"/>
          <w:rtl/>
        </w:rPr>
        <w:t>,</w:t>
      </w:r>
      <w:r w:rsidR="004E26B9">
        <w:rPr>
          <w:rFonts w:ascii="David" w:hAnsi="David" w:cs="David" w:hint="cs"/>
          <w:sz w:val="24"/>
          <w:szCs w:val="24"/>
          <w:rtl/>
        </w:rPr>
        <w:t xml:space="preserve"> </w:t>
      </w:r>
      <w:r w:rsidR="0060516F">
        <w:rPr>
          <w:rFonts w:ascii="David" w:hAnsi="David" w:cs="David" w:hint="cs"/>
          <w:sz w:val="24"/>
          <w:szCs w:val="24"/>
          <w:rtl/>
        </w:rPr>
        <w:t>ולהעמיד</w:t>
      </w:r>
      <w:r w:rsidR="001A16C9">
        <w:rPr>
          <w:rFonts w:ascii="David" w:hAnsi="David" w:cs="David" w:hint="cs"/>
          <w:sz w:val="24"/>
          <w:szCs w:val="24"/>
          <w:rtl/>
        </w:rPr>
        <w:t>ו</w:t>
      </w:r>
      <w:r w:rsidR="0060516F">
        <w:rPr>
          <w:rFonts w:ascii="David" w:hAnsi="David" w:cs="David" w:hint="cs"/>
          <w:sz w:val="24"/>
          <w:szCs w:val="24"/>
          <w:rtl/>
        </w:rPr>
        <w:t xml:space="preserve"> כהשלמה לחטיבת ה</w:t>
      </w:r>
      <w:r w:rsidR="00D74449">
        <w:rPr>
          <w:rFonts w:ascii="David" w:hAnsi="David" w:cs="David" w:hint="cs"/>
          <w:sz w:val="24"/>
          <w:szCs w:val="24"/>
          <w:rtl/>
        </w:rPr>
        <w:t>הלכ</w:t>
      </w:r>
      <w:r w:rsidR="0060516F">
        <w:rPr>
          <w:rFonts w:ascii="David" w:hAnsi="David" w:cs="David" w:hint="cs"/>
          <w:sz w:val="24"/>
          <w:szCs w:val="24"/>
          <w:rtl/>
        </w:rPr>
        <w:t>ות שמנומקות 'מפני תיקון עולם' (גיטין ד-ה)</w:t>
      </w:r>
      <w:r w:rsidR="003F199D">
        <w:rPr>
          <w:rFonts w:ascii="David" w:hAnsi="David" w:cs="David" w:hint="cs"/>
          <w:sz w:val="24"/>
          <w:szCs w:val="24"/>
          <w:rtl/>
        </w:rPr>
        <w:t>.</w:t>
      </w:r>
      <w:r w:rsidR="00EF7936">
        <w:rPr>
          <w:rStyle w:val="a5"/>
          <w:rFonts w:ascii="David" w:hAnsi="David"/>
          <w:sz w:val="24"/>
          <w:szCs w:val="24"/>
          <w:rtl/>
        </w:rPr>
        <w:footnoteReference w:id="48"/>
      </w:r>
      <w:r w:rsidR="00EF7936">
        <w:rPr>
          <w:rFonts w:ascii="David" w:hAnsi="David"/>
          <w:sz w:val="24"/>
          <w:szCs w:val="24"/>
          <w:rtl/>
        </w:rPr>
        <w:t xml:space="preserve"> </w:t>
      </w:r>
      <w:r w:rsidR="003F199D">
        <w:rPr>
          <w:rFonts w:ascii="David" w:hAnsi="David" w:cs="David" w:hint="cs"/>
          <w:sz w:val="24"/>
          <w:szCs w:val="24"/>
          <w:rtl/>
        </w:rPr>
        <w:t>כאמור לעיל, לק</w:t>
      </w:r>
      <w:r w:rsidR="00D74449">
        <w:rPr>
          <w:rFonts w:ascii="David" w:hAnsi="David" w:cs="David" w:hint="cs"/>
          <w:sz w:val="24"/>
          <w:szCs w:val="24"/>
          <w:rtl/>
        </w:rPr>
        <w:t>בצים</w:t>
      </w:r>
      <w:r w:rsidR="0024740D">
        <w:rPr>
          <w:rFonts w:ascii="David" w:hAnsi="David" w:cs="David" w:hint="cs"/>
          <w:sz w:val="24"/>
          <w:szCs w:val="24"/>
          <w:rtl/>
        </w:rPr>
        <w:t xml:space="preserve"> אלו</w:t>
      </w:r>
      <w:r w:rsidR="003F199D">
        <w:rPr>
          <w:rFonts w:ascii="David" w:hAnsi="David" w:cs="David" w:hint="cs"/>
          <w:sz w:val="24"/>
          <w:szCs w:val="24"/>
          <w:rtl/>
        </w:rPr>
        <w:t xml:space="preserve"> אני מתכוונת להקדיש דיון </w:t>
      </w:r>
      <w:r w:rsidR="003F199D">
        <w:rPr>
          <w:rFonts w:ascii="David" w:hAnsi="David" w:cs="David" w:hint="cs"/>
          <w:sz w:val="24"/>
          <w:szCs w:val="24"/>
          <w:rtl/>
        </w:rPr>
        <w:lastRenderedPageBreak/>
        <w:t xml:space="preserve">במקום אחר, ועל כן </w:t>
      </w:r>
      <w:r w:rsidR="00EE54A7">
        <w:rPr>
          <w:rFonts w:ascii="David" w:hAnsi="David" w:cs="David" w:hint="cs"/>
          <w:sz w:val="24"/>
          <w:szCs w:val="24"/>
          <w:rtl/>
        </w:rPr>
        <w:t>לא אתייחס לכך כאן</w:t>
      </w:r>
      <w:r w:rsidR="0060516F">
        <w:rPr>
          <w:rFonts w:ascii="David" w:hAnsi="David" w:cs="David" w:hint="cs"/>
          <w:sz w:val="24"/>
          <w:szCs w:val="24"/>
          <w:rtl/>
        </w:rPr>
        <w:t>;</w:t>
      </w:r>
      <w:r w:rsidR="00B563FB">
        <w:rPr>
          <w:rStyle w:val="a5"/>
          <w:rFonts w:ascii="David" w:hAnsi="David" w:cs="David"/>
          <w:sz w:val="24"/>
          <w:szCs w:val="24"/>
          <w:rtl/>
        </w:rPr>
        <w:footnoteReference w:id="49"/>
      </w:r>
      <w:r w:rsidR="0060516F">
        <w:rPr>
          <w:rFonts w:ascii="David" w:hAnsi="David" w:cs="David" w:hint="cs"/>
          <w:sz w:val="24"/>
          <w:szCs w:val="24"/>
          <w:rtl/>
        </w:rPr>
        <w:t xml:space="preserve"> </w:t>
      </w:r>
      <w:r w:rsidR="000D21E7">
        <w:rPr>
          <w:rFonts w:ascii="David" w:hAnsi="David" w:cs="David" w:hint="cs"/>
          <w:sz w:val="24"/>
          <w:szCs w:val="24"/>
          <w:rtl/>
        </w:rPr>
        <w:t>שנית,</w:t>
      </w:r>
      <w:r w:rsidR="00934CDA">
        <w:rPr>
          <w:rFonts w:ascii="David" w:hAnsi="David" w:cs="David" w:hint="cs"/>
          <w:sz w:val="24"/>
          <w:szCs w:val="24"/>
          <w:rtl/>
        </w:rPr>
        <w:t xml:space="preserve"> </w:t>
      </w:r>
      <w:r w:rsidR="001A16C9">
        <w:rPr>
          <w:rFonts w:ascii="David" w:hAnsi="David" w:cs="David" w:hint="cs"/>
          <w:sz w:val="24"/>
          <w:szCs w:val="24"/>
          <w:rtl/>
        </w:rPr>
        <w:t xml:space="preserve">על </w:t>
      </w:r>
      <w:r w:rsidR="006E1744">
        <w:rPr>
          <w:rFonts w:ascii="David" w:hAnsi="David" w:cs="David" w:hint="cs"/>
          <w:sz w:val="24"/>
          <w:szCs w:val="24"/>
          <w:rtl/>
        </w:rPr>
        <w:t xml:space="preserve">קיומה של </w:t>
      </w:r>
      <w:r w:rsidR="00F56F5A">
        <w:rPr>
          <w:rFonts w:ascii="David" w:hAnsi="David" w:cs="David" w:hint="cs"/>
          <w:sz w:val="24"/>
          <w:szCs w:val="24"/>
          <w:rtl/>
        </w:rPr>
        <w:t>שיטה</w:t>
      </w:r>
      <w:r w:rsidR="00D15213">
        <w:rPr>
          <w:rFonts w:ascii="David" w:hAnsi="David" w:cs="David" w:hint="cs"/>
          <w:sz w:val="24"/>
          <w:szCs w:val="24"/>
          <w:rtl/>
        </w:rPr>
        <w:t>,</w:t>
      </w:r>
      <w:r w:rsidR="00F56F5A">
        <w:rPr>
          <w:rFonts w:ascii="David" w:hAnsi="David" w:cs="David" w:hint="cs"/>
          <w:sz w:val="24"/>
          <w:szCs w:val="24"/>
          <w:rtl/>
        </w:rPr>
        <w:t xml:space="preserve"> </w:t>
      </w:r>
      <w:r w:rsidR="00FA430F">
        <w:rPr>
          <w:rFonts w:ascii="David" w:hAnsi="David" w:cs="David" w:hint="cs"/>
          <w:sz w:val="24"/>
          <w:szCs w:val="24"/>
          <w:rtl/>
        </w:rPr>
        <w:t>ש</w:t>
      </w:r>
      <w:r w:rsidR="00F56F5A">
        <w:rPr>
          <w:rFonts w:ascii="David" w:hAnsi="David" w:cs="David" w:hint="cs"/>
          <w:sz w:val="24"/>
          <w:szCs w:val="24"/>
          <w:rtl/>
        </w:rPr>
        <w:t>רואה ב</w:t>
      </w:r>
      <w:r w:rsidR="0060516F">
        <w:rPr>
          <w:rFonts w:ascii="David" w:hAnsi="David" w:cs="David" w:hint="cs"/>
          <w:sz w:val="24"/>
          <w:szCs w:val="24"/>
          <w:rtl/>
        </w:rPr>
        <w:t xml:space="preserve">'דרכי שלום' עיקרון </w:t>
      </w:r>
      <w:r w:rsidR="00934CDA">
        <w:rPr>
          <w:rFonts w:ascii="David" w:hAnsi="David" w:cs="David" w:hint="cs"/>
          <w:sz w:val="24"/>
          <w:szCs w:val="24"/>
          <w:rtl/>
        </w:rPr>
        <w:t>מטה-</w:t>
      </w:r>
      <w:r w:rsidR="0060516F">
        <w:rPr>
          <w:rFonts w:ascii="David" w:hAnsi="David" w:cs="David" w:hint="cs"/>
          <w:sz w:val="24"/>
          <w:szCs w:val="24"/>
          <w:rtl/>
        </w:rPr>
        <w:t xml:space="preserve">הלכתי שמבטא את </w:t>
      </w:r>
      <w:r w:rsidR="00660049">
        <w:rPr>
          <w:rFonts w:ascii="David" w:hAnsi="David" w:cs="David" w:hint="cs"/>
          <w:sz w:val="24"/>
          <w:szCs w:val="24"/>
          <w:rtl/>
        </w:rPr>
        <w:t>תכלית</w:t>
      </w:r>
      <w:r w:rsidR="008C3317">
        <w:rPr>
          <w:rFonts w:ascii="David" w:hAnsi="David" w:cs="David" w:hint="cs"/>
          <w:sz w:val="24"/>
          <w:szCs w:val="24"/>
          <w:rtl/>
        </w:rPr>
        <w:t>ה</w:t>
      </w:r>
      <w:r w:rsidR="00660049">
        <w:rPr>
          <w:rFonts w:ascii="David" w:hAnsi="David" w:cs="David" w:hint="cs"/>
          <w:sz w:val="24"/>
          <w:szCs w:val="24"/>
          <w:rtl/>
        </w:rPr>
        <w:t xml:space="preserve"> </w:t>
      </w:r>
      <w:r w:rsidR="0060516F">
        <w:rPr>
          <w:rFonts w:ascii="David" w:hAnsi="David" w:cs="David" w:hint="cs"/>
          <w:sz w:val="24"/>
          <w:szCs w:val="24"/>
          <w:rtl/>
        </w:rPr>
        <w:t>ואת תפיסת עולמה של התורה כולה.</w:t>
      </w:r>
      <w:r w:rsidR="00FA430F">
        <w:rPr>
          <w:rFonts w:ascii="David" w:hAnsi="David" w:cs="David" w:hint="cs"/>
          <w:sz w:val="24"/>
          <w:szCs w:val="24"/>
          <w:rtl/>
        </w:rPr>
        <w:t xml:space="preserve"> </w:t>
      </w:r>
      <w:r w:rsidR="00B77F88" w:rsidRPr="00B77F88">
        <w:rPr>
          <w:rFonts w:ascii="David" w:eastAsia="Calibri" w:hAnsi="David" w:cs="David" w:hint="cs"/>
          <w:sz w:val="24"/>
          <w:szCs w:val="24"/>
          <w:shd w:val="clear" w:color="auto" w:fill="FFFFFF"/>
          <w:rtl/>
        </w:rPr>
        <w:t>ביטוי קיצוני זה ניתן לראות</w:t>
      </w:r>
      <w:r w:rsidR="00B77F88">
        <w:rPr>
          <w:rFonts w:ascii="David" w:eastAsia="Calibri" w:hAnsi="David" w:cs="David" w:hint="cs"/>
          <w:b/>
          <w:bCs/>
          <w:sz w:val="24"/>
          <w:szCs w:val="24"/>
          <w:shd w:val="clear" w:color="auto" w:fill="FFFFFF"/>
          <w:rtl/>
        </w:rPr>
        <w:t xml:space="preserve"> </w:t>
      </w:r>
      <w:r w:rsidR="000A2A4B">
        <w:rPr>
          <w:rFonts w:ascii="David" w:eastAsia="Calibri" w:hAnsi="David" w:cs="David" w:hint="cs"/>
          <w:sz w:val="24"/>
          <w:szCs w:val="24"/>
          <w:shd w:val="clear" w:color="auto" w:fill="FFFFFF"/>
          <w:rtl/>
        </w:rPr>
        <w:t>בהנמקה שנותן ר' ש</w:t>
      </w:r>
      <w:r w:rsidR="00EE6866">
        <w:rPr>
          <w:rFonts w:ascii="David" w:eastAsia="Calibri" w:hAnsi="David" w:cs="David" w:hint="cs"/>
          <w:sz w:val="24"/>
          <w:szCs w:val="24"/>
          <w:shd w:val="clear" w:color="auto" w:fill="FFFFFF"/>
          <w:rtl/>
        </w:rPr>
        <w:t xml:space="preserve">מעון </w:t>
      </w:r>
      <w:r w:rsidR="000A2A4B">
        <w:rPr>
          <w:rFonts w:ascii="David" w:eastAsia="Calibri" w:hAnsi="David" w:cs="David" w:hint="cs"/>
          <w:sz w:val="24"/>
          <w:szCs w:val="24"/>
          <w:shd w:val="clear" w:color="auto" w:fill="FFFFFF"/>
          <w:rtl/>
        </w:rPr>
        <w:t>לדרשתו</w:t>
      </w:r>
      <w:r w:rsidR="00EE6866">
        <w:rPr>
          <w:rFonts w:ascii="David" w:eastAsia="Calibri" w:hAnsi="David" w:cs="David" w:hint="cs"/>
          <w:sz w:val="24"/>
          <w:szCs w:val="24"/>
          <w:shd w:val="clear" w:color="auto" w:fill="FFFFFF"/>
          <w:rtl/>
        </w:rPr>
        <w:t xml:space="preserve">, שמובאת בקטע </w:t>
      </w:r>
      <w:r w:rsidR="00D925A2">
        <w:rPr>
          <w:rFonts w:ascii="David" w:eastAsia="Calibri" w:hAnsi="David" w:cs="David" w:hint="cs"/>
          <w:sz w:val="24"/>
          <w:szCs w:val="24"/>
          <w:shd w:val="clear" w:color="auto" w:fill="FFFFFF"/>
          <w:rtl/>
        </w:rPr>
        <w:t xml:space="preserve">של </w:t>
      </w:r>
      <w:r w:rsidR="00EE6866">
        <w:rPr>
          <w:rFonts w:ascii="David" w:eastAsia="Calibri" w:hAnsi="David" w:cs="David" w:hint="cs"/>
          <w:sz w:val="24"/>
          <w:szCs w:val="24"/>
          <w:shd w:val="clear" w:color="auto" w:fill="FFFFFF"/>
          <w:rtl/>
        </w:rPr>
        <w:t>המכילתא דרבי שמעון בר יוחאי</w:t>
      </w:r>
      <w:r w:rsidR="00262C62">
        <w:rPr>
          <w:rFonts w:ascii="David" w:eastAsia="Calibri" w:hAnsi="David" w:cs="David" w:hint="cs"/>
          <w:sz w:val="24"/>
          <w:szCs w:val="24"/>
          <w:shd w:val="clear" w:color="auto" w:fill="FFFFFF"/>
          <w:rtl/>
        </w:rPr>
        <w:t>,</w:t>
      </w:r>
      <w:r w:rsidR="00EE6866">
        <w:rPr>
          <w:rFonts w:ascii="David" w:eastAsia="Calibri" w:hAnsi="David" w:cs="David" w:hint="cs"/>
          <w:sz w:val="24"/>
          <w:szCs w:val="24"/>
          <w:shd w:val="clear" w:color="auto" w:fill="FFFFFF"/>
          <w:rtl/>
        </w:rPr>
        <w:t xml:space="preserve"> שנמצא</w:t>
      </w:r>
      <w:r w:rsidR="00D925A2">
        <w:rPr>
          <w:rFonts w:ascii="David" w:eastAsia="Calibri" w:hAnsi="David" w:cs="David" w:hint="cs"/>
          <w:sz w:val="24"/>
          <w:szCs w:val="24"/>
          <w:shd w:val="clear" w:color="auto" w:fill="FFFFFF"/>
          <w:rtl/>
        </w:rPr>
        <w:t xml:space="preserve"> </w:t>
      </w:r>
      <w:r w:rsidR="00EE6866">
        <w:rPr>
          <w:rFonts w:ascii="David" w:eastAsia="Calibri" w:hAnsi="David" w:cs="David" w:hint="cs"/>
          <w:sz w:val="24"/>
          <w:szCs w:val="24"/>
          <w:shd w:val="clear" w:color="auto" w:fill="FFFFFF"/>
          <w:rtl/>
        </w:rPr>
        <w:t>בגניזה הקהירית</w:t>
      </w:r>
      <w:r w:rsidR="00B433BD">
        <w:rPr>
          <w:rFonts w:ascii="David" w:eastAsia="Calibri" w:hAnsi="David" w:cs="David" w:hint="cs"/>
          <w:sz w:val="24"/>
          <w:szCs w:val="24"/>
          <w:shd w:val="clear" w:color="auto" w:fill="FFFFFF"/>
          <w:rtl/>
        </w:rPr>
        <w:t>.</w:t>
      </w:r>
      <w:r w:rsidR="00EE6866">
        <w:rPr>
          <w:rStyle w:val="a5"/>
          <w:rFonts w:ascii="David" w:eastAsia="Calibri" w:hAnsi="David" w:cs="David"/>
          <w:sz w:val="24"/>
          <w:szCs w:val="24"/>
          <w:shd w:val="clear" w:color="auto" w:fill="FFFFFF"/>
          <w:rtl/>
        </w:rPr>
        <w:footnoteReference w:id="50"/>
      </w:r>
      <w:r w:rsidR="00EE6866">
        <w:rPr>
          <w:rFonts w:ascii="David" w:eastAsia="Calibri" w:hAnsi="David" w:cs="David" w:hint="cs"/>
          <w:sz w:val="24"/>
          <w:szCs w:val="24"/>
          <w:shd w:val="clear" w:color="auto" w:fill="FFFFFF"/>
          <w:rtl/>
        </w:rPr>
        <w:t xml:space="preserve"> </w:t>
      </w:r>
      <w:r w:rsidR="00B433BD">
        <w:rPr>
          <w:rFonts w:ascii="David" w:eastAsia="Calibri" w:hAnsi="David" w:cs="David" w:hint="cs"/>
          <w:sz w:val="24"/>
          <w:szCs w:val="24"/>
          <w:shd w:val="clear" w:color="auto" w:fill="FFFFFF"/>
          <w:rtl/>
        </w:rPr>
        <w:t xml:space="preserve"> ר</w:t>
      </w:r>
      <w:r w:rsidR="00283266">
        <w:rPr>
          <w:rFonts w:ascii="David" w:eastAsia="Calibri" w:hAnsi="David" w:cs="David" w:hint="cs"/>
          <w:sz w:val="24"/>
          <w:szCs w:val="24"/>
          <w:shd w:val="clear" w:color="auto" w:fill="FFFFFF"/>
          <w:rtl/>
        </w:rPr>
        <w:t xml:space="preserve">' שמעון </w:t>
      </w:r>
      <w:r w:rsidR="00120F14">
        <w:rPr>
          <w:rFonts w:ascii="David" w:eastAsia="Calibri" w:hAnsi="David" w:cs="David" w:hint="cs"/>
          <w:sz w:val="24"/>
          <w:szCs w:val="24"/>
          <w:shd w:val="clear" w:color="auto" w:fill="FFFFFF"/>
          <w:rtl/>
        </w:rPr>
        <w:t xml:space="preserve">וחכמים נוספים </w:t>
      </w:r>
      <w:r w:rsidR="00B433BD">
        <w:rPr>
          <w:rFonts w:ascii="David" w:eastAsia="Calibri" w:hAnsi="David" w:cs="David" w:hint="cs"/>
          <w:sz w:val="24"/>
          <w:szCs w:val="24"/>
          <w:shd w:val="clear" w:color="auto" w:fill="FFFFFF"/>
          <w:rtl/>
        </w:rPr>
        <w:t>דורש</w:t>
      </w:r>
      <w:r w:rsidR="00120F14">
        <w:rPr>
          <w:rFonts w:ascii="David" w:eastAsia="Calibri" w:hAnsi="David" w:cs="David" w:hint="cs"/>
          <w:sz w:val="24"/>
          <w:szCs w:val="24"/>
          <w:shd w:val="clear" w:color="auto" w:fill="FFFFFF"/>
          <w:rtl/>
        </w:rPr>
        <w:t>ים</w:t>
      </w:r>
      <w:r w:rsidR="00B433BD">
        <w:rPr>
          <w:rFonts w:ascii="David" w:eastAsia="Calibri" w:hAnsi="David" w:cs="David" w:hint="cs"/>
          <w:sz w:val="24"/>
          <w:szCs w:val="24"/>
          <w:shd w:val="clear" w:color="auto" w:fill="FFFFFF"/>
          <w:rtl/>
        </w:rPr>
        <w:t xml:space="preserve"> את </w:t>
      </w:r>
      <w:r w:rsidR="00D06FC9">
        <w:rPr>
          <w:rFonts w:ascii="David" w:eastAsia="Calibri" w:hAnsi="David" w:cs="David" w:hint="cs"/>
          <w:sz w:val="24"/>
          <w:szCs w:val="24"/>
          <w:shd w:val="clear" w:color="auto" w:fill="FFFFFF"/>
          <w:rtl/>
        </w:rPr>
        <w:t>ה</w:t>
      </w:r>
      <w:r w:rsidR="00866D3B">
        <w:rPr>
          <w:rFonts w:ascii="David" w:eastAsia="Calibri" w:hAnsi="David" w:cs="David" w:hint="cs"/>
          <w:sz w:val="24"/>
          <w:szCs w:val="24"/>
          <w:shd w:val="clear" w:color="auto" w:fill="FFFFFF"/>
          <w:rtl/>
        </w:rPr>
        <w:t>מילים</w:t>
      </w:r>
      <w:r w:rsidR="00D06FC9">
        <w:rPr>
          <w:rFonts w:ascii="David" w:eastAsia="Calibri" w:hAnsi="David" w:cs="David" w:hint="cs"/>
          <w:sz w:val="24"/>
          <w:szCs w:val="24"/>
          <w:shd w:val="clear" w:color="auto" w:fill="FFFFFF"/>
          <w:rtl/>
        </w:rPr>
        <w:t xml:space="preserve"> </w:t>
      </w:r>
      <w:r w:rsidR="00BA7CD0" w:rsidRPr="00D20E0D">
        <w:rPr>
          <w:rFonts w:ascii="David" w:eastAsia="Calibri" w:hAnsi="David" w:cs="David"/>
          <w:sz w:val="24"/>
          <w:szCs w:val="24"/>
          <w:shd w:val="clear" w:color="auto" w:fill="FFFFFF"/>
        </w:rPr>
        <w:t>‘his neighbor’</w:t>
      </w:r>
      <w:r w:rsidR="00D06FC9">
        <w:rPr>
          <w:rFonts w:ascii="David" w:eastAsia="Calibri" w:hAnsi="David" w:cs="David" w:hint="cs"/>
          <w:sz w:val="24"/>
          <w:szCs w:val="24"/>
          <w:shd w:val="clear" w:color="auto" w:fill="FFFFFF"/>
          <w:rtl/>
        </w:rPr>
        <w:t xml:space="preserve"> ב</w:t>
      </w:r>
      <w:r w:rsidR="00B433BD">
        <w:rPr>
          <w:rFonts w:ascii="David" w:eastAsia="Calibri" w:hAnsi="David" w:cs="David" w:hint="cs"/>
          <w:sz w:val="24"/>
          <w:szCs w:val="24"/>
          <w:shd w:val="clear" w:color="auto" w:fill="FFFFFF"/>
          <w:rtl/>
        </w:rPr>
        <w:t xml:space="preserve">ספר שמות, </w:t>
      </w:r>
      <w:proofErr w:type="spellStart"/>
      <w:r w:rsidR="00F423F6">
        <w:rPr>
          <w:rFonts w:ascii="David" w:eastAsia="Calibri" w:hAnsi="David" w:cs="David" w:hint="cs"/>
          <w:sz w:val="24"/>
          <w:szCs w:val="24"/>
          <w:shd w:val="clear" w:color="auto" w:fill="FFFFFF"/>
          <w:rtl/>
        </w:rPr>
        <w:t>יב</w:t>
      </w:r>
      <w:proofErr w:type="spellEnd"/>
      <w:r w:rsidR="00E545E5">
        <w:rPr>
          <w:rFonts w:ascii="David" w:eastAsia="Calibri" w:hAnsi="David" w:cs="David" w:hint="cs"/>
          <w:sz w:val="24"/>
          <w:szCs w:val="24"/>
          <w:shd w:val="clear" w:color="auto" w:fill="FFFFFF"/>
          <w:rtl/>
        </w:rPr>
        <w:t>, 4</w:t>
      </w:r>
      <w:r w:rsidR="00E545E5">
        <w:rPr>
          <w:rFonts w:asciiTheme="majorBidi" w:eastAsia="Calibri" w:hAnsiTheme="majorBidi" w:cstheme="majorBidi" w:hint="cs"/>
          <w:sz w:val="24"/>
          <w:szCs w:val="24"/>
          <w:shd w:val="clear" w:color="auto" w:fill="FFFFFF"/>
          <w:rtl/>
        </w:rPr>
        <w:t>:</w:t>
      </w:r>
      <w:r w:rsidR="00FB2305" w:rsidRPr="00FB2305">
        <w:rPr>
          <w:rFonts w:asciiTheme="majorBidi" w:eastAsia="Calibri" w:hAnsiTheme="majorBidi" w:cstheme="majorBidi"/>
          <w:sz w:val="24"/>
          <w:szCs w:val="24"/>
          <w:shd w:val="clear" w:color="auto" w:fill="FFFFFF"/>
        </w:rPr>
        <w:t xml:space="preserve">“But if the household is too small for a lamb, let him share one with </w:t>
      </w:r>
      <w:bookmarkStart w:id="2" w:name="_Hlk14431742"/>
      <w:r w:rsidR="00FB2305" w:rsidRPr="00FB2305">
        <w:rPr>
          <w:rFonts w:asciiTheme="majorBidi" w:eastAsia="Calibri" w:hAnsiTheme="majorBidi" w:cstheme="majorBidi"/>
          <w:sz w:val="24"/>
          <w:szCs w:val="24"/>
          <w:shd w:val="clear" w:color="auto" w:fill="FFFFFF"/>
        </w:rPr>
        <w:t>a</w:t>
      </w:r>
      <w:r w:rsidR="001B25B6">
        <w:rPr>
          <w:rStyle w:val="a5"/>
          <w:rFonts w:asciiTheme="majorBidi" w:eastAsia="Calibri" w:hAnsiTheme="majorBidi" w:cstheme="majorBidi"/>
          <w:sz w:val="24"/>
          <w:szCs w:val="24"/>
          <w:shd w:val="clear" w:color="auto" w:fill="FFFFFF"/>
        </w:rPr>
        <w:footnoteReference w:id="51"/>
      </w:r>
      <w:r w:rsidR="00FB2305" w:rsidRPr="00FB2305">
        <w:rPr>
          <w:rFonts w:asciiTheme="majorBidi" w:eastAsia="Calibri" w:hAnsiTheme="majorBidi" w:cstheme="majorBidi"/>
          <w:sz w:val="24"/>
          <w:szCs w:val="24"/>
          <w:shd w:val="clear" w:color="auto" w:fill="FFFFFF"/>
        </w:rPr>
        <w:t xml:space="preserve"> neighbor who dwells nearby</w:t>
      </w:r>
      <w:bookmarkEnd w:id="2"/>
      <w:r w:rsidR="00FB2305" w:rsidRPr="00FB2305">
        <w:rPr>
          <w:rFonts w:asciiTheme="majorBidi" w:eastAsia="Calibri" w:hAnsiTheme="majorBidi" w:cstheme="majorBidi"/>
          <w:sz w:val="24"/>
          <w:szCs w:val="24"/>
          <w:shd w:val="clear" w:color="auto" w:fill="FFFFFF"/>
        </w:rPr>
        <w:t>…”</w:t>
      </w:r>
      <w:r w:rsidR="00A53CB8">
        <w:rPr>
          <w:rFonts w:asciiTheme="majorBidi" w:eastAsia="Calibri" w:hAnsiTheme="majorBidi" w:cstheme="majorBidi"/>
          <w:sz w:val="24"/>
          <w:szCs w:val="24"/>
          <w:shd w:val="clear" w:color="auto" w:fill="FFFFFF"/>
        </w:rPr>
        <w:t>:</w:t>
      </w:r>
      <w:r w:rsidR="00A53CB8">
        <w:rPr>
          <w:rFonts w:ascii="David" w:eastAsia="Calibri" w:hAnsi="David" w:cs="David" w:hint="cs"/>
          <w:sz w:val="24"/>
          <w:szCs w:val="24"/>
          <w:shd w:val="clear" w:color="auto" w:fill="FFFFFF"/>
          <w:rtl/>
        </w:rPr>
        <w:t xml:space="preserve"> </w:t>
      </w:r>
    </w:p>
    <w:p w14:paraId="54DE17D0" w14:textId="77777777" w:rsidR="009938D7" w:rsidRDefault="002E1341" w:rsidP="00570638">
      <w:pPr>
        <w:bidi w:val="0"/>
        <w:spacing w:line="480" w:lineRule="auto"/>
        <w:ind w:left="720"/>
        <w:rPr>
          <w:rFonts w:ascii="Times New Roman" w:eastAsia="Calibri" w:hAnsi="Times New Roman" w:cs="Times New Roman"/>
          <w:sz w:val="24"/>
          <w:szCs w:val="24"/>
          <w:shd w:val="clear" w:color="auto" w:fill="FFFFFF"/>
        </w:rPr>
      </w:pPr>
      <w:r w:rsidRPr="002561F6">
        <w:rPr>
          <w:rFonts w:ascii="Times New Roman" w:eastAsia="Calibri" w:hAnsi="Times New Roman" w:cs="Times New Roman"/>
          <w:sz w:val="24"/>
          <w:szCs w:val="24"/>
          <w:shd w:val="clear" w:color="auto" w:fill="FFFFFF"/>
        </w:rPr>
        <w:t xml:space="preserve">“and his </w:t>
      </w:r>
      <w:proofErr w:type="gramStart"/>
      <w:r w:rsidRPr="002561F6">
        <w:rPr>
          <w:rFonts w:ascii="Times New Roman" w:eastAsia="Calibri" w:hAnsi="Times New Roman" w:cs="Times New Roman"/>
          <w:sz w:val="24"/>
          <w:szCs w:val="24"/>
          <w:shd w:val="clear" w:color="auto" w:fill="FFFFFF"/>
        </w:rPr>
        <w:t>neigh</w:t>
      </w:r>
      <w:r w:rsidR="00A96FA6">
        <w:rPr>
          <w:rFonts w:ascii="Times New Roman" w:eastAsia="Calibri" w:hAnsi="Times New Roman" w:cs="Times New Roman"/>
          <w:sz w:val="24"/>
          <w:szCs w:val="24"/>
          <w:shd w:val="clear" w:color="auto" w:fill="FFFFFF"/>
        </w:rPr>
        <w:t>[</w:t>
      </w:r>
      <w:proofErr w:type="spellStart"/>
      <w:proofErr w:type="gramEnd"/>
      <w:r w:rsidRPr="002561F6">
        <w:rPr>
          <w:rFonts w:ascii="Times New Roman" w:eastAsia="Calibri" w:hAnsi="Times New Roman" w:cs="Times New Roman"/>
          <w:sz w:val="24"/>
          <w:szCs w:val="24"/>
          <w:shd w:val="clear" w:color="auto" w:fill="FFFFFF"/>
        </w:rPr>
        <w:t>bor</w:t>
      </w:r>
      <w:proofErr w:type="spellEnd"/>
      <w:r w:rsidRPr="002561F6">
        <w:rPr>
          <w:rFonts w:ascii="Times New Roman" w:eastAsia="Calibri" w:hAnsi="Times New Roman" w:cs="Times New Roman"/>
          <w:sz w:val="24"/>
          <w:szCs w:val="24"/>
          <w:shd w:val="clear" w:color="auto" w:fill="FFFFFF"/>
        </w:rPr>
        <w:t xml:space="preserve">” </w:t>
      </w:r>
      <w:r w:rsidR="00440C35" w:rsidRPr="002561F6">
        <w:rPr>
          <w:rFonts w:ascii="Times New Roman" w:eastAsia="Calibri" w:hAnsi="Times New Roman" w:cs="Times New Roman"/>
          <w:sz w:val="24"/>
          <w:szCs w:val="24"/>
          <w:shd w:val="clear" w:color="auto" w:fill="FFFFFF"/>
        </w:rPr>
        <w:t xml:space="preserve">Ben Bag </w:t>
      </w:r>
      <w:proofErr w:type="spellStart"/>
      <w:r w:rsidR="00440C35" w:rsidRPr="002561F6">
        <w:rPr>
          <w:rFonts w:ascii="Times New Roman" w:eastAsia="Calibri" w:hAnsi="Times New Roman" w:cs="Times New Roman"/>
          <w:sz w:val="24"/>
          <w:szCs w:val="24"/>
          <w:shd w:val="clear" w:color="auto" w:fill="FFFFFF"/>
        </w:rPr>
        <w:t>Bag</w:t>
      </w:r>
      <w:proofErr w:type="spellEnd"/>
      <w:r w:rsidR="00440C35" w:rsidRPr="002561F6">
        <w:rPr>
          <w:rFonts w:ascii="Times New Roman" w:eastAsia="Calibri" w:hAnsi="Times New Roman" w:cs="Times New Roman"/>
          <w:sz w:val="24"/>
          <w:szCs w:val="24"/>
          <w:shd w:val="clear" w:color="auto" w:fill="FFFFFF"/>
        </w:rPr>
        <w:t xml:space="preserve"> says, “I might assume </w:t>
      </w:r>
      <w:r w:rsidR="00313D19">
        <w:rPr>
          <w:rFonts w:ascii="Times New Roman" w:eastAsia="Calibri" w:hAnsi="Times New Roman" w:cs="Times New Roman"/>
          <w:sz w:val="24"/>
          <w:szCs w:val="24"/>
          <w:shd w:val="clear" w:color="auto" w:fill="FFFFFF"/>
        </w:rPr>
        <w:t>(</w:t>
      </w:r>
      <w:r w:rsidR="00440C35" w:rsidRPr="002561F6">
        <w:rPr>
          <w:rFonts w:ascii="Times New Roman" w:eastAsia="Calibri" w:hAnsi="Times New Roman" w:cs="Times New Roman"/>
          <w:sz w:val="24"/>
          <w:szCs w:val="24"/>
          <w:shd w:val="clear" w:color="auto" w:fill="FFFFFF"/>
        </w:rPr>
        <w:t xml:space="preserve">this includes) his neighbor] in a filed. His neighbor at </w:t>
      </w:r>
      <w:proofErr w:type="spellStart"/>
      <w:proofErr w:type="gramStart"/>
      <w:r w:rsidR="00440C35" w:rsidRPr="002561F6">
        <w:rPr>
          <w:rFonts w:ascii="Times New Roman" w:eastAsia="Calibri" w:hAnsi="Times New Roman" w:cs="Times New Roman"/>
          <w:sz w:val="24"/>
          <w:szCs w:val="24"/>
          <w:shd w:val="clear" w:color="auto" w:fill="FFFFFF"/>
        </w:rPr>
        <w:t>ro</w:t>
      </w:r>
      <w:proofErr w:type="spellEnd"/>
      <w:r w:rsidR="00313D19">
        <w:rPr>
          <w:rFonts w:ascii="Times New Roman" w:eastAsia="Calibri" w:hAnsi="Times New Roman" w:cs="Times New Roman"/>
          <w:sz w:val="24"/>
          <w:szCs w:val="24"/>
          <w:shd w:val="clear" w:color="auto" w:fill="FFFFFF"/>
        </w:rPr>
        <w:t>[</w:t>
      </w:r>
      <w:proofErr w:type="gramEnd"/>
      <w:r w:rsidR="00440C35" w:rsidRPr="002561F6">
        <w:rPr>
          <w:rFonts w:ascii="Times New Roman" w:eastAsia="Calibri" w:hAnsi="Times New Roman" w:cs="Times New Roman"/>
          <w:sz w:val="24"/>
          <w:szCs w:val="24"/>
          <w:shd w:val="clear" w:color="auto" w:fill="FFFFFF"/>
        </w:rPr>
        <w:t xml:space="preserve">of </w:t>
      </w:r>
      <w:r w:rsidR="00B8305D" w:rsidRPr="002561F6">
        <w:rPr>
          <w:rFonts w:ascii="Times New Roman" w:eastAsia="Calibri" w:hAnsi="Times New Roman" w:cs="Times New Roman"/>
          <w:sz w:val="24"/>
          <w:szCs w:val="24"/>
          <w:shd w:val="clear" w:color="auto" w:fill="FFFFFF"/>
        </w:rPr>
        <w:t xml:space="preserve">(he who dwells near his house, close </w:t>
      </w:r>
      <w:r w:rsidR="00B8305D" w:rsidRPr="002561F6">
        <w:rPr>
          <w:rFonts w:ascii="Times New Roman" w:eastAsia="Calibri" w:hAnsi="Times New Roman" w:cs="Times New Roman"/>
          <w:sz w:val="24"/>
          <w:szCs w:val="24"/>
          <w:shd w:val="clear" w:color="auto" w:fill="FFFFFF"/>
        </w:rPr>
        <w:lastRenderedPageBreak/>
        <w:t>to</w:t>
      </w:r>
      <w:r w:rsidR="00DF183B" w:rsidRPr="002561F6">
        <w:rPr>
          <w:rFonts w:ascii="Times New Roman" w:eastAsia="Calibri" w:hAnsi="Times New Roman" w:cs="Times New Roman"/>
          <w:sz w:val="24"/>
          <w:szCs w:val="24"/>
          <w:shd w:val="clear" w:color="auto" w:fill="FFFFFF"/>
        </w:rPr>
        <w:t xml:space="preserve"> </w:t>
      </w:r>
      <w:r w:rsidR="00313D19">
        <w:rPr>
          <w:rFonts w:ascii="Times New Roman" w:eastAsia="Calibri" w:hAnsi="Times New Roman" w:cs="Times New Roman"/>
          <w:sz w:val="24"/>
          <w:szCs w:val="24"/>
          <w:shd w:val="clear" w:color="auto" w:fill="FFFFFF"/>
        </w:rPr>
        <w:t>{</w:t>
      </w:r>
      <w:r w:rsidR="00DF183B" w:rsidRPr="002561F6">
        <w:rPr>
          <w:rFonts w:ascii="Times New Roman" w:eastAsia="Calibri" w:hAnsi="Times New Roman" w:cs="Times New Roman"/>
          <w:sz w:val="24"/>
          <w:szCs w:val="24"/>
          <w:shd w:val="clear" w:color="auto" w:fill="FFFFFF"/>
        </w:rPr>
        <w:t>his</w:t>
      </w:r>
      <w:r w:rsidR="00313D19">
        <w:rPr>
          <w:rFonts w:ascii="Times New Roman" w:eastAsia="Calibri" w:hAnsi="Times New Roman" w:cs="Times New Roman"/>
          <w:sz w:val="24"/>
          <w:szCs w:val="24"/>
          <w:shd w:val="clear" w:color="auto" w:fill="FFFFFF"/>
        </w:rPr>
        <w:t>}</w:t>
      </w:r>
      <w:r w:rsidR="00DF183B" w:rsidRPr="002561F6">
        <w:rPr>
          <w:rFonts w:ascii="Times New Roman" w:eastAsia="Calibri" w:hAnsi="Times New Roman" w:cs="Times New Roman"/>
          <w:sz w:val="24"/>
          <w:szCs w:val="24"/>
          <w:shd w:val="clear" w:color="auto" w:fill="FFFFFF"/>
        </w:rPr>
        <w:t xml:space="preserve"> door) </w:t>
      </w:r>
      <w:r w:rsidR="009940BE">
        <w:rPr>
          <w:rFonts w:ascii="Times New Roman" w:eastAsia="Calibri" w:hAnsi="Times New Roman" w:cs="Times New Roman"/>
          <w:sz w:val="24"/>
          <w:szCs w:val="24"/>
          <w:shd w:val="clear" w:color="auto" w:fill="FFFFFF"/>
        </w:rPr>
        <w:t>–</w:t>
      </w:r>
      <w:r w:rsidR="00DF183B" w:rsidRPr="002561F6">
        <w:rPr>
          <w:rFonts w:ascii="Times New Roman" w:eastAsia="Calibri" w:hAnsi="Times New Roman" w:cs="Times New Roman"/>
          <w:sz w:val="24"/>
          <w:szCs w:val="24"/>
          <w:shd w:val="clear" w:color="auto" w:fill="FFFFFF"/>
        </w:rPr>
        <w:t xml:space="preserve"> </w:t>
      </w:r>
      <w:r w:rsidR="00440C35" w:rsidRPr="002561F6">
        <w:rPr>
          <w:rFonts w:ascii="Times New Roman" w:eastAsia="Calibri" w:hAnsi="Times New Roman" w:cs="Times New Roman"/>
          <w:sz w:val="24"/>
          <w:szCs w:val="24"/>
          <w:shd w:val="clear" w:color="auto" w:fill="FFFFFF"/>
        </w:rPr>
        <w:t>from where (in the biblical text</w:t>
      </w:r>
      <w:r w:rsidR="00DF183B" w:rsidRPr="002561F6">
        <w:rPr>
          <w:rFonts w:ascii="Times New Roman" w:eastAsia="Calibri" w:hAnsi="Times New Roman" w:cs="Times New Roman"/>
          <w:sz w:val="24"/>
          <w:szCs w:val="24"/>
          <w:shd w:val="clear" w:color="auto" w:fill="FFFFFF"/>
        </w:rPr>
        <w:t xml:space="preserve"> we learned this</w:t>
      </w:r>
      <w:r w:rsidR="00440C35" w:rsidRPr="002561F6">
        <w:rPr>
          <w:rFonts w:ascii="Times New Roman" w:eastAsia="Calibri" w:hAnsi="Times New Roman" w:cs="Times New Roman"/>
          <w:sz w:val="24"/>
          <w:szCs w:val="24"/>
          <w:shd w:val="clear" w:color="auto" w:fill="FFFFFF"/>
        </w:rPr>
        <w:t>)?</w:t>
      </w:r>
      <w:r w:rsidR="00932BB2" w:rsidRPr="002561F6">
        <w:rPr>
          <w:rFonts w:ascii="Times New Roman" w:eastAsia="Calibri" w:hAnsi="Times New Roman" w:cs="Times New Roman"/>
          <w:sz w:val="24"/>
          <w:szCs w:val="24"/>
          <w:shd w:val="clear" w:color="auto" w:fill="FFFFFF"/>
        </w:rPr>
        <w:t xml:space="preserve"> Scripture states ‘next’ (Exod. 12:4), </w:t>
      </w:r>
      <w:r w:rsidR="00313D19">
        <w:rPr>
          <w:rFonts w:ascii="Times New Roman" w:eastAsia="Calibri" w:hAnsi="Times New Roman" w:cs="Times New Roman"/>
          <w:sz w:val="24"/>
          <w:szCs w:val="24"/>
          <w:shd w:val="clear" w:color="auto" w:fill="FFFFFF"/>
        </w:rPr>
        <w:t>(</w:t>
      </w:r>
      <w:r w:rsidR="00932BB2" w:rsidRPr="002561F6">
        <w:rPr>
          <w:rFonts w:ascii="Times New Roman" w:eastAsia="Calibri" w:hAnsi="Times New Roman" w:cs="Times New Roman"/>
          <w:sz w:val="24"/>
          <w:szCs w:val="24"/>
          <w:shd w:val="clear" w:color="auto" w:fill="FFFFFF"/>
        </w:rPr>
        <w:t>meaning the one</w:t>
      </w:r>
      <w:r w:rsidR="00313D19">
        <w:rPr>
          <w:rFonts w:ascii="Times New Roman" w:eastAsia="Calibri" w:hAnsi="Times New Roman" w:cs="Times New Roman"/>
          <w:sz w:val="24"/>
          <w:szCs w:val="24"/>
          <w:shd w:val="clear" w:color="auto" w:fill="FFFFFF"/>
        </w:rPr>
        <w:t>)</w:t>
      </w:r>
      <w:r w:rsidR="00932BB2" w:rsidRPr="002561F6">
        <w:rPr>
          <w:rFonts w:ascii="Times New Roman" w:eastAsia="Calibri" w:hAnsi="Times New Roman" w:cs="Times New Roman"/>
          <w:sz w:val="24"/>
          <w:szCs w:val="24"/>
          <w:shd w:val="clear" w:color="auto" w:fill="FFFFFF"/>
        </w:rPr>
        <w:t xml:space="preserve"> dwells next</w:t>
      </w:r>
      <w:r w:rsidR="00313D19">
        <w:rPr>
          <w:rFonts w:ascii="Times New Roman" w:eastAsia="Calibri" w:hAnsi="Times New Roman" w:cs="Times New Roman"/>
          <w:sz w:val="24"/>
          <w:szCs w:val="24"/>
          <w:shd w:val="clear" w:color="auto" w:fill="FFFFFF"/>
        </w:rPr>
        <w:t>]</w:t>
      </w:r>
      <w:r w:rsidR="00932BB2" w:rsidRPr="002561F6">
        <w:rPr>
          <w:rFonts w:ascii="Times New Roman" w:eastAsia="Calibri" w:hAnsi="Times New Roman" w:cs="Times New Roman"/>
          <w:sz w:val="24"/>
          <w:szCs w:val="24"/>
          <w:shd w:val="clear" w:color="auto" w:fill="FFFFFF"/>
        </w:rPr>
        <w:t xml:space="preserve"> to his house door to door.</w:t>
      </w:r>
    </w:p>
    <w:p w14:paraId="1DEA8F13" w14:textId="77777777" w:rsidR="00EE0DBF" w:rsidRPr="002561F6" w:rsidRDefault="00932BB2" w:rsidP="009938D7">
      <w:pPr>
        <w:bidi w:val="0"/>
        <w:spacing w:line="480" w:lineRule="auto"/>
        <w:ind w:left="720"/>
        <w:rPr>
          <w:rFonts w:ascii="Times New Roman" w:eastAsia="Calibri" w:hAnsi="Times New Roman" w:cs="Times New Roman"/>
          <w:sz w:val="24"/>
          <w:szCs w:val="24"/>
          <w:shd w:val="clear" w:color="auto" w:fill="FFFFFF"/>
        </w:rPr>
      </w:pPr>
      <w:r w:rsidRPr="002561F6">
        <w:rPr>
          <w:rFonts w:ascii="Times New Roman" w:eastAsia="Calibri" w:hAnsi="Times New Roman" w:cs="Times New Roman"/>
          <w:sz w:val="24"/>
          <w:szCs w:val="24"/>
          <w:shd w:val="clear" w:color="auto" w:fill="FFFFFF"/>
        </w:rPr>
        <w:t xml:space="preserve"> [Rabbi says three</w:t>
      </w:r>
      <w:r w:rsidR="00440C35" w:rsidRPr="002561F6">
        <w:rPr>
          <w:rFonts w:ascii="Times New Roman" w:eastAsia="Calibri" w:hAnsi="Times New Roman" w:cs="Times New Roman"/>
          <w:sz w:val="24"/>
          <w:szCs w:val="24"/>
          <w:shd w:val="clear" w:color="auto" w:fill="FFFFFF"/>
        </w:rPr>
        <w:t xml:space="preserve"> </w:t>
      </w:r>
      <w:r w:rsidRPr="002561F6">
        <w:rPr>
          <w:rFonts w:ascii="Times New Roman" w:eastAsia="Calibri" w:hAnsi="Times New Roman" w:cs="Times New Roman"/>
          <w:sz w:val="24"/>
          <w:szCs w:val="24"/>
          <w:shd w:val="clear" w:color="auto" w:fill="FFFFFF"/>
        </w:rPr>
        <w:t>types of neighbors] are me</w:t>
      </w:r>
      <w:r w:rsidR="0096727E">
        <w:rPr>
          <w:rFonts w:ascii="Times New Roman" w:eastAsia="Calibri" w:hAnsi="Times New Roman" w:cs="Times New Roman"/>
          <w:sz w:val="24"/>
          <w:szCs w:val="24"/>
          <w:shd w:val="clear" w:color="auto" w:fill="FFFFFF"/>
        </w:rPr>
        <w:t>nt</w:t>
      </w:r>
      <w:r w:rsidRPr="002561F6">
        <w:rPr>
          <w:rFonts w:ascii="Times New Roman" w:eastAsia="Calibri" w:hAnsi="Times New Roman" w:cs="Times New Roman"/>
          <w:sz w:val="24"/>
          <w:szCs w:val="24"/>
          <w:shd w:val="clear" w:color="auto" w:fill="FFFFFF"/>
        </w:rPr>
        <w:t>ioned (here in Scripture): Ꜥhis neighbor’ – this (re</w:t>
      </w:r>
      <w:r w:rsidR="00EE0DBF" w:rsidRPr="002561F6">
        <w:rPr>
          <w:rFonts w:ascii="Times New Roman" w:eastAsia="Calibri" w:hAnsi="Times New Roman" w:cs="Times New Roman"/>
          <w:sz w:val="24"/>
          <w:szCs w:val="24"/>
          <w:shd w:val="clear" w:color="auto" w:fill="FFFFFF"/>
        </w:rPr>
        <w:t>fers to) his neig</w:t>
      </w:r>
      <w:r w:rsidR="00211263">
        <w:rPr>
          <w:rFonts w:ascii="Times New Roman" w:eastAsia="Calibri" w:hAnsi="Times New Roman" w:cs="Times New Roman"/>
          <w:sz w:val="24"/>
          <w:szCs w:val="24"/>
          <w:shd w:val="clear" w:color="auto" w:fill="FFFFFF"/>
        </w:rPr>
        <w:t>h</w:t>
      </w:r>
      <w:r w:rsidR="00EE0DBF" w:rsidRPr="002561F6">
        <w:rPr>
          <w:rFonts w:ascii="Times New Roman" w:eastAsia="Calibri" w:hAnsi="Times New Roman" w:cs="Times New Roman"/>
          <w:sz w:val="24"/>
          <w:szCs w:val="24"/>
          <w:shd w:val="clear" w:color="auto" w:fill="FFFFFF"/>
        </w:rPr>
        <w:t>bor in the fields; ‘his neighbor’ – this (also refers to) his neighbor at</w:t>
      </w:r>
      <w:r w:rsidR="00313D19">
        <w:rPr>
          <w:rFonts w:ascii="Times New Roman" w:eastAsia="Calibri" w:hAnsi="Times New Roman" w:cs="Times New Roman"/>
          <w:sz w:val="24"/>
          <w:szCs w:val="24"/>
          <w:shd w:val="clear" w:color="auto" w:fill="FFFFFF"/>
        </w:rPr>
        <w:t xml:space="preserve"> </w:t>
      </w:r>
      <w:r w:rsidR="004E7128">
        <w:rPr>
          <w:rFonts w:ascii="Times New Roman" w:eastAsia="Calibri" w:hAnsi="Times New Roman" w:cs="Times New Roman"/>
          <w:sz w:val="24"/>
          <w:szCs w:val="24"/>
          <w:shd w:val="clear" w:color="auto" w:fill="FFFFFF"/>
        </w:rPr>
        <w:t>[</w:t>
      </w:r>
      <w:r w:rsidR="00313D19">
        <w:rPr>
          <w:rFonts w:ascii="Times New Roman" w:eastAsia="Calibri" w:hAnsi="Times New Roman" w:cs="Times New Roman"/>
          <w:sz w:val="24"/>
          <w:szCs w:val="24"/>
          <w:shd w:val="clear" w:color="auto" w:fill="FFFFFF"/>
        </w:rPr>
        <w:t>roof</w:t>
      </w:r>
      <w:r w:rsidR="00EE0DBF" w:rsidRPr="002561F6">
        <w:rPr>
          <w:rFonts w:ascii="Times New Roman" w:eastAsia="Calibri" w:hAnsi="Times New Roman" w:cs="Times New Roman"/>
          <w:sz w:val="24"/>
          <w:szCs w:val="24"/>
          <w:shd w:val="clear" w:color="auto" w:fill="FFFFFF"/>
        </w:rPr>
        <w:t>; Ꜥwho dwells near’</w:t>
      </w:r>
      <w:r w:rsidR="004E7128">
        <w:rPr>
          <w:rFonts w:ascii="Times New Roman" w:eastAsia="Calibri" w:hAnsi="Times New Roman" w:cs="Times New Roman"/>
          <w:sz w:val="24"/>
          <w:szCs w:val="24"/>
          <w:shd w:val="clear" w:color="auto" w:fill="FFFFFF"/>
        </w:rPr>
        <w:t>]</w:t>
      </w:r>
      <w:r w:rsidR="00EE0DBF" w:rsidRPr="002561F6">
        <w:rPr>
          <w:rFonts w:ascii="Times New Roman" w:eastAsia="Calibri" w:hAnsi="Times New Roman" w:cs="Times New Roman"/>
          <w:sz w:val="24"/>
          <w:szCs w:val="24"/>
          <w:shd w:val="clear" w:color="auto" w:fill="FFFFFF"/>
        </w:rPr>
        <w:t xml:space="preserve"> – this (refers to) he who dwells near his house, </w:t>
      </w:r>
      <w:bookmarkStart w:id="3" w:name="_Hlk15302273"/>
      <w:r w:rsidR="00EE0DBF" w:rsidRPr="002561F6">
        <w:rPr>
          <w:rFonts w:ascii="Times New Roman" w:eastAsia="Calibri" w:hAnsi="Times New Roman" w:cs="Times New Roman"/>
          <w:sz w:val="24"/>
          <w:szCs w:val="24"/>
          <w:shd w:val="clear" w:color="auto" w:fill="FFFFFF"/>
        </w:rPr>
        <w:t>close to (his) door.</w:t>
      </w:r>
      <w:bookmarkEnd w:id="3"/>
    </w:p>
    <w:p w14:paraId="66313F68" w14:textId="77777777" w:rsidR="00F423F6" w:rsidRPr="002561F6" w:rsidRDefault="00EE0DBF" w:rsidP="00570638">
      <w:pPr>
        <w:bidi w:val="0"/>
        <w:spacing w:line="480" w:lineRule="auto"/>
        <w:ind w:left="720"/>
        <w:rPr>
          <w:rFonts w:ascii="Times New Roman" w:eastAsia="Calibri" w:hAnsi="Times New Roman" w:cs="Times New Roman"/>
          <w:sz w:val="24"/>
          <w:szCs w:val="24"/>
          <w:shd w:val="clear" w:color="auto" w:fill="FFFFFF"/>
        </w:rPr>
      </w:pPr>
      <w:r w:rsidRPr="002561F6">
        <w:rPr>
          <w:rFonts w:ascii="Times New Roman" w:eastAsia="Calibri" w:hAnsi="Times New Roman" w:cs="Times New Roman"/>
          <w:sz w:val="24"/>
          <w:szCs w:val="24"/>
          <w:shd w:val="clear" w:color="auto" w:fill="FFFFFF"/>
        </w:rPr>
        <w:t>(But only for) the paschal sacrifice of Egypt (does) Ꜥhis neighbor’ (mean) he who dwells near his house, whereas (for) the paschal sacrifice of the (subsequent) generati</w:t>
      </w:r>
      <w:r w:rsidR="00F728C5" w:rsidRPr="002561F6">
        <w:rPr>
          <w:rFonts w:ascii="Times New Roman" w:eastAsia="Calibri" w:hAnsi="Times New Roman" w:cs="Times New Roman"/>
          <w:sz w:val="24"/>
          <w:szCs w:val="24"/>
          <w:shd w:val="clear" w:color="auto" w:fill="FFFFFF"/>
        </w:rPr>
        <w:t>o</w:t>
      </w:r>
      <w:r w:rsidRPr="002561F6">
        <w:rPr>
          <w:rFonts w:ascii="Times New Roman" w:eastAsia="Calibri" w:hAnsi="Times New Roman" w:cs="Times New Roman"/>
          <w:sz w:val="24"/>
          <w:szCs w:val="24"/>
          <w:shd w:val="clear" w:color="auto" w:fill="FFFFFF"/>
        </w:rPr>
        <w:t>ns ‘his neighbor’ does not (mean) he who dwells near his house.</w:t>
      </w:r>
    </w:p>
    <w:p w14:paraId="653B73B3" w14:textId="0A60D7D0" w:rsidR="00EE0DBF" w:rsidRPr="002561F6" w:rsidRDefault="00EE0DBF" w:rsidP="00570638">
      <w:pPr>
        <w:bidi w:val="0"/>
        <w:spacing w:line="480" w:lineRule="auto"/>
        <w:ind w:left="720"/>
        <w:rPr>
          <w:rFonts w:ascii="Times New Roman" w:eastAsia="Calibri" w:hAnsi="Times New Roman" w:cs="Times New Roman"/>
          <w:sz w:val="24"/>
          <w:szCs w:val="24"/>
          <w:shd w:val="clear" w:color="auto" w:fill="FFFFFF"/>
        </w:rPr>
      </w:pPr>
      <w:r w:rsidRPr="002561F6">
        <w:rPr>
          <w:rFonts w:ascii="Times New Roman" w:eastAsia="Calibri" w:hAnsi="Times New Roman" w:cs="Times New Roman"/>
          <w:sz w:val="24"/>
          <w:szCs w:val="24"/>
          <w:shd w:val="clear" w:color="auto" w:fill="FFFFFF"/>
        </w:rPr>
        <w:t>Rabbi Shim</w:t>
      </w:r>
      <w:r w:rsidR="00F728C5" w:rsidRPr="002561F6">
        <w:rPr>
          <w:rFonts w:ascii="Times New Roman" w:eastAsia="Calibri" w:hAnsi="Times New Roman" w:cs="Times New Roman"/>
          <w:sz w:val="24"/>
          <w:szCs w:val="24"/>
          <w:shd w:val="clear" w:color="auto" w:fill="FFFFFF"/>
        </w:rPr>
        <w:t xml:space="preserve">on says “‘His neighbor’ (means) he who dwells near his house even for the paschal sacrifice of the (subsequent) generations. </w:t>
      </w:r>
      <w:bookmarkStart w:id="4" w:name="_Hlk534893982"/>
      <w:r w:rsidR="00F728C5" w:rsidRPr="002561F6">
        <w:rPr>
          <w:rFonts w:ascii="Times New Roman" w:eastAsia="Calibri" w:hAnsi="Times New Roman" w:cs="Times New Roman"/>
          <w:sz w:val="24"/>
          <w:szCs w:val="24"/>
          <w:shd w:val="clear" w:color="auto" w:fill="FFFFFF"/>
        </w:rPr>
        <w:t>“For above all,</w:t>
      </w:r>
      <w:r w:rsidR="00602E48">
        <w:rPr>
          <w:rFonts w:ascii="Times New Roman" w:eastAsia="Calibri" w:hAnsi="Times New Roman" w:cs="Times New Roman"/>
          <w:sz w:val="24"/>
          <w:szCs w:val="24"/>
          <w:shd w:val="clear" w:color="auto" w:fill="FFFFFF"/>
        </w:rPr>
        <w:t xml:space="preserve"> </w:t>
      </w:r>
      <w:r w:rsidR="00602E48" w:rsidRPr="00602E48">
        <w:rPr>
          <w:rFonts w:ascii="Times New Roman" w:eastAsia="Calibri" w:hAnsi="Times New Roman" w:cs="Times New Roman"/>
          <w:sz w:val="24"/>
          <w:szCs w:val="24"/>
          <w:shd w:val="clear" w:color="auto" w:fill="FFFFFF"/>
        </w:rPr>
        <w:t>the Torah spoke only because of the ways of peace</w:t>
      </w:r>
      <w:r w:rsidR="00F728C5" w:rsidRPr="002561F6">
        <w:rPr>
          <w:rFonts w:ascii="Times New Roman" w:eastAsia="Calibri" w:hAnsi="Times New Roman" w:cs="Times New Roman"/>
          <w:sz w:val="24"/>
          <w:szCs w:val="24"/>
          <w:shd w:val="clear" w:color="auto" w:fill="FFFFFF"/>
        </w:rPr>
        <w:t xml:space="preserve"> </w:t>
      </w:r>
      <w:bookmarkEnd w:id="4"/>
      <w:r w:rsidR="00F728C5" w:rsidRPr="002561F6">
        <w:rPr>
          <w:rFonts w:ascii="Times New Roman" w:eastAsia="Calibri" w:hAnsi="Times New Roman" w:cs="Times New Roman"/>
          <w:sz w:val="24"/>
          <w:szCs w:val="24"/>
          <w:shd w:val="clear" w:color="auto" w:fill="FFFFFF"/>
        </w:rPr>
        <w:t xml:space="preserve">(as illustrated here where the Torah's intention is) that one should not leave his beloved, his neighbors, acquaintance, close ones, or one of his towns citizens and go off and perform the paschal sacrifice with others. As </w:t>
      </w:r>
      <w:r w:rsidR="006F0525">
        <w:rPr>
          <w:rFonts w:ascii="Times New Roman" w:eastAsia="Calibri" w:hAnsi="Times New Roman" w:cs="Times New Roman"/>
          <w:sz w:val="24"/>
          <w:szCs w:val="24"/>
          <w:shd w:val="clear" w:color="auto" w:fill="FFFFFF"/>
        </w:rPr>
        <w:t xml:space="preserve">to </w:t>
      </w:r>
      <w:r w:rsidR="00283AEB">
        <w:rPr>
          <w:rFonts w:ascii="Times New Roman" w:eastAsia="Calibri" w:hAnsi="Times New Roman" w:cs="Times New Roman"/>
          <w:sz w:val="24"/>
          <w:szCs w:val="24"/>
          <w:shd w:val="clear" w:color="auto" w:fill="FFFFFF"/>
        </w:rPr>
        <w:t xml:space="preserve">fulfill wat </w:t>
      </w:r>
      <w:r w:rsidR="00F728C5" w:rsidRPr="002561F6">
        <w:rPr>
          <w:rFonts w:ascii="Times New Roman" w:eastAsia="Calibri" w:hAnsi="Times New Roman" w:cs="Times New Roman"/>
          <w:sz w:val="24"/>
          <w:szCs w:val="24"/>
          <w:shd w:val="clear" w:color="auto" w:fill="FFFFFF"/>
        </w:rPr>
        <w:t>it says in Scripture</w:t>
      </w:r>
      <w:r w:rsidR="00564D3A" w:rsidRPr="002561F6">
        <w:rPr>
          <w:rFonts w:ascii="Times New Roman" w:eastAsia="Calibri" w:hAnsi="Times New Roman" w:cs="Times New Roman"/>
          <w:sz w:val="24"/>
          <w:szCs w:val="24"/>
          <w:shd w:val="clear" w:color="auto" w:fill="FFFFFF"/>
        </w:rPr>
        <w:t xml:space="preserve">, </w:t>
      </w:r>
      <w:bookmarkStart w:id="5" w:name="_Hlk535142367"/>
      <w:r w:rsidR="00564D3A" w:rsidRPr="002561F6">
        <w:rPr>
          <w:rFonts w:ascii="Times New Roman" w:eastAsia="Calibri" w:hAnsi="Times New Roman" w:cs="Times New Roman"/>
          <w:sz w:val="24"/>
          <w:szCs w:val="24"/>
          <w:shd w:val="clear" w:color="auto" w:fill="FFFFFF"/>
        </w:rPr>
        <w:t>ꜤA close neighbor is better than a distant brother’</w:t>
      </w:r>
      <w:bookmarkEnd w:id="5"/>
      <w:r w:rsidR="00564D3A" w:rsidRPr="002561F6">
        <w:rPr>
          <w:rFonts w:ascii="Times New Roman" w:eastAsia="Calibri" w:hAnsi="Times New Roman" w:cs="Times New Roman"/>
          <w:sz w:val="24"/>
          <w:szCs w:val="24"/>
          <w:shd w:val="clear" w:color="auto" w:fill="FFFFFF"/>
        </w:rPr>
        <w:t xml:space="preserve"> (Prov. 27:10)</w:t>
      </w:r>
      <w:r w:rsidR="008002ED">
        <w:rPr>
          <w:rFonts w:ascii="Times New Roman" w:eastAsia="Calibri" w:hAnsi="Times New Roman" w:cs="Times New Roman"/>
          <w:sz w:val="24"/>
          <w:szCs w:val="24"/>
          <w:shd w:val="clear" w:color="auto" w:fill="FFFFFF"/>
        </w:rPr>
        <w:t>.</w:t>
      </w:r>
      <w:r w:rsidR="00602E48">
        <w:rPr>
          <w:rFonts w:ascii="SBL Greek" w:eastAsia="Calibri" w:hAnsi="SBL Greek" w:cs="Times New Roman"/>
          <w:sz w:val="24"/>
          <w:szCs w:val="24"/>
          <w:shd w:val="clear" w:color="auto" w:fill="FFFFFF"/>
        </w:rPr>
        <w:t>”</w:t>
      </w:r>
      <w:r w:rsidR="0092378C" w:rsidRPr="0092378C">
        <w:rPr>
          <w:rStyle w:val="a5"/>
          <w:rFonts w:ascii="SBL Greek" w:eastAsia="Calibri" w:hAnsi="SBL Greek" w:cs="Times New Roman"/>
          <w:sz w:val="24"/>
          <w:szCs w:val="24"/>
          <w:shd w:val="clear" w:color="auto" w:fill="FFFFFF"/>
        </w:rPr>
        <w:t xml:space="preserve"> </w:t>
      </w:r>
      <w:r w:rsidR="0092378C">
        <w:rPr>
          <w:rStyle w:val="a5"/>
          <w:rFonts w:ascii="SBL Greek" w:eastAsia="Calibri" w:hAnsi="SBL Greek" w:cs="Times New Roman"/>
          <w:sz w:val="24"/>
          <w:szCs w:val="24"/>
          <w:shd w:val="clear" w:color="auto" w:fill="FFFFFF"/>
        </w:rPr>
        <w:footnoteReference w:id="52"/>
      </w:r>
    </w:p>
    <w:p w14:paraId="2437816C" w14:textId="77777777" w:rsidR="002550A7" w:rsidRDefault="002550A7" w:rsidP="005B4E21">
      <w:pPr>
        <w:spacing w:line="480" w:lineRule="auto"/>
        <w:rPr>
          <w:rFonts w:eastAsia="Calibri" w:cs="David"/>
          <w:sz w:val="24"/>
          <w:szCs w:val="24"/>
          <w:shd w:val="clear" w:color="auto" w:fill="FFFFFF"/>
          <w:rtl/>
        </w:rPr>
      </w:pPr>
    </w:p>
    <w:p w14:paraId="23E6C876" w14:textId="58AF84B9" w:rsidR="005A5CDB" w:rsidRDefault="00D92ED8" w:rsidP="005A5CDB">
      <w:pPr>
        <w:spacing w:line="480" w:lineRule="auto"/>
        <w:rPr>
          <w:rFonts w:ascii="David" w:eastAsia="Calibri" w:hAnsi="David" w:cs="David"/>
          <w:sz w:val="24"/>
          <w:szCs w:val="24"/>
          <w:shd w:val="clear" w:color="auto" w:fill="FFFFFF"/>
          <w:rtl/>
        </w:rPr>
      </w:pPr>
      <w:r>
        <w:rPr>
          <w:rFonts w:eastAsia="Calibri" w:cs="David" w:hint="cs"/>
          <w:sz w:val="24"/>
          <w:szCs w:val="24"/>
          <w:shd w:val="clear" w:color="auto" w:fill="FFFFFF"/>
          <w:rtl/>
        </w:rPr>
        <w:t xml:space="preserve">חכמים </w:t>
      </w:r>
      <w:r w:rsidR="003D5DD6">
        <w:rPr>
          <w:rFonts w:eastAsia="Calibri" w:cs="David" w:hint="cs"/>
          <w:sz w:val="24"/>
          <w:szCs w:val="24"/>
          <w:shd w:val="clear" w:color="auto" w:fill="FFFFFF"/>
          <w:rtl/>
        </w:rPr>
        <w:t xml:space="preserve">שואלים </w:t>
      </w:r>
      <w:r w:rsidR="006768A7">
        <w:rPr>
          <w:rFonts w:eastAsia="Calibri" w:cs="David" w:hint="cs"/>
          <w:sz w:val="24"/>
          <w:szCs w:val="24"/>
          <w:shd w:val="clear" w:color="auto" w:fill="FFFFFF"/>
          <w:rtl/>
        </w:rPr>
        <w:t xml:space="preserve">על מי חלה </w:t>
      </w:r>
      <w:r>
        <w:rPr>
          <w:rFonts w:eastAsia="Calibri" w:cs="David" w:hint="cs"/>
          <w:sz w:val="24"/>
          <w:szCs w:val="24"/>
          <w:shd w:val="clear" w:color="auto" w:fill="FFFFFF"/>
          <w:rtl/>
        </w:rPr>
        <w:t>ההגדרה</w:t>
      </w:r>
      <w:r w:rsidR="00970A8F">
        <w:rPr>
          <w:rFonts w:ascii="SBL Greek" w:eastAsia="Calibri" w:hAnsi="SBL Greek" w:cstheme="majorBidi"/>
          <w:sz w:val="24"/>
          <w:szCs w:val="24"/>
          <w:shd w:val="clear" w:color="auto" w:fill="FFFFFF"/>
        </w:rPr>
        <w:t>“</w:t>
      </w:r>
      <w:r w:rsidR="0019599B">
        <w:rPr>
          <w:rFonts w:asciiTheme="majorBidi" w:eastAsia="Calibri" w:hAnsiTheme="majorBidi" w:cstheme="majorBidi"/>
          <w:sz w:val="24"/>
          <w:szCs w:val="24"/>
          <w:shd w:val="clear" w:color="auto" w:fill="FFFFFF"/>
        </w:rPr>
        <w:t xml:space="preserve">his </w:t>
      </w:r>
      <w:r w:rsidR="008B4DE6" w:rsidRPr="008B4DE6">
        <w:rPr>
          <w:rFonts w:asciiTheme="majorBidi" w:eastAsia="Calibri" w:hAnsiTheme="majorBidi" w:cstheme="majorBidi"/>
          <w:sz w:val="24"/>
          <w:szCs w:val="24"/>
          <w:shd w:val="clear" w:color="auto" w:fill="FFFFFF"/>
        </w:rPr>
        <w:t>neighbor who dwells nearby”</w:t>
      </w:r>
      <w:r w:rsidR="00B82730">
        <w:rPr>
          <w:rFonts w:asciiTheme="majorBidi" w:eastAsia="Calibri" w:hAnsiTheme="majorBidi" w:cstheme="majorBidi"/>
          <w:sz w:val="24"/>
          <w:szCs w:val="24"/>
          <w:shd w:val="clear" w:color="auto" w:fill="FFFFFF"/>
        </w:rPr>
        <w:t xml:space="preserve"> </w:t>
      </w:r>
      <w:r w:rsidR="0067575C">
        <w:rPr>
          <w:rFonts w:eastAsia="Calibri" w:cs="David" w:hint="cs"/>
          <w:sz w:val="24"/>
          <w:szCs w:val="24"/>
          <w:shd w:val="clear" w:color="auto" w:fill="FFFFFF"/>
          <w:rtl/>
        </w:rPr>
        <w:t xml:space="preserve">. </w:t>
      </w:r>
      <w:r>
        <w:rPr>
          <w:rFonts w:eastAsia="Calibri" w:cs="David" w:hint="cs"/>
          <w:sz w:val="24"/>
          <w:szCs w:val="24"/>
          <w:shd w:val="clear" w:color="auto" w:fill="FFFFFF"/>
          <w:rtl/>
        </w:rPr>
        <w:t xml:space="preserve">נראה שהקושי </w:t>
      </w:r>
      <w:r w:rsidR="00B1466A">
        <w:rPr>
          <w:rFonts w:eastAsia="Calibri" w:cs="David" w:hint="cs"/>
          <w:sz w:val="24"/>
          <w:szCs w:val="24"/>
          <w:shd w:val="clear" w:color="auto" w:fill="FFFFFF"/>
          <w:rtl/>
        </w:rPr>
        <w:t xml:space="preserve">שעמד לנגד </w:t>
      </w:r>
      <w:r>
        <w:rPr>
          <w:rFonts w:eastAsia="Calibri" w:cs="David" w:hint="cs"/>
          <w:sz w:val="24"/>
          <w:szCs w:val="24"/>
          <w:shd w:val="clear" w:color="auto" w:fill="FFFFFF"/>
          <w:rtl/>
        </w:rPr>
        <w:t xml:space="preserve">עיניהם </w:t>
      </w:r>
      <w:r w:rsidR="006768A7">
        <w:rPr>
          <w:rFonts w:eastAsia="Calibri" w:cs="David" w:hint="cs"/>
          <w:sz w:val="24"/>
          <w:szCs w:val="24"/>
          <w:shd w:val="clear" w:color="auto" w:fill="FFFFFF"/>
          <w:rtl/>
        </w:rPr>
        <w:t>ה</w:t>
      </w:r>
      <w:r w:rsidR="003D5DD6">
        <w:rPr>
          <w:rFonts w:eastAsia="Calibri" w:cs="David" w:hint="cs"/>
          <w:sz w:val="24"/>
          <w:szCs w:val="24"/>
          <w:shd w:val="clear" w:color="auto" w:fill="FFFFFF"/>
          <w:rtl/>
        </w:rPr>
        <w:t>יה</w:t>
      </w:r>
      <w:r w:rsidR="006768A7">
        <w:rPr>
          <w:rFonts w:eastAsia="Calibri" w:cs="David" w:hint="cs"/>
          <w:sz w:val="24"/>
          <w:szCs w:val="24"/>
          <w:shd w:val="clear" w:color="auto" w:fill="FFFFFF"/>
          <w:rtl/>
        </w:rPr>
        <w:t xml:space="preserve"> קושי אקטואלי</w:t>
      </w:r>
      <w:r w:rsidR="00414F6C">
        <w:rPr>
          <w:rFonts w:eastAsia="Calibri" w:cs="David" w:hint="cs"/>
          <w:sz w:val="24"/>
          <w:szCs w:val="24"/>
          <w:shd w:val="clear" w:color="auto" w:fill="FFFFFF"/>
          <w:rtl/>
        </w:rPr>
        <w:t>,</w:t>
      </w:r>
      <w:r w:rsidR="006768A7">
        <w:rPr>
          <w:rFonts w:eastAsia="Calibri" w:cs="David" w:hint="cs"/>
          <w:sz w:val="24"/>
          <w:szCs w:val="24"/>
          <w:shd w:val="clear" w:color="auto" w:fill="FFFFFF"/>
          <w:rtl/>
        </w:rPr>
        <w:t xml:space="preserve"> ולאו דווקא צרימה בפסוק</w:t>
      </w:r>
      <w:r w:rsidR="00413C8D">
        <w:rPr>
          <w:rFonts w:eastAsia="Calibri" w:cs="David" w:hint="cs"/>
          <w:sz w:val="24"/>
          <w:szCs w:val="24"/>
          <w:shd w:val="clear" w:color="auto" w:fill="FFFFFF"/>
          <w:rtl/>
        </w:rPr>
        <w:t>:</w:t>
      </w:r>
      <w:r w:rsidR="00B1466A">
        <w:rPr>
          <w:rFonts w:eastAsia="Calibri" w:cs="David" w:hint="cs"/>
          <w:sz w:val="24"/>
          <w:szCs w:val="24"/>
          <w:shd w:val="clear" w:color="auto" w:fill="FFFFFF"/>
          <w:rtl/>
        </w:rPr>
        <w:t xml:space="preserve"> </w:t>
      </w:r>
      <w:r w:rsidR="00414F6C">
        <w:rPr>
          <w:rFonts w:eastAsia="Calibri" w:cs="David" w:hint="cs"/>
          <w:sz w:val="24"/>
          <w:szCs w:val="24"/>
          <w:shd w:val="clear" w:color="auto" w:fill="FFFFFF"/>
          <w:rtl/>
        </w:rPr>
        <w:t xml:space="preserve">ההתכנסות המשותפת לחוג את </w:t>
      </w:r>
      <w:r w:rsidR="00B1466A">
        <w:rPr>
          <w:rFonts w:eastAsia="Calibri" w:cs="David" w:hint="cs"/>
          <w:sz w:val="24"/>
          <w:szCs w:val="24"/>
          <w:shd w:val="clear" w:color="auto" w:fill="FFFFFF"/>
          <w:rtl/>
        </w:rPr>
        <w:t xml:space="preserve">הפסח עלולה </w:t>
      </w:r>
      <w:r w:rsidR="00414F6C">
        <w:rPr>
          <w:rFonts w:eastAsia="Calibri" w:cs="David" w:hint="cs"/>
          <w:sz w:val="24"/>
          <w:szCs w:val="24"/>
          <w:shd w:val="clear" w:color="auto" w:fill="FFFFFF"/>
          <w:rtl/>
        </w:rPr>
        <w:t>להיות כרוכה בהדרתם של אנשים</w:t>
      </w:r>
      <w:r w:rsidR="00266459">
        <w:rPr>
          <w:rFonts w:eastAsia="Calibri" w:cs="David" w:hint="cs"/>
          <w:sz w:val="24"/>
          <w:szCs w:val="24"/>
          <w:shd w:val="clear" w:color="auto" w:fill="FFFFFF"/>
          <w:rtl/>
        </w:rPr>
        <w:t xml:space="preserve"> מסוימים</w:t>
      </w:r>
      <w:r w:rsidR="00414F6C">
        <w:rPr>
          <w:rFonts w:eastAsia="Calibri" w:cs="David" w:hint="cs"/>
          <w:sz w:val="24"/>
          <w:szCs w:val="24"/>
          <w:shd w:val="clear" w:color="auto" w:fill="FFFFFF"/>
          <w:rtl/>
        </w:rPr>
        <w:t>, וכך ליצור</w:t>
      </w:r>
      <w:r w:rsidR="00266459">
        <w:rPr>
          <w:rFonts w:eastAsia="Calibri" w:cs="David" w:hint="cs"/>
          <w:sz w:val="24"/>
          <w:szCs w:val="24"/>
          <w:shd w:val="clear" w:color="auto" w:fill="FFFFFF"/>
          <w:rtl/>
        </w:rPr>
        <w:t xml:space="preserve"> </w:t>
      </w:r>
      <w:r w:rsidR="00B1466A">
        <w:rPr>
          <w:rFonts w:eastAsia="Calibri" w:cs="David" w:hint="cs"/>
          <w:sz w:val="24"/>
          <w:szCs w:val="24"/>
          <w:shd w:val="clear" w:color="auto" w:fill="FFFFFF"/>
          <w:rtl/>
        </w:rPr>
        <w:t>מתח ועלבון</w:t>
      </w:r>
      <w:r w:rsidR="00266459">
        <w:rPr>
          <w:rFonts w:eastAsia="Calibri" w:cs="David" w:hint="cs"/>
          <w:sz w:val="24"/>
          <w:szCs w:val="24"/>
          <w:shd w:val="clear" w:color="auto" w:fill="FFFFFF"/>
          <w:rtl/>
        </w:rPr>
        <w:t>.</w:t>
      </w:r>
      <w:r w:rsidR="00B1466A">
        <w:rPr>
          <w:rFonts w:eastAsia="Calibri" w:cs="David" w:hint="cs"/>
          <w:sz w:val="24"/>
          <w:szCs w:val="24"/>
          <w:shd w:val="clear" w:color="auto" w:fill="FFFFFF"/>
          <w:rtl/>
        </w:rPr>
        <w:t xml:space="preserve"> </w:t>
      </w:r>
      <w:r w:rsidR="00180D0C">
        <w:rPr>
          <w:rFonts w:eastAsia="Calibri" w:cs="David" w:hint="cs"/>
          <w:sz w:val="24"/>
          <w:szCs w:val="24"/>
          <w:shd w:val="clear" w:color="auto" w:fill="FFFFFF"/>
          <w:rtl/>
        </w:rPr>
        <w:t xml:space="preserve">בן בג </w:t>
      </w:r>
      <w:proofErr w:type="spellStart"/>
      <w:r w:rsidR="00180D0C">
        <w:rPr>
          <w:rFonts w:eastAsia="Calibri" w:cs="David" w:hint="cs"/>
          <w:sz w:val="24"/>
          <w:szCs w:val="24"/>
          <w:shd w:val="clear" w:color="auto" w:fill="FFFFFF"/>
          <w:rtl/>
        </w:rPr>
        <w:t>בג</w:t>
      </w:r>
      <w:proofErr w:type="spellEnd"/>
      <w:r w:rsidR="00180D0C">
        <w:rPr>
          <w:rFonts w:eastAsia="Calibri" w:cs="David" w:hint="cs"/>
          <w:sz w:val="24"/>
          <w:szCs w:val="24"/>
          <w:shd w:val="clear" w:color="auto" w:fill="FFFFFF"/>
          <w:rtl/>
        </w:rPr>
        <w:t xml:space="preserve"> ו</w:t>
      </w:r>
      <w:r w:rsidR="00400D70">
        <w:rPr>
          <w:rFonts w:eastAsia="Calibri" w:cs="David" w:hint="cs"/>
          <w:sz w:val="24"/>
          <w:szCs w:val="24"/>
          <w:shd w:val="clear" w:color="auto" w:fill="FFFFFF"/>
          <w:rtl/>
        </w:rPr>
        <w:t>ר' יהודה הנשיא דורש</w:t>
      </w:r>
      <w:r w:rsidR="00180D0C">
        <w:rPr>
          <w:rFonts w:eastAsia="Calibri" w:cs="David" w:hint="cs"/>
          <w:sz w:val="24"/>
          <w:szCs w:val="24"/>
          <w:shd w:val="clear" w:color="auto" w:fill="FFFFFF"/>
          <w:rtl/>
        </w:rPr>
        <w:t>ים</w:t>
      </w:r>
      <w:r w:rsidR="009938D7">
        <w:rPr>
          <w:rFonts w:eastAsia="Calibri" w:cs="David" w:hint="cs"/>
          <w:sz w:val="24"/>
          <w:szCs w:val="24"/>
          <w:shd w:val="clear" w:color="auto" w:fill="FFFFFF"/>
          <w:rtl/>
        </w:rPr>
        <w:t xml:space="preserve"> את המילים כמכילות דגמי</w:t>
      </w:r>
      <w:r w:rsidR="00117A7E">
        <w:rPr>
          <w:rFonts w:eastAsia="Calibri" w:cs="David" w:hint="cs"/>
          <w:sz w:val="24"/>
          <w:szCs w:val="24"/>
          <w:shd w:val="clear" w:color="auto" w:fill="FFFFFF"/>
          <w:rtl/>
        </w:rPr>
        <w:t xml:space="preserve"> שכנות</w:t>
      </w:r>
      <w:r w:rsidR="009938D7">
        <w:rPr>
          <w:rFonts w:eastAsia="Calibri" w:cs="David" w:hint="cs"/>
          <w:sz w:val="24"/>
          <w:szCs w:val="24"/>
          <w:shd w:val="clear" w:color="auto" w:fill="FFFFFF"/>
          <w:rtl/>
        </w:rPr>
        <w:t xml:space="preserve"> </w:t>
      </w:r>
      <w:r w:rsidR="00180D0C">
        <w:rPr>
          <w:rFonts w:eastAsia="Calibri" w:cs="David" w:hint="cs"/>
          <w:sz w:val="24"/>
          <w:szCs w:val="24"/>
          <w:shd w:val="clear" w:color="auto" w:fill="FFFFFF"/>
          <w:rtl/>
        </w:rPr>
        <w:t>שונ</w:t>
      </w:r>
      <w:r w:rsidR="005A5CDB">
        <w:rPr>
          <w:rFonts w:ascii="David" w:eastAsia="Calibri" w:hAnsi="David" w:cs="David" w:hint="cs"/>
          <w:sz w:val="24"/>
          <w:szCs w:val="24"/>
          <w:shd w:val="clear" w:color="auto" w:fill="FFFFFF"/>
          <w:rtl/>
        </w:rPr>
        <w:t>ים:</w:t>
      </w:r>
    </w:p>
    <w:p w14:paraId="4FED5CF6" w14:textId="7AA27424" w:rsidR="00A061B2" w:rsidRDefault="00F41C7C" w:rsidP="00AE3699">
      <w:pPr>
        <w:spacing w:line="480" w:lineRule="auto"/>
        <w:rPr>
          <w:rFonts w:ascii="Times New Roman" w:eastAsia="Calibri" w:hAnsi="Times New Roman" w:cs="Times New Roman"/>
          <w:sz w:val="24"/>
          <w:szCs w:val="24"/>
          <w:shd w:val="clear" w:color="auto" w:fill="FFFFFF"/>
          <w:rtl/>
        </w:rPr>
      </w:pPr>
      <w:r>
        <w:rPr>
          <w:rFonts w:ascii="SBL Greek" w:eastAsia="Calibri" w:hAnsi="SBL Greek" w:cs="Times New Roman"/>
          <w:sz w:val="24"/>
          <w:szCs w:val="24"/>
          <w:shd w:val="clear" w:color="auto" w:fill="FFFFFF"/>
        </w:rPr>
        <w:t>“</w:t>
      </w:r>
      <w:r w:rsidRPr="002561F6">
        <w:rPr>
          <w:rFonts w:ascii="Times New Roman" w:eastAsia="Calibri" w:hAnsi="Times New Roman" w:cs="Times New Roman"/>
          <w:sz w:val="24"/>
          <w:szCs w:val="24"/>
          <w:shd w:val="clear" w:color="auto" w:fill="FFFFFF"/>
        </w:rPr>
        <w:t>his neig</w:t>
      </w:r>
      <w:r>
        <w:rPr>
          <w:rFonts w:ascii="Times New Roman" w:eastAsia="Calibri" w:hAnsi="Times New Roman" w:cs="Times New Roman"/>
          <w:sz w:val="24"/>
          <w:szCs w:val="24"/>
          <w:shd w:val="clear" w:color="auto" w:fill="FFFFFF"/>
        </w:rPr>
        <w:t>h</w:t>
      </w:r>
      <w:r w:rsidRPr="002561F6">
        <w:rPr>
          <w:rFonts w:ascii="Times New Roman" w:eastAsia="Calibri" w:hAnsi="Times New Roman" w:cs="Times New Roman"/>
          <w:sz w:val="24"/>
          <w:szCs w:val="24"/>
          <w:shd w:val="clear" w:color="auto" w:fill="FFFFFF"/>
        </w:rPr>
        <w:t>bor in the fields</w:t>
      </w:r>
      <w:r>
        <w:rPr>
          <w:rFonts w:ascii="SBL Greek" w:eastAsia="Calibri" w:hAnsi="SBL Greek" w:cs="Times New Roman"/>
          <w:sz w:val="24"/>
          <w:szCs w:val="24"/>
          <w:shd w:val="clear" w:color="auto" w:fill="FFFFFF"/>
        </w:rPr>
        <w:t>”</w:t>
      </w:r>
      <w:r>
        <w:rPr>
          <w:rFonts w:ascii="Times New Roman" w:eastAsia="Calibri" w:hAnsi="Times New Roman" w:cs="Times New Roman"/>
          <w:sz w:val="24"/>
          <w:szCs w:val="24"/>
          <w:shd w:val="clear" w:color="auto" w:fill="FFFFFF"/>
        </w:rPr>
        <w:t>,</w:t>
      </w:r>
      <w:r w:rsidRPr="00F41C7C">
        <w:t xml:space="preserve"> </w:t>
      </w:r>
      <w:r>
        <w:rPr>
          <w:rFonts w:ascii="SBL Greek" w:eastAsia="Calibri" w:hAnsi="SBL Greek" w:cs="Times New Roman"/>
          <w:sz w:val="24"/>
          <w:szCs w:val="24"/>
          <w:shd w:val="clear" w:color="auto" w:fill="FFFFFF"/>
        </w:rPr>
        <w:t>“</w:t>
      </w:r>
      <w:r w:rsidRPr="00F41C7C">
        <w:rPr>
          <w:rFonts w:ascii="Times New Roman" w:eastAsia="Calibri" w:hAnsi="Times New Roman" w:cs="Times New Roman"/>
          <w:sz w:val="24"/>
          <w:szCs w:val="24"/>
          <w:shd w:val="clear" w:color="auto" w:fill="FFFFFF"/>
        </w:rPr>
        <w:t xml:space="preserve">his neighbor at </w:t>
      </w:r>
      <w:r>
        <w:rPr>
          <w:rFonts w:ascii="Times New Roman" w:eastAsia="Calibri" w:hAnsi="Times New Roman" w:cs="Times New Roman"/>
          <w:sz w:val="24"/>
          <w:szCs w:val="24"/>
          <w:shd w:val="clear" w:color="auto" w:fill="FFFFFF"/>
        </w:rPr>
        <w:t xml:space="preserve">the </w:t>
      </w:r>
      <w:r w:rsidRPr="00F41C7C">
        <w:rPr>
          <w:rFonts w:ascii="Times New Roman" w:eastAsia="Calibri" w:hAnsi="Times New Roman" w:cs="Times New Roman"/>
          <w:sz w:val="24"/>
          <w:szCs w:val="24"/>
          <w:shd w:val="clear" w:color="auto" w:fill="FFFFFF"/>
        </w:rPr>
        <w:t>roof</w:t>
      </w:r>
      <w:r>
        <w:rPr>
          <w:rFonts w:ascii="SBL Greek" w:eastAsia="Calibri" w:hAnsi="SBL Greek" w:cs="Times New Roman"/>
          <w:sz w:val="24"/>
          <w:szCs w:val="24"/>
          <w:shd w:val="clear" w:color="auto" w:fill="FFFFFF"/>
        </w:rPr>
        <w:t>”</w:t>
      </w:r>
      <w:r>
        <w:rPr>
          <w:rFonts w:ascii="Times New Roman" w:eastAsia="Calibri" w:hAnsi="Times New Roman" w:cs="Times New Roman"/>
          <w:sz w:val="24"/>
          <w:szCs w:val="24"/>
          <w:shd w:val="clear" w:color="auto" w:fill="FFFFFF"/>
        </w:rPr>
        <w:t xml:space="preserve"> and</w:t>
      </w:r>
      <w:r w:rsidRPr="00F41C7C">
        <w:rPr>
          <w:rFonts w:ascii="Times New Roman" w:eastAsia="Calibri" w:hAnsi="Times New Roman" w:cs="Times New Roman"/>
          <w:sz w:val="24"/>
          <w:szCs w:val="24"/>
          <w:shd w:val="clear" w:color="auto" w:fill="FFFFFF"/>
        </w:rPr>
        <w:t xml:space="preserve"> </w:t>
      </w:r>
      <w:r>
        <w:rPr>
          <w:rFonts w:ascii="SBL Greek" w:eastAsia="Calibri" w:hAnsi="SBL Greek" w:cs="Times New Roman"/>
          <w:sz w:val="24"/>
          <w:szCs w:val="24"/>
          <w:shd w:val="clear" w:color="auto" w:fill="FFFFFF"/>
        </w:rPr>
        <w:t>“</w:t>
      </w:r>
      <w:r w:rsidRPr="00F41C7C">
        <w:rPr>
          <w:rFonts w:ascii="Times New Roman" w:eastAsia="Calibri" w:hAnsi="Times New Roman" w:cs="Times New Roman"/>
          <w:sz w:val="24"/>
          <w:szCs w:val="24"/>
          <w:shd w:val="clear" w:color="auto" w:fill="FFFFFF"/>
        </w:rPr>
        <w:t>he who dwells near his house, close to his door.</w:t>
      </w:r>
      <w:proofErr w:type="gramStart"/>
      <w:r>
        <w:rPr>
          <w:rFonts w:ascii="SBL Greek" w:eastAsia="Calibri" w:hAnsi="SBL Greek" w:cs="Times New Roman"/>
          <w:sz w:val="24"/>
          <w:szCs w:val="24"/>
          <w:shd w:val="clear" w:color="auto" w:fill="FFFFFF"/>
        </w:rPr>
        <w:t>”</w:t>
      </w:r>
      <w:r>
        <w:rPr>
          <w:rFonts w:ascii="Times New Roman" w:eastAsia="Calibri" w:hAnsi="Times New Roman" w:cs="Times New Roman"/>
          <w:sz w:val="24"/>
          <w:szCs w:val="24"/>
          <w:shd w:val="clear" w:color="auto" w:fill="FFFFFF"/>
        </w:rPr>
        <w:t xml:space="preserve"> </w:t>
      </w:r>
      <w:r w:rsidR="00AE3699">
        <w:rPr>
          <w:rFonts w:ascii="Times New Roman" w:eastAsia="Calibri" w:hAnsi="Times New Roman" w:cs="Times New Roman" w:hint="cs"/>
          <w:sz w:val="24"/>
          <w:szCs w:val="24"/>
          <w:shd w:val="clear" w:color="auto" w:fill="FFFFFF"/>
          <w:rtl/>
        </w:rPr>
        <w:t>.</w:t>
      </w:r>
      <w:proofErr w:type="gramEnd"/>
      <w:r w:rsidR="00584A0C">
        <w:rPr>
          <w:rFonts w:eastAsia="Calibri" w:cs="David" w:hint="cs"/>
          <w:sz w:val="24"/>
          <w:szCs w:val="24"/>
          <w:shd w:val="clear" w:color="auto" w:fill="FFFFFF"/>
          <w:rtl/>
        </w:rPr>
        <w:t xml:space="preserve"> </w:t>
      </w:r>
      <w:r w:rsidR="000A4302">
        <w:rPr>
          <w:rFonts w:eastAsia="Calibri" w:cs="David" w:hint="cs"/>
          <w:sz w:val="24"/>
          <w:szCs w:val="24"/>
          <w:shd w:val="clear" w:color="auto" w:fill="FFFFFF"/>
          <w:rtl/>
        </w:rPr>
        <w:t>עם זאת</w:t>
      </w:r>
      <w:r w:rsidR="007A3351">
        <w:rPr>
          <w:rFonts w:eastAsia="Calibri" w:cs="David" w:hint="cs"/>
          <w:sz w:val="24"/>
          <w:szCs w:val="24"/>
          <w:shd w:val="clear" w:color="auto" w:fill="FFFFFF"/>
          <w:rtl/>
        </w:rPr>
        <w:t>,</w:t>
      </w:r>
      <w:r w:rsidR="000A4302">
        <w:rPr>
          <w:rFonts w:eastAsia="Calibri" w:cs="David" w:hint="cs"/>
          <w:sz w:val="24"/>
          <w:szCs w:val="24"/>
          <w:shd w:val="clear" w:color="auto" w:fill="FFFFFF"/>
          <w:rtl/>
        </w:rPr>
        <w:t xml:space="preserve"> הם פותרים את הקושי </w:t>
      </w:r>
      <w:r w:rsidR="0044496E">
        <w:rPr>
          <w:rFonts w:eastAsia="Calibri" w:cs="David" w:hint="cs"/>
          <w:sz w:val="24"/>
          <w:szCs w:val="24"/>
          <w:shd w:val="clear" w:color="auto" w:fill="FFFFFF"/>
          <w:rtl/>
        </w:rPr>
        <w:t xml:space="preserve">בכך </w:t>
      </w:r>
      <w:r w:rsidR="000A4302">
        <w:rPr>
          <w:rFonts w:eastAsia="Calibri" w:cs="David" w:hint="cs"/>
          <w:sz w:val="24"/>
          <w:szCs w:val="24"/>
          <w:shd w:val="clear" w:color="auto" w:fill="FFFFFF"/>
          <w:rtl/>
        </w:rPr>
        <w:t>ש</w:t>
      </w:r>
      <w:r w:rsidR="00447510">
        <w:rPr>
          <w:rFonts w:eastAsia="Calibri" w:cs="David" w:hint="cs"/>
          <w:sz w:val="24"/>
          <w:szCs w:val="24"/>
          <w:shd w:val="clear" w:color="auto" w:fill="FFFFFF"/>
          <w:rtl/>
        </w:rPr>
        <w:t>ה</w:t>
      </w:r>
      <w:r w:rsidR="000A4302">
        <w:rPr>
          <w:rFonts w:eastAsia="Calibri" w:cs="David" w:hint="cs"/>
          <w:sz w:val="24"/>
          <w:szCs w:val="24"/>
          <w:shd w:val="clear" w:color="auto" w:fill="FFFFFF"/>
          <w:rtl/>
        </w:rPr>
        <w:t>פסוק מדבר ב</w:t>
      </w:r>
      <w:r w:rsidR="006C5566">
        <w:rPr>
          <w:rFonts w:eastAsia="Calibri" w:cs="David" w:hint="cs"/>
          <w:sz w:val="24"/>
          <w:szCs w:val="24"/>
          <w:shd w:val="clear" w:color="auto" w:fill="FFFFFF"/>
          <w:rtl/>
        </w:rPr>
        <w:t>אכילת קורבן ה</w:t>
      </w:r>
      <w:r w:rsidR="000A4302">
        <w:rPr>
          <w:rFonts w:eastAsia="Calibri" w:cs="David" w:hint="cs"/>
          <w:sz w:val="24"/>
          <w:szCs w:val="24"/>
          <w:shd w:val="clear" w:color="auto" w:fill="FFFFFF"/>
          <w:rtl/>
        </w:rPr>
        <w:t>פסח שהתרחש</w:t>
      </w:r>
      <w:r w:rsidR="006C5566">
        <w:rPr>
          <w:rFonts w:eastAsia="Calibri" w:cs="David" w:hint="cs"/>
          <w:sz w:val="24"/>
          <w:szCs w:val="24"/>
          <w:shd w:val="clear" w:color="auto" w:fill="FFFFFF"/>
          <w:rtl/>
        </w:rPr>
        <w:t>ה</w:t>
      </w:r>
      <w:r w:rsidR="000A4302">
        <w:rPr>
          <w:rFonts w:eastAsia="Calibri" w:cs="David" w:hint="cs"/>
          <w:sz w:val="24"/>
          <w:szCs w:val="24"/>
          <w:shd w:val="clear" w:color="auto" w:fill="FFFFFF"/>
          <w:rtl/>
        </w:rPr>
        <w:t xml:space="preserve"> </w:t>
      </w:r>
      <w:r w:rsidR="00447510">
        <w:rPr>
          <w:rFonts w:eastAsia="Calibri" w:cs="David" w:hint="cs"/>
          <w:sz w:val="24"/>
          <w:szCs w:val="24"/>
          <w:shd w:val="clear" w:color="auto" w:fill="FFFFFF"/>
          <w:rtl/>
        </w:rPr>
        <w:t xml:space="preserve">במהלך </w:t>
      </w:r>
      <w:r w:rsidR="000A4302">
        <w:rPr>
          <w:rFonts w:eastAsia="Calibri" w:cs="David" w:hint="cs"/>
          <w:sz w:val="24"/>
          <w:szCs w:val="24"/>
          <w:shd w:val="clear" w:color="auto" w:fill="FFFFFF"/>
          <w:rtl/>
        </w:rPr>
        <w:t>יציא</w:t>
      </w:r>
      <w:r w:rsidR="00447510">
        <w:rPr>
          <w:rFonts w:eastAsia="Calibri" w:cs="David" w:hint="cs"/>
          <w:sz w:val="24"/>
          <w:szCs w:val="24"/>
          <w:shd w:val="clear" w:color="auto" w:fill="FFFFFF"/>
          <w:rtl/>
        </w:rPr>
        <w:t>ת</w:t>
      </w:r>
      <w:r w:rsidR="000A4302">
        <w:rPr>
          <w:rFonts w:eastAsia="Calibri" w:cs="David" w:hint="cs"/>
          <w:sz w:val="24"/>
          <w:szCs w:val="24"/>
          <w:shd w:val="clear" w:color="auto" w:fill="FFFFFF"/>
          <w:rtl/>
        </w:rPr>
        <w:t xml:space="preserve"> מצרים</w:t>
      </w:r>
      <w:r w:rsidR="0017251F">
        <w:rPr>
          <w:rFonts w:eastAsia="Calibri" w:cs="David" w:hint="cs"/>
          <w:sz w:val="24"/>
          <w:szCs w:val="24"/>
          <w:shd w:val="clear" w:color="auto" w:fill="FFFFFF"/>
          <w:rtl/>
        </w:rPr>
        <w:t>,</w:t>
      </w:r>
      <w:r w:rsidR="000A4302">
        <w:rPr>
          <w:rFonts w:eastAsia="Calibri" w:cs="David" w:hint="cs"/>
          <w:sz w:val="24"/>
          <w:szCs w:val="24"/>
          <w:shd w:val="clear" w:color="auto" w:fill="FFFFFF"/>
          <w:rtl/>
        </w:rPr>
        <w:t xml:space="preserve"> ולא ב'פסח דורות', </w:t>
      </w:r>
      <w:r w:rsidR="00447510">
        <w:rPr>
          <w:rFonts w:eastAsia="Calibri" w:cs="David" w:hint="cs"/>
          <w:sz w:val="24"/>
          <w:szCs w:val="24"/>
          <w:shd w:val="clear" w:color="auto" w:fill="FFFFFF"/>
          <w:rtl/>
        </w:rPr>
        <w:t xml:space="preserve">שהוא </w:t>
      </w:r>
      <w:r w:rsidR="00A62CB9">
        <w:rPr>
          <w:rFonts w:eastAsia="Calibri" w:cs="David" w:hint="cs"/>
          <w:sz w:val="24"/>
          <w:szCs w:val="24"/>
          <w:shd w:val="clear" w:color="auto" w:fill="FFFFFF"/>
          <w:rtl/>
        </w:rPr>
        <w:t>ה</w:t>
      </w:r>
      <w:r w:rsidR="000A4302">
        <w:rPr>
          <w:rFonts w:eastAsia="Calibri" w:cs="David" w:hint="cs"/>
          <w:sz w:val="24"/>
          <w:szCs w:val="24"/>
          <w:shd w:val="clear" w:color="auto" w:fill="FFFFFF"/>
          <w:rtl/>
        </w:rPr>
        <w:t>טקס השנתי שמתקיים בזמנם.</w:t>
      </w:r>
      <w:r w:rsidR="0037642B">
        <w:rPr>
          <w:rStyle w:val="a5"/>
          <w:rFonts w:eastAsia="Calibri" w:cs="David"/>
          <w:sz w:val="24"/>
          <w:szCs w:val="24"/>
          <w:shd w:val="clear" w:color="auto" w:fill="FFFFFF"/>
          <w:rtl/>
        </w:rPr>
        <w:footnoteReference w:id="53"/>
      </w:r>
      <w:r w:rsidR="00A061B2">
        <w:rPr>
          <w:rFonts w:eastAsia="Calibri" w:cs="David" w:hint="cs"/>
          <w:sz w:val="24"/>
          <w:szCs w:val="24"/>
          <w:shd w:val="clear" w:color="auto" w:fill="FFFFFF"/>
          <w:rtl/>
        </w:rPr>
        <w:t xml:space="preserve"> </w:t>
      </w:r>
    </w:p>
    <w:p w14:paraId="79C889D4" w14:textId="2768B8A1" w:rsidR="004A62F4" w:rsidRPr="00592A97" w:rsidRDefault="00ED2327" w:rsidP="00592A97">
      <w:pPr>
        <w:spacing w:line="480" w:lineRule="auto"/>
        <w:ind w:firstLine="720"/>
        <w:rPr>
          <w:rFonts w:eastAsia="Calibri" w:cs="David"/>
          <w:sz w:val="24"/>
          <w:szCs w:val="24"/>
          <w:shd w:val="clear" w:color="auto" w:fill="FFFFFF"/>
        </w:rPr>
      </w:pPr>
      <w:r>
        <w:rPr>
          <w:rFonts w:ascii="David" w:eastAsia="Calibri" w:hAnsi="David" w:cs="David" w:hint="cs"/>
          <w:sz w:val="24"/>
          <w:szCs w:val="24"/>
          <w:shd w:val="clear" w:color="auto" w:fill="FFFFFF"/>
          <w:rtl/>
        </w:rPr>
        <w:t>ר' שמעון חולק על</w:t>
      </w:r>
      <w:r w:rsidR="002257B7">
        <w:rPr>
          <w:rFonts w:ascii="David" w:eastAsia="Calibri" w:hAnsi="David" w:cs="David" w:hint="cs"/>
          <w:sz w:val="24"/>
          <w:szCs w:val="24"/>
          <w:shd w:val="clear" w:color="auto" w:fill="FFFFFF"/>
          <w:rtl/>
        </w:rPr>
        <w:t xml:space="preserve"> </w:t>
      </w:r>
      <w:r w:rsidR="00D47066">
        <w:rPr>
          <w:rFonts w:ascii="David" w:eastAsia="Calibri" w:hAnsi="David" w:cs="David" w:hint="cs"/>
          <w:sz w:val="24"/>
          <w:szCs w:val="24"/>
          <w:shd w:val="clear" w:color="auto" w:fill="FFFFFF"/>
          <w:rtl/>
        </w:rPr>
        <w:t xml:space="preserve">חבריו </w:t>
      </w:r>
      <w:r>
        <w:rPr>
          <w:rFonts w:ascii="David" w:eastAsia="Calibri" w:hAnsi="David" w:cs="David" w:hint="cs"/>
          <w:sz w:val="24"/>
          <w:szCs w:val="24"/>
          <w:shd w:val="clear" w:color="auto" w:fill="FFFFFF"/>
          <w:rtl/>
        </w:rPr>
        <w:t>וטוען ש</w:t>
      </w:r>
      <w:r w:rsidR="00870841">
        <w:rPr>
          <w:rFonts w:ascii="David" w:eastAsia="Calibri" w:hAnsi="David" w:cs="David" w:hint="cs"/>
          <w:sz w:val="24"/>
          <w:szCs w:val="24"/>
          <w:shd w:val="clear" w:color="auto" w:fill="FFFFFF"/>
          <w:rtl/>
        </w:rPr>
        <w:t>ה</w:t>
      </w:r>
      <w:r>
        <w:rPr>
          <w:rFonts w:ascii="David" w:eastAsia="Calibri" w:hAnsi="David" w:cs="David" w:hint="cs"/>
          <w:sz w:val="24"/>
          <w:szCs w:val="24"/>
          <w:shd w:val="clear" w:color="auto" w:fill="FFFFFF"/>
          <w:rtl/>
        </w:rPr>
        <w:t xml:space="preserve">ציווי חל גם על </w:t>
      </w:r>
      <w:r w:rsidR="00B50443">
        <w:rPr>
          <w:rFonts w:ascii="David" w:eastAsia="Calibri" w:hAnsi="David" w:cs="David" w:hint="cs"/>
          <w:sz w:val="24"/>
          <w:szCs w:val="24"/>
          <w:shd w:val="clear" w:color="auto" w:fill="FFFFFF"/>
          <w:rtl/>
        </w:rPr>
        <w:t>'</w:t>
      </w:r>
      <w:r>
        <w:rPr>
          <w:rFonts w:ascii="David" w:eastAsia="Calibri" w:hAnsi="David" w:cs="David" w:hint="cs"/>
          <w:sz w:val="24"/>
          <w:szCs w:val="24"/>
          <w:shd w:val="clear" w:color="auto" w:fill="FFFFFF"/>
          <w:rtl/>
        </w:rPr>
        <w:t>פסח דורות</w:t>
      </w:r>
      <w:r w:rsidR="00B50443">
        <w:rPr>
          <w:rFonts w:ascii="David" w:eastAsia="Calibri" w:hAnsi="David" w:cs="David" w:hint="cs"/>
          <w:sz w:val="24"/>
          <w:szCs w:val="24"/>
          <w:shd w:val="clear" w:color="auto" w:fill="FFFFFF"/>
          <w:rtl/>
        </w:rPr>
        <w:t>'</w:t>
      </w:r>
      <w:r w:rsidR="00375B56">
        <w:rPr>
          <w:rFonts w:ascii="David" w:eastAsia="Calibri" w:hAnsi="David" w:cs="David" w:hint="cs"/>
          <w:sz w:val="24"/>
          <w:szCs w:val="24"/>
          <w:shd w:val="clear" w:color="auto" w:fill="FFFFFF"/>
          <w:rtl/>
        </w:rPr>
        <w:t xml:space="preserve">, </w:t>
      </w:r>
      <w:r w:rsidR="008971FD">
        <w:rPr>
          <w:rFonts w:ascii="David" w:eastAsia="Calibri" w:hAnsi="David" w:cs="David" w:hint="cs"/>
          <w:sz w:val="24"/>
          <w:szCs w:val="24"/>
          <w:shd w:val="clear" w:color="auto" w:fill="FFFFFF"/>
          <w:rtl/>
        </w:rPr>
        <w:t xml:space="preserve">אך </w:t>
      </w:r>
      <w:r w:rsidR="006C4D37">
        <w:rPr>
          <w:rFonts w:ascii="David" w:eastAsia="Calibri" w:hAnsi="David" w:cs="David" w:hint="cs"/>
          <w:sz w:val="24"/>
          <w:szCs w:val="24"/>
          <w:shd w:val="clear" w:color="auto" w:fill="FFFFFF"/>
          <w:rtl/>
        </w:rPr>
        <w:t xml:space="preserve">הוא </w:t>
      </w:r>
      <w:r w:rsidR="006259BB">
        <w:rPr>
          <w:rFonts w:ascii="David" w:eastAsia="Calibri" w:hAnsi="David" w:cs="David" w:hint="cs"/>
          <w:sz w:val="24"/>
          <w:szCs w:val="24"/>
          <w:shd w:val="clear" w:color="auto" w:fill="FFFFFF"/>
          <w:rtl/>
        </w:rPr>
        <w:t xml:space="preserve">מציע פתרון אחר. </w:t>
      </w:r>
      <w:r w:rsidR="005B4E21">
        <w:rPr>
          <w:rFonts w:ascii="David" w:eastAsia="Calibri" w:hAnsi="David" w:cs="David" w:hint="cs"/>
          <w:sz w:val="24"/>
          <w:szCs w:val="24"/>
          <w:shd w:val="clear" w:color="auto" w:fill="FFFFFF"/>
          <w:rtl/>
        </w:rPr>
        <w:t>לשיטתו יש להסתכל על</w:t>
      </w:r>
      <w:r w:rsidR="00904F96">
        <w:rPr>
          <w:rFonts w:ascii="David" w:eastAsia="Calibri" w:hAnsi="David" w:cs="David" w:hint="cs"/>
          <w:sz w:val="24"/>
          <w:szCs w:val="24"/>
          <w:shd w:val="clear" w:color="auto" w:fill="FFFFFF"/>
          <w:rtl/>
        </w:rPr>
        <w:t xml:space="preserve"> </w:t>
      </w:r>
      <w:r w:rsidR="00CB6708">
        <w:rPr>
          <w:rFonts w:ascii="SBL Greek" w:eastAsia="Calibri" w:hAnsi="SBL Greek" w:cs="David"/>
          <w:sz w:val="24"/>
          <w:szCs w:val="24"/>
          <w:shd w:val="clear" w:color="auto" w:fill="FFFFFF"/>
        </w:rPr>
        <w:t>‘</w:t>
      </w:r>
      <w:r w:rsidR="00904F96" w:rsidRPr="00534405">
        <w:rPr>
          <w:rFonts w:ascii="David" w:eastAsia="Calibri" w:hAnsi="David" w:cs="David"/>
          <w:sz w:val="24"/>
          <w:szCs w:val="24"/>
          <w:shd w:val="clear" w:color="auto" w:fill="FFFFFF"/>
        </w:rPr>
        <w:t xml:space="preserve">his </w:t>
      </w:r>
      <w:proofErr w:type="spellStart"/>
      <w:r w:rsidR="00904F96" w:rsidRPr="00534405">
        <w:rPr>
          <w:rFonts w:ascii="David" w:eastAsia="Calibri" w:hAnsi="David" w:cs="David"/>
          <w:sz w:val="24"/>
          <w:szCs w:val="24"/>
          <w:shd w:val="clear" w:color="auto" w:fill="FFFFFF"/>
        </w:rPr>
        <w:t>nieghbor</w:t>
      </w:r>
      <w:proofErr w:type="spellEnd"/>
      <w:r w:rsidR="00904F96" w:rsidRPr="00534405">
        <w:rPr>
          <w:rFonts w:ascii="David" w:eastAsia="Calibri" w:hAnsi="David" w:cs="David"/>
          <w:sz w:val="24"/>
          <w:szCs w:val="24"/>
          <w:shd w:val="clear" w:color="auto" w:fill="FFFFFF"/>
        </w:rPr>
        <w:t>’</w:t>
      </w:r>
      <w:r w:rsidR="005B4E21" w:rsidRPr="00534405">
        <w:rPr>
          <w:rFonts w:ascii="David" w:eastAsia="Calibri" w:hAnsi="David" w:cs="David"/>
          <w:sz w:val="24"/>
          <w:szCs w:val="24"/>
          <w:shd w:val="clear" w:color="auto" w:fill="FFFFFF"/>
          <w:rtl/>
        </w:rPr>
        <w:t xml:space="preserve"> </w:t>
      </w:r>
      <w:r w:rsidR="005B4E21">
        <w:rPr>
          <w:rFonts w:ascii="David" w:eastAsia="Calibri" w:hAnsi="David" w:cs="David" w:hint="cs"/>
          <w:sz w:val="24"/>
          <w:szCs w:val="24"/>
          <w:shd w:val="clear" w:color="auto" w:fill="FFFFFF"/>
          <w:rtl/>
        </w:rPr>
        <w:t>כביטוי כולל, ש</w:t>
      </w:r>
      <w:r w:rsidR="006337EC">
        <w:rPr>
          <w:rFonts w:ascii="David" w:eastAsia="Calibri" w:hAnsi="David" w:cs="David" w:hint="cs"/>
          <w:sz w:val="24"/>
          <w:szCs w:val="24"/>
          <w:shd w:val="clear" w:color="auto" w:fill="FFFFFF"/>
          <w:rtl/>
        </w:rPr>
        <w:t>מכוון</w:t>
      </w:r>
      <w:r w:rsidR="005B4E21">
        <w:rPr>
          <w:rFonts w:ascii="David" w:eastAsia="Calibri" w:hAnsi="David" w:cs="David" w:hint="cs"/>
          <w:sz w:val="24"/>
          <w:szCs w:val="24"/>
          <w:shd w:val="clear" w:color="auto" w:fill="FFFFFF"/>
          <w:rtl/>
        </w:rPr>
        <w:t xml:space="preserve"> </w:t>
      </w:r>
      <w:r w:rsidR="006337EC">
        <w:rPr>
          <w:rFonts w:ascii="David" w:eastAsia="Calibri" w:hAnsi="David" w:cs="David" w:hint="cs"/>
          <w:sz w:val="24"/>
          <w:szCs w:val="24"/>
          <w:shd w:val="clear" w:color="auto" w:fill="FFFFFF"/>
          <w:rtl/>
        </w:rPr>
        <w:t>לס</w:t>
      </w:r>
      <w:r w:rsidR="005B4E21">
        <w:rPr>
          <w:rFonts w:ascii="David" w:eastAsia="Calibri" w:hAnsi="David" w:cs="David" w:hint="cs"/>
          <w:sz w:val="24"/>
          <w:szCs w:val="24"/>
          <w:shd w:val="clear" w:color="auto" w:fill="FFFFFF"/>
          <w:rtl/>
        </w:rPr>
        <w:t xml:space="preserve">ביבת מגוריו של </w:t>
      </w:r>
      <w:r w:rsidR="0089498D">
        <w:rPr>
          <w:rFonts w:ascii="David" w:eastAsia="Calibri" w:hAnsi="David" w:cs="David" w:hint="cs"/>
          <w:sz w:val="24"/>
          <w:szCs w:val="24"/>
          <w:shd w:val="clear" w:color="auto" w:fill="FFFFFF"/>
          <w:rtl/>
        </w:rPr>
        <w:t>ה</w:t>
      </w:r>
      <w:r w:rsidR="005B4E21">
        <w:rPr>
          <w:rFonts w:ascii="David" w:eastAsia="Calibri" w:hAnsi="David" w:cs="David" w:hint="cs"/>
          <w:sz w:val="24"/>
          <w:szCs w:val="24"/>
          <w:shd w:val="clear" w:color="auto" w:fill="FFFFFF"/>
          <w:rtl/>
        </w:rPr>
        <w:t>אדם כולה</w:t>
      </w:r>
      <w:r w:rsidR="00905757">
        <w:rPr>
          <w:rFonts w:ascii="David" w:eastAsia="Calibri" w:hAnsi="David" w:cs="David" w:hint="cs"/>
          <w:sz w:val="24"/>
          <w:szCs w:val="24"/>
          <w:shd w:val="clear" w:color="auto" w:fill="FFFFFF"/>
          <w:rtl/>
        </w:rPr>
        <w:t xml:space="preserve">, כלומר </w:t>
      </w:r>
      <w:r w:rsidR="00CF31E7">
        <w:rPr>
          <w:rFonts w:ascii="David" w:eastAsia="Calibri" w:hAnsi="David" w:cs="David" w:hint="cs"/>
          <w:sz w:val="24"/>
          <w:szCs w:val="24"/>
          <w:shd w:val="clear" w:color="auto" w:fill="FFFFFF"/>
          <w:rtl/>
        </w:rPr>
        <w:t>ל</w:t>
      </w:r>
      <w:r w:rsidR="00905757">
        <w:rPr>
          <w:rFonts w:ascii="David" w:eastAsia="Calibri" w:hAnsi="David" w:cs="David" w:hint="cs"/>
          <w:sz w:val="24"/>
          <w:szCs w:val="24"/>
          <w:shd w:val="clear" w:color="auto" w:fill="FFFFFF"/>
          <w:rtl/>
        </w:rPr>
        <w:t xml:space="preserve">חברי </w:t>
      </w:r>
      <w:r w:rsidR="00CF31E7">
        <w:rPr>
          <w:rFonts w:ascii="David" w:eastAsia="Calibri" w:hAnsi="David" w:cs="David" w:hint="cs"/>
          <w:sz w:val="24"/>
          <w:szCs w:val="24"/>
          <w:shd w:val="clear" w:color="auto" w:fill="FFFFFF"/>
          <w:rtl/>
        </w:rPr>
        <w:t xml:space="preserve">קהילתו, </w:t>
      </w:r>
      <w:r w:rsidR="003878E5">
        <w:rPr>
          <w:rFonts w:ascii="David" w:eastAsia="Calibri" w:hAnsi="David" w:cs="David" w:hint="cs"/>
          <w:sz w:val="24"/>
          <w:szCs w:val="24"/>
          <w:shd w:val="clear" w:color="auto" w:fill="FFFFFF"/>
          <w:rtl/>
        </w:rPr>
        <w:t>שאיתם</w:t>
      </w:r>
      <w:r w:rsidR="00344A7E">
        <w:rPr>
          <w:rFonts w:ascii="David" w:eastAsia="Calibri" w:hAnsi="David" w:cs="David" w:hint="cs"/>
          <w:sz w:val="24"/>
          <w:szCs w:val="24"/>
          <w:shd w:val="clear" w:color="auto" w:fill="FFFFFF"/>
          <w:rtl/>
        </w:rPr>
        <w:t xml:space="preserve"> </w:t>
      </w:r>
      <w:r w:rsidR="00CF31E7">
        <w:rPr>
          <w:rFonts w:ascii="David" w:eastAsia="Calibri" w:hAnsi="David" w:cs="David" w:hint="cs"/>
          <w:sz w:val="24"/>
          <w:szCs w:val="24"/>
          <w:shd w:val="clear" w:color="auto" w:fill="FFFFFF"/>
          <w:rtl/>
        </w:rPr>
        <w:t>יש לו אינטראקצי</w:t>
      </w:r>
      <w:r w:rsidR="003878E5">
        <w:rPr>
          <w:rFonts w:ascii="David" w:eastAsia="Calibri" w:hAnsi="David" w:cs="David" w:hint="cs"/>
          <w:sz w:val="24"/>
          <w:szCs w:val="24"/>
          <w:shd w:val="clear" w:color="auto" w:fill="FFFFFF"/>
          <w:rtl/>
        </w:rPr>
        <w:t xml:space="preserve">ות </w:t>
      </w:r>
      <w:r w:rsidR="00F84DAF">
        <w:rPr>
          <w:rFonts w:ascii="David" w:eastAsia="Calibri" w:hAnsi="David" w:cs="David" w:hint="cs"/>
          <w:sz w:val="24"/>
          <w:szCs w:val="24"/>
          <w:shd w:val="clear" w:color="auto" w:fill="FFFFFF"/>
          <w:rtl/>
        </w:rPr>
        <w:t>יום-יומיות</w:t>
      </w:r>
      <w:r w:rsidR="003878E5">
        <w:rPr>
          <w:rFonts w:ascii="David" w:eastAsia="Calibri" w:hAnsi="David" w:cs="David" w:hint="cs"/>
          <w:sz w:val="24"/>
          <w:szCs w:val="24"/>
          <w:shd w:val="clear" w:color="auto" w:fill="FFFFFF"/>
          <w:rtl/>
        </w:rPr>
        <w:t>:</w:t>
      </w:r>
      <w:r w:rsidR="005B4E21">
        <w:rPr>
          <w:rFonts w:ascii="David" w:eastAsia="Calibri" w:hAnsi="David" w:cs="David" w:hint="cs"/>
          <w:sz w:val="24"/>
          <w:szCs w:val="24"/>
          <w:shd w:val="clear" w:color="auto" w:fill="FFFFFF"/>
          <w:rtl/>
        </w:rPr>
        <w:t xml:space="preserve"> </w:t>
      </w:r>
      <w:r w:rsidR="004208B3">
        <w:rPr>
          <w:rFonts w:ascii="SBL Greek" w:eastAsia="Calibri" w:hAnsi="SBL Greek" w:cs="Times New Roman"/>
          <w:sz w:val="24"/>
          <w:szCs w:val="24"/>
          <w:shd w:val="clear" w:color="auto" w:fill="FFFFFF"/>
        </w:rPr>
        <w:t>“</w:t>
      </w:r>
      <w:r w:rsidR="004208B3" w:rsidRPr="002561F6">
        <w:rPr>
          <w:rFonts w:ascii="Times New Roman" w:eastAsia="Calibri" w:hAnsi="Times New Roman" w:cs="Times New Roman"/>
          <w:sz w:val="24"/>
          <w:szCs w:val="24"/>
          <w:shd w:val="clear" w:color="auto" w:fill="FFFFFF"/>
        </w:rPr>
        <w:t>his beloved, his neighbors, acquaintance, close ones, or one of his towns citizens</w:t>
      </w:r>
      <w:r w:rsidR="004208B3">
        <w:rPr>
          <w:rFonts w:ascii="SBL Greek" w:eastAsia="Calibri" w:hAnsi="SBL Greek" w:cs="Times New Roman"/>
          <w:sz w:val="24"/>
          <w:szCs w:val="24"/>
          <w:shd w:val="clear" w:color="auto" w:fill="FFFFFF"/>
        </w:rPr>
        <w:t>”</w:t>
      </w:r>
      <w:r w:rsidR="00376138">
        <w:rPr>
          <w:rFonts w:ascii="David" w:eastAsia="Calibri" w:hAnsi="David" w:cs="David" w:hint="cs"/>
          <w:sz w:val="24"/>
          <w:szCs w:val="24"/>
          <w:shd w:val="clear" w:color="auto" w:fill="FFFFFF"/>
          <w:rtl/>
        </w:rPr>
        <w:t xml:space="preserve"> </w:t>
      </w:r>
      <w:r w:rsidR="003E410C">
        <w:rPr>
          <w:rFonts w:ascii="David" w:eastAsia="Calibri" w:hAnsi="David" w:cs="David" w:hint="cs"/>
          <w:sz w:val="24"/>
          <w:szCs w:val="24"/>
          <w:shd w:val="clear" w:color="auto" w:fill="FFFFFF"/>
          <w:rtl/>
        </w:rPr>
        <w:t xml:space="preserve">ולא עם </w:t>
      </w:r>
      <w:r w:rsidR="00BA5AEE">
        <w:rPr>
          <w:rFonts w:ascii="David" w:eastAsia="Calibri" w:hAnsi="David" w:cs="David" w:hint="cs"/>
          <w:sz w:val="24"/>
          <w:szCs w:val="24"/>
          <w:shd w:val="clear" w:color="auto" w:fill="FFFFFF"/>
          <w:rtl/>
        </w:rPr>
        <w:t xml:space="preserve">אנשים שמתגוררים </w:t>
      </w:r>
      <w:r w:rsidR="001F62B0">
        <w:rPr>
          <w:rFonts w:ascii="David" w:eastAsia="Calibri" w:hAnsi="David" w:cs="David" w:hint="cs"/>
          <w:sz w:val="24"/>
          <w:szCs w:val="24"/>
          <w:shd w:val="clear" w:color="auto" w:fill="FFFFFF"/>
          <w:rtl/>
        </w:rPr>
        <w:t>ביישוב אחר</w:t>
      </w:r>
      <w:r w:rsidR="00C665BB">
        <w:rPr>
          <w:rFonts w:ascii="David" w:eastAsia="Calibri" w:hAnsi="David" w:cs="David" w:hint="cs"/>
          <w:sz w:val="24"/>
          <w:szCs w:val="24"/>
          <w:shd w:val="clear" w:color="auto" w:fill="FFFFFF"/>
          <w:rtl/>
        </w:rPr>
        <w:t>,</w:t>
      </w:r>
      <w:r w:rsidR="00E905D0">
        <w:rPr>
          <w:rFonts w:ascii="David" w:eastAsia="Calibri" w:hAnsi="David" w:cs="David" w:hint="cs"/>
          <w:sz w:val="24"/>
          <w:szCs w:val="24"/>
          <w:shd w:val="clear" w:color="auto" w:fill="FFFFFF"/>
          <w:rtl/>
        </w:rPr>
        <w:t xml:space="preserve"> </w:t>
      </w:r>
      <w:r w:rsidR="00C665BB">
        <w:rPr>
          <w:rFonts w:ascii="David" w:eastAsia="Calibri" w:hAnsi="David" w:cs="David" w:hint="cs"/>
          <w:sz w:val="24"/>
          <w:szCs w:val="24"/>
          <w:shd w:val="clear" w:color="auto" w:fill="FFFFFF"/>
          <w:rtl/>
        </w:rPr>
        <w:t xml:space="preserve">שאותם </w:t>
      </w:r>
      <w:r w:rsidR="00E905D0">
        <w:rPr>
          <w:rFonts w:ascii="David" w:eastAsia="Calibri" w:hAnsi="David" w:cs="David" w:hint="cs"/>
          <w:sz w:val="24"/>
          <w:szCs w:val="24"/>
          <w:shd w:val="clear" w:color="auto" w:fill="FFFFFF"/>
          <w:rtl/>
        </w:rPr>
        <w:t>הוא מכנה</w:t>
      </w:r>
      <w:r w:rsidR="00B226BD">
        <w:rPr>
          <w:rFonts w:ascii="David" w:eastAsia="Calibri" w:hAnsi="David" w:cs="David" w:hint="cs"/>
          <w:sz w:val="24"/>
          <w:szCs w:val="24"/>
          <w:shd w:val="clear" w:color="auto" w:fill="FFFFFF"/>
          <w:rtl/>
        </w:rPr>
        <w:t xml:space="preserve"> -</w:t>
      </w:r>
      <w:r w:rsidR="00E905D0">
        <w:rPr>
          <w:rFonts w:ascii="David" w:eastAsia="Calibri" w:hAnsi="David" w:cs="David" w:hint="cs"/>
          <w:sz w:val="24"/>
          <w:szCs w:val="24"/>
          <w:shd w:val="clear" w:color="auto" w:fill="FFFFFF"/>
          <w:rtl/>
        </w:rPr>
        <w:t xml:space="preserve"> </w:t>
      </w:r>
      <w:r w:rsidR="00CC4DA1">
        <w:rPr>
          <w:rFonts w:ascii="David" w:eastAsia="Calibri" w:hAnsi="David" w:cs="David" w:hint="cs"/>
          <w:sz w:val="24"/>
          <w:szCs w:val="24"/>
          <w:shd w:val="clear" w:color="auto" w:fill="FFFFFF"/>
          <w:rtl/>
        </w:rPr>
        <w:t>באופן שמבטא ניכור</w:t>
      </w:r>
      <w:r w:rsidR="00BD1237">
        <w:rPr>
          <w:rFonts w:ascii="David" w:eastAsia="Calibri" w:hAnsi="David" w:cs="David" w:hint="cs"/>
          <w:sz w:val="24"/>
          <w:szCs w:val="24"/>
          <w:shd w:val="clear" w:color="auto" w:fill="FFFFFF"/>
          <w:rtl/>
        </w:rPr>
        <w:t xml:space="preserve"> רגשי</w:t>
      </w:r>
      <w:r w:rsidR="00B226BD">
        <w:rPr>
          <w:rFonts w:ascii="David" w:eastAsia="Calibri" w:hAnsi="David" w:cs="David" w:hint="cs"/>
          <w:sz w:val="24"/>
          <w:szCs w:val="24"/>
          <w:shd w:val="clear" w:color="auto" w:fill="FFFFFF"/>
          <w:rtl/>
        </w:rPr>
        <w:t xml:space="preserve"> </w:t>
      </w:r>
      <w:r w:rsidR="00BA5AEE">
        <w:rPr>
          <w:rFonts w:ascii="David" w:eastAsia="Calibri" w:hAnsi="David" w:cs="David"/>
          <w:sz w:val="24"/>
          <w:szCs w:val="24"/>
          <w:shd w:val="clear" w:color="auto" w:fill="FFFFFF"/>
          <w:rtl/>
        </w:rPr>
        <w:t>–</w:t>
      </w:r>
      <w:r w:rsidR="00C665BB">
        <w:rPr>
          <w:rFonts w:ascii="David" w:eastAsia="Calibri" w:hAnsi="David" w:cs="David" w:hint="cs"/>
          <w:sz w:val="24"/>
          <w:szCs w:val="24"/>
          <w:shd w:val="clear" w:color="auto" w:fill="FFFFFF"/>
          <w:rtl/>
        </w:rPr>
        <w:t xml:space="preserve"> בשם</w:t>
      </w:r>
      <w:r w:rsidR="00BA5AEE">
        <w:rPr>
          <w:rFonts w:ascii="David" w:eastAsia="Calibri" w:hAnsi="David" w:cs="David" w:hint="cs"/>
          <w:sz w:val="24"/>
          <w:szCs w:val="24"/>
          <w:shd w:val="clear" w:color="auto" w:fill="FFFFFF"/>
          <w:rtl/>
        </w:rPr>
        <w:t xml:space="preserve"> הכולל</w:t>
      </w:r>
      <w:r w:rsidR="00CC4DA1">
        <w:rPr>
          <w:rFonts w:ascii="David" w:eastAsia="Calibri" w:hAnsi="David" w:cs="David" w:hint="cs"/>
          <w:sz w:val="24"/>
          <w:szCs w:val="24"/>
          <w:shd w:val="clear" w:color="auto" w:fill="FFFFFF"/>
          <w:rtl/>
        </w:rPr>
        <w:t xml:space="preserve"> </w:t>
      </w:r>
      <w:r w:rsidR="003E410C">
        <w:rPr>
          <w:rFonts w:ascii="SBL Greek" w:eastAsia="Calibri" w:hAnsi="SBL Greek" w:cs="Times New Roman"/>
          <w:sz w:val="24"/>
          <w:szCs w:val="24"/>
          <w:shd w:val="clear" w:color="auto" w:fill="FFFFFF"/>
        </w:rPr>
        <w:t>“</w:t>
      </w:r>
      <w:r w:rsidR="00265390">
        <w:rPr>
          <w:rFonts w:ascii="Times New Roman" w:eastAsia="Calibri" w:hAnsi="Times New Roman" w:cs="Times New Roman"/>
          <w:sz w:val="24"/>
          <w:szCs w:val="24"/>
          <w:shd w:val="clear" w:color="auto" w:fill="FFFFFF"/>
        </w:rPr>
        <w:t>O</w:t>
      </w:r>
      <w:r w:rsidR="00D66A0A" w:rsidRPr="002561F6">
        <w:rPr>
          <w:rFonts w:ascii="Times New Roman" w:eastAsia="Calibri" w:hAnsi="Times New Roman" w:cs="Times New Roman"/>
          <w:sz w:val="24"/>
          <w:szCs w:val="24"/>
          <w:shd w:val="clear" w:color="auto" w:fill="FFFFFF"/>
        </w:rPr>
        <w:t>thers</w:t>
      </w:r>
      <w:r w:rsidR="00265390">
        <w:rPr>
          <w:rFonts w:ascii="SBL Greek" w:eastAsia="Calibri" w:hAnsi="SBL Greek" w:cs="Times New Roman"/>
          <w:sz w:val="24"/>
          <w:szCs w:val="24"/>
          <w:shd w:val="clear" w:color="auto" w:fill="FFFFFF"/>
        </w:rPr>
        <w:t>”</w:t>
      </w:r>
      <w:r w:rsidR="00376138">
        <w:rPr>
          <w:rFonts w:ascii="David" w:eastAsia="Calibri" w:hAnsi="David" w:cs="David"/>
          <w:sz w:val="24"/>
          <w:szCs w:val="24"/>
          <w:shd w:val="clear" w:color="auto" w:fill="FFFFFF"/>
        </w:rPr>
        <w:t xml:space="preserve"> </w:t>
      </w:r>
      <w:r w:rsidR="003E410C">
        <w:rPr>
          <w:rFonts w:ascii="David" w:eastAsia="Calibri" w:hAnsi="David" w:cs="David" w:hint="cs"/>
          <w:sz w:val="24"/>
          <w:szCs w:val="24"/>
          <w:shd w:val="clear" w:color="auto" w:fill="FFFFFF"/>
          <w:rtl/>
        </w:rPr>
        <w:t>. זאת</w:t>
      </w:r>
      <w:r w:rsidR="00376138">
        <w:rPr>
          <w:rFonts w:ascii="David" w:eastAsia="Calibri" w:hAnsi="David" w:cs="David" w:hint="cs"/>
          <w:sz w:val="24"/>
          <w:szCs w:val="24"/>
          <w:shd w:val="clear" w:color="auto" w:fill="FFFFFF"/>
          <w:rtl/>
        </w:rPr>
        <w:t xml:space="preserve"> </w:t>
      </w:r>
      <w:r w:rsidR="005663A8">
        <w:rPr>
          <w:rFonts w:ascii="David" w:eastAsia="Calibri" w:hAnsi="David" w:cs="David" w:hint="cs"/>
          <w:sz w:val="24"/>
          <w:szCs w:val="24"/>
          <w:shd w:val="clear" w:color="auto" w:fill="FFFFFF"/>
          <w:rtl/>
        </w:rPr>
        <w:t xml:space="preserve">כדי </w:t>
      </w:r>
      <w:r w:rsidR="00F84DAF">
        <w:rPr>
          <w:rFonts w:ascii="David" w:eastAsia="Calibri" w:hAnsi="David" w:cs="David" w:hint="cs"/>
          <w:sz w:val="24"/>
          <w:szCs w:val="24"/>
          <w:shd w:val="clear" w:color="auto" w:fill="FFFFFF"/>
          <w:rtl/>
        </w:rPr>
        <w:t>לקיים את</w:t>
      </w:r>
      <w:r w:rsidR="001F62B0">
        <w:rPr>
          <w:rFonts w:ascii="David" w:eastAsia="Calibri" w:hAnsi="David" w:cs="David" w:hint="cs"/>
          <w:sz w:val="24"/>
          <w:szCs w:val="24"/>
          <w:shd w:val="clear" w:color="auto" w:fill="FFFFFF"/>
          <w:rtl/>
        </w:rPr>
        <w:t xml:space="preserve"> </w:t>
      </w:r>
      <w:r w:rsidR="001A1C3D">
        <w:rPr>
          <w:rFonts w:ascii="David" w:eastAsia="Calibri" w:hAnsi="David" w:cs="David" w:hint="cs"/>
          <w:sz w:val="24"/>
          <w:szCs w:val="24"/>
          <w:shd w:val="clear" w:color="auto" w:fill="FFFFFF"/>
          <w:rtl/>
        </w:rPr>
        <w:t xml:space="preserve">שנאמר </w:t>
      </w:r>
      <w:r w:rsidR="0035199C">
        <w:rPr>
          <w:rFonts w:ascii="David" w:eastAsia="Calibri" w:hAnsi="David" w:cs="David" w:hint="cs"/>
          <w:sz w:val="24"/>
          <w:szCs w:val="24"/>
          <w:shd w:val="clear" w:color="auto" w:fill="FFFFFF"/>
          <w:rtl/>
        </w:rPr>
        <w:t xml:space="preserve">בספר </w:t>
      </w:r>
      <w:r w:rsidR="00FB5E61">
        <w:rPr>
          <w:rFonts w:ascii="David" w:eastAsia="Calibri" w:hAnsi="David" w:cs="David" w:hint="cs"/>
          <w:sz w:val="24"/>
          <w:szCs w:val="24"/>
          <w:shd w:val="clear" w:color="auto" w:fill="FFFFFF"/>
          <w:rtl/>
        </w:rPr>
        <w:t xml:space="preserve">משלי </w:t>
      </w:r>
      <w:proofErr w:type="spellStart"/>
      <w:r w:rsidR="00FB5E61">
        <w:rPr>
          <w:rFonts w:ascii="David" w:eastAsia="Calibri" w:hAnsi="David" w:cs="David" w:hint="cs"/>
          <w:sz w:val="24"/>
          <w:szCs w:val="24"/>
          <w:shd w:val="clear" w:color="auto" w:fill="FFFFFF"/>
          <w:rtl/>
        </w:rPr>
        <w:t>כז</w:t>
      </w:r>
      <w:proofErr w:type="spellEnd"/>
      <w:r w:rsidR="00A00E8C">
        <w:rPr>
          <w:rFonts w:ascii="David" w:eastAsia="Calibri" w:hAnsi="David" w:cs="David" w:hint="cs"/>
          <w:sz w:val="24"/>
          <w:szCs w:val="24"/>
          <w:shd w:val="clear" w:color="auto" w:fill="FFFFFF"/>
          <w:rtl/>
        </w:rPr>
        <w:t>,</w:t>
      </w:r>
      <w:r w:rsidR="00FB5E61">
        <w:rPr>
          <w:rFonts w:ascii="David" w:eastAsia="Calibri" w:hAnsi="David" w:cs="David" w:hint="cs"/>
          <w:sz w:val="24"/>
          <w:szCs w:val="24"/>
          <w:shd w:val="clear" w:color="auto" w:fill="FFFFFF"/>
          <w:rtl/>
        </w:rPr>
        <w:t xml:space="preserve"> י: </w:t>
      </w:r>
      <w:r w:rsidR="00592A97" w:rsidRPr="00592A97">
        <w:rPr>
          <w:rFonts w:asciiTheme="majorBidi" w:eastAsia="Calibri" w:hAnsiTheme="majorBidi" w:cstheme="majorBidi"/>
          <w:sz w:val="24"/>
          <w:szCs w:val="24"/>
          <w:shd w:val="clear" w:color="auto" w:fill="FFFFFF"/>
        </w:rPr>
        <w:t>“A close neighbor is better than a distant brother”</w:t>
      </w:r>
      <w:r w:rsidR="00582D5C">
        <w:rPr>
          <w:rFonts w:eastAsia="Calibri" w:cs="David" w:hint="cs"/>
          <w:sz w:val="24"/>
          <w:szCs w:val="24"/>
          <w:shd w:val="clear" w:color="auto" w:fill="FFFFFF"/>
          <w:rtl/>
        </w:rPr>
        <w:t xml:space="preserve">. כך הופך ר' שמעון את הפסוק </w:t>
      </w:r>
      <w:r w:rsidR="00732FA3">
        <w:rPr>
          <w:rFonts w:eastAsia="Calibri" w:cs="David" w:hint="cs"/>
          <w:sz w:val="24"/>
          <w:szCs w:val="24"/>
          <w:shd w:val="clear" w:color="auto" w:fill="FFFFFF"/>
          <w:rtl/>
        </w:rPr>
        <w:t>ב</w:t>
      </w:r>
      <w:r w:rsidR="00520587">
        <w:rPr>
          <w:rFonts w:eastAsia="Calibri" w:cs="David" w:hint="cs"/>
          <w:sz w:val="24"/>
          <w:szCs w:val="24"/>
          <w:shd w:val="clear" w:color="auto" w:fill="FFFFFF"/>
          <w:rtl/>
        </w:rPr>
        <w:t>ספר משלי</w:t>
      </w:r>
      <w:r w:rsidR="00582D5C">
        <w:rPr>
          <w:rFonts w:eastAsia="Calibri" w:cs="David" w:hint="cs"/>
          <w:sz w:val="24"/>
          <w:szCs w:val="24"/>
          <w:shd w:val="clear" w:color="auto" w:fill="FFFFFF"/>
          <w:rtl/>
        </w:rPr>
        <w:t xml:space="preserve"> מתיאור</w:t>
      </w:r>
      <w:r w:rsidR="00FA357D">
        <w:rPr>
          <w:rFonts w:eastAsia="Calibri" w:cs="David" w:hint="cs"/>
          <w:sz w:val="24"/>
          <w:szCs w:val="24"/>
          <w:shd w:val="clear" w:color="auto" w:fill="FFFFFF"/>
          <w:rtl/>
        </w:rPr>
        <w:t xml:space="preserve"> מצב</w:t>
      </w:r>
      <w:r w:rsidR="00520587">
        <w:rPr>
          <w:rFonts w:eastAsia="Calibri" w:cs="David" w:hint="cs"/>
          <w:sz w:val="24"/>
          <w:szCs w:val="24"/>
          <w:shd w:val="clear" w:color="auto" w:fill="FFFFFF"/>
          <w:rtl/>
        </w:rPr>
        <w:t>,</w:t>
      </w:r>
      <w:r w:rsidR="00582D5C">
        <w:rPr>
          <w:rFonts w:eastAsia="Calibri" w:cs="David" w:hint="cs"/>
          <w:sz w:val="24"/>
          <w:szCs w:val="24"/>
          <w:shd w:val="clear" w:color="auto" w:fill="FFFFFF"/>
          <w:rtl/>
        </w:rPr>
        <w:t xml:space="preserve"> או עצה </w:t>
      </w:r>
      <w:r w:rsidR="00520587">
        <w:rPr>
          <w:rFonts w:eastAsia="Calibri" w:cs="David" w:hint="cs"/>
          <w:sz w:val="24"/>
          <w:szCs w:val="24"/>
          <w:shd w:val="clear" w:color="auto" w:fill="FFFFFF"/>
          <w:rtl/>
        </w:rPr>
        <w:t xml:space="preserve">מעשית </w:t>
      </w:r>
      <w:r w:rsidR="00582D5C">
        <w:rPr>
          <w:rFonts w:eastAsia="Calibri" w:cs="David" w:hint="cs"/>
          <w:sz w:val="24"/>
          <w:szCs w:val="24"/>
          <w:shd w:val="clear" w:color="auto" w:fill="FFFFFF"/>
          <w:rtl/>
        </w:rPr>
        <w:t>לחיים</w:t>
      </w:r>
      <w:r w:rsidR="00520587">
        <w:rPr>
          <w:rFonts w:eastAsia="Calibri" w:cs="David" w:hint="cs"/>
          <w:sz w:val="24"/>
          <w:szCs w:val="24"/>
          <w:shd w:val="clear" w:color="auto" w:fill="FFFFFF"/>
          <w:rtl/>
        </w:rPr>
        <w:t>,</w:t>
      </w:r>
      <w:r w:rsidR="00582D5C">
        <w:rPr>
          <w:rFonts w:eastAsia="Calibri" w:cs="David" w:hint="cs"/>
          <w:sz w:val="24"/>
          <w:szCs w:val="24"/>
          <w:shd w:val="clear" w:color="auto" w:fill="FFFFFF"/>
          <w:rtl/>
        </w:rPr>
        <w:t xml:space="preserve"> לציווי נורמטיבי</w:t>
      </w:r>
      <w:r w:rsidR="002341E8">
        <w:rPr>
          <w:rFonts w:eastAsia="Calibri" w:cs="David" w:hint="cs"/>
          <w:sz w:val="24"/>
          <w:szCs w:val="24"/>
          <w:shd w:val="clear" w:color="auto" w:fill="FFFFFF"/>
          <w:rtl/>
        </w:rPr>
        <w:t xml:space="preserve"> מחייב</w:t>
      </w:r>
      <w:r w:rsidR="00582D5C">
        <w:rPr>
          <w:rFonts w:eastAsia="Calibri" w:cs="David" w:hint="cs"/>
          <w:sz w:val="24"/>
          <w:szCs w:val="24"/>
          <w:shd w:val="clear" w:color="auto" w:fill="FFFFFF"/>
          <w:rtl/>
        </w:rPr>
        <w:t xml:space="preserve">. </w:t>
      </w:r>
    </w:p>
    <w:p w14:paraId="15472697" w14:textId="777FADFC" w:rsidR="00ED2327" w:rsidRDefault="00F50601" w:rsidP="008A5A8A">
      <w:pPr>
        <w:spacing w:line="480" w:lineRule="auto"/>
        <w:ind w:firstLine="720"/>
        <w:rPr>
          <w:rFonts w:ascii="David" w:eastAsia="Calibri" w:hAnsi="David" w:cs="David"/>
          <w:sz w:val="24"/>
          <w:szCs w:val="24"/>
          <w:shd w:val="clear" w:color="auto" w:fill="FFFFFF"/>
          <w:rtl/>
        </w:rPr>
      </w:pPr>
      <w:r>
        <w:rPr>
          <w:rFonts w:ascii="David" w:eastAsia="Calibri" w:hAnsi="David" w:cs="David" w:hint="cs"/>
          <w:sz w:val="24"/>
          <w:szCs w:val="24"/>
          <w:shd w:val="clear" w:color="auto" w:fill="FFFFFF"/>
          <w:rtl/>
        </w:rPr>
        <w:t>בין קביעתו של ר'</w:t>
      </w:r>
      <w:r w:rsidR="00DF4DA8">
        <w:rPr>
          <w:rFonts w:ascii="David" w:eastAsia="Calibri" w:hAnsi="David" w:cs="David" w:hint="cs"/>
          <w:sz w:val="24"/>
          <w:szCs w:val="24"/>
          <w:shd w:val="clear" w:color="auto" w:fill="FFFFFF"/>
          <w:rtl/>
        </w:rPr>
        <w:t xml:space="preserve"> שמעון</w:t>
      </w:r>
      <w:r w:rsidR="00006435">
        <w:rPr>
          <w:rFonts w:ascii="David" w:eastAsia="Calibri" w:hAnsi="David" w:cs="David" w:hint="cs"/>
          <w:sz w:val="24"/>
          <w:szCs w:val="24"/>
          <w:shd w:val="clear" w:color="auto" w:fill="FFFFFF"/>
          <w:rtl/>
        </w:rPr>
        <w:t>,</w:t>
      </w:r>
      <w:r>
        <w:rPr>
          <w:rFonts w:ascii="David" w:eastAsia="Calibri" w:hAnsi="David" w:cs="David" w:hint="cs"/>
          <w:sz w:val="24"/>
          <w:szCs w:val="24"/>
          <w:shd w:val="clear" w:color="auto" w:fill="FFFFFF"/>
          <w:rtl/>
        </w:rPr>
        <w:t xml:space="preserve"> שהציווי אמור גם </w:t>
      </w:r>
      <w:r w:rsidR="00860075">
        <w:rPr>
          <w:rFonts w:ascii="David" w:eastAsia="Calibri" w:hAnsi="David" w:cs="David" w:hint="cs"/>
          <w:sz w:val="24"/>
          <w:szCs w:val="24"/>
          <w:shd w:val="clear" w:color="auto" w:fill="FFFFFF"/>
          <w:rtl/>
        </w:rPr>
        <w:t>ב</w:t>
      </w:r>
      <w:r w:rsidR="00B409AA">
        <w:rPr>
          <w:rFonts w:ascii="David" w:eastAsia="Calibri" w:hAnsi="David" w:cs="David" w:hint="cs"/>
          <w:sz w:val="24"/>
          <w:szCs w:val="24"/>
          <w:shd w:val="clear" w:color="auto" w:fill="FFFFFF"/>
          <w:rtl/>
        </w:rPr>
        <w:t>'</w:t>
      </w:r>
      <w:r>
        <w:rPr>
          <w:rFonts w:ascii="David" w:eastAsia="Calibri" w:hAnsi="David" w:cs="David" w:hint="cs"/>
          <w:sz w:val="24"/>
          <w:szCs w:val="24"/>
          <w:shd w:val="clear" w:color="auto" w:fill="FFFFFF"/>
          <w:rtl/>
        </w:rPr>
        <w:t>פסח דורות</w:t>
      </w:r>
      <w:r w:rsidR="00B409AA">
        <w:rPr>
          <w:rFonts w:ascii="David" w:eastAsia="Calibri" w:hAnsi="David" w:cs="David" w:hint="cs"/>
          <w:sz w:val="24"/>
          <w:szCs w:val="24"/>
          <w:shd w:val="clear" w:color="auto" w:fill="FFFFFF"/>
          <w:rtl/>
        </w:rPr>
        <w:t>'</w:t>
      </w:r>
      <w:r w:rsidR="00006435">
        <w:rPr>
          <w:rFonts w:ascii="David" w:eastAsia="Calibri" w:hAnsi="David" w:cs="David" w:hint="cs"/>
          <w:sz w:val="24"/>
          <w:szCs w:val="24"/>
          <w:shd w:val="clear" w:color="auto" w:fill="FFFFFF"/>
          <w:rtl/>
        </w:rPr>
        <w:t>,</w:t>
      </w:r>
      <w:r>
        <w:rPr>
          <w:rFonts w:ascii="David" w:eastAsia="Calibri" w:hAnsi="David" w:cs="David" w:hint="cs"/>
          <w:sz w:val="24"/>
          <w:szCs w:val="24"/>
          <w:shd w:val="clear" w:color="auto" w:fill="FFFFFF"/>
          <w:rtl/>
        </w:rPr>
        <w:t xml:space="preserve"> לבין </w:t>
      </w:r>
      <w:r w:rsidR="00C069CC">
        <w:rPr>
          <w:rFonts w:ascii="David" w:eastAsia="Calibri" w:hAnsi="David" w:cs="David" w:hint="cs"/>
          <w:sz w:val="24"/>
          <w:szCs w:val="24"/>
          <w:shd w:val="clear" w:color="auto" w:fill="FFFFFF"/>
          <w:rtl/>
        </w:rPr>
        <w:t>דרשת המיל</w:t>
      </w:r>
      <w:r w:rsidR="006D434F">
        <w:rPr>
          <w:rFonts w:ascii="David" w:eastAsia="Calibri" w:hAnsi="David" w:cs="David" w:hint="cs"/>
          <w:sz w:val="24"/>
          <w:szCs w:val="24"/>
          <w:shd w:val="clear" w:color="auto" w:fill="FFFFFF"/>
          <w:rtl/>
        </w:rPr>
        <w:t>ה</w:t>
      </w:r>
      <w:r w:rsidR="00C069CC">
        <w:rPr>
          <w:rFonts w:ascii="David" w:eastAsia="Calibri" w:hAnsi="David" w:cs="David" w:hint="cs"/>
          <w:sz w:val="24"/>
          <w:szCs w:val="24"/>
          <w:shd w:val="clear" w:color="auto" w:fill="FFFFFF"/>
          <w:rtl/>
        </w:rPr>
        <w:t xml:space="preserve"> </w:t>
      </w:r>
      <w:r w:rsidR="00701C76">
        <w:rPr>
          <w:rFonts w:ascii="David" w:eastAsia="Calibri" w:hAnsi="David" w:cs="David" w:hint="cs"/>
          <w:sz w:val="24"/>
          <w:szCs w:val="24"/>
          <w:shd w:val="clear" w:color="auto" w:fill="FFFFFF"/>
          <w:rtl/>
        </w:rPr>
        <w:t>'</w:t>
      </w:r>
      <w:r>
        <w:rPr>
          <w:rFonts w:ascii="David" w:eastAsia="Calibri" w:hAnsi="David" w:cs="David" w:hint="cs"/>
          <w:sz w:val="24"/>
          <w:szCs w:val="24"/>
          <w:shd w:val="clear" w:color="auto" w:fill="FFFFFF"/>
          <w:rtl/>
        </w:rPr>
        <w:t>שכנו</w:t>
      </w:r>
      <w:r w:rsidR="00701C76">
        <w:rPr>
          <w:rFonts w:ascii="David" w:eastAsia="Calibri" w:hAnsi="David" w:cs="David" w:hint="cs"/>
          <w:sz w:val="24"/>
          <w:szCs w:val="24"/>
          <w:shd w:val="clear" w:color="auto" w:fill="FFFFFF"/>
          <w:rtl/>
        </w:rPr>
        <w:t>'</w:t>
      </w:r>
      <w:r w:rsidR="004A62F4">
        <w:rPr>
          <w:rFonts w:ascii="David" w:eastAsia="Calibri" w:hAnsi="David" w:cs="David" w:hint="cs"/>
          <w:sz w:val="24"/>
          <w:szCs w:val="24"/>
          <w:shd w:val="clear" w:color="auto" w:fill="FFFFFF"/>
          <w:rtl/>
        </w:rPr>
        <w:t>,</w:t>
      </w:r>
      <w:r>
        <w:rPr>
          <w:rFonts w:ascii="David" w:eastAsia="Calibri" w:hAnsi="David" w:cs="David" w:hint="cs"/>
          <w:sz w:val="24"/>
          <w:szCs w:val="24"/>
          <w:shd w:val="clear" w:color="auto" w:fill="FFFFFF"/>
          <w:rtl/>
        </w:rPr>
        <w:t xml:space="preserve"> </w:t>
      </w:r>
      <w:r w:rsidR="00FA4890">
        <w:rPr>
          <w:rFonts w:ascii="David" w:eastAsia="Calibri" w:hAnsi="David" w:cs="David" w:hint="cs"/>
          <w:sz w:val="24"/>
          <w:szCs w:val="24"/>
          <w:shd w:val="clear" w:color="auto" w:fill="FFFFFF"/>
          <w:rtl/>
        </w:rPr>
        <w:t xml:space="preserve">מוצבת </w:t>
      </w:r>
      <w:r>
        <w:rPr>
          <w:rFonts w:ascii="David" w:eastAsia="Calibri" w:hAnsi="David" w:cs="David" w:hint="cs"/>
          <w:sz w:val="24"/>
          <w:szCs w:val="24"/>
          <w:shd w:val="clear" w:color="auto" w:fill="FFFFFF"/>
          <w:rtl/>
        </w:rPr>
        <w:t xml:space="preserve">טענה </w:t>
      </w:r>
      <w:r w:rsidR="00FA4890">
        <w:rPr>
          <w:rFonts w:ascii="David" w:eastAsia="Calibri" w:hAnsi="David" w:cs="David" w:hint="cs"/>
          <w:sz w:val="24"/>
          <w:szCs w:val="24"/>
          <w:shd w:val="clear" w:color="auto" w:fill="FFFFFF"/>
          <w:rtl/>
        </w:rPr>
        <w:t xml:space="preserve">עקרונית, </w:t>
      </w:r>
      <w:r>
        <w:rPr>
          <w:rFonts w:ascii="David" w:eastAsia="Calibri" w:hAnsi="David" w:cs="David" w:hint="cs"/>
          <w:sz w:val="24"/>
          <w:szCs w:val="24"/>
          <w:shd w:val="clear" w:color="auto" w:fill="FFFFFF"/>
          <w:rtl/>
        </w:rPr>
        <w:t>שמעמידה את</w:t>
      </w:r>
      <w:r w:rsidR="008F6219">
        <w:rPr>
          <w:rFonts w:ascii="David" w:eastAsia="Calibri" w:hAnsi="David" w:cs="David" w:hint="cs"/>
          <w:sz w:val="24"/>
          <w:szCs w:val="24"/>
          <w:shd w:val="clear" w:color="auto" w:fill="FFFFFF"/>
          <w:rtl/>
        </w:rPr>
        <w:t xml:space="preserve"> הדרשה עצמה</w:t>
      </w:r>
      <w:r>
        <w:rPr>
          <w:rFonts w:ascii="David" w:eastAsia="Calibri" w:hAnsi="David" w:cs="David" w:hint="cs"/>
          <w:sz w:val="24"/>
          <w:szCs w:val="24"/>
          <w:shd w:val="clear" w:color="auto" w:fill="FFFFFF"/>
          <w:rtl/>
        </w:rPr>
        <w:t xml:space="preserve"> ואת </w:t>
      </w:r>
      <w:r w:rsidR="00AE70AD">
        <w:rPr>
          <w:rFonts w:ascii="David" w:eastAsia="Calibri" w:hAnsi="David" w:cs="David" w:hint="cs"/>
          <w:sz w:val="24"/>
          <w:szCs w:val="24"/>
          <w:shd w:val="clear" w:color="auto" w:fill="FFFFFF"/>
          <w:rtl/>
        </w:rPr>
        <w:t xml:space="preserve">האסמכתא </w:t>
      </w:r>
      <w:r w:rsidR="00F363EF">
        <w:rPr>
          <w:rFonts w:ascii="David" w:eastAsia="Calibri" w:hAnsi="David" w:cs="David" w:hint="cs"/>
          <w:sz w:val="24"/>
          <w:szCs w:val="24"/>
          <w:shd w:val="clear" w:color="auto" w:fill="FFFFFF"/>
          <w:rtl/>
        </w:rPr>
        <w:t>מ</w:t>
      </w:r>
      <w:r w:rsidR="0053797B">
        <w:rPr>
          <w:rFonts w:ascii="David" w:eastAsia="Calibri" w:hAnsi="David" w:cs="David" w:hint="cs"/>
          <w:sz w:val="24"/>
          <w:szCs w:val="24"/>
          <w:shd w:val="clear" w:color="auto" w:fill="FFFFFF"/>
          <w:rtl/>
        </w:rPr>
        <w:t xml:space="preserve">ספר </w:t>
      </w:r>
      <w:r w:rsidR="00F363EF">
        <w:rPr>
          <w:rFonts w:ascii="David" w:eastAsia="Calibri" w:hAnsi="David" w:cs="David" w:hint="cs"/>
          <w:sz w:val="24"/>
          <w:szCs w:val="24"/>
          <w:shd w:val="clear" w:color="auto" w:fill="FFFFFF"/>
          <w:rtl/>
        </w:rPr>
        <w:t>משלי</w:t>
      </w:r>
      <w:r w:rsidR="00C04EF1">
        <w:rPr>
          <w:rFonts w:ascii="David" w:eastAsia="Calibri" w:hAnsi="David" w:cs="David" w:hint="cs"/>
          <w:sz w:val="24"/>
          <w:szCs w:val="24"/>
          <w:shd w:val="clear" w:color="auto" w:fill="FFFFFF"/>
          <w:rtl/>
        </w:rPr>
        <w:t>,</w:t>
      </w:r>
      <w:r w:rsidR="00FA4890">
        <w:rPr>
          <w:rFonts w:ascii="David" w:eastAsia="Calibri" w:hAnsi="David" w:cs="David" w:hint="cs"/>
          <w:sz w:val="24"/>
          <w:szCs w:val="24"/>
          <w:shd w:val="clear" w:color="auto" w:fill="FFFFFF"/>
          <w:rtl/>
        </w:rPr>
        <w:t xml:space="preserve"> כחלק</w:t>
      </w:r>
      <w:r w:rsidR="004A62F4">
        <w:rPr>
          <w:rFonts w:ascii="David" w:eastAsia="Calibri" w:hAnsi="David" w:cs="David" w:hint="cs"/>
          <w:sz w:val="24"/>
          <w:szCs w:val="24"/>
          <w:shd w:val="clear" w:color="auto" w:fill="FFFFFF"/>
          <w:rtl/>
        </w:rPr>
        <w:t xml:space="preserve"> </w:t>
      </w:r>
      <w:r w:rsidR="00FA4890">
        <w:rPr>
          <w:rFonts w:ascii="David" w:eastAsia="Calibri" w:hAnsi="David" w:cs="David" w:hint="cs"/>
          <w:sz w:val="24"/>
          <w:szCs w:val="24"/>
          <w:shd w:val="clear" w:color="auto" w:fill="FFFFFF"/>
          <w:rtl/>
        </w:rPr>
        <w:lastRenderedPageBreak/>
        <w:t>מ</w:t>
      </w:r>
      <w:r w:rsidR="00F363EF">
        <w:rPr>
          <w:rFonts w:ascii="David" w:eastAsia="Calibri" w:hAnsi="David" w:cs="David" w:hint="cs"/>
          <w:sz w:val="24"/>
          <w:szCs w:val="24"/>
          <w:shd w:val="clear" w:color="auto" w:fill="FFFFFF"/>
          <w:rtl/>
        </w:rPr>
        <w:t>תכליתה של התורה</w:t>
      </w:r>
      <w:r w:rsidR="00C665BB">
        <w:rPr>
          <w:rFonts w:ascii="David" w:eastAsia="Calibri" w:hAnsi="David" w:cs="David" w:hint="cs"/>
          <w:sz w:val="24"/>
          <w:szCs w:val="24"/>
          <w:shd w:val="clear" w:color="auto" w:fill="FFFFFF"/>
          <w:rtl/>
        </w:rPr>
        <w:t xml:space="preserve"> כולה</w:t>
      </w:r>
      <w:r w:rsidR="00F363EF">
        <w:rPr>
          <w:rFonts w:ascii="David" w:eastAsia="Calibri" w:hAnsi="David" w:cs="David" w:hint="cs"/>
          <w:sz w:val="24"/>
          <w:szCs w:val="24"/>
          <w:shd w:val="clear" w:color="auto" w:fill="FFFFFF"/>
          <w:rtl/>
        </w:rPr>
        <w:t xml:space="preserve">: </w:t>
      </w:r>
      <w:r w:rsidR="005D3DD5" w:rsidRPr="002561F6">
        <w:rPr>
          <w:rFonts w:ascii="Times New Roman" w:eastAsia="Calibri" w:hAnsi="Times New Roman" w:cs="Times New Roman"/>
          <w:sz w:val="24"/>
          <w:szCs w:val="24"/>
          <w:shd w:val="clear" w:color="auto" w:fill="FFFFFF"/>
        </w:rPr>
        <w:t>“For above all,</w:t>
      </w:r>
      <w:r w:rsidR="005D3DD5">
        <w:rPr>
          <w:rFonts w:ascii="Times New Roman" w:eastAsia="Calibri" w:hAnsi="Times New Roman" w:cs="Times New Roman"/>
          <w:sz w:val="24"/>
          <w:szCs w:val="24"/>
          <w:shd w:val="clear" w:color="auto" w:fill="FFFFFF"/>
        </w:rPr>
        <w:t xml:space="preserve"> </w:t>
      </w:r>
      <w:r w:rsidR="005D3DD5" w:rsidRPr="00602E48">
        <w:rPr>
          <w:rFonts w:ascii="Times New Roman" w:eastAsia="Calibri" w:hAnsi="Times New Roman" w:cs="Times New Roman"/>
          <w:sz w:val="24"/>
          <w:szCs w:val="24"/>
          <w:shd w:val="clear" w:color="auto" w:fill="FFFFFF"/>
        </w:rPr>
        <w:t>the Torah spoke only because of the ways of peace</w:t>
      </w:r>
      <w:r w:rsidR="006356CF">
        <w:rPr>
          <w:rFonts w:ascii="SBL Greek" w:eastAsia="Calibri" w:hAnsi="SBL Greek" w:cs="Times New Roman"/>
          <w:sz w:val="24"/>
          <w:szCs w:val="24"/>
          <w:shd w:val="clear" w:color="auto" w:fill="FFFFFF"/>
        </w:rPr>
        <w:t>”</w:t>
      </w:r>
      <w:r w:rsidR="006356CF">
        <w:rPr>
          <w:rFonts w:ascii="David" w:eastAsia="Calibri" w:hAnsi="David" w:cs="David" w:hint="cs"/>
          <w:sz w:val="24"/>
          <w:szCs w:val="24"/>
          <w:shd w:val="clear" w:color="auto" w:fill="FFFFFF"/>
          <w:rtl/>
        </w:rPr>
        <w:t>.</w:t>
      </w:r>
      <w:r w:rsidR="001E438C">
        <w:rPr>
          <w:rFonts w:ascii="David" w:eastAsia="Calibri" w:hAnsi="David" w:cs="David" w:hint="cs"/>
          <w:sz w:val="24"/>
          <w:szCs w:val="24"/>
          <w:shd w:val="clear" w:color="auto" w:fill="FFFFFF"/>
          <w:rtl/>
        </w:rPr>
        <w:t xml:space="preserve"> טענה זו</w:t>
      </w:r>
      <w:r w:rsidR="00514AE1">
        <w:rPr>
          <w:rFonts w:ascii="David" w:eastAsia="Calibri" w:hAnsi="David" w:cs="David" w:hint="cs"/>
          <w:sz w:val="24"/>
          <w:szCs w:val="24"/>
          <w:shd w:val="clear" w:color="auto" w:fill="FFFFFF"/>
          <w:rtl/>
        </w:rPr>
        <w:t>,</w:t>
      </w:r>
      <w:r w:rsidR="00D10552">
        <w:rPr>
          <w:rFonts w:ascii="David" w:eastAsia="Calibri" w:hAnsi="David" w:cs="David" w:hint="cs"/>
          <w:sz w:val="24"/>
          <w:szCs w:val="24"/>
          <w:shd w:val="clear" w:color="auto" w:fill="FFFFFF"/>
          <w:rtl/>
        </w:rPr>
        <w:t xml:space="preserve"> </w:t>
      </w:r>
      <w:r w:rsidR="001E438C">
        <w:rPr>
          <w:rFonts w:ascii="David" w:eastAsia="Calibri" w:hAnsi="David" w:cs="David" w:hint="cs"/>
          <w:sz w:val="24"/>
          <w:szCs w:val="24"/>
          <w:shd w:val="clear" w:color="auto" w:fill="FFFFFF"/>
          <w:rtl/>
        </w:rPr>
        <w:t xml:space="preserve">שמסבה את המבט מפסוק מסוים (בספר משלי) אל </w:t>
      </w:r>
      <w:r w:rsidR="00514AE1">
        <w:rPr>
          <w:rFonts w:ascii="David" w:eastAsia="Calibri" w:hAnsi="David" w:cs="David" w:hint="cs"/>
          <w:sz w:val="24"/>
          <w:szCs w:val="24"/>
          <w:shd w:val="clear" w:color="auto" w:fill="FFFFFF"/>
          <w:rtl/>
        </w:rPr>
        <w:t xml:space="preserve">החיבור כולו </w:t>
      </w:r>
      <w:r w:rsidR="001E438C">
        <w:rPr>
          <w:rFonts w:ascii="David" w:eastAsia="Calibri" w:hAnsi="David" w:cs="David" w:hint="cs"/>
          <w:sz w:val="24"/>
          <w:szCs w:val="24"/>
          <w:shd w:val="clear" w:color="auto" w:fill="FFFFFF"/>
          <w:rtl/>
        </w:rPr>
        <w:t xml:space="preserve">(תורה), </w:t>
      </w:r>
      <w:r w:rsidR="008F6219">
        <w:rPr>
          <w:rFonts w:ascii="David" w:eastAsia="Calibri" w:hAnsi="David" w:cs="David" w:hint="cs"/>
          <w:sz w:val="24"/>
          <w:szCs w:val="24"/>
          <w:shd w:val="clear" w:color="auto" w:fill="FFFFFF"/>
          <w:rtl/>
        </w:rPr>
        <w:t xml:space="preserve">ומכלל פרטי </w:t>
      </w:r>
      <w:r w:rsidR="00113DA7">
        <w:rPr>
          <w:rFonts w:ascii="David" w:eastAsia="Calibri" w:hAnsi="David" w:cs="David" w:hint="cs"/>
          <w:sz w:val="24"/>
          <w:szCs w:val="24"/>
          <w:shd w:val="clear" w:color="auto" w:fill="FFFFFF"/>
          <w:rtl/>
        </w:rPr>
        <w:t>(</w:t>
      </w:r>
      <w:r w:rsidR="00D10552">
        <w:rPr>
          <w:rFonts w:ascii="David" w:eastAsia="Calibri" w:hAnsi="David" w:cs="David" w:hint="cs"/>
          <w:sz w:val="24"/>
          <w:szCs w:val="24"/>
          <w:shd w:val="clear" w:color="auto" w:fill="FFFFFF"/>
          <w:rtl/>
        </w:rPr>
        <w:t>לגבי אופן חגיגת הפסח</w:t>
      </w:r>
      <w:r w:rsidR="00113DA7">
        <w:rPr>
          <w:rFonts w:ascii="David" w:eastAsia="Calibri" w:hAnsi="David" w:cs="David" w:hint="cs"/>
          <w:sz w:val="24"/>
          <w:szCs w:val="24"/>
          <w:shd w:val="clear" w:color="auto" w:fill="FFFFFF"/>
          <w:rtl/>
        </w:rPr>
        <w:t>)</w:t>
      </w:r>
      <w:r w:rsidR="001E438C">
        <w:rPr>
          <w:rFonts w:ascii="David" w:eastAsia="Calibri" w:hAnsi="David" w:cs="David" w:hint="cs"/>
          <w:sz w:val="24"/>
          <w:szCs w:val="24"/>
          <w:shd w:val="clear" w:color="auto" w:fill="FFFFFF"/>
          <w:rtl/>
        </w:rPr>
        <w:t xml:space="preserve"> אל תכלית</w:t>
      </w:r>
      <w:r w:rsidR="00407E2C">
        <w:rPr>
          <w:rFonts w:ascii="David" w:eastAsia="Calibri" w:hAnsi="David" w:cs="David" w:hint="cs"/>
          <w:sz w:val="24"/>
          <w:szCs w:val="24"/>
          <w:shd w:val="clear" w:color="auto" w:fill="FFFFFF"/>
          <w:rtl/>
        </w:rPr>
        <w:t>ן</w:t>
      </w:r>
      <w:r w:rsidR="001E438C">
        <w:rPr>
          <w:rFonts w:ascii="David" w:eastAsia="Calibri" w:hAnsi="David" w:cs="David" w:hint="cs"/>
          <w:sz w:val="24"/>
          <w:szCs w:val="24"/>
          <w:shd w:val="clear" w:color="auto" w:fill="FFFFFF"/>
          <w:rtl/>
        </w:rPr>
        <w:t xml:space="preserve"> של מצוות התורה</w:t>
      </w:r>
      <w:r w:rsidR="008F6219">
        <w:rPr>
          <w:rFonts w:ascii="David" w:eastAsia="Calibri" w:hAnsi="David" w:cs="David" w:hint="cs"/>
          <w:sz w:val="24"/>
          <w:szCs w:val="24"/>
          <w:shd w:val="clear" w:color="auto" w:fill="FFFFFF"/>
          <w:rtl/>
        </w:rPr>
        <w:t xml:space="preserve"> כולן</w:t>
      </w:r>
      <w:r w:rsidR="007D3671">
        <w:rPr>
          <w:rFonts w:ascii="David" w:eastAsia="Calibri" w:hAnsi="David" w:cs="David" w:hint="cs"/>
          <w:sz w:val="24"/>
          <w:szCs w:val="24"/>
          <w:shd w:val="clear" w:color="auto" w:fill="FFFFFF"/>
          <w:rtl/>
        </w:rPr>
        <w:t>,</w:t>
      </w:r>
      <w:r w:rsidR="00D10552">
        <w:rPr>
          <w:rFonts w:ascii="Times New Roman" w:eastAsia="Calibri" w:hAnsi="Times New Roman" w:cs="Times New Roman"/>
          <w:sz w:val="24"/>
          <w:szCs w:val="24"/>
          <w:shd w:val="clear" w:color="auto" w:fill="FFFFFF"/>
        </w:rPr>
        <w:t xml:space="preserve"> </w:t>
      </w:r>
      <w:r w:rsidR="00113DA7">
        <w:rPr>
          <w:rFonts w:ascii="David" w:eastAsia="Calibri" w:hAnsi="David" w:cs="David" w:hint="cs"/>
          <w:sz w:val="24"/>
          <w:szCs w:val="24"/>
          <w:shd w:val="clear" w:color="auto" w:fill="FFFFFF"/>
          <w:rtl/>
        </w:rPr>
        <w:t xml:space="preserve">משקפת </w:t>
      </w:r>
      <w:r w:rsidR="00C824FC">
        <w:rPr>
          <w:rFonts w:ascii="David" w:eastAsia="Calibri" w:hAnsi="David" w:cs="David" w:hint="cs"/>
          <w:sz w:val="24"/>
          <w:szCs w:val="24"/>
          <w:shd w:val="clear" w:color="auto" w:fill="FFFFFF"/>
          <w:rtl/>
        </w:rPr>
        <w:t xml:space="preserve">על כן </w:t>
      </w:r>
      <w:r w:rsidR="00425EEA">
        <w:rPr>
          <w:rFonts w:ascii="David" w:eastAsia="Calibri" w:hAnsi="David" w:cs="David" w:hint="cs"/>
          <w:sz w:val="24"/>
          <w:szCs w:val="24"/>
          <w:shd w:val="clear" w:color="auto" w:fill="FFFFFF"/>
          <w:rtl/>
        </w:rPr>
        <w:t>תפיסה מטה-הלכתית</w:t>
      </w:r>
      <w:r w:rsidR="005F1520">
        <w:rPr>
          <w:rFonts w:ascii="David" w:eastAsia="Calibri" w:hAnsi="David" w:cs="David" w:hint="cs"/>
          <w:sz w:val="24"/>
          <w:szCs w:val="24"/>
          <w:shd w:val="clear" w:color="auto" w:fill="FFFFFF"/>
          <w:rtl/>
        </w:rPr>
        <w:t xml:space="preserve"> של המושג</w:t>
      </w:r>
      <w:r w:rsidR="00905C93">
        <w:rPr>
          <w:rFonts w:ascii="David" w:eastAsia="Calibri" w:hAnsi="David" w:cs="David" w:hint="cs"/>
          <w:sz w:val="24"/>
          <w:szCs w:val="24"/>
          <w:shd w:val="clear" w:color="auto" w:fill="FFFFFF"/>
          <w:rtl/>
        </w:rPr>
        <w:t xml:space="preserve"> </w:t>
      </w:r>
      <w:r w:rsidR="00DA2546">
        <w:rPr>
          <w:rFonts w:ascii="David" w:eastAsia="Calibri" w:hAnsi="David" w:cs="David" w:hint="cs"/>
          <w:sz w:val="24"/>
          <w:szCs w:val="24"/>
          <w:shd w:val="clear" w:color="auto" w:fill="FFFFFF"/>
          <w:rtl/>
        </w:rPr>
        <w:t>'</w:t>
      </w:r>
      <w:r w:rsidR="00905C93">
        <w:rPr>
          <w:rFonts w:ascii="David" w:eastAsia="Calibri" w:hAnsi="David" w:cs="David" w:hint="cs"/>
          <w:sz w:val="24"/>
          <w:szCs w:val="24"/>
          <w:shd w:val="clear" w:color="auto" w:fill="FFFFFF"/>
          <w:rtl/>
        </w:rPr>
        <w:t>דרכי השלום</w:t>
      </w:r>
      <w:r w:rsidR="00DA2546">
        <w:rPr>
          <w:rFonts w:ascii="David" w:eastAsia="Calibri" w:hAnsi="David" w:cs="David" w:hint="cs"/>
          <w:sz w:val="24"/>
          <w:szCs w:val="24"/>
          <w:shd w:val="clear" w:color="auto" w:fill="FFFFFF"/>
          <w:rtl/>
        </w:rPr>
        <w:t>'</w:t>
      </w:r>
      <w:r w:rsidR="000B6E0C">
        <w:rPr>
          <w:rFonts w:ascii="David" w:eastAsia="Calibri" w:hAnsi="David" w:cs="David" w:hint="cs"/>
          <w:sz w:val="24"/>
          <w:szCs w:val="24"/>
          <w:shd w:val="clear" w:color="auto" w:fill="FFFFFF"/>
          <w:rtl/>
        </w:rPr>
        <w:t>, ש</w:t>
      </w:r>
      <w:r w:rsidR="00D77AB6">
        <w:rPr>
          <w:rFonts w:ascii="David" w:eastAsia="Calibri" w:hAnsi="David" w:cs="David" w:hint="cs"/>
          <w:sz w:val="24"/>
          <w:szCs w:val="24"/>
          <w:shd w:val="clear" w:color="auto" w:fill="FFFFFF"/>
          <w:rtl/>
        </w:rPr>
        <w:t xml:space="preserve">רואה בו </w:t>
      </w:r>
      <w:r w:rsidR="00CB2FD8">
        <w:rPr>
          <w:rFonts w:ascii="David" w:eastAsia="Calibri" w:hAnsi="David" w:cs="David" w:hint="cs"/>
          <w:sz w:val="24"/>
          <w:szCs w:val="24"/>
          <w:shd w:val="clear" w:color="auto" w:fill="FFFFFF"/>
          <w:rtl/>
        </w:rPr>
        <w:t>מסד</w:t>
      </w:r>
      <w:r w:rsidR="00A96D27">
        <w:rPr>
          <w:rFonts w:ascii="David" w:eastAsia="Calibri" w:hAnsi="David" w:cs="David" w:hint="cs"/>
          <w:sz w:val="24"/>
          <w:szCs w:val="24"/>
          <w:shd w:val="clear" w:color="auto" w:fill="FFFFFF"/>
          <w:rtl/>
        </w:rPr>
        <w:t xml:space="preserve"> הכרחי</w:t>
      </w:r>
      <w:r w:rsidR="00CB2FD8">
        <w:rPr>
          <w:rFonts w:ascii="David" w:eastAsia="Calibri" w:hAnsi="David" w:cs="David" w:hint="cs"/>
          <w:sz w:val="24"/>
          <w:szCs w:val="24"/>
          <w:shd w:val="clear" w:color="auto" w:fill="FFFFFF"/>
          <w:rtl/>
        </w:rPr>
        <w:t xml:space="preserve"> לחברה שאותה שואפת התורה לכונן</w:t>
      </w:r>
      <w:r w:rsidR="00425EEA">
        <w:rPr>
          <w:rFonts w:ascii="David" w:eastAsia="Calibri" w:hAnsi="David" w:cs="David" w:hint="cs"/>
          <w:sz w:val="24"/>
          <w:szCs w:val="24"/>
          <w:shd w:val="clear" w:color="auto" w:fill="FFFFFF"/>
          <w:rtl/>
        </w:rPr>
        <w:t>.</w:t>
      </w:r>
    </w:p>
    <w:p w14:paraId="727D8922" w14:textId="77777777" w:rsidR="006E53AD" w:rsidRDefault="006E53AD" w:rsidP="00AD603E">
      <w:pPr>
        <w:spacing w:line="480" w:lineRule="auto"/>
        <w:rPr>
          <w:rFonts w:ascii="David" w:hAnsi="David" w:cs="David"/>
          <w:b/>
          <w:bCs/>
          <w:sz w:val="24"/>
          <w:szCs w:val="24"/>
          <w:rtl/>
        </w:rPr>
      </w:pPr>
    </w:p>
    <w:p w14:paraId="7FCDDE0A" w14:textId="5C7701A4" w:rsidR="00AD4DDB" w:rsidRDefault="0081573C" w:rsidP="00AD603E">
      <w:pPr>
        <w:spacing w:line="480" w:lineRule="auto"/>
        <w:rPr>
          <w:rFonts w:ascii="David" w:hAnsi="David" w:cs="David"/>
          <w:b/>
          <w:bCs/>
          <w:sz w:val="24"/>
          <w:szCs w:val="24"/>
          <w:rtl/>
        </w:rPr>
      </w:pPr>
      <w:r w:rsidRPr="00AD4DDB">
        <w:rPr>
          <w:rFonts w:ascii="David" w:hAnsi="David" w:cs="David" w:hint="cs"/>
          <w:b/>
          <w:bCs/>
          <w:sz w:val="24"/>
          <w:szCs w:val="24"/>
          <w:rtl/>
        </w:rPr>
        <w:t>דיון</w:t>
      </w:r>
      <w:r w:rsidR="00AA44B9">
        <w:rPr>
          <w:rFonts w:ascii="David" w:hAnsi="David" w:cs="David" w:hint="cs"/>
          <w:b/>
          <w:bCs/>
          <w:sz w:val="24"/>
          <w:szCs w:val="24"/>
          <w:rtl/>
        </w:rPr>
        <w:t xml:space="preserve"> </w:t>
      </w:r>
    </w:p>
    <w:p w14:paraId="158A2750" w14:textId="6E1A55E0" w:rsidR="001974B1" w:rsidRDefault="00C05DD4" w:rsidP="00AE1C68">
      <w:pPr>
        <w:spacing w:line="480" w:lineRule="auto"/>
        <w:rPr>
          <w:rFonts w:ascii="David" w:hAnsi="David" w:cs="David"/>
          <w:sz w:val="24"/>
          <w:szCs w:val="24"/>
          <w:rtl/>
        </w:rPr>
      </w:pPr>
      <w:r>
        <w:rPr>
          <w:rFonts w:ascii="David" w:hAnsi="David" w:cs="David" w:hint="cs"/>
          <w:sz w:val="24"/>
          <w:szCs w:val="24"/>
          <w:rtl/>
        </w:rPr>
        <w:t xml:space="preserve">עד כה </w:t>
      </w:r>
      <w:r w:rsidR="0076690A">
        <w:rPr>
          <w:rFonts w:ascii="David" w:hAnsi="David" w:cs="David" w:hint="cs"/>
          <w:sz w:val="24"/>
          <w:szCs w:val="24"/>
          <w:rtl/>
        </w:rPr>
        <w:t>ראינו שלוש גישות ערכיות</w:t>
      </w:r>
      <w:r w:rsidR="00E731A9">
        <w:rPr>
          <w:rFonts w:ascii="David" w:hAnsi="David" w:cs="David" w:hint="cs"/>
          <w:sz w:val="24"/>
          <w:szCs w:val="24"/>
          <w:rtl/>
        </w:rPr>
        <w:t xml:space="preserve"> </w:t>
      </w:r>
      <w:r w:rsidR="002674E8">
        <w:rPr>
          <w:rFonts w:ascii="David" w:hAnsi="David" w:cs="David" w:hint="cs"/>
          <w:sz w:val="24"/>
          <w:szCs w:val="24"/>
          <w:rtl/>
        </w:rPr>
        <w:t xml:space="preserve">כלפי </w:t>
      </w:r>
      <w:r w:rsidR="009B583B">
        <w:rPr>
          <w:rFonts w:ascii="David" w:hAnsi="David" w:cs="David" w:hint="cs"/>
          <w:sz w:val="24"/>
          <w:szCs w:val="24"/>
          <w:rtl/>
        </w:rPr>
        <w:t>הלכות ש</w:t>
      </w:r>
      <w:r w:rsidR="009B3106">
        <w:rPr>
          <w:rFonts w:ascii="David" w:hAnsi="David" w:cs="David" w:hint="cs"/>
          <w:sz w:val="24"/>
          <w:szCs w:val="24"/>
          <w:rtl/>
        </w:rPr>
        <w:t>נומקו</w:t>
      </w:r>
      <w:r w:rsidR="002674E8">
        <w:rPr>
          <w:rFonts w:ascii="David" w:hAnsi="David" w:cs="David" w:hint="cs"/>
          <w:sz w:val="24"/>
          <w:szCs w:val="24"/>
          <w:rtl/>
        </w:rPr>
        <w:t xml:space="preserve"> 'מפני דרכי השלום'</w:t>
      </w:r>
      <w:r w:rsidR="00F37EFE">
        <w:rPr>
          <w:rFonts w:ascii="David" w:hAnsi="David" w:cs="David" w:hint="cs"/>
          <w:sz w:val="24"/>
          <w:szCs w:val="24"/>
          <w:rtl/>
        </w:rPr>
        <w:t xml:space="preserve"> ב</w:t>
      </w:r>
      <w:r w:rsidR="00CB52F1">
        <w:rPr>
          <w:rFonts w:ascii="David" w:hAnsi="David" w:cs="David" w:hint="cs"/>
          <w:sz w:val="24"/>
          <w:szCs w:val="24"/>
          <w:rtl/>
        </w:rPr>
        <w:t>מקורות</w:t>
      </w:r>
      <w:r w:rsidR="00F37EFE">
        <w:rPr>
          <w:rFonts w:ascii="David" w:hAnsi="David" w:cs="David" w:hint="cs"/>
          <w:sz w:val="24"/>
          <w:szCs w:val="24"/>
          <w:rtl/>
        </w:rPr>
        <w:t xml:space="preserve"> </w:t>
      </w:r>
      <w:proofErr w:type="spellStart"/>
      <w:r w:rsidR="00F37EFE">
        <w:rPr>
          <w:rFonts w:ascii="David" w:hAnsi="David" w:cs="David" w:hint="cs"/>
          <w:sz w:val="24"/>
          <w:szCs w:val="24"/>
          <w:rtl/>
        </w:rPr>
        <w:t>התנאי</w:t>
      </w:r>
      <w:r w:rsidR="00CB52F1">
        <w:rPr>
          <w:rFonts w:ascii="David" w:hAnsi="David" w:cs="David" w:hint="cs"/>
          <w:sz w:val="24"/>
          <w:szCs w:val="24"/>
          <w:rtl/>
        </w:rPr>
        <w:t>ים</w:t>
      </w:r>
      <w:proofErr w:type="spellEnd"/>
      <w:r w:rsidR="00E548BB">
        <w:rPr>
          <w:rFonts w:ascii="David" w:hAnsi="David" w:cs="David" w:hint="cs"/>
          <w:sz w:val="24"/>
          <w:szCs w:val="24"/>
          <w:rtl/>
        </w:rPr>
        <w:t>:</w:t>
      </w:r>
      <w:r w:rsidR="00BA5AEE">
        <w:rPr>
          <w:rFonts w:ascii="David" w:hAnsi="David" w:cs="David" w:hint="cs"/>
          <w:sz w:val="24"/>
          <w:szCs w:val="24"/>
          <w:rtl/>
        </w:rPr>
        <w:t xml:space="preserve"> גישה מסתייגת</w:t>
      </w:r>
      <w:r w:rsidR="00BE4843">
        <w:rPr>
          <w:rFonts w:ascii="David" w:hAnsi="David" w:cs="David" w:hint="cs"/>
          <w:sz w:val="24"/>
          <w:szCs w:val="24"/>
          <w:rtl/>
        </w:rPr>
        <w:t>,</w:t>
      </w:r>
      <w:r w:rsidR="00BA5AEE">
        <w:rPr>
          <w:rFonts w:ascii="David" w:hAnsi="David" w:cs="David" w:hint="cs"/>
          <w:sz w:val="24"/>
          <w:szCs w:val="24"/>
          <w:rtl/>
        </w:rPr>
        <w:t xml:space="preserve"> שרואה בהן וויתור על </w:t>
      </w:r>
      <w:r w:rsidR="00BE4843">
        <w:rPr>
          <w:rFonts w:ascii="David" w:hAnsi="David" w:cs="David" w:hint="cs"/>
          <w:sz w:val="24"/>
          <w:szCs w:val="24"/>
          <w:rtl/>
        </w:rPr>
        <w:t>הדרישה ההלכתית הראויה; גישה פרגמטית</w:t>
      </w:r>
      <w:r w:rsidR="00085DB8">
        <w:rPr>
          <w:rFonts w:ascii="David" w:hAnsi="David" w:cs="David" w:hint="cs"/>
          <w:sz w:val="24"/>
          <w:szCs w:val="24"/>
          <w:rtl/>
        </w:rPr>
        <w:t>,</w:t>
      </w:r>
      <w:r w:rsidR="00BE4843">
        <w:rPr>
          <w:rFonts w:ascii="David" w:hAnsi="David" w:cs="David" w:hint="cs"/>
          <w:sz w:val="24"/>
          <w:szCs w:val="24"/>
          <w:rtl/>
        </w:rPr>
        <w:t xml:space="preserve"> שרואה בהן קטגוריה </w:t>
      </w:r>
      <w:r w:rsidR="00094CE4">
        <w:rPr>
          <w:rFonts w:ascii="David" w:hAnsi="David" w:cs="David" w:hint="cs"/>
          <w:sz w:val="24"/>
          <w:szCs w:val="24"/>
          <w:rtl/>
        </w:rPr>
        <w:t xml:space="preserve">משפטית </w:t>
      </w:r>
      <w:r w:rsidR="00085DB8">
        <w:rPr>
          <w:rFonts w:ascii="David" w:hAnsi="David" w:cs="David" w:hint="cs"/>
          <w:sz w:val="24"/>
          <w:szCs w:val="24"/>
          <w:rtl/>
        </w:rPr>
        <w:t xml:space="preserve">לגיטימית </w:t>
      </w:r>
      <w:r w:rsidR="00BE4843">
        <w:rPr>
          <w:rFonts w:ascii="David" w:hAnsi="David" w:cs="David" w:hint="cs"/>
          <w:sz w:val="24"/>
          <w:szCs w:val="24"/>
          <w:rtl/>
        </w:rPr>
        <w:t>לפתרון (או מניעת) בעיות</w:t>
      </w:r>
      <w:r w:rsidR="00760EBF">
        <w:rPr>
          <w:rFonts w:ascii="David" w:hAnsi="David" w:cs="David" w:hint="cs"/>
          <w:sz w:val="24"/>
          <w:szCs w:val="24"/>
          <w:rtl/>
        </w:rPr>
        <w:t xml:space="preserve"> ועימותים</w:t>
      </w:r>
      <w:r w:rsidR="0020425A">
        <w:rPr>
          <w:rFonts w:ascii="David" w:hAnsi="David" w:cs="David" w:hint="cs"/>
          <w:sz w:val="24"/>
          <w:szCs w:val="24"/>
          <w:rtl/>
        </w:rPr>
        <w:t>,</w:t>
      </w:r>
      <w:r w:rsidR="00085DB8">
        <w:rPr>
          <w:rFonts w:ascii="David" w:hAnsi="David" w:cs="David" w:hint="cs"/>
          <w:sz w:val="24"/>
          <w:szCs w:val="24"/>
          <w:rtl/>
        </w:rPr>
        <w:t xml:space="preserve"> </w:t>
      </w:r>
      <w:r w:rsidR="00085DB8" w:rsidRPr="00085DB8">
        <w:rPr>
          <w:rFonts w:ascii="David" w:hAnsi="David" w:cs="David"/>
          <w:sz w:val="24"/>
          <w:szCs w:val="24"/>
          <w:rtl/>
        </w:rPr>
        <w:t>בדרך כלל על רקע של לקונה בהלכה</w:t>
      </w:r>
      <w:r w:rsidR="00BE4843">
        <w:rPr>
          <w:rFonts w:ascii="David" w:hAnsi="David" w:cs="David" w:hint="cs"/>
          <w:sz w:val="24"/>
          <w:szCs w:val="24"/>
          <w:rtl/>
        </w:rPr>
        <w:t>; וגישה חיובית</w:t>
      </w:r>
      <w:r w:rsidR="0081592E">
        <w:rPr>
          <w:rFonts w:ascii="David" w:hAnsi="David" w:cs="David" w:hint="cs"/>
          <w:sz w:val="24"/>
          <w:szCs w:val="24"/>
          <w:rtl/>
        </w:rPr>
        <w:t>, שרואה בה</w:t>
      </w:r>
      <w:r w:rsidR="00755782">
        <w:rPr>
          <w:rFonts w:ascii="David" w:hAnsi="David" w:cs="David" w:hint="cs"/>
          <w:sz w:val="24"/>
          <w:szCs w:val="24"/>
          <w:rtl/>
        </w:rPr>
        <w:t>ן</w:t>
      </w:r>
      <w:r w:rsidR="0081592E">
        <w:rPr>
          <w:rFonts w:ascii="David" w:hAnsi="David" w:cs="David" w:hint="cs"/>
          <w:sz w:val="24"/>
          <w:szCs w:val="24"/>
          <w:rtl/>
        </w:rPr>
        <w:t xml:space="preserve"> כללים מחייבים</w:t>
      </w:r>
      <w:r w:rsidR="002F6CFD">
        <w:rPr>
          <w:rFonts w:ascii="David" w:hAnsi="David" w:cs="David" w:hint="cs"/>
          <w:sz w:val="24"/>
          <w:szCs w:val="24"/>
          <w:rtl/>
        </w:rPr>
        <w:t xml:space="preserve">, </w:t>
      </w:r>
      <w:r w:rsidR="00BE4843">
        <w:rPr>
          <w:rFonts w:ascii="David" w:hAnsi="David" w:cs="David" w:hint="cs"/>
          <w:sz w:val="24"/>
          <w:szCs w:val="24"/>
          <w:rtl/>
        </w:rPr>
        <w:t xml:space="preserve">שתכליתם ליצור אקלים חברתי </w:t>
      </w:r>
      <w:r w:rsidR="00CD4310">
        <w:rPr>
          <w:rFonts w:ascii="David" w:hAnsi="David" w:cs="David" w:hint="cs"/>
          <w:sz w:val="24"/>
          <w:szCs w:val="24"/>
          <w:rtl/>
        </w:rPr>
        <w:t xml:space="preserve">מיטיב </w:t>
      </w:r>
      <w:r w:rsidR="00BE4843">
        <w:rPr>
          <w:rFonts w:ascii="David" w:hAnsi="David" w:cs="David" w:hint="cs"/>
          <w:sz w:val="24"/>
          <w:szCs w:val="24"/>
          <w:rtl/>
        </w:rPr>
        <w:t>בין חברי הקהילה</w:t>
      </w:r>
      <w:r w:rsidR="00BA5AEE">
        <w:rPr>
          <w:rFonts w:ascii="David" w:hAnsi="David" w:cs="David" w:hint="cs"/>
          <w:sz w:val="24"/>
          <w:szCs w:val="24"/>
          <w:rtl/>
        </w:rPr>
        <w:t>.</w:t>
      </w:r>
      <w:r w:rsidR="002674E8">
        <w:rPr>
          <w:rFonts w:ascii="David" w:hAnsi="David" w:cs="David" w:hint="cs"/>
          <w:sz w:val="24"/>
          <w:szCs w:val="24"/>
          <w:rtl/>
        </w:rPr>
        <w:t xml:space="preserve"> </w:t>
      </w:r>
      <w:r w:rsidR="0078175B">
        <w:rPr>
          <w:rFonts w:ascii="David" w:hAnsi="David" w:cs="David" w:hint="cs"/>
          <w:sz w:val="24"/>
          <w:szCs w:val="24"/>
          <w:rtl/>
        </w:rPr>
        <w:t>עתה ברצוני ל</w:t>
      </w:r>
      <w:r w:rsidR="00414472">
        <w:rPr>
          <w:rFonts w:ascii="David" w:hAnsi="David" w:cs="David" w:hint="cs"/>
          <w:sz w:val="24"/>
          <w:szCs w:val="24"/>
          <w:rtl/>
        </w:rPr>
        <w:t>טעון</w:t>
      </w:r>
      <w:r w:rsidR="0078175B">
        <w:rPr>
          <w:rFonts w:ascii="David" w:hAnsi="David" w:cs="David" w:hint="cs"/>
          <w:sz w:val="24"/>
          <w:szCs w:val="24"/>
          <w:rtl/>
        </w:rPr>
        <w:t xml:space="preserve"> כי </w:t>
      </w:r>
      <w:r w:rsidR="008477FC">
        <w:rPr>
          <w:rFonts w:ascii="David" w:hAnsi="David" w:cs="David" w:hint="cs"/>
          <w:sz w:val="24"/>
          <w:szCs w:val="24"/>
          <w:rtl/>
        </w:rPr>
        <w:t>ההבדל</w:t>
      </w:r>
      <w:r w:rsidR="00094CE4">
        <w:rPr>
          <w:rFonts w:ascii="David" w:hAnsi="David" w:cs="David" w:hint="cs"/>
          <w:sz w:val="24"/>
          <w:szCs w:val="24"/>
          <w:rtl/>
        </w:rPr>
        <w:t xml:space="preserve">ים אלו </w:t>
      </w:r>
      <w:r w:rsidR="008477FC">
        <w:rPr>
          <w:rFonts w:ascii="David" w:hAnsi="David" w:cs="David" w:hint="cs"/>
          <w:sz w:val="24"/>
          <w:szCs w:val="24"/>
          <w:rtl/>
        </w:rPr>
        <w:t>לא נובע</w:t>
      </w:r>
      <w:r w:rsidR="00094CE4">
        <w:rPr>
          <w:rFonts w:ascii="David" w:hAnsi="David" w:cs="David" w:hint="cs"/>
          <w:sz w:val="24"/>
          <w:szCs w:val="24"/>
          <w:rtl/>
        </w:rPr>
        <w:t>ים</w:t>
      </w:r>
      <w:r w:rsidR="008477FC">
        <w:rPr>
          <w:rFonts w:ascii="David" w:hAnsi="David" w:cs="David" w:hint="cs"/>
          <w:sz w:val="24"/>
          <w:szCs w:val="24"/>
          <w:rtl/>
        </w:rPr>
        <w:t xml:space="preserve"> כתוצאה מ</w:t>
      </w:r>
      <w:r w:rsidR="0078175B">
        <w:rPr>
          <w:rFonts w:ascii="David" w:hAnsi="David" w:cs="David" w:hint="cs"/>
          <w:sz w:val="24"/>
          <w:szCs w:val="24"/>
          <w:rtl/>
        </w:rPr>
        <w:t>תפיסות אישיות של פרסונות מסוימות</w:t>
      </w:r>
      <w:r w:rsidR="00094CE4">
        <w:rPr>
          <w:rFonts w:ascii="David" w:hAnsi="David" w:cs="David" w:hint="cs"/>
          <w:sz w:val="24"/>
          <w:szCs w:val="24"/>
          <w:rtl/>
        </w:rPr>
        <w:t xml:space="preserve"> בלבד</w:t>
      </w:r>
      <w:r w:rsidR="0078175B">
        <w:rPr>
          <w:rFonts w:ascii="David" w:hAnsi="David" w:cs="David" w:hint="cs"/>
          <w:sz w:val="24"/>
          <w:szCs w:val="24"/>
          <w:rtl/>
        </w:rPr>
        <w:t xml:space="preserve">, אלא </w:t>
      </w:r>
      <w:r w:rsidR="008477FC">
        <w:rPr>
          <w:rFonts w:ascii="David" w:hAnsi="David" w:cs="David" w:hint="cs"/>
          <w:sz w:val="24"/>
          <w:szCs w:val="24"/>
          <w:rtl/>
        </w:rPr>
        <w:t>משק</w:t>
      </w:r>
      <w:r w:rsidR="001B522C">
        <w:rPr>
          <w:rFonts w:ascii="David" w:hAnsi="David" w:cs="David" w:hint="cs"/>
          <w:sz w:val="24"/>
          <w:szCs w:val="24"/>
          <w:rtl/>
        </w:rPr>
        <w:t>פים</w:t>
      </w:r>
      <w:r w:rsidR="008477FC">
        <w:rPr>
          <w:rFonts w:ascii="David" w:hAnsi="David" w:cs="David" w:hint="cs"/>
          <w:sz w:val="24"/>
          <w:szCs w:val="24"/>
          <w:rtl/>
        </w:rPr>
        <w:t xml:space="preserve"> </w:t>
      </w:r>
      <w:r w:rsidR="0078175B">
        <w:rPr>
          <w:rFonts w:ascii="David" w:hAnsi="David" w:cs="David" w:hint="cs"/>
          <w:sz w:val="24"/>
          <w:szCs w:val="24"/>
          <w:rtl/>
        </w:rPr>
        <w:t xml:space="preserve">תמורות </w:t>
      </w:r>
      <w:r w:rsidR="00282D11">
        <w:rPr>
          <w:rFonts w:ascii="David" w:hAnsi="David" w:cs="David" w:hint="cs"/>
          <w:sz w:val="24"/>
          <w:szCs w:val="24"/>
          <w:rtl/>
        </w:rPr>
        <w:t xml:space="preserve">יסודיות </w:t>
      </w:r>
      <w:r w:rsidR="0078175B">
        <w:rPr>
          <w:rFonts w:ascii="David" w:hAnsi="David" w:cs="David" w:hint="cs"/>
          <w:sz w:val="24"/>
          <w:szCs w:val="24"/>
          <w:rtl/>
        </w:rPr>
        <w:t>שחלו בעולמם של חכמי</w:t>
      </w:r>
      <w:r w:rsidR="00CF2C6F">
        <w:rPr>
          <w:rFonts w:ascii="David" w:hAnsi="David" w:cs="David" w:hint="cs"/>
          <w:sz w:val="24"/>
          <w:szCs w:val="24"/>
          <w:rtl/>
        </w:rPr>
        <w:t>ם</w:t>
      </w:r>
      <w:r w:rsidR="0078175B">
        <w:rPr>
          <w:rFonts w:ascii="David" w:hAnsi="David" w:cs="David" w:hint="cs"/>
          <w:sz w:val="24"/>
          <w:szCs w:val="24"/>
          <w:rtl/>
        </w:rPr>
        <w:t xml:space="preserve"> </w:t>
      </w:r>
      <w:r w:rsidR="00970F09">
        <w:rPr>
          <w:rFonts w:ascii="David" w:hAnsi="David" w:cs="David" w:hint="cs"/>
          <w:sz w:val="24"/>
          <w:szCs w:val="24"/>
          <w:rtl/>
        </w:rPr>
        <w:t xml:space="preserve">מראשיתה </w:t>
      </w:r>
      <w:r w:rsidR="00CF2C6F">
        <w:rPr>
          <w:rFonts w:ascii="David" w:hAnsi="David" w:cs="David" w:hint="cs"/>
          <w:sz w:val="24"/>
          <w:szCs w:val="24"/>
          <w:rtl/>
        </w:rPr>
        <w:t xml:space="preserve">של תקופת המשנה </w:t>
      </w:r>
      <w:r w:rsidR="00970F09">
        <w:rPr>
          <w:rFonts w:ascii="David" w:hAnsi="David" w:cs="David" w:hint="cs"/>
          <w:sz w:val="24"/>
          <w:szCs w:val="24"/>
          <w:rtl/>
        </w:rPr>
        <w:t>ועד לסופה</w:t>
      </w:r>
      <w:r w:rsidR="0078175B">
        <w:rPr>
          <w:rFonts w:ascii="David" w:hAnsi="David" w:cs="David" w:hint="cs"/>
          <w:sz w:val="24"/>
          <w:szCs w:val="24"/>
          <w:rtl/>
        </w:rPr>
        <w:t xml:space="preserve">. </w:t>
      </w:r>
      <w:r w:rsidR="0061798E">
        <w:rPr>
          <w:rFonts w:ascii="David" w:hAnsi="David" w:cs="David" w:hint="cs"/>
          <w:sz w:val="24"/>
          <w:szCs w:val="24"/>
          <w:rtl/>
        </w:rPr>
        <w:t xml:space="preserve">טענה זו נשענת </w:t>
      </w:r>
      <w:r w:rsidR="00C86D98">
        <w:rPr>
          <w:rFonts w:ascii="David" w:hAnsi="David" w:cs="David" w:hint="cs"/>
          <w:sz w:val="24"/>
          <w:szCs w:val="24"/>
          <w:rtl/>
        </w:rPr>
        <w:t xml:space="preserve">על </w:t>
      </w:r>
      <w:r w:rsidR="0061798E">
        <w:rPr>
          <w:rFonts w:ascii="David" w:hAnsi="David" w:cs="David" w:hint="cs"/>
          <w:sz w:val="24"/>
          <w:szCs w:val="24"/>
          <w:rtl/>
        </w:rPr>
        <w:t>נתונים שונים ש</w:t>
      </w:r>
      <w:r w:rsidR="0008263E">
        <w:rPr>
          <w:rFonts w:ascii="David" w:hAnsi="David" w:cs="David" w:hint="cs"/>
          <w:sz w:val="24"/>
          <w:szCs w:val="24"/>
          <w:rtl/>
        </w:rPr>
        <w:t>עלו</w:t>
      </w:r>
      <w:r w:rsidR="0061798E">
        <w:rPr>
          <w:rFonts w:ascii="David" w:hAnsi="David" w:cs="David" w:hint="cs"/>
          <w:sz w:val="24"/>
          <w:szCs w:val="24"/>
          <w:rtl/>
        </w:rPr>
        <w:t xml:space="preserve"> בניתוח הפרטני שנעשה לעיל. אמנם לא </w:t>
      </w:r>
      <w:r w:rsidR="00046488">
        <w:rPr>
          <w:rFonts w:ascii="David" w:hAnsi="David" w:cs="David" w:hint="cs"/>
          <w:sz w:val="24"/>
          <w:szCs w:val="24"/>
          <w:rtl/>
        </w:rPr>
        <w:t xml:space="preserve">תמיד ניתן לקבוע </w:t>
      </w:r>
      <w:r w:rsidR="0061798E">
        <w:rPr>
          <w:rFonts w:ascii="David" w:hAnsi="David" w:cs="David" w:hint="cs"/>
          <w:sz w:val="24"/>
          <w:szCs w:val="24"/>
          <w:rtl/>
        </w:rPr>
        <w:t xml:space="preserve">מתי </w:t>
      </w:r>
      <w:r w:rsidR="005A087B">
        <w:rPr>
          <w:rFonts w:ascii="David" w:hAnsi="David" w:cs="David" w:hint="cs"/>
          <w:sz w:val="24"/>
          <w:szCs w:val="24"/>
          <w:rtl/>
        </w:rPr>
        <w:t xml:space="preserve">בדיוק </w:t>
      </w:r>
      <w:r w:rsidR="0061798E">
        <w:rPr>
          <w:rFonts w:ascii="David" w:hAnsi="David" w:cs="David" w:hint="cs"/>
          <w:sz w:val="24"/>
          <w:szCs w:val="24"/>
          <w:rtl/>
        </w:rPr>
        <w:t xml:space="preserve">נוצרו </w:t>
      </w:r>
      <w:r w:rsidR="005B364F">
        <w:rPr>
          <w:rFonts w:ascii="David" w:hAnsi="David" w:cs="David" w:hint="cs"/>
          <w:sz w:val="24"/>
          <w:szCs w:val="24"/>
          <w:rtl/>
        </w:rPr>
        <w:t xml:space="preserve">ההלכות שבדקנו </w:t>
      </w:r>
      <w:r w:rsidR="0061798E">
        <w:rPr>
          <w:rFonts w:ascii="David" w:hAnsi="David" w:cs="David" w:hint="cs"/>
          <w:sz w:val="24"/>
          <w:szCs w:val="24"/>
          <w:rtl/>
        </w:rPr>
        <w:t>ועל ידי מי</w:t>
      </w:r>
      <w:r w:rsidR="00046488">
        <w:rPr>
          <w:rFonts w:ascii="David" w:hAnsi="David" w:cs="David" w:hint="cs"/>
          <w:sz w:val="24"/>
          <w:szCs w:val="24"/>
          <w:rtl/>
        </w:rPr>
        <w:t>.</w:t>
      </w:r>
      <w:r w:rsidR="0061798E">
        <w:rPr>
          <w:rFonts w:ascii="David" w:hAnsi="David" w:cs="David" w:hint="cs"/>
          <w:sz w:val="24"/>
          <w:szCs w:val="24"/>
          <w:rtl/>
        </w:rPr>
        <w:t xml:space="preserve"> </w:t>
      </w:r>
      <w:r w:rsidR="00046488">
        <w:rPr>
          <w:rFonts w:ascii="David" w:hAnsi="David" w:cs="David" w:hint="cs"/>
          <w:sz w:val="24"/>
          <w:szCs w:val="24"/>
          <w:rtl/>
        </w:rPr>
        <w:t xml:space="preserve">עם זאת, </w:t>
      </w:r>
      <w:r w:rsidR="0061798E">
        <w:rPr>
          <w:rFonts w:ascii="David" w:hAnsi="David" w:cs="David" w:hint="cs"/>
          <w:sz w:val="24"/>
          <w:szCs w:val="24"/>
          <w:rtl/>
        </w:rPr>
        <w:t xml:space="preserve">לכל אחת מן הגישות </w:t>
      </w:r>
      <w:r w:rsidR="00046488">
        <w:rPr>
          <w:rFonts w:ascii="David" w:hAnsi="David" w:cs="David" w:hint="cs"/>
          <w:sz w:val="24"/>
          <w:szCs w:val="24"/>
          <w:rtl/>
        </w:rPr>
        <w:t xml:space="preserve">שראינו </w:t>
      </w:r>
      <w:r w:rsidR="0061798E">
        <w:rPr>
          <w:rFonts w:ascii="David" w:hAnsi="David" w:cs="David" w:hint="cs"/>
          <w:sz w:val="24"/>
          <w:szCs w:val="24"/>
          <w:rtl/>
        </w:rPr>
        <w:t>ניתנה דוגמה</w:t>
      </w:r>
      <w:r w:rsidR="0008263E">
        <w:rPr>
          <w:rFonts w:ascii="David" w:hAnsi="David" w:cs="David" w:hint="cs"/>
          <w:sz w:val="24"/>
          <w:szCs w:val="24"/>
          <w:rtl/>
        </w:rPr>
        <w:t>,</w:t>
      </w:r>
      <w:r w:rsidR="0061798E">
        <w:rPr>
          <w:rFonts w:ascii="David" w:hAnsi="David" w:cs="David" w:hint="cs"/>
          <w:sz w:val="24"/>
          <w:szCs w:val="24"/>
          <w:rtl/>
        </w:rPr>
        <w:t xml:space="preserve"> </w:t>
      </w:r>
      <w:r w:rsidR="0008263E">
        <w:rPr>
          <w:rFonts w:ascii="David" w:hAnsi="David" w:cs="David" w:hint="cs"/>
          <w:sz w:val="24"/>
          <w:szCs w:val="24"/>
          <w:rtl/>
        </w:rPr>
        <w:t>א</w:t>
      </w:r>
      <w:r w:rsidR="0061798E">
        <w:rPr>
          <w:rFonts w:ascii="David" w:hAnsi="David" w:cs="David" w:hint="cs"/>
          <w:sz w:val="24"/>
          <w:szCs w:val="24"/>
          <w:rtl/>
        </w:rPr>
        <w:t>ש</w:t>
      </w:r>
      <w:r w:rsidR="0008263E">
        <w:rPr>
          <w:rFonts w:ascii="David" w:hAnsi="David" w:cs="David" w:hint="cs"/>
          <w:sz w:val="24"/>
          <w:szCs w:val="24"/>
          <w:rtl/>
        </w:rPr>
        <w:t xml:space="preserve">ר </w:t>
      </w:r>
      <w:r w:rsidR="0061798E">
        <w:rPr>
          <w:rFonts w:ascii="David" w:hAnsi="David" w:cs="David" w:hint="cs"/>
          <w:sz w:val="24"/>
          <w:szCs w:val="24"/>
          <w:rtl/>
        </w:rPr>
        <w:t>חלק מנתוניה יכולים ללמד אותנו על הזמן המשוער שבו</w:t>
      </w:r>
      <w:r w:rsidR="0053456A">
        <w:rPr>
          <w:rFonts w:ascii="David" w:hAnsi="David" w:cs="David" w:hint="cs"/>
          <w:sz w:val="24"/>
          <w:szCs w:val="24"/>
          <w:rtl/>
        </w:rPr>
        <w:t xml:space="preserve"> רווחה בין החכמים</w:t>
      </w:r>
      <w:r w:rsidR="0061798E">
        <w:rPr>
          <w:rFonts w:ascii="David" w:hAnsi="David" w:cs="David" w:hint="cs"/>
          <w:sz w:val="24"/>
          <w:szCs w:val="24"/>
          <w:rtl/>
        </w:rPr>
        <w:t xml:space="preserve">: </w:t>
      </w:r>
      <w:r w:rsidR="00D43FDE">
        <w:rPr>
          <w:rFonts w:ascii="David" w:hAnsi="David" w:cs="David" w:hint="cs"/>
          <w:sz w:val="24"/>
          <w:szCs w:val="24"/>
          <w:rtl/>
        </w:rPr>
        <w:t>כך הי</w:t>
      </w:r>
      <w:r w:rsidR="009556CF">
        <w:rPr>
          <w:rFonts w:ascii="David" w:hAnsi="David" w:cs="David" w:hint="cs"/>
          <w:sz w:val="24"/>
          <w:szCs w:val="24"/>
          <w:rtl/>
        </w:rPr>
        <w:t>ה אזכור שמו של</w:t>
      </w:r>
      <w:r w:rsidR="00D43FDE">
        <w:rPr>
          <w:rFonts w:ascii="David" w:hAnsi="David" w:cs="David" w:hint="cs"/>
          <w:sz w:val="24"/>
          <w:szCs w:val="24"/>
          <w:rtl/>
        </w:rPr>
        <w:t xml:space="preserve"> </w:t>
      </w:r>
      <w:r w:rsidR="0061798E">
        <w:rPr>
          <w:rFonts w:ascii="David" w:hAnsi="David" w:cs="David" w:hint="cs"/>
          <w:sz w:val="24"/>
          <w:szCs w:val="24"/>
          <w:rtl/>
        </w:rPr>
        <w:t>רבן יוחנן בן זכאי והרקע התאולוגי-פוליטי של סוף תקופת הבית השני בתקנת מחצית השקל</w:t>
      </w:r>
      <w:r w:rsidR="00F80257">
        <w:rPr>
          <w:rFonts w:ascii="David" w:hAnsi="David" w:cs="David" w:hint="cs"/>
          <w:sz w:val="24"/>
          <w:szCs w:val="24"/>
          <w:rtl/>
        </w:rPr>
        <w:t xml:space="preserve"> (השלב המסתייג)</w:t>
      </w:r>
      <w:r w:rsidR="0061798E">
        <w:rPr>
          <w:rFonts w:ascii="David" w:hAnsi="David" w:cs="David" w:hint="cs"/>
          <w:sz w:val="24"/>
          <w:szCs w:val="24"/>
          <w:rtl/>
        </w:rPr>
        <w:t xml:space="preserve">; </w:t>
      </w:r>
      <w:r w:rsidR="009556CF">
        <w:rPr>
          <w:rFonts w:ascii="David" w:hAnsi="David" w:cs="David" w:hint="cs"/>
          <w:sz w:val="24"/>
          <w:szCs w:val="24"/>
          <w:rtl/>
        </w:rPr>
        <w:t>כך ניתן ללמוד מ</w:t>
      </w:r>
      <w:r w:rsidR="0061798E">
        <w:rPr>
          <w:rFonts w:ascii="David" w:hAnsi="David" w:cs="David" w:hint="cs"/>
          <w:sz w:val="24"/>
          <w:szCs w:val="24"/>
          <w:rtl/>
        </w:rPr>
        <w:t>שמו של ר' יוסי שחלק על תנא קמא בהלכות הגזל</w:t>
      </w:r>
      <w:r w:rsidR="00282D11">
        <w:rPr>
          <w:rFonts w:ascii="David" w:hAnsi="David" w:cs="David" w:hint="cs"/>
          <w:sz w:val="24"/>
          <w:szCs w:val="24"/>
          <w:rtl/>
        </w:rPr>
        <w:t xml:space="preserve">, ופעל בדור </w:t>
      </w:r>
      <w:proofErr w:type="spellStart"/>
      <w:r w:rsidR="00282D11">
        <w:rPr>
          <w:rFonts w:ascii="David" w:hAnsi="David" w:cs="David" w:hint="cs"/>
          <w:sz w:val="24"/>
          <w:szCs w:val="24"/>
          <w:rtl/>
        </w:rPr>
        <w:t>אושה</w:t>
      </w:r>
      <w:proofErr w:type="spellEnd"/>
      <w:r w:rsidR="00B41B21">
        <w:rPr>
          <w:rFonts w:ascii="David" w:hAnsi="David" w:cs="David" w:hint="cs"/>
          <w:sz w:val="24"/>
          <w:szCs w:val="24"/>
          <w:rtl/>
        </w:rPr>
        <w:t>.</w:t>
      </w:r>
      <w:r w:rsidR="005E6F4B">
        <w:rPr>
          <w:rFonts w:ascii="David" w:hAnsi="David" w:cs="David" w:hint="cs"/>
          <w:sz w:val="24"/>
          <w:szCs w:val="24"/>
          <w:rtl/>
        </w:rPr>
        <w:t xml:space="preserve"> תקנה נוספת שניתן לראות בה ביטוי לגישה </w:t>
      </w:r>
      <w:r w:rsidR="003C2C09">
        <w:rPr>
          <w:rFonts w:ascii="David" w:hAnsi="David" w:cs="David" w:hint="cs"/>
          <w:sz w:val="24"/>
          <w:szCs w:val="24"/>
          <w:rtl/>
        </w:rPr>
        <w:t xml:space="preserve">הפרגמטית </w:t>
      </w:r>
      <w:r w:rsidR="005E6F4B">
        <w:rPr>
          <w:rFonts w:ascii="David" w:hAnsi="David" w:cs="David" w:hint="cs"/>
          <w:sz w:val="24"/>
          <w:szCs w:val="24"/>
          <w:rtl/>
        </w:rPr>
        <w:t>היא</w:t>
      </w:r>
      <w:r w:rsidR="009556CF">
        <w:rPr>
          <w:rFonts w:ascii="David" w:hAnsi="David" w:cs="David" w:hint="cs"/>
          <w:sz w:val="24"/>
          <w:szCs w:val="24"/>
          <w:rtl/>
        </w:rPr>
        <w:t xml:space="preserve"> </w:t>
      </w:r>
      <w:r w:rsidR="00B41B21">
        <w:rPr>
          <w:rFonts w:ascii="David" w:hAnsi="David" w:cs="David" w:hint="cs"/>
          <w:sz w:val="24"/>
          <w:szCs w:val="24"/>
          <w:rtl/>
        </w:rPr>
        <w:t xml:space="preserve">התקנה שעוסקת ביחסיה של אשת </w:t>
      </w:r>
      <w:r w:rsidR="005A6E7F">
        <w:rPr>
          <w:rFonts w:ascii="David" w:hAnsi="David" w:cs="David" w:hint="cs"/>
          <w:sz w:val="24"/>
          <w:szCs w:val="24"/>
          <w:rtl/>
        </w:rPr>
        <w:t>'</w:t>
      </w:r>
      <w:r w:rsidR="00B41B21">
        <w:rPr>
          <w:rFonts w:ascii="David" w:hAnsi="David" w:cs="David" w:hint="cs"/>
          <w:sz w:val="24"/>
          <w:szCs w:val="24"/>
          <w:rtl/>
        </w:rPr>
        <w:t>חבר</w:t>
      </w:r>
      <w:r w:rsidR="005A6E7F">
        <w:rPr>
          <w:rFonts w:ascii="David" w:hAnsi="David" w:cs="David" w:hint="cs"/>
          <w:sz w:val="24"/>
          <w:szCs w:val="24"/>
          <w:rtl/>
        </w:rPr>
        <w:t>'</w:t>
      </w:r>
      <w:r w:rsidR="00B41B21">
        <w:rPr>
          <w:rFonts w:ascii="David" w:hAnsi="David" w:cs="David" w:hint="cs"/>
          <w:sz w:val="24"/>
          <w:szCs w:val="24"/>
          <w:rtl/>
        </w:rPr>
        <w:t xml:space="preserve"> עם אשת </w:t>
      </w:r>
      <w:r w:rsidR="005A6E7F">
        <w:rPr>
          <w:rFonts w:ascii="David" w:hAnsi="David" w:cs="David" w:hint="cs"/>
          <w:sz w:val="24"/>
          <w:szCs w:val="24"/>
          <w:rtl/>
        </w:rPr>
        <w:t>'</w:t>
      </w:r>
      <w:r w:rsidR="00B41B21">
        <w:rPr>
          <w:rFonts w:ascii="David" w:hAnsi="David" w:cs="David" w:hint="cs"/>
          <w:sz w:val="24"/>
          <w:szCs w:val="24"/>
          <w:rtl/>
        </w:rPr>
        <w:t>עם הארץ</w:t>
      </w:r>
      <w:r w:rsidR="005A6E7F">
        <w:rPr>
          <w:rFonts w:ascii="David" w:hAnsi="David" w:cs="David" w:hint="cs"/>
          <w:sz w:val="24"/>
          <w:szCs w:val="24"/>
          <w:rtl/>
        </w:rPr>
        <w:t>'</w:t>
      </w:r>
      <w:r w:rsidR="00B41B21">
        <w:rPr>
          <w:rFonts w:ascii="David" w:hAnsi="David" w:cs="David" w:hint="cs"/>
          <w:sz w:val="24"/>
          <w:szCs w:val="24"/>
          <w:rtl/>
        </w:rPr>
        <w:t xml:space="preserve">. </w:t>
      </w:r>
      <w:r w:rsidR="00B4611A">
        <w:rPr>
          <w:rFonts w:ascii="David" w:hAnsi="David" w:cs="David" w:hint="cs"/>
          <w:sz w:val="24"/>
          <w:szCs w:val="24"/>
          <w:rtl/>
        </w:rPr>
        <w:t>ה</w:t>
      </w:r>
      <w:r w:rsidR="001F298B">
        <w:rPr>
          <w:rFonts w:ascii="David" w:hAnsi="David" w:cs="David" w:hint="cs"/>
          <w:sz w:val="24"/>
          <w:szCs w:val="24"/>
          <w:rtl/>
        </w:rPr>
        <w:t xml:space="preserve">תקנה </w:t>
      </w:r>
      <w:r w:rsidR="00B41B21">
        <w:rPr>
          <w:rFonts w:ascii="David" w:hAnsi="David" w:cs="David" w:hint="cs"/>
          <w:sz w:val="24"/>
          <w:szCs w:val="24"/>
          <w:rtl/>
        </w:rPr>
        <w:t xml:space="preserve">משקפת גישה סובלנית ופתוחה של חכמים כלפי </w:t>
      </w:r>
      <w:r w:rsidR="009556CF">
        <w:rPr>
          <w:rFonts w:ascii="David" w:hAnsi="David" w:cs="David" w:hint="cs"/>
          <w:sz w:val="24"/>
          <w:szCs w:val="24"/>
          <w:rtl/>
        </w:rPr>
        <w:t>'</w:t>
      </w:r>
      <w:r w:rsidR="00B41B21">
        <w:rPr>
          <w:rFonts w:ascii="David" w:hAnsi="David" w:cs="David" w:hint="cs"/>
          <w:sz w:val="24"/>
          <w:szCs w:val="24"/>
          <w:rtl/>
        </w:rPr>
        <w:t>עם הארץ</w:t>
      </w:r>
      <w:r w:rsidR="009556CF">
        <w:rPr>
          <w:rFonts w:ascii="David" w:hAnsi="David" w:cs="David" w:hint="cs"/>
          <w:sz w:val="24"/>
          <w:szCs w:val="24"/>
          <w:rtl/>
        </w:rPr>
        <w:t>'</w:t>
      </w:r>
      <w:r w:rsidR="00B41B21">
        <w:rPr>
          <w:rFonts w:ascii="David" w:hAnsi="David" w:cs="David" w:hint="cs"/>
          <w:sz w:val="24"/>
          <w:szCs w:val="24"/>
          <w:rtl/>
        </w:rPr>
        <w:t xml:space="preserve">, </w:t>
      </w:r>
      <w:r w:rsidR="007E3C43">
        <w:rPr>
          <w:rFonts w:ascii="David" w:hAnsi="David" w:cs="David" w:hint="cs"/>
          <w:sz w:val="24"/>
          <w:szCs w:val="24"/>
          <w:rtl/>
        </w:rPr>
        <w:t>בדומה ל</w:t>
      </w:r>
      <w:r w:rsidR="009556CF">
        <w:rPr>
          <w:rFonts w:ascii="David" w:hAnsi="David" w:cs="David" w:hint="cs"/>
          <w:sz w:val="24"/>
          <w:szCs w:val="24"/>
          <w:rtl/>
        </w:rPr>
        <w:t xml:space="preserve">מקורות נוספים </w:t>
      </w:r>
      <w:r w:rsidR="005E6F4B">
        <w:rPr>
          <w:rFonts w:ascii="David" w:hAnsi="David" w:cs="David" w:hint="cs"/>
          <w:sz w:val="24"/>
          <w:szCs w:val="24"/>
          <w:rtl/>
        </w:rPr>
        <w:t xml:space="preserve">שמסדירים חיים לצד </w:t>
      </w:r>
      <w:r w:rsidR="001B5378">
        <w:rPr>
          <w:rFonts w:ascii="David" w:hAnsi="David" w:cs="David" w:hint="cs"/>
          <w:sz w:val="24"/>
          <w:szCs w:val="24"/>
          <w:rtl/>
        </w:rPr>
        <w:t xml:space="preserve">מגזר זה </w:t>
      </w:r>
      <w:r w:rsidR="009556CF">
        <w:rPr>
          <w:rFonts w:ascii="David" w:hAnsi="David" w:cs="David" w:hint="cs"/>
          <w:sz w:val="24"/>
          <w:szCs w:val="24"/>
          <w:rtl/>
        </w:rPr>
        <w:t>מ</w:t>
      </w:r>
      <w:r w:rsidR="00B41B21">
        <w:rPr>
          <w:rFonts w:ascii="David" w:hAnsi="David" w:cs="David" w:hint="cs"/>
          <w:sz w:val="24"/>
          <w:szCs w:val="24"/>
          <w:rtl/>
        </w:rPr>
        <w:t xml:space="preserve">תקופת </w:t>
      </w:r>
      <w:proofErr w:type="spellStart"/>
      <w:r w:rsidR="00B41B21">
        <w:rPr>
          <w:rFonts w:ascii="David" w:hAnsi="David" w:cs="David" w:hint="cs"/>
          <w:sz w:val="24"/>
          <w:szCs w:val="24"/>
          <w:rtl/>
        </w:rPr>
        <w:t>אושה</w:t>
      </w:r>
      <w:proofErr w:type="spellEnd"/>
      <w:r w:rsidR="00B41B21">
        <w:rPr>
          <w:rFonts w:ascii="David" w:hAnsi="David" w:cs="David" w:hint="cs"/>
          <w:sz w:val="24"/>
          <w:szCs w:val="24"/>
          <w:rtl/>
        </w:rPr>
        <w:t>.</w:t>
      </w:r>
      <w:r w:rsidR="00B41B21">
        <w:rPr>
          <w:rStyle w:val="a5"/>
          <w:rFonts w:ascii="David" w:hAnsi="David" w:cs="David"/>
          <w:sz w:val="24"/>
          <w:szCs w:val="24"/>
          <w:rtl/>
        </w:rPr>
        <w:footnoteReference w:id="54"/>
      </w:r>
      <w:r w:rsidR="00B41B21">
        <w:rPr>
          <w:rFonts w:ascii="David" w:hAnsi="David" w:cs="David" w:hint="cs"/>
          <w:sz w:val="24"/>
          <w:szCs w:val="24"/>
          <w:rtl/>
        </w:rPr>
        <w:t xml:space="preserve"> </w:t>
      </w:r>
      <w:r w:rsidR="005A6E7F">
        <w:rPr>
          <w:rFonts w:ascii="David" w:hAnsi="David" w:cs="David" w:hint="cs"/>
          <w:sz w:val="24"/>
          <w:szCs w:val="24"/>
          <w:rtl/>
        </w:rPr>
        <w:t>אני סבורה</w:t>
      </w:r>
      <w:r w:rsidR="00B4611A">
        <w:rPr>
          <w:rFonts w:ascii="David" w:hAnsi="David" w:cs="David" w:hint="cs"/>
          <w:sz w:val="24"/>
          <w:szCs w:val="24"/>
          <w:rtl/>
        </w:rPr>
        <w:t>, אפוא,</w:t>
      </w:r>
      <w:r w:rsidR="005A6E7F">
        <w:rPr>
          <w:rFonts w:ascii="David" w:hAnsi="David" w:cs="David" w:hint="cs"/>
          <w:sz w:val="24"/>
          <w:szCs w:val="24"/>
          <w:rtl/>
        </w:rPr>
        <w:t xml:space="preserve"> כי </w:t>
      </w:r>
      <w:r w:rsidR="00DB59AC">
        <w:rPr>
          <w:rFonts w:ascii="David" w:hAnsi="David" w:cs="David" w:hint="cs"/>
          <w:sz w:val="24"/>
          <w:szCs w:val="24"/>
          <w:rtl/>
        </w:rPr>
        <w:t>ה</w:t>
      </w:r>
      <w:r w:rsidR="005A6E7F">
        <w:rPr>
          <w:rFonts w:ascii="David" w:hAnsi="David" w:cs="David" w:hint="cs"/>
          <w:sz w:val="24"/>
          <w:szCs w:val="24"/>
          <w:rtl/>
        </w:rPr>
        <w:t xml:space="preserve">חלק הארי מבין התקנות האנונימיות שעונות על לקונות בהלכה, </w:t>
      </w:r>
      <w:r w:rsidR="00DF44EB">
        <w:rPr>
          <w:rFonts w:ascii="David" w:hAnsi="David" w:cs="David" w:hint="cs"/>
          <w:sz w:val="24"/>
          <w:szCs w:val="24"/>
          <w:rtl/>
        </w:rPr>
        <w:t xml:space="preserve">משקפות </w:t>
      </w:r>
      <w:r w:rsidR="005A6E7F">
        <w:rPr>
          <w:rFonts w:ascii="David" w:hAnsi="David" w:cs="David" w:hint="cs"/>
          <w:sz w:val="24"/>
          <w:szCs w:val="24"/>
          <w:rtl/>
        </w:rPr>
        <w:t>שלב זה בתפיסת 'דרכי השלום'</w:t>
      </w:r>
      <w:r w:rsidR="0061798E">
        <w:rPr>
          <w:rFonts w:ascii="David" w:hAnsi="David" w:cs="David" w:hint="cs"/>
          <w:sz w:val="24"/>
          <w:szCs w:val="24"/>
          <w:rtl/>
        </w:rPr>
        <w:t xml:space="preserve">; לבסוף </w:t>
      </w:r>
      <w:r w:rsidR="005B364F">
        <w:rPr>
          <w:rFonts w:ascii="David" w:hAnsi="David" w:cs="David" w:hint="cs"/>
          <w:sz w:val="24"/>
          <w:szCs w:val="24"/>
          <w:rtl/>
        </w:rPr>
        <w:t xml:space="preserve">הזכרתי </w:t>
      </w:r>
      <w:r w:rsidR="00DA1565">
        <w:rPr>
          <w:rFonts w:ascii="David" w:hAnsi="David" w:cs="David" w:hint="cs"/>
          <w:sz w:val="24"/>
          <w:szCs w:val="24"/>
          <w:rtl/>
        </w:rPr>
        <w:t xml:space="preserve">את </w:t>
      </w:r>
      <w:r w:rsidR="0061798E">
        <w:rPr>
          <w:rFonts w:ascii="David" w:hAnsi="David" w:cs="David" w:hint="cs"/>
          <w:sz w:val="24"/>
          <w:szCs w:val="24"/>
          <w:rtl/>
        </w:rPr>
        <w:t xml:space="preserve">עריכת </w:t>
      </w:r>
      <w:r w:rsidR="0061798E">
        <w:rPr>
          <w:rFonts w:ascii="David" w:hAnsi="David" w:cs="David" w:hint="cs"/>
          <w:sz w:val="24"/>
          <w:szCs w:val="24"/>
          <w:rtl/>
        </w:rPr>
        <w:lastRenderedPageBreak/>
        <w:t xml:space="preserve">קובץ </w:t>
      </w:r>
      <w:r w:rsidR="0008263E">
        <w:rPr>
          <w:rFonts w:ascii="David" w:hAnsi="David" w:cs="David" w:hint="cs"/>
          <w:sz w:val="24"/>
          <w:szCs w:val="24"/>
          <w:rtl/>
        </w:rPr>
        <w:t>תקנות '</w:t>
      </w:r>
      <w:r w:rsidR="0061798E">
        <w:rPr>
          <w:rFonts w:ascii="David" w:hAnsi="David" w:cs="David" w:hint="cs"/>
          <w:sz w:val="24"/>
          <w:szCs w:val="24"/>
          <w:rtl/>
        </w:rPr>
        <w:t>דרכי השלום</w:t>
      </w:r>
      <w:r w:rsidR="0008263E">
        <w:rPr>
          <w:rFonts w:ascii="David" w:hAnsi="David" w:cs="David" w:hint="cs"/>
          <w:sz w:val="24"/>
          <w:szCs w:val="24"/>
          <w:rtl/>
        </w:rPr>
        <w:t>'</w:t>
      </w:r>
      <w:r w:rsidR="003E48A2">
        <w:rPr>
          <w:rFonts w:ascii="David" w:hAnsi="David" w:cs="David" w:hint="cs"/>
          <w:sz w:val="24"/>
          <w:szCs w:val="24"/>
          <w:rtl/>
        </w:rPr>
        <w:t xml:space="preserve"> </w:t>
      </w:r>
      <w:r w:rsidR="00335297">
        <w:rPr>
          <w:rFonts w:ascii="David" w:hAnsi="David" w:cs="David" w:hint="cs"/>
          <w:sz w:val="24"/>
          <w:szCs w:val="24"/>
          <w:rtl/>
        </w:rPr>
        <w:t xml:space="preserve">שנעשתה </w:t>
      </w:r>
      <w:r w:rsidR="003E48A2">
        <w:rPr>
          <w:rFonts w:ascii="David" w:hAnsi="David" w:cs="David" w:hint="cs"/>
          <w:sz w:val="24"/>
          <w:szCs w:val="24"/>
          <w:rtl/>
        </w:rPr>
        <w:t>בסוף תקופת המשנה</w:t>
      </w:r>
      <w:r w:rsidR="000B034C">
        <w:rPr>
          <w:rFonts w:ascii="David" w:hAnsi="David" w:cs="David" w:hint="cs"/>
          <w:sz w:val="24"/>
          <w:szCs w:val="24"/>
          <w:rtl/>
        </w:rPr>
        <w:t>, ו</w:t>
      </w:r>
      <w:r w:rsidR="005B364F">
        <w:rPr>
          <w:rFonts w:ascii="David" w:hAnsi="David" w:cs="David" w:hint="cs"/>
          <w:sz w:val="24"/>
          <w:szCs w:val="24"/>
          <w:rtl/>
        </w:rPr>
        <w:t xml:space="preserve">ראינו </w:t>
      </w:r>
      <w:r w:rsidR="000B034C">
        <w:rPr>
          <w:rFonts w:ascii="David" w:hAnsi="David" w:cs="David" w:hint="cs"/>
          <w:sz w:val="24"/>
          <w:szCs w:val="24"/>
          <w:rtl/>
        </w:rPr>
        <w:t>את תפיסתו של ר' שמעון, שהעלתה את 'דרכי השלום' לכדי עיקרון מטה-הלכתי</w:t>
      </w:r>
      <w:r w:rsidR="00DF44EB">
        <w:rPr>
          <w:rFonts w:ascii="David" w:hAnsi="David" w:cs="David" w:hint="cs"/>
          <w:sz w:val="24"/>
          <w:szCs w:val="24"/>
          <w:rtl/>
        </w:rPr>
        <w:t>.</w:t>
      </w:r>
      <w:r w:rsidR="00943156">
        <w:rPr>
          <w:rFonts w:ascii="David" w:hAnsi="David" w:cs="David" w:hint="cs"/>
          <w:sz w:val="24"/>
          <w:szCs w:val="24"/>
          <w:rtl/>
        </w:rPr>
        <w:t xml:space="preserve"> </w:t>
      </w:r>
      <w:r w:rsidR="00AD7D3A">
        <w:rPr>
          <w:rFonts w:ascii="David" w:hAnsi="David" w:cs="David" w:hint="cs"/>
          <w:sz w:val="24"/>
          <w:szCs w:val="24"/>
          <w:rtl/>
        </w:rPr>
        <w:t>יש לומר, ש</w:t>
      </w:r>
      <w:r w:rsidR="00943156">
        <w:rPr>
          <w:rFonts w:ascii="David" w:hAnsi="David" w:cs="David" w:hint="cs"/>
          <w:sz w:val="24"/>
          <w:szCs w:val="24"/>
          <w:rtl/>
        </w:rPr>
        <w:t xml:space="preserve">גם אם </w:t>
      </w:r>
      <w:r w:rsidR="00DF44EB">
        <w:rPr>
          <w:rFonts w:ascii="David" w:hAnsi="David" w:cs="David" w:hint="cs"/>
          <w:sz w:val="24"/>
          <w:szCs w:val="24"/>
          <w:rtl/>
        </w:rPr>
        <w:t>ה</w:t>
      </w:r>
      <w:r w:rsidR="00943156">
        <w:rPr>
          <w:rFonts w:ascii="David" w:hAnsi="David" w:cs="David" w:hint="cs"/>
          <w:sz w:val="24"/>
          <w:szCs w:val="24"/>
          <w:rtl/>
        </w:rPr>
        <w:t>תפ</w:t>
      </w:r>
      <w:r w:rsidR="00342CA8">
        <w:rPr>
          <w:rFonts w:ascii="David" w:hAnsi="David" w:cs="David" w:hint="cs"/>
          <w:sz w:val="24"/>
          <w:szCs w:val="24"/>
          <w:rtl/>
        </w:rPr>
        <w:t>י</w:t>
      </w:r>
      <w:r w:rsidR="00943156">
        <w:rPr>
          <w:rFonts w:ascii="David" w:hAnsi="David" w:cs="David" w:hint="cs"/>
          <w:sz w:val="24"/>
          <w:szCs w:val="24"/>
          <w:rtl/>
        </w:rPr>
        <w:t xml:space="preserve">סה </w:t>
      </w:r>
      <w:r w:rsidR="00DF44EB">
        <w:rPr>
          <w:rFonts w:ascii="David" w:hAnsi="David" w:cs="David" w:hint="cs"/>
          <w:sz w:val="24"/>
          <w:szCs w:val="24"/>
          <w:rtl/>
        </w:rPr>
        <w:t xml:space="preserve">שעומדת מאחורי עריכת קובץ </w:t>
      </w:r>
      <w:r w:rsidR="00046488">
        <w:rPr>
          <w:rFonts w:ascii="David" w:hAnsi="David" w:cs="David" w:hint="cs"/>
          <w:sz w:val="24"/>
          <w:szCs w:val="24"/>
          <w:rtl/>
        </w:rPr>
        <w:t>התקנות</w:t>
      </w:r>
      <w:r w:rsidR="0053554D">
        <w:rPr>
          <w:rFonts w:ascii="David" w:hAnsi="David" w:cs="David" w:hint="cs"/>
          <w:sz w:val="24"/>
          <w:szCs w:val="24"/>
          <w:rtl/>
        </w:rPr>
        <w:t xml:space="preserve"> במסכת גיטין</w:t>
      </w:r>
      <w:r w:rsidR="00046488">
        <w:rPr>
          <w:rFonts w:ascii="David" w:hAnsi="David" w:cs="David" w:hint="cs"/>
          <w:sz w:val="24"/>
          <w:szCs w:val="24"/>
          <w:rtl/>
        </w:rPr>
        <w:t xml:space="preserve"> אינה </w:t>
      </w:r>
      <w:r w:rsidR="00AD7D3A">
        <w:rPr>
          <w:rFonts w:ascii="David" w:hAnsi="David" w:cs="David" w:hint="cs"/>
          <w:sz w:val="24"/>
          <w:szCs w:val="24"/>
          <w:rtl/>
        </w:rPr>
        <w:t xml:space="preserve">ראדיקלית כזו </w:t>
      </w:r>
      <w:r w:rsidR="00046488">
        <w:rPr>
          <w:rFonts w:ascii="David" w:hAnsi="David" w:cs="David" w:hint="cs"/>
          <w:sz w:val="24"/>
          <w:szCs w:val="24"/>
          <w:rtl/>
        </w:rPr>
        <w:t xml:space="preserve">של </w:t>
      </w:r>
      <w:r w:rsidR="00342CA8">
        <w:rPr>
          <w:rFonts w:ascii="David" w:hAnsi="David" w:cs="David" w:hint="cs"/>
          <w:sz w:val="24"/>
          <w:szCs w:val="24"/>
          <w:rtl/>
        </w:rPr>
        <w:t>ר' שמעון</w:t>
      </w:r>
      <w:r w:rsidR="00943156">
        <w:rPr>
          <w:rFonts w:ascii="David" w:hAnsi="David" w:cs="David" w:hint="cs"/>
          <w:sz w:val="24"/>
          <w:szCs w:val="24"/>
          <w:rtl/>
        </w:rPr>
        <w:t>, בוודאי</w:t>
      </w:r>
      <w:r w:rsidR="00342CA8">
        <w:rPr>
          <w:rFonts w:ascii="David" w:hAnsi="David" w:cs="David" w:hint="cs"/>
          <w:sz w:val="24"/>
          <w:szCs w:val="24"/>
          <w:rtl/>
        </w:rPr>
        <w:t xml:space="preserve"> ש</w:t>
      </w:r>
      <w:r w:rsidR="001C3D38">
        <w:rPr>
          <w:rFonts w:ascii="David" w:hAnsi="David" w:cs="David" w:hint="cs"/>
          <w:sz w:val="24"/>
          <w:szCs w:val="24"/>
          <w:rtl/>
        </w:rPr>
        <w:t xml:space="preserve">היא </w:t>
      </w:r>
      <w:r w:rsidR="00943156">
        <w:rPr>
          <w:rFonts w:ascii="David" w:hAnsi="David" w:cs="David" w:hint="cs"/>
          <w:sz w:val="24"/>
          <w:szCs w:val="24"/>
          <w:rtl/>
        </w:rPr>
        <w:t xml:space="preserve">ראתה </w:t>
      </w:r>
      <w:r w:rsidR="005B3FA1">
        <w:rPr>
          <w:rFonts w:ascii="David" w:hAnsi="David" w:cs="David" w:hint="cs"/>
          <w:sz w:val="24"/>
          <w:szCs w:val="24"/>
          <w:rtl/>
        </w:rPr>
        <w:t>בהן</w:t>
      </w:r>
      <w:r w:rsidR="00943156">
        <w:rPr>
          <w:rFonts w:ascii="David" w:hAnsi="David" w:cs="David" w:hint="cs"/>
          <w:sz w:val="24"/>
          <w:szCs w:val="24"/>
          <w:rtl/>
        </w:rPr>
        <w:t xml:space="preserve"> </w:t>
      </w:r>
      <w:r w:rsidR="001C3D38">
        <w:rPr>
          <w:rFonts w:ascii="David" w:hAnsi="David" w:cs="David" w:hint="cs"/>
          <w:sz w:val="24"/>
          <w:szCs w:val="24"/>
          <w:rtl/>
        </w:rPr>
        <w:t xml:space="preserve">כללים ראויים ונחוצים לביסוס </w:t>
      </w:r>
      <w:proofErr w:type="spellStart"/>
      <w:r w:rsidR="00B96D44">
        <w:rPr>
          <w:rFonts w:ascii="David" w:hAnsi="David" w:cs="David" w:hint="cs"/>
          <w:sz w:val="24"/>
          <w:szCs w:val="24"/>
          <w:rtl/>
        </w:rPr>
        <w:t>קיימותה</w:t>
      </w:r>
      <w:proofErr w:type="spellEnd"/>
      <w:r w:rsidR="00B96D44">
        <w:rPr>
          <w:rFonts w:ascii="David" w:hAnsi="David" w:cs="David" w:hint="cs"/>
          <w:sz w:val="24"/>
          <w:szCs w:val="24"/>
          <w:rtl/>
        </w:rPr>
        <w:t xml:space="preserve"> ורווחתה של הקהילה.</w:t>
      </w:r>
      <w:r w:rsidR="00342CA8">
        <w:rPr>
          <w:rFonts w:ascii="David" w:hAnsi="David" w:cs="David" w:hint="cs"/>
          <w:sz w:val="24"/>
          <w:szCs w:val="24"/>
          <w:rtl/>
        </w:rPr>
        <w:t xml:space="preserve"> </w:t>
      </w:r>
    </w:p>
    <w:p w14:paraId="73959CDB" w14:textId="601D9622" w:rsidR="001B44E9" w:rsidRDefault="00795E52" w:rsidP="005A0A46">
      <w:pPr>
        <w:spacing w:line="480" w:lineRule="auto"/>
        <w:rPr>
          <w:rFonts w:ascii="David" w:hAnsi="David" w:cs="David"/>
          <w:sz w:val="24"/>
          <w:szCs w:val="24"/>
          <w:rtl/>
        </w:rPr>
      </w:pPr>
      <w:r>
        <w:rPr>
          <w:rFonts w:ascii="David" w:hAnsi="David" w:cs="David"/>
          <w:sz w:val="24"/>
          <w:szCs w:val="24"/>
          <w:rtl/>
        </w:rPr>
        <w:tab/>
      </w:r>
      <w:r>
        <w:rPr>
          <w:rFonts w:ascii="David" w:hAnsi="David" w:cs="David" w:hint="cs"/>
          <w:sz w:val="24"/>
          <w:szCs w:val="24"/>
          <w:rtl/>
        </w:rPr>
        <w:t>כיצד ניתן להסביר תמורות</w:t>
      </w:r>
      <w:r w:rsidR="00E60CDE">
        <w:rPr>
          <w:rFonts w:ascii="David" w:hAnsi="David" w:cs="David" w:hint="cs"/>
          <w:sz w:val="24"/>
          <w:szCs w:val="24"/>
          <w:rtl/>
        </w:rPr>
        <w:t xml:space="preserve"> אלו</w:t>
      </w:r>
      <w:r>
        <w:rPr>
          <w:rFonts w:ascii="David" w:hAnsi="David" w:cs="David" w:hint="cs"/>
          <w:sz w:val="24"/>
          <w:szCs w:val="24"/>
          <w:rtl/>
        </w:rPr>
        <w:t>?</w:t>
      </w:r>
      <w:r w:rsidRPr="00795E52">
        <w:rPr>
          <w:rtl/>
        </w:rPr>
        <w:t xml:space="preserve"> </w:t>
      </w:r>
      <w:r w:rsidR="00BF3697">
        <w:rPr>
          <w:rFonts w:ascii="David" w:hAnsi="David" w:cs="David" w:hint="cs"/>
          <w:sz w:val="24"/>
          <w:szCs w:val="24"/>
          <w:rtl/>
        </w:rPr>
        <w:t xml:space="preserve">כפי שכתבתי בדברי המבוא, </w:t>
      </w:r>
      <w:r>
        <w:rPr>
          <w:rFonts w:ascii="David" w:hAnsi="David" w:cs="David" w:hint="cs"/>
          <w:sz w:val="24"/>
          <w:szCs w:val="24"/>
          <w:rtl/>
        </w:rPr>
        <w:t xml:space="preserve">אני סבורה </w:t>
      </w:r>
      <w:r w:rsidR="00015397">
        <w:rPr>
          <w:rFonts w:ascii="David" w:hAnsi="David" w:cs="David" w:hint="cs"/>
          <w:sz w:val="24"/>
          <w:szCs w:val="24"/>
          <w:rtl/>
        </w:rPr>
        <w:t xml:space="preserve">כי ניתן </w:t>
      </w:r>
      <w:r w:rsidR="005453AF">
        <w:rPr>
          <w:rFonts w:ascii="David" w:hAnsi="David" w:cs="David" w:hint="cs"/>
          <w:sz w:val="24"/>
          <w:szCs w:val="24"/>
          <w:rtl/>
        </w:rPr>
        <w:t xml:space="preserve">ליישם על </w:t>
      </w:r>
      <w:r w:rsidR="00F21FB0">
        <w:rPr>
          <w:rFonts w:ascii="David" w:hAnsi="David" w:cs="David" w:hint="cs"/>
          <w:sz w:val="24"/>
          <w:szCs w:val="24"/>
          <w:rtl/>
        </w:rPr>
        <w:t xml:space="preserve">המקרים שלפנינו </w:t>
      </w:r>
      <w:r w:rsidR="00015397">
        <w:rPr>
          <w:rFonts w:ascii="David" w:hAnsi="David" w:cs="David" w:hint="cs"/>
          <w:sz w:val="24"/>
          <w:szCs w:val="24"/>
          <w:rtl/>
        </w:rPr>
        <w:t xml:space="preserve">מושגים ותובנות </w:t>
      </w:r>
      <w:r w:rsidR="00EE22E6">
        <w:rPr>
          <w:rFonts w:ascii="David" w:hAnsi="David" w:cs="David" w:hint="cs"/>
          <w:sz w:val="24"/>
          <w:szCs w:val="24"/>
          <w:rtl/>
        </w:rPr>
        <w:t>מ</w:t>
      </w:r>
      <w:r w:rsidRPr="00795E52">
        <w:rPr>
          <w:rFonts w:ascii="David" w:hAnsi="David" w:cs="David"/>
          <w:sz w:val="24"/>
          <w:szCs w:val="24"/>
          <w:rtl/>
        </w:rPr>
        <w:t xml:space="preserve">תחום ההיסטוריה של המשפט </w:t>
      </w:r>
      <w:r>
        <w:rPr>
          <w:rFonts w:ascii="David" w:hAnsi="David" w:cs="David" w:hint="cs"/>
          <w:sz w:val="24"/>
          <w:szCs w:val="24"/>
          <w:rtl/>
        </w:rPr>
        <w:t>ו</w:t>
      </w:r>
      <w:r w:rsidR="00EE22E6">
        <w:rPr>
          <w:rFonts w:ascii="David" w:hAnsi="David" w:cs="David" w:hint="cs"/>
          <w:sz w:val="24"/>
          <w:szCs w:val="24"/>
          <w:rtl/>
        </w:rPr>
        <w:t>מ</w:t>
      </w:r>
      <w:r w:rsidR="008D5810">
        <w:rPr>
          <w:rFonts w:ascii="David" w:hAnsi="David" w:cs="David" w:hint="cs"/>
          <w:sz w:val="24"/>
          <w:szCs w:val="24"/>
          <w:rtl/>
        </w:rPr>
        <w:t xml:space="preserve">תחום </w:t>
      </w:r>
      <w:r w:rsidRPr="00795E52">
        <w:rPr>
          <w:rFonts w:ascii="David" w:hAnsi="David" w:cs="David"/>
          <w:sz w:val="24"/>
          <w:szCs w:val="24"/>
          <w:rtl/>
        </w:rPr>
        <w:t>תורת המשפט</w:t>
      </w:r>
      <w:r w:rsidR="00920146">
        <w:rPr>
          <w:rFonts w:ascii="David" w:hAnsi="David" w:cs="David" w:hint="cs"/>
          <w:sz w:val="24"/>
          <w:szCs w:val="24"/>
          <w:rtl/>
        </w:rPr>
        <w:t xml:space="preserve">, </w:t>
      </w:r>
      <w:r w:rsidR="007E2A07">
        <w:rPr>
          <w:rFonts w:ascii="David" w:hAnsi="David" w:cs="David" w:hint="cs"/>
          <w:sz w:val="24"/>
          <w:szCs w:val="24"/>
          <w:rtl/>
        </w:rPr>
        <w:t xml:space="preserve">ולהנהיר בעזרתם </w:t>
      </w:r>
      <w:r w:rsidR="005453AF">
        <w:rPr>
          <w:rFonts w:ascii="David" w:hAnsi="David" w:cs="David" w:hint="cs"/>
          <w:sz w:val="24"/>
          <w:szCs w:val="24"/>
          <w:rtl/>
        </w:rPr>
        <w:t>גורמים ותהליכים</w:t>
      </w:r>
      <w:r w:rsidR="00B44A2C">
        <w:rPr>
          <w:rFonts w:ascii="David" w:hAnsi="David" w:cs="David" w:hint="cs"/>
          <w:sz w:val="24"/>
          <w:szCs w:val="24"/>
          <w:rtl/>
        </w:rPr>
        <w:t xml:space="preserve"> ש</w:t>
      </w:r>
      <w:r w:rsidR="00486704">
        <w:rPr>
          <w:rFonts w:ascii="David" w:hAnsi="David" w:cs="David" w:hint="cs"/>
          <w:sz w:val="24"/>
          <w:szCs w:val="24"/>
          <w:rtl/>
        </w:rPr>
        <w:t>חוללו</w:t>
      </w:r>
      <w:r w:rsidR="00B44A2C">
        <w:rPr>
          <w:rFonts w:ascii="David" w:hAnsi="David" w:cs="David" w:hint="cs"/>
          <w:sz w:val="24"/>
          <w:szCs w:val="24"/>
          <w:rtl/>
        </w:rPr>
        <w:t xml:space="preserve"> אותן</w:t>
      </w:r>
      <w:r w:rsidRPr="00795E52">
        <w:rPr>
          <w:rFonts w:ascii="David" w:hAnsi="David" w:cs="David"/>
          <w:sz w:val="24"/>
          <w:szCs w:val="24"/>
          <w:rtl/>
        </w:rPr>
        <w:t>.</w:t>
      </w:r>
      <w:bookmarkStart w:id="6" w:name="_Hlk12606685"/>
      <w:r w:rsidR="00F548AE" w:rsidRPr="00F548AE">
        <w:rPr>
          <w:rFonts w:ascii="David" w:hAnsi="David" w:cs="David"/>
          <w:sz w:val="24"/>
          <w:szCs w:val="24"/>
          <w:vertAlign w:val="superscript"/>
          <w:rtl/>
        </w:rPr>
        <w:t xml:space="preserve"> </w:t>
      </w:r>
      <w:r w:rsidR="00B12999">
        <w:rPr>
          <w:rFonts w:ascii="David" w:hAnsi="David" w:cs="David" w:hint="cs"/>
          <w:sz w:val="24"/>
          <w:szCs w:val="24"/>
          <w:rtl/>
        </w:rPr>
        <w:t>ה</w:t>
      </w:r>
      <w:r w:rsidR="005A4FC0">
        <w:rPr>
          <w:rFonts w:ascii="David" w:hAnsi="David" w:cs="David" w:hint="cs"/>
          <w:sz w:val="24"/>
          <w:szCs w:val="24"/>
          <w:rtl/>
        </w:rPr>
        <w:t>סוגיות</w:t>
      </w:r>
      <w:r w:rsidR="00B12999">
        <w:rPr>
          <w:rFonts w:ascii="David" w:hAnsi="David" w:cs="David" w:hint="cs"/>
          <w:sz w:val="24"/>
          <w:szCs w:val="24"/>
          <w:rtl/>
        </w:rPr>
        <w:t xml:space="preserve"> </w:t>
      </w:r>
      <w:proofErr w:type="spellStart"/>
      <w:r w:rsidR="00AB17C8">
        <w:rPr>
          <w:rFonts w:ascii="David" w:hAnsi="David" w:cs="David" w:hint="cs"/>
          <w:sz w:val="24"/>
          <w:szCs w:val="24"/>
          <w:rtl/>
        </w:rPr>
        <w:t>היורספרודנטיות</w:t>
      </w:r>
      <w:proofErr w:type="spellEnd"/>
      <w:r w:rsidR="00AB17C8">
        <w:rPr>
          <w:rFonts w:ascii="David" w:hAnsi="David" w:cs="David" w:hint="cs"/>
          <w:sz w:val="24"/>
          <w:szCs w:val="24"/>
          <w:rtl/>
        </w:rPr>
        <w:t xml:space="preserve"> המרכזיות</w:t>
      </w:r>
      <w:r w:rsidR="00EE22E6">
        <w:rPr>
          <w:rFonts w:ascii="David" w:hAnsi="David" w:cs="David" w:hint="cs"/>
          <w:sz w:val="24"/>
          <w:szCs w:val="24"/>
          <w:rtl/>
        </w:rPr>
        <w:t>,</w:t>
      </w:r>
      <w:r w:rsidR="00AB17C8">
        <w:rPr>
          <w:rFonts w:ascii="David" w:hAnsi="David" w:cs="David" w:hint="cs"/>
          <w:sz w:val="24"/>
          <w:szCs w:val="24"/>
          <w:rtl/>
        </w:rPr>
        <w:t xml:space="preserve"> ש</w:t>
      </w:r>
      <w:r w:rsidR="00774A19">
        <w:rPr>
          <w:rFonts w:ascii="David" w:hAnsi="David" w:cs="David" w:hint="cs"/>
          <w:sz w:val="24"/>
          <w:szCs w:val="24"/>
          <w:rtl/>
        </w:rPr>
        <w:t>רלבנטיות</w:t>
      </w:r>
      <w:r w:rsidR="00AB17C8">
        <w:rPr>
          <w:rFonts w:ascii="David" w:hAnsi="David" w:cs="David" w:hint="cs"/>
          <w:sz w:val="24"/>
          <w:szCs w:val="24"/>
          <w:rtl/>
        </w:rPr>
        <w:t xml:space="preserve"> לענייננו</w:t>
      </w:r>
      <w:r w:rsidR="006C7352">
        <w:rPr>
          <w:rFonts w:ascii="David" w:hAnsi="David" w:cs="David" w:hint="cs"/>
          <w:sz w:val="24"/>
          <w:szCs w:val="24"/>
          <w:rtl/>
        </w:rPr>
        <w:t xml:space="preserve">, </w:t>
      </w:r>
      <w:r w:rsidR="005A4FC0">
        <w:rPr>
          <w:rFonts w:ascii="David" w:hAnsi="David" w:cs="David" w:hint="cs"/>
          <w:sz w:val="24"/>
          <w:szCs w:val="24"/>
          <w:rtl/>
        </w:rPr>
        <w:t xml:space="preserve">עוסקות </w:t>
      </w:r>
      <w:r w:rsidR="00B12999">
        <w:rPr>
          <w:rFonts w:ascii="David" w:hAnsi="David" w:cs="David" w:hint="cs"/>
          <w:sz w:val="24"/>
          <w:szCs w:val="24"/>
          <w:rtl/>
        </w:rPr>
        <w:t xml:space="preserve">בכללים </w:t>
      </w:r>
      <w:r w:rsidR="00775FDB">
        <w:rPr>
          <w:rFonts w:ascii="David" w:hAnsi="David" w:cs="David" w:hint="cs"/>
          <w:sz w:val="24"/>
          <w:szCs w:val="24"/>
          <w:rtl/>
        </w:rPr>
        <w:t xml:space="preserve">ובעקרונות </w:t>
      </w:r>
      <w:r w:rsidR="00B12999">
        <w:rPr>
          <w:rFonts w:ascii="David" w:hAnsi="David" w:cs="David" w:hint="cs"/>
          <w:sz w:val="24"/>
          <w:szCs w:val="24"/>
          <w:rtl/>
        </w:rPr>
        <w:t>משפטיים</w:t>
      </w:r>
      <w:r w:rsidR="00565052">
        <w:rPr>
          <w:rFonts w:ascii="David" w:hAnsi="David" w:cs="David" w:hint="cs"/>
          <w:sz w:val="24"/>
          <w:szCs w:val="24"/>
          <w:rtl/>
        </w:rPr>
        <w:t>,</w:t>
      </w:r>
      <w:r w:rsidR="001C2A82" w:rsidRPr="001C2A82">
        <w:rPr>
          <w:rFonts w:ascii="David" w:hAnsi="David" w:cs="David"/>
          <w:sz w:val="24"/>
          <w:szCs w:val="24"/>
          <w:vertAlign w:val="superscript"/>
          <w:rtl/>
        </w:rPr>
        <w:t xml:space="preserve"> </w:t>
      </w:r>
      <w:r w:rsidR="00B12999">
        <w:rPr>
          <w:rFonts w:ascii="David" w:hAnsi="David" w:cs="David" w:hint="cs"/>
          <w:sz w:val="24"/>
          <w:szCs w:val="24"/>
          <w:rtl/>
        </w:rPr>
        <w:t>ובטעמים להם</w:t>
      </w:r>
      <w:r w:rsidR="00462964">
        <w:rPr>
          <w:rFonts w:ascii="David" w:hAnsi="David" w:cs="David" w:hint="cs"/>
          <w:sz w:val="24"/>
          <w:szCs w:val="24"/>
          <w:rtl/>
        </w:rPr>
        <w:t>.</w:t>
      </w:r>
      <w:r w:rsidR="00462964" w:rsidRPr="00462964">
        <w:rPr>
          <w:vertAlign w:val="superscript"/>
          <w:rtl/>
        </w:rPr>
        <w:footnoteReference w:id="55"/>
      </w:r>
      <w:r w:rsidR="005A0A46" w:rsidRPr="005A0A46">
        <w:rPr>
          <w:rFonts w:ascii="David" w:hAnsi="David" w:cs="David"/>
          <w:sz w:val="24"/>
          <w:szCs w:val="24"/>
          <w:vertAlign w:val="superscript"/>
          <w:rtl/>
        </w:rPr>
        <w:t xml:space="preserve"> </w:t>
      </w:r>
      <w:bookmarkEnd w:id="6"/>
      <w:r w:rsidR="0071333F">
        <w:rPr>
          <w:rFonts w:ascii="David" w:hAnsi="David" w:cs="David" w:hint="cs"/>
          <w:sz w:val="24"/>
          <w:szCs w:val="24"/>
          <w:rtl/>
        </w:rPr>
        <w:t xml:space="preserve">מבין התאורטיקנים </w:t>
      </w:r>
      <w:r w:rsidR="0071333F">
        <w:rPr>
          <w:rFonts w:ascii="David" w:hAnsi="David" w:cs="David" w:hint="cs"/>
          <w:sz w:val="24"/>
          <w:szCs w:val="24"/>
          <w:rtl/>
        </w:rPr>
        <w:lastRenderedPageBreak/>
        <w:t xml:space="preserve">והמחקרים הרבים בנושא אני מוצאת </w:t>
      </w:r>
      <w:r w:rsidR="00CF4566">
        <w:rPr>
          <w:rFonts w:ascii="David" w:hAnsi="David" w:cs="David" w:hint="cs"/>
          <w:sz w:val="24"/>
          <w:szCs w:val="24"/>
          <w:rtl/>
        </w:rPr>
        <w:t>שתי גישות מחקריות</w:t>
      </w:r>
      <w:r w:rsidR="00E70083">
        <w:rPr>
          <w:rFonts w:ascii="David" w:hAnsi="David" w:cs="David" w:hint="cs"/>
          <w:sz w:val="24"/>
          <w:szCs w:val="24"/>
          <w:rtl/>
        </w:rPr>
        <w:t xml:space="preserve"> רלבנטיות במיוחד לענייננו</w:t>
      </w:r>
      <w:r w:rsidR="00CF4566">
        <w:rPr>
          <w:rFonts w:ascii="David" w:hAnsi="David" w:cs="David" w:hint="cs"/>
          <w:sz w:val="24"/>
          <w:szCs w:val="24"/>
          <w:rtl/>
        </w:rPr>
        <w:t>.</w:t>
      </w:r>
      <w:r w:rsidR="00407891">
        <w:rPr>
          <w:rFonts w:ascii="David" w:hAnsi="David" w:cs="David" w:hint="cs"/>
          <w:sz w:val="24"/>
          <w:szCs w:val="24"/>
          <w:rtl/>
        </w:rPr>
        <w:t xml:space="preserve"> </w:t>
      </w:r>
      <w:r w:rsidR="00D57BAE">
        <w:rPr>
          <w:rFonts w:ascii="David" w:hAnsi="David" w:cs="David" w:hint="cs"/>
          <w:sz w:val="24"/>
          <w:szCs w:val="24"/>
          <w:rtl/>
        </w:rPr>
        <w:t xml:space="preserve">האחת היא </w:t>
      </w:r>
      <w:r w:rsidR="00407891">
        <w:rPr>
          <w:rFonts w:ascii="David" w:hAnsi="David" w:cs="David" w:hint="cs"/>
          <w:sz w:val="24"/>
          <w:szCs w:val="24"/>
          <w:rtl/>
        </w:rPr>
        <w:t xml:space="preserve">של </w:t>
      </w:r>
      <w:r w:rsidR="008B165E">
        <w:rPr>
          <w:rFonts w:ascii="David" w:hAnsi="David" w:cs="David" w:hint="cs"/>
          <w:sz w:val="24"/>
          <w:szCs w:val="24"/>
          <w:rtl/>
        </w:rPr>
        <w:t>התאורטיקן</w:t>
      </w:r>
      <w:r w:rsidR="00EA72A0">
        <w:rPr>
          <w:rFonts w:ascii="David" w:hAnsi="David" w:cs="David" w:hint="cs"/>
          <w:sz w:val="24"/>
          <w:szCs w:val="24"/>
          <w:rtl/>
        </w:rPr>
        <w:t xml:space="preserve"> </w:t>
      </w:r>
      <w:r w:rsidR="001C5C29" w:rsidRPr="001C5C29">
        <w:rPr>
          <w:rFonts w:ascii="David" w:hAnsi="David" w:cs="David"/>
          <w:sz w:val="24"/>
          <w:szCs w:val="24"/>
        </w:rPr>
        <w:t xml:space="preserve">Frederick </w:t>
      </w:r>
      <w:bookmarkStart w:id="7" w:name="_Hlk13040058"/>
      <w:r w:rsidR="001C5C29" w:rsidRPr="001C5C29">
        <w:rPr>
          <w:rFonts w:ascii="David" w:hAnsi="David" w:cs="David"/>
          <w:sz w:val="24"/>
          <w:szCs w:val="24"/>
        </w:rPr>
        <w:t>Schauer</w:t>
      </w:r>
      <w:bookmarkEnd w:id="7"/>
      <w:r w:rsidR="001548CA" w:rsidRPr="001548CA">
        <w:rPr>
          <w:rFonts w:ascii="David" w:hAnsi="David" w:cs="David"/>
          <w:sz w:val="24"/>
          <w:szCs w:val="24"/>
          <w:vertAlign w:val="superscript"/>
        </w:rPr>
        <w:footnoteReference w:id="56"/>
      </w:r>
      <w:r w:rsidR="00407891">
        <w:rPr>
          <w:rFonts w:ascii="David" w:hAnsi="David" w:cs="David" w:hint="cs"/>
          <w:sz w:val="24"/>
          <w:szCs w:val="24"/>
          <w:rtl/>
        </w:rPr>
        <w:t xml:space="preserve">, </w:t>
      </w:r>
      <w:r w:rsidR="005B7E5A">
        <w:rPr>
          <w:rFonts w:ascii="David" w:hAnsi="David" w:cs="David" w:hint="cs"/>
          <w:sz w:val="24"/>
          <w:szCs w:val="24"/>
          <w:rtl/>
        </w:rPr>
        <w:t>בעיסוקו</w:t>
      </w:r>
      <w:r w:rsidR="00277FD8">
        <w:rPr>
          <w:rFonts w:ascii="David" w:hAnsi="David" w:cs="David" w:hint="cs"/>
          <w:sz w:val="24"/>
          <w:szCs w:val="24"/>
          <w:rtl/>
        </w:rPr>
        <w:t xml:space="preserve"> בתופעה </w:t>
      </w:r>
      <w:r w:rsidR="00FF0B48">
        <w:rPr>
          <w:rFonts w:ascii="David" w:hAnsi="David" w:cs="David" w:hint="cs"/>
          <w:sz w:val="24"/>
          <w:szCs w:val="24"/>
          <w:rtl/>
        </w:rPr>
        <w:t xml:space="preserve">של </w:t>
      </w:r>
      <w:r w:rsidR="00EA72A0">
        <w:rPr>
          <w:rFonts w:ascii="David" w:hAnsi="David" w:cs="David" w:hint="cs"/>
          <w:sz w:val="24"/>
          <w:szCs w:val="24"/>
          <w:rtl/>
        </w:rPr>
        <w:t xml:space="preserve">מתן </w:t>
      </w:r>
      <w:r w:rsidR="00FF0B48">
        <w:rPr>
          <w:rFonts w:ascii="David" w:hAnsi="David" w:cs="David" w:hint="cs"/>
          <w:sz w:val="24"/>
          <w:szCs w:val="24"/>
          <w:rtl/>
        </w:rPr>
        <w:t>טעמים מפורשים</w:t>
      </w:r>
      <w:r w:rsidR="008B165E">
        <w:rPr>
          <w:rFonts w:ascii="David" w:hAnsi="David" w:cs="David" w:hint="cs"/>
          <w:sz w:val="24"/>
          <w:szCs w:val="24"/>
          <w:rtl/>
        </w:rPr>
        <w:t xml:space="preserve"> לחוקים</w:t>
      </w:r>
      <w:r w:rsidR="00172ABC">
        <w:rPr>
          <w:rFonts w:ascii="David" w:hAnsi="David" w:cs="David" w:hint="cs"/>
          <w:sz w:val="24"/>
          <w:szCs w:val="24"/>
          <w:rtl/>
        </w:rPr>
        <w:t>,</w:t>
      </w:r>
      <w:r w:rsidR="0078761F">
        <w:rPr>
          <w:rFonts w:ascii="David" w:hAnsi="David" w:cs="David" w:hint="cs"/>
          <w:sz w:val="24"/>
          <w:szCs w:val="24"/>
          <w:rtl/>
        </w:rPr>
        <w:t xml:space="preserve"> </w:t>
      </w:r>
      <w:r w:rsidR="00D57BAE">
        <w:rPr>
          <w:rFonts w:ascii="David" w:hAnsi="David" w:cs="David" w:hint="cs"/>
          <w:sz w:val="24"/>
          <w:szCs w:val="24"/>
          <w:rtl/>
        </w:rPr>
        <w:t>ב</w:t>
      </w:r>
      <w:r w:rsidR="008B165E">
        <w:rPr>
          <w:rFonts w:ascii="David" w:hAnsi="David" w:cs="David" w:hint="cs"/>
          <w:sz w:val="24"/>
          <w:szCs w:val="24"/>
          <w:rtl/>
        </w:rPr>
        <w:t>תוצאותיה ו</w:t>
      </w:r>
      <w:r w:rsidR="00D57BAE">
        <w:rPr>
          <w:rFonts w:ascii="David" w:hAnsi="David" w:cs="David" w:hint="cs"/>
          <w:sz w:val="24"/>
          <w:szCs w:val="24"/>
          <w:rtl/>
        </w:rPr>
        <w:t>ב</w:t>
      </w:r>
      <w:r w:rsidR="008B165E">
        <w:rPr>
          <w:rFonts w:ascii="David" w:hAnsi="David" w:cs="David" w:hint="cs"/>
          <w:sz w:val="24"/>
          <w:szCs w:val="24"/>
          <w:rtl/>
        </w:rPr>
        <w:t>השלכותיה על התפ</w:t>
      </w:r>
      <w:r w:rsidR="004E55EE">
        <w:rPr>
          <w:rFonts w:ascii="David" w:hAnsi="David" w:cs="David" w:hint="cs"/>
          <w:sz w:val="24"/>
          <w:szCs w:val="24"/>
          <w:rtl/>
        </w:rPr>
        <w:t>ת</w:t>
      </w:r>
      <w:r w:rsidR="008B165E">
        <w:rPr>
          <w:rFonts w:ascii="David" w:hAnsi="David" w:cs="David" w:hint="cs"/>
          <w:sz w:val="24"/>
          <w:szCs w:val="24"/>
          <w:rtl/>
        </w:rPr>
        <w:t xml:space="preserve">חותה של </w:t>
      </w:r>
      <w:r w:rsidR="00F31ABB">
        <w:rPr>
          <w:rFonts w:ascii="David" w:hAnsi="David" w:cs="David" w:hint="cs"/>
          <w:sz w:val="24"/>
          <w:szCs w:val="24"/>
          <w:rtl/>
        </w:rPr>
        <w:t>ה</w:t>
      </w:r>
      <w:r w:rsidR="008B165E">
        <w:rPr>
          <w:rFonts w:ascii="David" w:hAnsi="David" w:cs="David" w:hint="cs"/>
          <w:sz w:val="24"/>
          <w:szCs w:val="24"/>
          <w:rtl/>
        </w:rPr>
        <w:t xml:space="preserve">מערכת </w:t>
      </w:r>
      <w:r w:rsidR="00F31ABB">
        <w:rPr>
          <w:rFonts w:ascii="David" w:hAnsi="David" w:cs="David" w:hint="cs"/>
          <w:sz w:val="24"/>
          <w:szCs w:val="24"/>
          <w:rtl/>
        </w:rPr>
        <w:t>ה</w:t>
      </w:r>
      <w:r w:rsidR="008B165E">
        <w:rPr>
          <w:rFonts w:ascii="David" w:hAnsi="David" w:cs="David" w:hint="cs"/>
          <w:sz w:val="24"/>
          <w:szCs w:val="24"/>
          <w:rtl/>
        </w:rPr>
        <w:t>משפטית</w:t>
      </w:r>
      <w:r w:rsidR="003E6D41">
        <w:rPr>
          <w:rFonts w:ascii="David" w:hAnsi="David" w:cs="David" w:hint="cs"/>
          <w:sz w:val="24"/>
          <w:szCs w:val="24"/>
          <w:rtl/>
        </w:rPr>
        <w:t xml:space="preserve"> (</w:t>
      </w:r>
      <w:r w:rsidR="003E6D41" w:rsidRPr="003E6D41">
        <w:rPr>
          <w:rFonts w:ascii="David" w:hAnsi="David" w:cs="David"/>
          <w:sz w:val="24"/>
          <w:szCs w:val="24"/>
          <w:rtl/>
        </w:rPr>
        <w:t xml:space="preserve">בשונה מתכלית מובלעת, </w:t>
      </w:r>
      <w:r w:rsidR="003E6D41" w:rsidRPr="003E6D41">
        <w:rPr>
          <w:rFonts w:ascii="David" w:hAnsi="David" w:cs="David"/>
          <w:sz w:val="24"/>
          <w:szCs w:val="24"/>
          <w:rtl/>
        </w:rPr>
        <w:lastRenderedPageBreak/>
        <w:t>שמבצבצת באופן משתמע מן החוק שאותו היא מנמקת</w:t>
      </w:r>
      <w:r w:rsidR="003E6D41">
        <w:rPr>
          <w:rFonts w:ascii="David" w:hAnsi="David" w:cs="David" w:hint="cs"/>
          <w:sz w:val="24"/>
          <w:szCs w:val="24"/>
          <w:rtl/>
        </w:rPr>
        <w:t>)</w:t>
      </w:r>
      <w:r w:rsidR="008B165E">
        <w:rPr>
          <w:rFonts w:ascii="David" w:hAnsi="David" w:cs="David" w:hint="cs"/>
          <w:sz w:val="24"/>
          <w:szCs w:val="24"/>
          <w:rtl/>
        </w:rPr>
        <w:t>.</w:t>
      </w:r>
      <w:r w:rsidR="00227BC5">
        <w:rPr>
          <w:rStyle w:val="a5"/>
          <w:rFonts w:ascii="David" w:hAnsi="David" w:cs="David"/>
          <w:sz w:val="24"/>
          <w:szCs w:val="24"/>
          <w:rtl/>
        </w:rPr>
        <w:footnoteReference w:id="57"/>
      </w:r>
      <w:r w:rsidR="00D57BAE">
        <w:rPr>
          <w:rFonts w:ascii="David" w:hAnsi="David" w:cs="David" w:hint="cs"/>
          <w:sz w:val="24"/>
          <w:szCs w:val="24"/>
          <w:rtl/>
        </w:rPr>
        <w:t xml:space="preserve"> השנ</w:t>
      </w:r>
      <w:r w:rsidR="003E6D41">
        <w:rPr>
          <w:rFonts w:ascii="David" w:hAnsi="David" w:cs="David" w:hint="cs"/>
          <w:sz w:val="24"/>
          <w:szCs w:val="24"/>
          <w:rtl/>
        </w:rPr>
        <w:t>י</w:t>
      </w:r>
      <w:r w:rsidR="00D57BAE">
        <w:rPr>
          <w:rFonts w:ascii="David" w:hAnsi="David" w:cs="David" w:hint="cs"/>
          <w:sz w:val="24"/>
          <w:szCs w:val="24"/>
          <w:rtl/>
        </w:rPr>
        <w:t xml:space="preserve">יה היא </w:t>
      </w:r>
      <w:r w:rsidR="003E6D41">
        <w:rPr>
          <w:rFonts w:ascii="David" w:hAnsi="David" w:cs="David" w:hint="cs"/>
          <w:sz w:val="24"/>
          <w:szCs w:val="24"/>
          <w:rtl/>
        </w:rPr>
        <w:t xml:space="preserve">גישתו </w:t>
      </w:r>
      <w:r w:rsidR="00D57BAE">
        <w:rPr>
          <w:rFonts w:ascii="David" w:hAnsi="David" w:cs="David" w:hint="cs"/>
          <w:sz w:val="24"/>
          <w:szCs w:val="24"/>
          <w:rtl/>
        </w:rPr>
        <w:t>של</w:t>
      </w:r>
      <w:r w:rsidR="009F3DFC">
        <w:rPr>
          <w:rFonts w:ascii="David" w:hAnsi="David" w:cs="David" w:hint="cs"/>
          <w:sz w:val="24"/>
          <w:szCs w:val="24"/>
          <w:rtl/>
        </w:rPr>
        <w:t xml:space="preserve"> </w:t>
      </w:r>
      <w:r w:rsidR="007C1D55">
        <w:rPr>
          <w:rFonts w:ascii="Times New Roman" w:hAnsi="Times New Roman" w:cs="Times New Roman" w:hint="cs"/>
          <w:sz w:val="24"/>
          <w:szCs w:val="24"/>
        </w:rPr>
        <w:t>D</w:t>
      </w:r>
      <w:r w:rsidR="009F3DFC" w:rsidRPr="00B73D1C">
        <w:rPr>
          <w:rFonts w:ascii="Times New Roman" w:hAnsi="Times New Roman" w:cs="Times New Roman"/>
          <w:sz w:val="24"/>
          <w:szCs w:val="24"/>
        </w:rPr>
        <w:t>un</w:t>
      </w:r>
      <w:r w:rsidR="00F15123" w:rsidRPr="00B73D1C">
        <w:rPr>
          <w:rFonts w:ascii="Times New Roman" w:hAnsi="Times New Roman" w:cs="Times New Roman"/>
          <w:sz w:val="24"/>
          <w:szCs w:val="24"/>
        </w:rPr>
        <w:t>c</w:t>
      </w:r>
      <w:r w:rsidR="009F3DFC" w:rsidRPr="00B73D1C">
        <w:rPr>
          <w:rFonts w:ascii="Times New Roman" w:hAnsi="Times New Roman" w:cs="Times New Roman"/>
          <w:sz w:val="24"/>
          <w:szCs w:val="24"/>
        </w:rPr>
        <w:t>an Kenned</w:t>
      </w:r>
      <w:r w:rsidR="00F15123" w:rsidRPr="00B73D1C">
        <w:rPr>
          <w:rFonts w:ascii="Times New Roman" w:hAnsi="Times New Roman" w:cs="Times New Roman"/>
          <w:sz w:val="24"/>
          <w:szCs w:val="24"/>
        </w:rPr>
        <w:t>y</w:t>
      </w:r>
      <w:r w:rsidR="00D57BAE">
        <w:rPr>
          <w:rFonts w:ascii="David" w:hAnsi="David" w:cs="David" w:hint="cs"/>
          <w:sz w:val="24"/>
          <w:szCs w:val="24"/>
          <w:rtl/>
        </w:rPr>
        <w:t xml:space="preserve">, </w:t>
      </w:r>
      <w:r w:rsidR="00686C61">
        <w:rPr>
          <w:rFonts w:ascii="David" w:hAnsi="David" w:cs="David" w:hint="cs"/>
          <w:sz w:val="24"/>
          <w:szCs w:val="24"/>
          <w:rtl/>
        </w:rPr>
        <w:t xml:space="preserve">שעמד </w:t>
      </w:r>
      <w:r w:rsidR="00F31ABB">
        <w:rPr>
          <w:rFonts w:ascii="David" w:hAnsi="David" w:cs="David" w:hint="cs"/>
          <w:sz w:val="24"/>
          <w:szCs w:val="24"/>
          <w:rtl/>
        </w:rPr>
        <w:t xml:space="preserve">על טיבם של </w:t>
      </w:r>
      <w:r w:rsidR="00D57BAE">
        <w:rPr>
          <w:rFonts w:ascii="David" w:hAnsi="David" w:cs="David" w:hint="cs"/>
          <w:sz w:val="24"/>
          <w:szCs w:val="24"/>
          <w:rtl/>
        </w:rPr>
        <w:t xml:space="preserve">שינויים </w:t>
      </w:r>
      <w:r w:rsidR="005B7E5A">
        <w:rPr>
          <w:rFonts w:ascii="David" w:hAnsi="David" w:cs="David" w:hint="cs"/>
          <w:sz w:val="24"/>
          <w:szCs w:val="24"/>
          <w:rtl/>
        </w:rPr>
        <w:t xml:space="preserve">פנימיים </w:t>
      </w:r>
      <w:r w:rsidR="00D57BAE">
        <w:rPr>
          <w:rFonts w:ascii="David" w:hAnsi="David" w:cs="David" w:hint="cs"/>
          <w:sz w:val="24"/>
          <w:szCs w:val="24"/>
          <w:rtl/>
        </w:rPr>
        <w:t>שהתרחשו בשיטת המשפט האמריקאית.</w:t>
      </w:r>
      <w:r w:rsidR="00B73D1C">
        <w:rPr>
          <w:rStyle w:val="a5"/>
          <w:rFonts w:ascii="David" w:hAnsi="David" w:cs="David"/>
          <w:sz w:val="24"/>
          <w:szCs w:val="24"/>
          <w:rtl/>
        </w:rPr>
        <w:footnoteReference w:id="58"/>
      </w:r>
      <w:r w:rsidR="004A6ABC">
        <w:rPr>
          <w:rFonts w:ascii="David" w:hAnsi="David" w:cs="David" w:hint="cs"/>
          <w:sz w:val="24"/>
          <w:szCs w:val="24"/>
          <w:rtl/>
        </w:rPr>
        <w:t xml:space="preserve"> </w:t>
      </w:r>
    </w:p>
    <w:p w14:paraId="110861D9" w14:textId="3D14F468" w:rsidR="001E1E24" w:rsidRPr="00421205" w:rsidRDefault="00851E4F" w:rsidP="00821D36">
      <w:pPr>
        <w:spacing w:line="480" w:lineRule="auto"/>
        <w:ind w:firstLine="720"/>
        <w:rPr>
          <w:rFonts w:ascii="David" w:hAnsi="David" w:cs="David"/>
          <w:sz w:val="24"/>
          <w:szCs w:val="24"/>
          <w:rtl/>
        </w:rPr>
      </w:pPr>
      <w:r>
        <w:rPr>
          <w:rFonts w:ascii="David" w:hAnsi="David" w:cs="David" w:hint="cs"/>
          <w:sz w:val="24"/>
          <w:szCs w:val="24"/>
          <w:rtl/>
        </w:rPr>
        <w:t xml:space="preserve">אתחיל </w:t>
      </w:r>
      <w:r w:rsidR="00A120DE">
        <w:rPr>
          <w:rFonts w:ascii="David" w:hAnsi="David" w:cs="David" w:hint="cs"/>
          <w:sz w:val="24"/>
          <w:szCs w:val="24"/>
          <w:rtl/>
        </w:rPr>
        <w:t xml:space="preserve">בדבריו </w:t>
      </w:r>
      <w:r>
        <w:rPr>
          <w:rFonts w:ascii="David" w:hAnsi="David" w:cs="David" w:hint="cs"/>
          <w:sz w:val="24"/>
          <w:szCs w:val="24"/>
          <w:rtl/>
        </w:rPr>
        <w:t xml:space="preserve">של </w:t>
      </w:r>
      <w:bookmarkStart w:id="11" w:name="_Hlk13124149"/>
      <w:r w:rsidRPr="00851E4F">
        <w:rPr>
          <w:rFonts w:ascii="David" w:hAnsi="David" w:cs="David"/>
          <w:sz w:val="24"/>
          <w:szCs w:val="24"/>
        </w:rPr>
        <w:t>Schauer</w:t>
      </w:r>
      <w:bookmarkEnd w:id="11"/>
      <w:r>
        <w:rPr>
          <w:rFonts w:ascii="David" w:hAnsi="David" w:cs="David" w:hint="cs"/>
          <w:sz w:val="24"/>
          <w:szCs w:val="24"/>
          <w:rtl/>
        </w:rPr>
        <w:t>.</w:t>
      </w:r>
      <w:r w:rsidR="001B44E9">
        <w:rPr>
          <w:rFonts w:ascii="David" w:hAnsi="David" w:cs="David" w:hint="cs"/>
          <w:sz w:val="24"/>
          <w:szCs w:val="24"/>
          <w:rtl/>
        </w:rPr>
        <w:t xml:space="preserve"> במאמרו </w:t>
      </w:r>
      <w:r w:rsidR="001B44E9" w:rsidRPr="001B44E9">
        <w:rPr>
          <w:rFonts w:ascii="David" w:hAnsi="David" w:cs="David"/>
          <w:sz w:val="24"/>
          <w:szCs w:val="24"/>
          <w:rtl/>
        </w:rPr>
        <w:t>“</w:t>
      </w:r>
      <w:r w:rsidR="001B44E9" w:rsidRPr="001B44E9">
        <w:rPr>
          <w:rFonts w:ascii="David" w:hAnsi="David" w:cs="David"/>
          <w:sz w:val="24"/>
          <w:szCs w:val="24"/>
        </w:rPr>
        <w:t>Giving Reasons</w:t>
      </w:r>
      <w:r w:rsidR="001B44E9" w:rsidRPr="001B44E9">
        <w:rPr>
          <w:rFonts w:ascii="David" w:hAnsi="David" w:cs="David"/>
          <w:sz w:val="24"/>
          <w:szCs w:val="24"/>
          <w:rtl/>
        </w:rPr>
        <w:t>”</w:t>
      </w:r>
      <w:r w:rsidR="00BB64AA">
        <w:rPr>
          <w:rFonts w:ascii="David" w:hAnsi="David" w:cs="David" w:hint="cs"/>
          <w:sz w:val="24"/>
          <w:szCs w:val="24"/>
          <w:rtl/>
        </w:rPr>
        <w:t xml:space="preserve"> </w:t>
      </w:r>
      <w:r w:rsidR="00902AD1">
        <w:rPr>
          <w:rFonts w:ascii="David" w:hAnsi="David" w:cs="David" w:hint="cs"/>
          <w:sz w:val="24"/>
          <w:szCs w:val="24"/>
          <w:rtl/>
        </w:rPr>
        <w:t xml:space="preserve">מקדים </w:t>
      </w:r>
      <w:r w:rsidR="002E620A" w:rsidRPr="002E620A">
        <w:rPr>
          <w:rFonts w:ascii="David" w:hAnsi="David" w:cs="David"/>
          <w:sz w:val="24"/>
          <w:szCs w:val="24"/>
        </w:rPr>
        <w:t>Schauer</w:t>
      </w:r>
      <w:r w:rsidR="002E620A" w:rsidRPr="002E620A">
        <w:rPr>
          <w:rFonts w:ascii="David" w:hAnsi="David" w:cs="David" w:hint="cs"/>
          <w:sz w:val="24"/>
          <w:szCs w:val="24"/>
          <w:rtl/>
        </w:rPr>
        <w:t xml:space="preserve"> </w:t>
      </w:r>
      <w:r w:rsidR="00902AD1">
        <w:rPr>
          <w:rFonts w:ascii="David" w:hAnsi="David" w:cs="David" w:hint="cs"/>
          <w:sz w:val="24"/>
          <w:szCs w:val="24"/>
          <w:rtl/>
        </w:rPr>
        <w:t>ו</w:t>
      </w:r>
      <w:r w:rsidR="00A120DE">
        <w:rPr>
          <w:rFonts w:ascii="David" w:hAnsi="David" w:cs="David" w:hint="cs"/>
          <w:sz w:val="24"/>
          <w:szCs w:val="24"/>
          <w:rtl/>
        </w:rPr>
        <w:t>מאפיין את שדה השיח שבתוכו נוצרות ומתקיימות המשמעויות וההשלכות של טעמים מפורשים בתוך העולם המשפטי</w:t>
      </w:r>
      <w:r w:rsidR="00381D86">
        <w:rPr>
          <w:rFonts w:ascii="David" w:hAnsi="David" w:cs="David" w:hint="cs"/>
          <w:sz w:val="24"/>
          <w:szCs w:val="24"/>
          <w:rtl/>
        </w:rPr>
        <w:t>:</w:t>
      </w:r>
      <w:r w:rsidR="00902AD1">
        <w:rPr>
          <w:rFonts w:ascii="David" w:hAnsi="David" w:cs="David" w:hint="cs"/>
          <w:sz w:val="24"/>
          <w:szCs w:val="24"/>
          <w:rtl/>
        </w:rPr>
        <w:t xml:space="preserve"> </w:t>
      </w:r>
      <w:r w:rsidR="00902AD1">
        <w:rPr>
          <w:rFonts w:ascii="SBL Greek" w:hAnsi="SBL Greek" w:cs="David"/>
          <w:sz w:val="24"/>
          <w:szCs w:val="24"/>
        </w:rPr>
        <w:t>“</w:t>
      </w:r>
      <w:r w:rsidR="00680E8A">
        <w:rPr>
          <w:rFonts w:ascii="David" w:hAnsi="David" w:cs="David"/>
          <w:sz w:val="24"/>
          <w:szCs w:val="24"/>
        </w:rPr>
        <w:t>T</w:t>
      </w:r>
      <w:r w:rsidR="00BB64AA" w:rsidRPr="00BB64AA">
        <w:rPr>
          <w:rFonts w:ascii="David" w:hAnsi="David" w:cs="David"/>
          <w:sz w:val="24"/>
          <w:szCs w:val="24"/>
        </w:rPr>
        <w:t>he practice of giving reasons is part of the larger topic of the role of generality in law</w:t>
      </w:r>
      <w:r w:rsidR="00902AD1">
        <w:rPr>
          <w:rFonts w:ascii="David" w:hAnsi="David" w:cs="David"/>
          <w:sz w:val="24"/>
          <w:szCs w:val="24"/>
        </w:rPr>
        <w:t>.</w:t>
      </w:r>
      <w:r w:rsidR="000522AB" w:rsidRPr="000522AB">
        <w:rPr>
          <w:rFonts w:ascii="Code" w:hAnsi="Code" w:cs="Code"/>
          <w:color w:val="000000"/>
          <w:sz w:val="15"/>
          <w:szCs w:val="15"/>
        </w:rPr>
        <w:t xml:space="preserve"> </w:t>
      </w:r>
      <w:r w:rsidR="000522AB" w:rsidRPr="000522AB">
        <w:rPr>
          <w:rFonts w:ascii="David" w:hAnsi="David" w:cs="David"/>
          <w:sz w:val="24"/>
          <w:szCs w:val="24"/>
        </w:rPr>
        <w:t>The institution we call "law" is soaked with generality, for one of its central features is the use of norms reaching beyond particular events and individual disputes</w:t>
      </w:r>
      <w:r w:rsidR="000522AB">
        <w:rPr>
          <w:rFonts w:ascii="David" w:hAnsi="David" w:cs="David"/>
          <w:sz w:val="24"/>
          <w:szCs w:val="24"/>
        </w:rPr>
        <w:t>.</w:t>
      </w:r>
      <w:r w:rsidR="000522AB">
        <w:rPr>
          <w:rFonts w:ascii="SBL Greek" w:hAnsi="SBL Greek" w:cs="David"/>
          <w:sz w:val="24"/>
          <w:szCs w:val="24"/>
        </w:rPr>
        <w:t>”</w:t>
      </w:r>
      <w:r w:rsidR="00821D36">
        <w:rPr>
          <w:rFonts w:ascii="David" w:hAnsi="David" w:cs="David"/>
          <w:sz w:val="24"/>
          <w:szCs w:val="24"/>
        </w:rPr>
        <w:t xml:space="preserve"> </w:t>
      </w:r>
      <w:r w:rsidR="001F4279">
        <w:rPr>
          <w:rFonts w:ascii="David" w:hAnsi="David" w:cs="David" w:hint="cs"/>
          <w:sz w:val="24"/>
          <w:szCs w:val="24"/>
          <w:rtl/>
        </w:rPr>
        <w:t xml:space="preserve"> </w:t>
      </w:r>
      <w:r w:rsidR="00BA10D4">
        <w:rPr>
          <w:rFonts w:ascii="David" w:hAnsi="David" w:cs="David" w:hint="cs"/>
          <w:sz w:val="24"/>
          <w:szCs w:val="24"/>
          <w:rtl/>
        </w:rPr>
        <w:t xml:space="preserve">לאחר מכן </w:t>
      </w:r>
      <w:r w:rsidR="00A120DE">
        <w:rPr>
          <w:rFonts w:ascii="David" w:hAnsi="David" w:cs="David" w:hint="cs"/>
          <w:sz w:val="24"/>
          <w:szCs w:val="24"/>
          <w:rtl/>
        </w:rPr>
        <w:t xml:space="preserve">הוא </w:t>
      </w:r>
      <w:r w:rsidR="00BA10D4">
        <w:rPr>
          <w:rFonts w:ascii="David" w:hAnsi="David" w:cs="David" w:hint="cs"/>
          <w:sz w:val="24"/>
          <w:szCs w:val="24"/>
          <w:rtl/>
        </w:rPr>
        <w:t>מ</w:t>
      </w:r>
      <w:r w:rsidR="001548CA">
        <w:rPr>
          <w:rFonts w:ascii="David" w:hAnsi="David" w:cs="David" w:hint="cs"/>
          <w:sz w:val="24"/>
          <w:szCs w:val="24"/>
          <w:rtl/>
        </w:rPr>
        <w:t>צ</w:t>
      </w:r>
      <w:r w:rsidR="008A441D">
        <w:rPr>
          <w:rFonts w:ascii="David" w:hAnsi="David" w:cs="David" w:hint="cs"/>
          <w:sz w:val="24"/>
          <w:szCs w:val="24"/>
          <w:rtl/>
        </w:rPr>
        <w:t>ב</w:t>
      </w:r>
      <w:r w:rsidR="001548CA">
        <w:rPr>
          <w:rFonts w:ascii="David" w:hAnsi="David" w:cs="David" w:hint="cs"/>
          <w:sz w:val="24"/>
          <w:szCs w:val="24"/>
          <w:rtl/>
        </w:rPr>
        <w:t xml:space="preserve">יע </w:t>
      </w:r>
      <w:r w:rsidR="008A441D">
        <w:rPr>
          <w:rFonts w:ascii="David" w:hAnsi="David" w:cs="David" w:hint="cs"/>
          <w:sz w:val="24"/>
          <w:szCs w:val="24"/>
          <w:rtl/>
        </w:rPr>
        <w:t>ע</w:t>
      </w:r>
      <w:r w:rsidR="00BA10D4">
        <w:rPr>
          <w:rFonts w:ascii="David" w:hAnsi="David" w:cs="David" w:hint="cs"/>
          <w:sz w:val="24"/>
          <w:szCs w:val="24"/>
          <w:rtl/>
        </w:rPr>
        <w:t>ל</w:t>
      </w:r>
      <w:r w:rsidR="008A441D">
        <w:rPr>
          <w:rFonts w:ascii="David" w:hAnsi="David" w:cs="David" w:hint="cs"/>
          <w:sz w:val="24"/>
          <w:szCs w:val="24"/>
          <w:rtl/>
        </w:rPr>
        <w:t xml:space="preserve"> </w:t>
      </w:r>
      <w:r w:rsidR="00BA10D4">
        <w:rPr>
          <w:rFonts w:ascii="David" w:hAnsi="David" w:cs="David" w:hint="cs"/>
          <w:sz w:val="24"/>
          <w:szCs w:val="24"/>
          <w:rtl/>
        </w:rPr>
        <w:t xml:space="preserve">אותם אירועים או </w:t>
      </w:r>
      <w:r w:rsidR="008A441D">
        <w:rPr>
          <w:rFonts w:ascii="David" w:hAnsi="David" w:cs="David" w:hint="cs"/>
          <w:sz w:val="24"/>
          <w:szCs w:val="24"/>
          <w:rtl/>
        </w:rPr>
        <w:t>רגעים</w:t>
      </w:r>
      <w:r w:rsidR="008529D4">
        <w:rPr>
          <w:rFonts w:ascii="David" w:hAnsi="David" w:cs="David" w:hint="cs"/>
          <w:sz w:val="24"/>
          <w:szCs w:val="24"/>
          <w:rtl/>
        </w:rPr>
        <w:t>,</w:t>
      </w:r>
      <w:r w:rsidR="008A441D">
        <w:rPr>
          <w:rFonts w:ascii="David" w:hAnsi="David" w:cs="David" w:hint="cs"/>
          <w:sz w:val="24"/>
          <w:szCs w:val="24"/>
          <w:rtl/>
        </w:rPr>
        <w:t xml:space="preserve"> </w:t>
      </w:r>
      <w:r w:rsidR="00BA10D4">
        <w:rPr>
          <w:rFonts w:ascii="David" w:hAnsi="David" w:cs="David" w:hint="cs"/>
          <w:sz w:val="24"/>
          <w:szCs w:val="24"/>
          <w:rtl/>
        </w:rPr>
        <w:t>שבהם ה</w:t>
      </w:r>
      <w:r w:rsidR="008A441D">
        <w:rPr>
          <w:rFonts w:ascii="David" w:hAnsi="David" w:cs="David" w:hint="cs"/>
          <w:sz w:val="24"/>
          <w:szCs w:val="24"/>
          <w:rtl/>
        </w:rPr>
        <w:t>שחקנים</w:t>
      </w:r>
      <w:r w:rsidR="00BA10D4">
        <w:rPr>
          <w:rFonts w:ascii="David" w:hAnsi="David" w:cs="David" w:hint="cs"/>
          <w:sz w:val="24"/>
          <w:szCs w:val="24"/>
          <w:rtl/>
        </w:rPr>
        <w:t xml:space="preserve"> השונים בתוך </w:t>
      </w:r>
      <w:r w:rsidR="00D84875">
        <w:rPr>
          <w:rFonts w:ascii="David" w:hAnsi="David" w:cs="David" w:hint="cs"/>
          <w:sz w:val="24"/>
          <w:szCs w:val="24"/>
          <w:rtl/>
        </w:rPr>
        <w:t xml:space="preserve">עולם </w:t>
      </w:r>
      <w:r w:rsidR="00BA10D4">
        <w:rPr>
          <w:rFonts w:ascii="David" w:hAnsi="David" w:cs="David" w:hint="cs"/>
          <w:sz w:val="24"/>
          <w:szCs w:val="24"/>
          <w:rtl/>
        </w:rPr>
        <w:t xml:space="preserve">המשפט (מחוקקים, שופטים, עורכי דין, בית המשפט העליון וכו') </w:t>
      </w:r>
      <w:r w:rsidR="007279F8">
        <w:rPr>
          <w:rFonts w:ascii="David" w:hAnsi="David" w:cs="David" w:hint="cs"/>
          <w:sz w:val="24"/>
          <w:szCs w:val="24"/>
          <w:rtl/>
        </w:rPr>
        <w:t xml:space="preserve">חשים </w:t>
      </w:r>
      <w:r w:rsidR="00BA10D4">
        <w:rPr>
          <w:rFonts w:ascii="David" w:hAnsi="David" w:cs="David" w:hint="cs"/>
          <w:sz w:val="24"/>
          <w:szCs w:val="24"/>
          <w:rtl/>
        </w:rPr>
        <w:t xml:space="preserve">צורך לספק הנמקה להחלטתם (לחוק, לפסק הדין וכו') </w:t>
      </w:r>
      <w:r w:rsidR="001E1E24" w:rsidRPr="00421205">
        <w:rPr>
          <w:rFonts w:ascii="David" w:hAnsi="David" w:cs="David"/>
          <w:sz w:val="24"/>
          <w:szCs w:val="24"/>
          <w:rtl/>
        </w:rPr>
        <w:t>:</w:t>
      </w:r>
      <w:r w:rsidR="001E1E24">
        <w:rPr>
          <w:rStyle w:val="a5"/>
          <w:rFonts w:ascii="David" w:hAnsi="David" w:cs="David"/>
          <w:sz w:val="24"/>
          <w:szCs w:val="24"/>
          <w:rtl/>
        </w:rPr>
        <w:footnoteReference w:id="59"/>
      </w:r>
      <w:r w:rsidR="001E1E24" w:rsidRPr="00421205">
        <w:rPr>
          <w:rFonts w:ascii="David" w:hAnsi="David" w:cs="David"/>
          <w:sz w:val="24"/>
          <w:szCs w:val="24"/>
        </w:rPr>
        <w:t xml:space="preserve"> </w:t>
      </w:r>
    </w:p>
    <w:p w14:paraId="3BD87693" w14:textId="77777777" w:rsidR="00711753" w:rsidRDefault="001E1E24" w:rsidP="00711753">
      <w:pPr>
        <w:bidi w:val="0"/>
        <w:spacing w:line="480" w:lineRule="auto"/>
        <w:ind w:left="720"/>
        <w:rPr>
          <w:rFonts w:ascii="David" w:hAnsi="David" w:cs="David"/>
          <w:sz w:val="24"/>
          <w:szCs w:val="24"/>
          <w:rtl/>
        </w:rPr>
      </w:pPr>
      <w:r w:rsidRPr="005C5197">
        <w:rPr>
          <w:rFonts w:ascii="David" w:hAnsi="David" w:cs="David"/>
          <w:sz w:val="24"/>
          <w:szCs w:val="24"/>
        </w:rPr>
        <w:lastRenderedPageBreak/>
        <w:t>It will be useful in further setting the stage to note the variety of legal modes in which reason-giving is absent. Consider first the voice of a statute, regulation, or constitution. The voice is not one of persuasion or argument, but one of authority, of command. Statutes say, "Do it!"; they do not say, "Do it because .... " The bare assertion characteristic of statutes suggests a relationship between the authority implicit in a statute and the nonuse of reasons in statutes. Only rarely do statutes offer reasons to justify their prescriptions, and then usually out of concern about potential interpretive problems in difficult cases. Typically, drafters of statutes, like sergeants and parents, simply do not see the need to give reasons, and often see a strong need not to: The act of</w:t>
      </w:r>
      <w:r>
        <w:rPr>
          <w:rFonts w:ascii="David" w:hAnsi="David" w:cs="David"/>
          <w:sz w:val="24"/>
          <w:szCs w:val="24"/>
        </w:rPr>
        <w:t xml:space="preserve"> </w:t>
      </w:r>
      <w:r w:rsidRPr="005C5197">
        <w:rPr>
          <w:rFonts w:ascii="David" w:hAnsi="David" w:cs="David"/>
          <w:sz w:val="24"/>
          <w:szCs w:val="24"/>
        </w:rPr>
        <w:t>giving a reason is the antithesis of authority. the voice of reason emerges. Or vice versa. But whatever the hierarchy between reason and authority, reasons are what we typically give to support what we conclude precisely when the mere fact that we have concluded is not enough. And reasons are what we typically avoid when the assertion of authority is thought independently important</w:t>
      </w:r>
      <w:r>
        <w:rPr>
          <w:rFonts w:ascii="David" w:hAnsi="David" w:cs="David"/>
          <w:sz w:val="24"/>
          <w:szCs w:val="24"/>
        </w:rPr>
        <w:t>.</w:t>
      </w:r>
    </w:p>
    <w:p w14:paraId="498BB8DF" w14:textId="77777777" w:rsidR="00FE274F" w:rsidRDefault="00FE274F" w:rsidP="00711753">
      <w:pPr>
        <w:spacing w:line="480" w:lineRule="auto"/>
        <w:jc w:val="both"/>
        <w:rPr>
          <w:rFonts w:ascii="David" w:hAnsi="David" w:cs="David" w:hint="cs"/>
          <w:sz w:val="24"/>
          <w:szCs w:val="24"/>
          <w:rtl/>
        </w:rPr>
      </w:pPr>
    </w:p>
    <w:p w14:paraId="61754433" w14:textId="75719DFF" w:rsidR="005547DE" w:rsidRDefault="00883DDB" w:rsidP="001F4279">
      <w:pPr>
        <w:spacing w:line="480" w:lineRule="auto"/>
        <w:rPr>
          <w:rFonts w:ascii="David" w:hAnsi="David" w:cs="David"/>
          <w:sz w:val="24"/>
          <w:szCs w:val="24"/>
          <w:rtl/>
        </w:rPr>
      </w:pPr>
      <w:r>
        <w:rPr>
          <w:rFonts w:ascii="David" w:hAnsi="David" w:cs="David" w:hint="cs"/>
          <w:sz w:val="24"/>
          <w:szCs w:val="24"/>
          <w:rtl/>
        </w:rPr>
        <w:t xml:space="preserve">תיאור זה </w:t>
      </w:r>
      <w:r w:rsidR="00207D55">
        <w:rPr>
          <w:rFonts w:ascii="David" w:hAnsi="David" w:cs="David" w:hint="cs"/>
          <w:sz w:val="24"/>
          <w:szCs w:val="24"/>
          <w:rtl/>
        </w:rPr>
        <w:t>יכול להסביר</w:t>
      </w:r>
      <w:r w:rsidR="000A61E3">
        <w:rPr>
          <w:rFonts w:ascii="David" w:hAnsi="David" w:cs="David" w:hint="cs"/>
          <w:sz w:val="24"/>
          <w:szCs w:val="24"/>
          <w:rtl/>
        </w:rPr>
        <w:t xml:space="preserve"> </w:t>
      </w:r>
      <w:r w:rsidR="005547DE">
        <w:rPr>
          <w:rFonts w:ascii="David" w:hAnsi="David" w:cs="David" w:hint="cs"/>
          <w:sz w:val="24"/>
          <w:szCs w:val="24"/>
          <w:rtl/>
        </w:rPr>
        <w:t>היטב</w:t>
      </w:r>
      <w:r w:rsidR="00384B4F">
        <w:rPr>
          <w:rFonts w:ascii="David" w:hAnsi="David" w:cs="David" w:hint="cs"/>
          <w:sz w:val="24"/>
          <w:szCs w:val="24"/>
          <w:rtl/>
        </w:rPr>
        <w:t xml:space="preserve"> </w:t>
      </w:r>
      <w:r>
        <w:rPr>
          <w:rFonts w:ascii="David" w:hAnsi="David" w:cs="David" w:hint="cs"/>
          <w:sz w:val="24"/>
          <w:szCs w:val="24"/>
          <w:rtl/>
        </w:rPr>
        <w:t>הן את עצם כניסתה של ההצדקה 'מפני דרכי שלום' אל תוך השיח ההלכתי, הן מדוע במופעיה הראשונים היא נראית כטענה אפולוגטית, שמשקפת את הסתייגותם של החכמים מן התוכן המשפטי של ההלכות שאותן היא מנמקת.</w:t>
      </w:r>
      <w:r w:rsidR="005547DE">
        <w:rPr>
          <w:rFonts w:ascii="David" w:hAnsi="David" w:cs="David" w:hint="cs"/>
          <w:sz w:val="24"/>
          <w:szCs w:val="24"/>
          <w:rtl/>
        </w:rPr>
        <w:t xml:space="preserve"> כפי שראינו</w:t>
      </w:r>
      <w:r w:rsidR="0063585F">
        <w:rPr>
          <w:rFonts w:ascii="David" w:hAnsi="David" w:cs="David" w:hint="cs"/>
          <w:sz w:val="24"/>
          <w:szCs w:val="24"/>
          <w:rtl/>
        </w:rPr>
        <w:t>,</w:t>
      </w:r>
      <w:r w:rsidR="005547DE">
        <w:rPr>
          <w:rFonts w:ascii="David" w:hAnsi="David" w:cs="David" w:hint="cs"/>
          <w:sz w:val="24"/>
          <w:szCs w:val="24"/>
          <w:rtl/>
        </w:rPr>
        <w:t xml:space="preserve"> הפטור </w:t>
      </w:r>
      <w:proofErr w:type="spellStart"/>
      <w:r w:rsidR="005547DE">
        <w:rPr>
          <w:rFonts w:ascii="David" w:hAnsi="David" w:cs="David" w:hint="cs"/>
          <w:sz w:val="24"/>
          <w:szCs w:val="24"/>
          <w:rtl/>
        </w:rPr>
        <w:t>לכהנים</w:t>
      </w:r>
      <w:proofErr w:type="spellEnd"/>
      <w:r w:rsidR="005547DE">
        <w:rPr>
          <w:rFonts w:ascii="David" w:hAnsi="David" w:cs="David" w:hint="cs"/>
          <w:sz w:val="24"/>
          <w:szCs w:val="24"/>
          <w:rtl/>
        </w:rPr>
        <w:t xml:space="preserve"> </w:t>
      </w:r>
      <w:r w:rsidR="00A8750E">
        <w:rPr>
          <w:rFonts w:ascii="David" w:hAnsi="David" w:cs="David" w:hint="cs"/>
          <w:sz w:val="24"/>
          <w:szCs w:val="24"/>
          <w:rtl/>
        </w:rPr>
        <w:t xml:space="preserve">מתשלום מס מחצית השקל </w:t>
      </w:r>
      <w:r w:rsidR="005547DE">
        <w:rPr>
          <w:rFonts w:ascii="David" w:hAnsi="David" w:cs="David" w:hint="cs"/>
          <w:sz w:val="24"/>
          <w:szCs w:val="24"/>
          <w:rtl/>
        </w:rPr>
        <w:t xml:space="preserve">ניתן </w:t>
      </w:r>
      <w:r w:rsidR="005D0796">
        <w:rPr>
          <w:rFonts w:ascii="David" w:hAnsi="David" w:cs="David" w:hint="cs"/>
          <w:sz w:val="24"/>
          <w:szCs w:val="24"/>
          <w:rtl/>
        </w:rPr>
        <w:t xml:space="preserve">בניגוד לעמדתם של החכמים, </w:t>
      </w:r>
      <w:r w:rsidR="005547DE">
        <w:rPr>
          <w:rFonts w:ascii="David" w:hAnsi="David" w:cs="David" w:hint="cs"/>
          <w:sz w:val="24"/>
          <w:szCs w:val="24"/>
          <w:rtl/>
        </w:rPr>
        <w:t>עקב</w:t>
      </w:r>
      <w:r w:rsidR="001E1E24">
        <w:rPr>
          <w:rFonts w:ascii="David" w:hAnsi="David" w:cs="David"/>
          <w:sz w:val="24"/>
          <w:szCs w:val="24"/>
          <w:rtl/>
        </w:rPr>
        <w:t xml:space="preserve"> </w:t>
      </w:r>
      <w:r w:rsidR="00A8750E">
        <w:rPr>
          <w:rFonts w:ascii="David" w:hAnsi="David" w:cs="David" w:hint="cs"/>
          <w:sz w:val="24"/>
          <w:szCs w:val="24"/>
          <w:rtl/>
        </w:rPr>
        <w:t xml:space="preserve">נחיתות </w:t>
      </w:r>
      <w:r w:rsidR="001E1E24">
        <w:rPr>
          <w:rFonts w:ascii="David" w:hAnsi="David" w:cs="David"/>
          <w:sz w:val="24"/>
          <w:szCs w:val="24"/>
          <w:rtl/>
        </w:rPr>
        <w:t>פוליטית וחברתית של</w:t>
      </w:r>
      <w:r w:rsidR="005D0796">
        <w:rPr>
          <w:rFonts w:ascii="David" w:hAnsi="David" w:cs="David" w:hint="cs"/>
          <w:sz w:val="24"/>
          <w:szCs w:val="24"/>
          <w:rtl/>
        </w:rPr>
        <w:t xml:space="preserve">א </w:t>
      </w:r>
      <w:proofErr w:type="spellStart"/>
      <w:r w:rsidR="005D0796">
        <w:rPr>
          <w:rFonts w:ascii="David" w:hAnsi="David" w:cs="David" w:hint="cs"/>
          <w:sz w:val="24"/>
          <w:szCs w:val="24"/>
          <w:rtl/>
        </w:rPr>
        <w:t>איפשרה</w:t>
      </w:r>
      <w:proofErr w:type="spellEnd"/>
      <w:r w:rsidR="005D0796">
        <w:rPr>
          <w:rFonts w:ascii="David" w:hAnsi="David" w:cs="David" w:hint="cs"/>
          <w:sz w:val="24"/>
          <w:szCs w:val="24"/>
          <w:rtl/>
        </w:rPr>
        <w:t xml:space="preserve"> להם ליישמה</w:t>
      </w:r>
      <w:r w:rsidR="001E1E24">
        <w:rPr>
          <w:rFonts w:ascii="David" w:hAnsi="David" w:cs="David"/>
          <w:sz w:val="24"/>
          <w:szCs w:val="24"/>
          <w:rtl/>
        </w:rPr>
        <w:t xml:space="preserve">, ולא </w:t>
      </w:r>
      <w:r w:rsidR="000E0E7C">
        <w:rPr>
          <w:rFonts w:ascii="David" w:hAnsi="David" w:cs="David" w:hint="cs"/>
          <w:sz w:val="24"/>
          <w:szCs w:val="24"/>
          <w:rtl/>
        </w:rPr>
        <w:t xml:space="preserve">בגלל </w:t>
      </w:r>
      <w:r w:rsidR="00F350B3">
        <w:rPr>
          <w:rFonts w:ascii="David" w:hAnsi="David" w:cs="David" w:hint="cs"/>
          <w:sz w:val="24"/>
          <w:szCs w:val="24"/>
          <w:rtl/>
        </w:rPr>
        <w:t xml:space="preserve">צורך בהסדרה רגולטורית </w:t>
      </w:r>
      <w:r w:rsidR="007B10F7">
        <w:rPr>
          <w:rFonts w:ascii="David" w:hAnsi="David" w:cs="David" w:hint="cs"/>
          <w:sz w:val="24"/>
          <w:szCs w:val="24"/>
          <w:rtl/>
        </w:rPr>
        <w:t>כתוצאה מ</w:t>
      </w:r>
      <w:r w:rsidR="001E1E24">
        <w:rPr>
          <w:rFonts w:ascii="David" w:hAnsi="David" w:cs="David"/>
          <w:sz w:val="24"/>
          <w:szCs w:val="24"/>
          <w:rtl/>
        </w:rPr>
        <w:t>לקונ</w:t>
      </w:r>
      <w:r w:rsidR="00A8750E">
        <w:rPr>
          <w:rFonts w:ascii="David" w:hAnsi="David" w:cs="David" w:hint="cs"/>
          <w:sz w:val="24"/>
          <w:szCs w:val="24"/>
          <w:rtl/>
        </w:rPr>
        <w:t>ה</w:t>
      </w:r>
      <w:r w:rsidR="001E1E24">
        <w:rPr>
          <w:rFonts w:ascii="David" w:hAnsi="David" w:cs="David"/>
          <w:sz w:val="24"/>
          <w:szCs w:val="24"/>
          <w:rtl/>
        </w:rPr>
        <w:t xml:space="preserve"> בהלכה</w:t>
      </w:r>
      <w:r w:rsidR="005547DE">
        <w:rPr>
          <w:rFonts w:ascii="David" w:hAnsi="David" w:cs="David" w:hint="cs"/>
          <w:sz w:val="24"/>
          <w:szCs w:val="24"/>
          <w:rtl/>
        </w:rPr>
        <w:t>.</w:t>
      </w:r>
      <w:r w:rsidR="008456F5">
        <w:rPr>
          <w:rFonts w:ascii="David" w:hAnsi="David" w:cs="David" w:hint="cs"/>
          <w:sz w:val="24"/>
          <w:szCs w:val="24"/>
          <w:rtl/>
        </w:rPr>
        <w:t xml:space="preserve"> </w:t>
      </w:r>
      <w:r w:rsidR="00A8750E">
        <w:rPr>
          <w:rFonts w:ascii="David" w:hAnsi="David" w:cs="David" w:hint="cs"/>
          <w:sz w:val="24"/>
          <w:szCs w:val="24"/>
          <w:rtl/>
        </w:rPr>
        <w:t xml:space="preserve">בדומה לכך, </w:t>
      </w:r>
      <w:r w:rsidR="001745A0">
        <w:rPr>
          <w:rFonts w:ascii="David" w:hAnsi="David" w:cs="David" w:hint="cs"/>
          <w:sz w:val="24"/>
          <w:szCs w:val="24"/>
          <w:rtl/>
        </w:rPr>
        <w:t xml:space="preserve">ההלכה </w:t>
      </w:r>
      <w:r w:rsidR="00336E5D">
        <w:rPr>
          <w:rFonts w:ascii="David" w:hAnsi="David" w:cs="David" w:hint="cs"/>
          <w:sz w:val="24"/>
          <w:szCs w:val="24"/>
          <w:rtl/>
        </w:rPr>
        <w:t>ב</w:t>
      </w:r>
      <w:r w:rsidR="001745A0">
        <w:rPr>
          <w:rFonts w:ascii="David" w:hAnsi="David" w:cs="David" w:hint="cs"/>
          <w:sz w:val="24"/>
          <w:szCs w:val="24"/>
          <w:rtl/>
        </w:rPr>
        <w:t>מסכת פאה</w:t>
      </w:r>
      <w:r w:rsidR="00743C2B">
        <w:rPr>
          <w:rFonts w:ascii="David" w:hAnsi="David" w:cs="David" w:hint="cs"/>
          <w:sz w:val="24"/>
          <w:szCs w:val="24"/>
          <w:rtl/>
        </w:rPr>
        <w:t xml:space="preserve"> </w:t>
      </w:r>
      <w:r w:rsidR="00336E5D">
        <w:rPr>
          <w:rFonts w:ascii="David" w:hAnsi="David" w:cs="David" w:hint="cs"/>
          <w:sz w:val="24"/>
          <w:szCs w:val="24"/>
          <w:rtl/>
        </w:rPr>
        <w:t>ה</w:t>
      </w:r>
      <w:r w:rsidR="009F305F">
        <w:rPr>
          <w:rFonts w:ascii="David" w:hAnsi="David" w:cs="David" w:hint="cs"/>
          <w:sz w:val="24"/>
          <w:szCs w:val="24"/>
          <w:rtl/>
        </w:rPr>
        <w:t xml:space="preserve">סדירה </w:t>
      </w:r>
      <w:r w:rsidR="001745A0">
        <w:rPr>
          <w:rFonts w:ascii="David" w:hAnsi="David" w:cs="David" w:hint="cs"/>
          <w:sz w:val="24"/>
          <w:szCs w:val="24"/>
          <w:rtl/>
        </w:rPr>
        <w:t xml:space="preserve">מצב שבו </w:t>
      </w:r>
      <w:r w:rsidR="00010E6B">
        <w:rPr>
          <w:rFonts w:ascii="David" w:hAnsi="David" w:cs="David" w:hint="cs"/>
          <w:sz w:val="24"/>
          <w:szCs w:val="24"/>
          <w:rtl/>
        </w:rPr>
        <w:t xml:space="preserve">נשוא </w:t>
      </w:r>
      <w:r w:rsidR="001745A0">
        <w:rPr>
          <w:rFonts w:ascii="David" w:hAnsi="David" w:cs="David" w:hint="cs"/>
          <w:sz w:val="24"/>
          <w:szCs w:val="24"/>
          <w:rtl/>
        </w:rPr>
        <w:t xml:space="preserve">התקנה </w:t>
      </w:r>
      <w:r w:rsidR="001745A0">
        <w:rPr>
          <w:rFonts w:ascii="David" w:hAnsi="David" w:cs="David"/>
          <w:sz w:val="24"/>
          <w:szCs w:val="24"/>
          <w:rtl/>
        </w:rPr>
        <w:t>–</w:t>
      </w:r>
      <w:r w:rsidR="001745A0">
        <w:rPr>
          <w:rFonts w:ascii="David" w:hAnsi="David" w:cs="David" w:hint="cs"/>
          <w:sz w:val="24"/>
          <w:szCs w:val="24"/>
          <w:rtl/>
        </w:rPr>
        <w:t xml:space="preserve"> בעל השדה </w:t>
      </w:r>
      <w:r w:rsidR="001745A0">
        <w:rPr>
          <w:rFonts w:ascii="David" w:hAnsi="David" w:cs="David"/>
          <w:sz w:val="24"/>
          <w:szCs w:val="24"/>
          <w:rtl/>
        </w:rPr>
        <w:t>–</w:t>
      </w:r>
      <w:r w:rsidR="001745A0">
        <w:rPr>
          <w:rFonts w:ascii="David" w:hAnsi="David" w:cs="David" w:hint="cs"/>
          <w:sz w:val="24"/>
          <w:szCs w:val="24"/>
          <w:rtl/>
        </w:rPr>
        <w:t xml:space="preserve"> מצוי </w:t>
      </w:r>
      <w:r w:rsidR="006766AE">
        <w:rPr>
          <w:rFonts w:ascii="David" w:hAnsi="David" w:cs="David" w:hint="cs"/>
          <w:sz w:val="24"/>
          <w:szCs w:val="24"/>
          <w:rtl/>
        </w:rPr>
        <w:t>בעמדת חולשה</w:t>
      </w:r>
      <w:r w:rsidR="00504F59">
        <w:rPr>
          <w:rFonts w:ascii="David" w:hAnsi="David" w:cs="David" w:hint="cs"/>
          <w:sz w:val="24"/>
          <w:szCs w:val="24"/>
          <w:rtl/>
        </w:rPr>
        <w:t>,</w:t>
      </w:r>
      <w:r w:rsidR="006766AE">
        <w:rPr>
          <w:rFonts w:ascii="David" w:hAnsi="David" w:cs="David" w:hint="cs"/>
          <w:sz w:val="24"/>
          <w:szCs w:val="24"/>
          <w:rtl/>
        </w:rPr>
        <w:t xml:space="preserve"> </w:t>
      </w:r>
      <w:r w:rsidR="009C7B6E">
        <w:rPr>
          <w:rFonts w:ascii="David" w:hAnsi="David" w:cs="David" w:hint="cs"/>
          <w:sz w:val="24"/>
          <w:szCs w:val="24"/>
          <w:rtl/>
        </w:rPr>
        <w:t>ש</w:t>
      </w:r>
      <w:r w:rsidR="00743C2B">
        <w:rPr>
          <w:rFonts w:ascii="David" w:hAnsi="David" w:cs="David" w:hint="cs"/>
          <w:sz w:val="24"/>
          <w:szCs w:val="24"/>
          <w:rtl/>
        </w:rPr>
        <w:t>לא</w:t>
      </w:r>
      <w:r w:rsidR="00B41071">
        <w:rPr>
          <w:rFonts w:ascii="David" w:hAnsi="David" w:cs="David" w:hint="cs"/>
          <w:sz w:val="24"/>
          <w:szCs w:val="24"/>
          <w:rtl/>
        </w:rPr>
        <w:t xml:space="preserve"> מאפשרת</w:t>
      </w:r>
      <w:r w:rsidR="001745A0">
        <w:rPr>
          <w:rFonts w:ascii="David" w:hAnsi="David" w:cs="David" w:hint="cs"/>
          <w:sz w:val="24"/>
          <w:szCs w:val="24"/>
          <w:rtl/>
        </w:rPr>
        <w:t xml:space="preserve"> </w:t>
      </w:r>
      <w:r w:rsidR="009C7B6E">
        <w:rPr>
          <w:rFonts w:ascii="David" w:hAnsi="David" w:cs="David" w:hint="cs"/>
          <w:sz w:val="24"/>
          <w:szCs w:val="24"/>
          <w:rtl/>
        </w:rPr>
        <w:t xml:space="preserve">לו </w:t>
      </w:r>
      <w:r w:rsidR="001745A0">
        <w:rPr>
          <w:rFonts w:ascii="David" w:hAnsi="David" w:cs="David" w:hint="cs"/>
          <w:sz w:val="24"/>
          <w:szCs w:val="24"/>
          <w:rtl/>
        </w:rPr>
        <w:t xml:space="preserve">לקיים את הדרישה ההלכתית </w:t>
      </w:r>
      <w:r w:rsidR="004511D0">
        <w:rPr>
          <w:rFonts w:ascii="David" w:hAnsi="David" w:cs="David" w:hint="cs"/>
          <w:sz w:val="24"/>
          <w:szCs w:val="24"/>
          <w:rtl/>
        </w:rPr>
        <w:t>המלאה</w:t>
      </w:r>
      <w:r w:rsidR="001745A0">
        <w:rPr>
          <w:rFonts w:ascii="David" w:hAnsi="David" w:cs="David" w:hint="cs"/>
          <w:sz w:val="24"/>
          <w:szCs w:val="24"/>
          <w:rtl/>
        </w:rPr>
        <w:t>.</w:t>
      </w:r>
      <w:r w:rsidR="00F22D35">
        <w:rPr>
          <w:rFonts w:ascii="David" w:hAnsi="David" w:cs="David" w:hint="cs"/>
          <w:sz w:val="24"/>
          <w:szCs w:val="24"/>
          <w:rtl/>
        </w:rPr>
        <w:t xml:space="preserve"> בדרכו של</w:t>
      </w:r>
      <w:r w:rsidR="00F8573D">
        <w:rPr>
          <w:rFonts w:ascii="David" w:hAnsi="David" w:cs="David" w:hint="cs"/>
          <w:sz w:val="24"/>
          <w:szCs w:val="24"/>
          <w:rtl/>
        </w:rPr>
        <w:t xml:space="preserve"> </w:t>
      </w:r>
      <w:r w:rsidR="00F8573D" w:rsidRPr="00F8573D">
        <w:rPr>
          <w:rFonts w:ascii="David" w:hAnsi="David" w:cs="David"/>
          <w:sz w:val="24"/>
          <w:szCs w:val="24"/>
        </w:rPr>
        <w:t>Schauer</w:t>
      </w:r>
      <w:r w:rsidR="000A61E3">
        <w:rPr>
          <w:rFonts w:ascii="David" w:hAnsi="David" w:cs="David" w:hint="cs"/>
          <w:sz w:val="24"/>
          <w:szCs w:val="24"/>
          <w:rtl/>
        </w:rPr>
        <w:t xml:space="preserve"> אני סבורה אפוא, </w:t>
      </w:r>
      <w:r w:rsidR="00467539">
        <w:rPr>
          <w:rFonts w:ascii="David" w:hAnsi="David" w:cs="David" w:hint="cs"/>
          <w:sz w:val="24"/>
          <w:szCs w:val="24"/>
          <w:rtl/>
        </w:rPr>
        <w:t xml:space="preserve">כי בשני מקרים אלו עולה במובהק, </w:t>
      </w:r>
      <w:r w:rsidR="00D60593">
        <w:rPr>
          <w:rFonts w:ascii="David" w:hAnsi="David" w:cs="David" w:hint="cs"/>
          <w:sz w:val="24"/>
          <w:szCs w:val="24"/>
          <w:rtl/>
        </w:rPr>
        <w:t xml:space="preserve">כי חכמים חשו צורך לתת תוקף (להצדיק) </w:t>
      </w:r>
      <w:r w:rsidR="00D5213D">
        <w:rPr>
          <w:rFonts w:ascii="David" w:hAnsi="David" w:cs="David" w:hint="cs"/>
          <w:sz w:val="24"/>
          <w:szCs w:val="24"/>
          <w:rtl/>
        </w:rPr>
        <w:t>ל</w:t>
      </w:r>
      <w:r w:rsidR="00D60593">
        <w:rPr>
          <w:rFonts w:ascii="David" w:hAnsi="David" w:cs="David" w:hint="cs"/>
          <w:sz w:val="24"/>
          <w:szCs w:val="24"/>
          <w:rtl/>
        </w:rPr>
        <w:t>הלכה</w:t>
      </w:r>
      <w:r w:rsidR="00F8573D">
        <w:rPr>
          <w:rFonts w:ascii="David" w:hAnsi="David" w:cs="David" w:hint="cs"/>
          <w:sz w:val="24"/>
          <w:szCs w:val="24"/>
          <w:rtl/>
        </w:rPr>
        <w:t xml:space="preserve">  -</w:t>
      </w:r>
      <w:r w:rsidR="00D60593">
        <w:rPr>
          <w:rFonts w:ascii="David" w:hAnsi="David" w:cs="David" w:hint="cs"/>
          <w:sz w:val="24"/>
          <w:szCs w:val="24"/>
          <w:rtl/>
        </w:rPr>
        <w:t xml:space="preserve"> שמהווה </w:t>
      </w:r>
      <w:r w:rsidR="00D60593">
        <w:rPr>
          <w:rFonts w:ascii="David" w:hAnsi="David" w:cs="David" w:hint="cs"/>
          <w:sz w:val="24"/>
          <w:szCs w:val="24"/>
          <w:rtl/>
        </w:rPr>
        <w:lastRenderedPageBreak/>
        <w:t>נסיגה מן ה</w:t>
      </w:r>
      <w:r>
        <w:rPr>
          <w:rFonts w:ascii="David" w:hAnsi="David" w:cs="David" w:hint="cs"/>
          <w:sz w:val="24"/>
          <w:szCs w:val="24"/>
          <w:rtl/>
        </w:rPr>
        <w:t>אידאה ה</w:t>
      </w:r>
      <w:r w:rsidR="00D60593">
        <w:rPr>
          <w:rFonts w:ascii="David" w:hAnsi="David" w:cs="David" w:hint="cs"/>
          <w:sz w:val="24"/>
          <w:szCs w:val="24"/>
          <w:rtl/>
        </w:rPr>
        <w:t>הלכ</w:t>
      </w:r>
      <w:r>
        <w:rPr>
          <w:rFonts w:ascii="David" w:hAnsi="David" w:cs="David" w:hint="cs"/>
          <w:sz w:val="24"/>
          <w:szCs w:val="24"/>
          <w:rtl/>
        </w:rPr>
        <w:t>תית</w:t>
      </w:r>
      <w:r w:rsidR="00D60593">
        <w:rPr>
          <w:rFonts w:ascii="David" w:hAnsi="David" w:cs="David" w:hint="cs"/>
          <w:sz w:val="24"/>
          <w:szCs w:val="24"/>
          <w:rtl/>
        </w:rPr>
        <w:t xml:space="preserve"> הראויה</w:t>
      </w:r>
      <w:r w:rsidR="00F8573D">
        <w:rPr>
          <w:rFonts w:ascii="David" w:hAnsi="David" w:cs="David" w:hint="cs"/>
          <w:sz w:val="24"/>
          <w:szCs w:val="24"/>
          <w:rtl/>
        </w:rPr>
        <w:t xml:space="preserve"> </w:t>
      </w:r>
      <w:r w:rsidR="00043B9E">
        <w:rPr>
          <w:rFonts w:ascii="David" w:hAnsi="David" w:cs="David"/>
          <w:sz w:val="24"/>
          <w:szCs w:val="24"/>
          <w:rtl/>
        </w:rPr>
        <w:t>–</w:t>
      </w:r>
      <w:r w:rsidR="00F8573D">
        <w:rPr>
          <w:rFonts w:ascii="David" w:hAnsi="David" w:cs="David" w:hint="cs"/>
          <w:sz w:val="24"/>
          <w:szCs w:val="24"/>
          <w:rtl/>
        </w:rPr>
        <w:t xml:space="preserve"> </w:t>
      </w:r>
      <w:r w:rsidR="00043B9E">
        <w:rPr>
          <w:rFonts w:ascii="David" w:hAnsi="David" w:cs="David" w:hint="cs"/>
          <w:sz w:val="24"/>
          <w:szCs w:val="24"/>
          <w:rtl/>
        </w:rPr>
        <w:t xml:space="preserve">עקב </w:t>
      </w:r>
      <w:r w:rsidR="00F8573D">
        <w:rPr>
          <w:rFonts w:ascii="David" w:hAnsi="David" w:cs="David" w:hint="cs"/>
          <w:sz w:val="24"/>
          <w:szCs w:val="24"/>
          <w:rtl/>
        </w:rPr>
        <w:t>העדר סמכות מספקת לכפות אותה</w:t>
      </w:r>
      <w:r w:rsidR="00C14E94">
        <w:rPr>
          <w:rFonts w:ascii="David" w:hAnsi="David" w:cs="David" w:hint="cs"/>
          <w:sz w:val="24"/>
          <w:szCs w:val="24"/>
          <w:rtl/>
        </w:rPr>
        <w:t>,</w:t>
      </w:r>
      <w:r w:rsidR="00396911" w:rsidRPr="00396911">
        <w:rPr>
          <w:rStyle w:val="a5"/>
          <w:rFonts w:ascii="David" w:hAnsi="David" w:cs="David"/>
          <w:sz w:val="24"/>
          <w:szCs w:val="24"/>
          <w:rtl/>
        </w:rPr>
        <w:t xml:space="preserve"> </w:t>
      </w:r>
      <w:r w:rsidR="00396911">
        <w:rPr>
          <w:rStyle w:val="a5"/>
          <w:rFonts w:ascii="David" w:hAnsi="David" w:cs="David"/>
          <w:sz w:val="24"/>
          <w:szCs w:val="24"/>
          <w:rtl/>
        </w:rPr>
        <w:footnoteReference w:id="60"/>
      </w:r>
      <w:r w:rsidR="00D60593">
        <w:rPr>
          <w:rFonts w:ascii="David" w:hAnsi="David" w:cs="David" w:hint="cs"/>
          <w:sz w:val="24"/>
          <w:szCs w:val="24"/>
          <w:rtl/>
        </w:rPr>
        <w:t xml:space="preserve"> </w:t>
      </w:r>
      <w:r w:rsidR="00C1526E">
        <w:rPr>
          <w:rFonts w:ascii="David" w:hAnsi="David" w:cs="David" w:hint="cs"/>
          <w:sz w:val="24"/>
          <w:szCs w:val="24"/>
          <w:rtl/>
        </w:rPr>
        <w:t xml:space="preserve"> </w:t>
      </w:r>
      <w:r w:rsidR="00C14E94">
        <w:rPr>
          <w:rFonts w:ascii="David" w:hAnsi="David" w:cs="David" w:hint="cs"/>
          <w:sz w:val="24"/>
          <w:szCs w:val="24"/>
          <w:rtl/>
        </w:rPr>
        <w:t>ו</w:t>
      </w:r>
      <w:r w:rsidR="00012F6B">
        <w:rPr>
          <w:rFonts w:ascii="David" w:hAnsi="David" w:cs="David" w:hint="cs"/>
          <w:sz w:val="24"/>
          <w:szCs w:val="24"/>
          <w:rtl/>
        </w:rPr>
        <w:t xml:space="preserve">עשו </w:t>
      </w:r>
      <w:r w:rsidR="00D60593">
        <w:rPr>
          <w:rFonts w:ascii="David" w:hAnsi="David" w:cs="David" w:hint="cs"/>
          <w:sz w:val="24"/>
          <w:szCs w:val="24"/>
          <w:rtl/>
        </w:rPr>
        <w:t xml:space="preserve">זאת על ידי </w:t>
      </w:r>
      <w:r w:rsidR="00467539">
        <w:rPr>
          <w:rFonts w:ascii="David" w:hAnsi="David" w:cs="David" w:hint="cs"/>
          <w:sz w:val="24"/>
          <w:szCs w:val="24"/>
          <w:rtl/>
        </w:rPr>
        <w:t>מתן ה</w:t>
      </w:r>
      <w:r w:rsidR="000A61E3">
        <w:rPr>
          <w:rFonts w:ascii="David" w:hAnsi="David" w:cs="David" w:hint="cs"/>
          <w:sz w:val="24"/>
          <w:szCs w:val="24"/>
          <w:rtl/>
        </w:rPr>
        <w:t>טעם</w:t>
      </w:r>
      <w:r w:rsidR="00AE724C">
        <w:rPr>
          <w:rFonts w:ascii="David" w:hAnsi="David" w:cs="David" w:hint="cs"/>
          <w:sz w:val="24"/>
          <w:szCs w:val="24"/>
          <w:rtl/>
        </w:rPr>
        <w:t xml:space="preserve"> המפורש</w:t>
      </w:r>
      <w:r w:rsidR="000A61E3">
        <w:rPr>
          <w:rFonts w:ascii="David" w:hAnsi="David" w:cs="David" w:hint="cs"/>
          <w:sz w:val="24"/>
          <w:szCs w:val="24"/>
          <w:rtl/>
        </w:rPr>
        <w:t xml:space="preserve"> 'מפני דרכי שלום'</w:t>
      </w:r>
      <w:r w:rsidR="00F22D35">
        <w:rPr>
          <w:rFonts w:ascii="David" w:hAnsi="David" w:cs="David" w:hint="cs"/>
          <w:sz w:val="24"/>
          <w:szCs w:val="24"/>
          <w:rtl/>
        </w:rPr>
        <w:t>.</w:t>
      </w:r>
      <w:r w:rsidR="00A464B4">
        <w:rPr>
          <w:rFonts w:ascii="David" w:hAnsi="David" w:cs="David" w:hint="cs"/>
          <w:sz w:val="24"/>
          <w:szCs w:val="24"/>
          <w:rtl/>
        </w:rPr>
        <w:t xml:space="preserve"> </w:t>
      </w:r>
      <w:r w:rsidR="00031A9F">
        <w:rPr>
          <w:rFonts w:ascii="David" w:hAnsi="David" w:cs="David" w:hint="cs"/>
          <w:sz w:val="24"/>
          <w:szCs w:val="24"/>
          <w:rtl/>
        </w:rPr>
        <w:t xml:space="preserve">חלק לא מבוטל מן </w:t>
      </w:r>
      <w:r w:rsidR="00A464B4">
        <w:rPr>
          <w:rFonts w:ascii="David" w:hAnsi="David" w:cs="David" w:hint="cs"/>
          <w:sz w:val="24"/>
          <w:szCs w:val="24"/>
          <w:rtl/>
        </w:rPr>
        <w:t>ה</w:t>
      </w:r>
      <w:r w:rsidR="00012F6B">
        <w:rPr>
          <w:rFonts w:ascii="David" w:hAnsi="David" w:cs="David" w:hint="cs"/>
          <w:sz w:val="24"/>
          <w:szCs w:val="24"/>
          <w:rtl/>
        </w:rPr>
        <w:t>הלכות</w:t>
      </w:r>
      <w:r w:rsidR="00A464B4">
        <w:rPr>
          <w:rFonts w:ascii="David" w:hAnsi="David" w:cs="David" w:hint="cs"/>
          <w:sz w:val="24"/>
          <w:szCs w:val="24"/>
          <w:rtl/>
        </w:rPr>
        <w:t xml:space="preserve"> שנבעו מצורך למלא לקונות בחוק</w:t>
      </w:r>
      <w:r w:rsidR="00A72E75">
        <w:rPr>
          <w:rFonts w:ascii="David" w:hAnsi="David" w:cs="David" w:hint="cs"/>
          <w:sz w:val="24"/>
          <w:szCs w:val="24"/>
          <w:rtl/>
        </w:rPr>
        <w:t xml:space="preserve"> </w:t>
      </w:r>
      <w:r w:rsidR="00F66E13">
        <w:rPr>
          <w:rFonts w:ascii="David" w:hAnsi="David" w:cs="David"/>
          <w:sz w:val="24"/>
          <w:szCs w:val="24"/>
          <w:rtl/>
        </w:rPr>
        <w:t>–</w:t>
      </w:r>
      <w:r w:rsidR="00A72E75">
        <w:rPr>
          <w:rFonts w:ascii="David" w:hAnsi="David" w:cs="David" w:hint="cs"/>
          <w:sz w:val="24"/>
          <w:szCs w:val="24"/>
          <w:rtl/>
        </w:rPr>
        <w:t xml:space="preserve"> </w:t>
      </w:r>
      <w:r w:rsidR="00F66E13">
        <w:rPr>
          <w:rFonts w:ascii="David" w:hAnsi="David" w:cs="David" w:hint="cs"/>
          <w:sz w:val="24"/>
          <w:szCs w:val="24"/>
          <w:rtl/>
        </w:rPr>
        <w:t xml:space="preserve">כלומר אלו </w:t>
      </w:r>
      <w:r w:rsidR="00A464B4">
        <w:rPr>
          <w:rFonts w:ascii="David" w:hAnsi="David" w:cs="David" w:hint="cs"/>
          <w:sz w:val="24"/>
          <w:szCs w:val="24"/>
          <w:rtl/>
        </w:rPr>
        <w:t>שהכללתי תחת הגישה הפרגמטית</w:t>
      </w:r>
      <w:r w:rsidR="00A72E75">
        <w:rPr>
          <w:rFonts w:ascii="David" w:hAnsi="David" w:cs="David" w:hint="cs"/>
          <w:sz w:val="24"/>
          <w:szCs w:val="24"/>
          <w:rtl/>
        </w:rPr>
        <w:t xml:space="preserve"> </w:t>
      </w:r>
      <w:r w:rsidR="00CD42AC">
        <w:rPr>
          <w:rFonts w:ascii="David" w:hAnsi="David" w:cs="David"/>
          <w:sz w:val="24"/>
          <w:szCs w:val="24"/>
          <w:rtl/>
        </w:rPr>
        <w:t>–</w:t>
      </w:r>
      <w:r w:rsidR="00A464B4">
        <w:rPr>
          <w:rFonts w:ascii="David" w:hAnsi="David" w:cs="David" w:hint="cs"/>
          <w:sz w:val="24"/>
          <w:szCs w:val="24"/>
          <w:rtl/>
        </w:rPr>
        <w:t xml:space="preserve"> </w:t>
      </w:r>
      <w:r w:rsidR="00CD42AC">
        <w:rPr>
          <w:rFonts w:ascii="David" w:hAnsi="David" w:cs="David" w:hint="cs"/>
          <w:sz w:val="24"/>
          <w:szCs w:val="24"/>
          <w:rtl/>
        </w:rPr>
        <w:t>מסדיר</w:t>
      </w:r>
      <w:r w:rsidR="00012F6B">
        <w:rPr>
          <w:rFonts w:ascii="David" w:hAnsi="David" w:cs="David" w:hint="cs"/>
          <w:sz w:val="24"/>
          <w:szCs w:val="24"/>
          <w:rtl/>
        </w:rPr>
        <w:t>ות</w:t>
      </w:r>
      <w:r w:rsidR="00CD42AC">
        <w:rPr>
          <w:rFonts w:ascii="David" w:hAnsi="David" w:cs="David" w:hint="cs"/>
          <w:sz w:val="24"/>
          <w:szCs w:val="24"/>
          <w:rtl/>
        </w:rPr>
        <w:t xml:space="preserve"> </w:t>
      </w:r>
      <w:r w:rsidR="00A464B4">
        <w:rPr>
          <w:rFonts w:ascii="David" w:hAnsi="David" w:cs="David" w:hint="cs"/>
          <w:sz w:val="24"/>
          <w:szCs w:val="24"/>
          <w:rtl/>
        </w:rPr>
        <w:t xml:space="preserve">מקרים שבהם </w:t>
      </w:r>
      <w:proofErr w:type="spellStart"/>
      <w:r w:rsidR="00A464B4">
        <w:rPr>
          <w:rFonts w:ascii="David" w:hAnsi="David" w:cs="David" w:hint="cs"/>
          <w:sz w:val="24"/>
          <w:szCs w:val="24"/>
          <w:rtl/>
        </w:rPr>
        <w:t>איפשרו</w:t>
      </w:r>
      <w:proofErr w:type="spellEnd"/>
      <w:r w:rsidR="00A464B4">
        <w:rPr>
          <w:rFonts w:ascii="David" w:hAnsi="David" w:cs="David" w:hint="cs"/>
          <w:sz w:val="24"/>
          <w:szCs w:val="24"/>
          <w:rtl/>
        </w:rPr>
        <w:t xml:space="preserve"> חכמים לנשואי התקנות "לקחת סיכון" </w:t>
      </w:r>
      <w:r w:rsidR="00CD42AC">
        <w:rPr>
          <w:rFonts w:ascii="David" w:hAnsi="David" w:cs="David" w:hint="cs"/>
          <w:sz w:val="24"/>
          <w:szCs w:val="24"/>
          <w:rtl/>
        </w:rPr>
        <w:t>מסוים</w:t>
      </w:r>
      <w:r w:rsidR="00023D86">
        <w:rPr>
          <w:rFonts w:ascii="David" w:hAnsi="David" w:cs="David" w:hint="cs"/>
          <w:sz w:val="24"/>
          <w:szCs w:val="24"/>
          <w:rtl/>
        </w:rPr>
        <w:t>,</w:t>
      </w:r>
      <w:r w:rsidR="00CD42AC">
        <w:rPr>
          <w:rFonts w:ascii="David" w:hAnsi="David" w:cs="David" w:hint="cs"/>
          <w:sz w:val="24"/>
          <w:szCs w:val="24"/>
          <w:rtl/>
        </w:rPr>
        <w:t xml:space="preserve"> </w:t>
      </w:r>
      <w:r w:rsidR="00A464B4">
        <w:rPr>
          <w:rFonts w:ascii="David" w:hAnsi="David" w:cs="David" w:hint="cs"/>
          <w:sz w:val="24"/>
          <w:szCs w:val="24"/>
          <w:rtl/>
        </w:rPr>
        <w:t>ש</w:t>
      </w:r>
      <w:r w:rsidR="00031A9F">
        <w:rPr>
          <w:rFonts w:ascii="David" w:hAnsi="David" w:cs="David" w:hint="cs"/>
          <w:sz w:val="24"/>
          <w:szCs w:val="24"/>
          <w:rtl/>
        </w:rPr>
        <w:t xml:space="preserve">התנהגותם </w:t>
      </w:r>
      <w:r w:rsidR="001A3497">
        <w:rPr>
          <w:rFonts w:ascii="David" w:hAnsi="David" w:cs="David" w:hint="cs"/>
          <w:sz w:val="24"/>
          <w:szCs w:val="24"/>
          <w:rtl/>
        </w:rPr>
        <w:t xml:space="preserve">תביא </w:t>
      </w:r>
      <w:r w:rsidR="00A72E75">
        <w:rPr>
          <w:rFonts w:ascii="David" w:hAnsi="David" w:cs="David" w:hint="cs"/>
          <w:sz w:val="24"/>
          <w:szCs w:val="24"/>
          <w:rtl/>
        </w:rPr>
        <w:t>ל</w:t>
      </w:r>
      <w:r w:rsidR="00A464B4">
        <w:rPr>
          <w:rFonts w:ascii="David" w:hAnsi="David" w:cs="David" w:hint="cs"/>
          <w:sz w:val="24"/>
          <w:szCs w:val="24"/>
          <w:rtl/>
        </w:rPr>
        <w:t>פגיעה בהלכה</w:t>
      </w:r>
      <w:r w:rsidR="00A72E75">
        <w:rPr>
          <w:rFonts w:ascii="David" w:hAnsi="David" w:cs="David" w:hint="cs"/>
          <w:sz w:val="24"/>
          <w:szCs w:val="24"/>
          <w:rtl/>
        </w:rPr>
        <w:t>.</w:t>
      </w:r>
      <w:r w:rsidR="007E14CD">
        <w:rPr>
          <w:rStyle w:val="a5"/>
          <w:rFonts w:ascii="David" w:hAnsi="David" w:cs="David"/>
          <w:sz w:val="24"/>
          <w:szCs w:val="24"/>
          <w:rtl/>
        </w:rPr>
        <w:footnoteReference w:id="61"/>
      </w:r>
      <w:r w:rsidR="00A72E75">
        <w:rPr>
          <w:rFonts w:ascii="David" w:hAnsi="David" w:cs="David" w:hint="cs"/>
          <w:sz w:val="24"/>
          <w:szCs w:val="24"/>
          <w:rtl/>
        </w:rPr>
        <w:t xml:space="preserve"> גם כאן </w:t>
      </w:r>
      <w:r w:rsidR="00031A9F">
        <w:rPr>
          <w:rFonts w:ascii="David" w:hAnsi="David" w:cs="David" w:hint="cs"/>
          <w:sz w:val="24"/>
          <w:szCs w:val="24"/>
          <w:rtl/>
        </w:rPr>
        <w:t xml:space="preserve">נראה </w:t>
      </w:r>
      <w:r w:rsidR="00A72E75">
        <w:rPr>
          <w:rFonts w:ascii="David" w:hAnsi="David" w:cs="David" w:hint="cs"/>
          <w:sz w:val="24"/>
          <w:szCs w:val="24"/>
          <w:rtl/>
        </w:rPr>
        <w:t xml:space="preserve">כי </w:t>
      </w:r>
      <w:r w:rsidR="004D06E3">
        <w:rPr>
          <w:rFonts w:ascii="David" w:hAnsi="David" w:cs="David" w:hint="cs"/>
          <w:sz w:val="24"/>
          <w:szCs w:val="24"/>
          <w:rtl/>
        </w:rPr>
        <w:t xml:space="preserve">החכמים </w:t>
      </w:r>
      <w:r w:rsidR="00C27331">
        <w:rPr>
          <w:rFonts w:ascii="David" w:hAnsi="David" w:cs="David" w:hint="cs"/>
          <w:sz w:val="24"/>
          <w:szCs w:val="24"/>
          <w:rtl/>
        </w:rPr>
        <w:t xml:space="preserve">חזקו את </w:t>
      </w:r>
      <w:r w:rsidR="00A72E75">
        <w:rPr>
          <w:rFonts w:ascii="David" w:hAnsi="David" w:cs="David" w:hint="cs"/>
          <w:sz w:val="24"/>
          <w:szCs w:val="24"/>
          <w:rtl/>
        </w:rPr>
        <w:t>קביעתם</w:t>
      </w:r>
      <w:r w:rsidR="00031A9F">
        <w:rPr>
          <w:rFonts w:ascii="David" w:hAnsi="David" w:cs="David" w:hint="cs"/>
          <w:sz w:val="24"/>
          <w:szCs w:val="24"/>
          <w:rtl/>
        </w:rPr>
        <w:t xml:space="preserve"> </w:t>
      </w:r>
      <w:r w:rsidR="004D06E3">
        <w:rPr>
          <w:rFonts w:ascii="David" w:hAnsi="David" w:cs="David" w:hint="cs"/>
          <w:sz w:val="24"/>
          <w:szCs w:val="24"/>
          <w:rtl/>
        </w:rPr>
        <w:t xml:space="preserve">באמצעות </w:t>
      </w:r>
      <w:r w:rsidR="00031A9F">
        <w:rPr>
          <w:rFonts w:ascii="David" w:hAnsi="David" w:cs="David" w:hint="cs"/>
          <w:sz w:val="24"/>
          <w:szCs w:val="24"/>
          <w:rtl/>
        </w:rPr>
        <w:t xml:space="preserve">מתן טעם מפורש </w:t>
      </w:r>
      <w:r w:rsidR="004D06E3">
        <w:rPr>
          <w:rFonts w:ascii="David" w:hAnsi="David" w:cs="David" w:hint="cs"/>
          <w:sz w:val="24"/>
          <w:szCs w:val="24"/>
          <w:rtl/>
        </w:rPr>
        <w:t>להלכה, שהציע תכלית רחבה יותר מאשר הנמקה ספציפית שהי</w:t>
      </w:r>
      <w:r w:rsidR="00490EEC">
        <w:rPr>
          <w:rFonts w:ascii="David" w:hAnsi="David" w:cs="David" w:hint="cs"/>
          <w:sz w:val="24"/>
          <w:szCs w:val="24"/>
          <w:rtl/>
        </w:rPr>
        <w:t>י</w:t>
      </w:r>
      <w:r w:rsidR="004D06E3">
        <w:rPr>
          <w:rFonts w:ascii="David" w:hAnsi="David" w:cs="David" w:hint="cs"/>
          <w:sz w:val="24"/>
          <w:szCs w:val="24"/>
          <w:rtl/>
        </w:rPr>
        <w:t>תה יכולה להינתן</w:t>
      </w:r>
      <w:r w:rsidR="00490EEC">
        <w:rPr>
          <w:rFonts w:ascii="David" w:hAnsi="David" w:cs="David" w:hint="cs"/>
          <w:sz w:val="24"/>
          <w:szCs w:val="24"/>
          <w:rtl/>
        </w:rPr>
        <w:t xml:space="preserve"> בכל אחד מן המקרים</w:t>
      </w:r>
      <w:r w:rsidR="004D06E3">
        <w:rPr>
          <w:rFonts w:ascii="David" w:hAnsi="David" w:cs="David" w:hint="cs"/>
          <w:sz w:val="24"/>
          <w:szCs w:val="24"/>
          <w:rtl/>
        </w:rPr>
        <w:t xml:space="preserve"> </w:t>
      </w:r>
      <w:r w:rsidR="001A3497">
        <w:rPr>
          <w:rFonts w:ascii="David" w:hAnsi="David" w:cs="David" w:hint="cs"/>
          <w:sz w:val="24"/>
          <w:szCs w:val="24"/>
          <w:rtl/>
        </w:rPr>
        <w:t>הללו</w:t>
      </w:r>
      <w:r w:rsidR="004D06E3">
        <w:rPr>
          <w:rFonts w:ascii="David" w:hAnsi="David" w:cs="David" w:hint="cs"/>
          <w:sz w:val="24"/>
          <w:szCs w:val="24"/>
          <w:rtl/>
        </w:rPr>
        <w:t>.</w:t>
      </w:r>
      <w:r w:rsidR="00B21858">
        <w:rPr>
          <w:rStyle w:val="a5"/>
          <w:rFonts w:ascii="David" w:hAnsi="David" w:cs="David"/>
          <w:sz w:val="24"/>
          <w:szCs w:val="24"/>
          <w:rtl/>
        </w:rPr>
        <w:footnoteReference w:id="62"/>
      </w:r>
    </w:p>
    <w:p w14:paraId="1E4F31A6" w14:textId="51C922C4" w:rsidR="001E1E24" w:rsidRDefault="00F85FD7" w:rsidP="00773773">
      <w:pPr>
        <w:spacing w:line="480" w:lineRule="auto"/>
        <w:rPr>
          <w:rFonts w:ascii="David" w:hAnsi="David" w:cs="David"/>
          <w:sz w:val="24"/>
          <w:szCs w:val="24"/>
          <w:rtl/>
        </w:rPr>
      </w:pPr>
      <w:r>
        <w:rPr>
          <w:rFonts w:ascii="David" w:hAnsi="David" w:cs="David"/>
          <w:sz w:val="24"/>
          <w:szCs w:val="24"/>
          <w:rtl/>
        </w:rPr>
        <w:tab/>
      </w:r>
      <w:r w:rsidR="006E744A">
        <w:rPr>
          <w:rFonts w:ascii="David" w:hAnsi="David" w:cs="David" w:hint="cs"/>
          <w:sz w:val="24"/>
          <w:szCs w:val="24"/>
          <w:rtl/>
        </w:rPr>
        <w:t xml:space="preserve">וכאן אנו מגיעים להיבט </w:t>
      </w:r>
      <w:r w:rsidR="00CD42AC">
        <w:rPr>
          <w:rFonts w:ascii="David" w:hAnsi="David" w:cs="David" w:hint="cs"/>
          <w:sz w:val="24"/>
          <w:szCs w:val="24"/>
          <w:rtl/>
        </w:rPr>
        <w:t xml:space="preserve">נוסף </w:t>
      </w:r>
      <w:r w:rsidR="00A65CE3">
        <w:rPr>
          <w:rFonts w:ascii="David" w:hAnsi="David" w:cs="David" w:hint="cs"/>
          <w:sz w:val="24"/>
          <w:szCs w:val="24"/>
          <w:rtl/>
        </w:rPr>
        <w:t xml:space="preserve">שמאפיין את </w:t>
      </w:r>
      <w:r w:rsidR="00CD42AC">
        <w:rPr>
          <w:rFonts w:ascii="David" w:hAnsi="David" w:cs="David" w:hint="cs"/>
          <w:sz w:val="24"/>
          <w:szCs w:val="24"/>
          <w:rtl/>
        </w:rPr>
        <w:t>השימוש ב</w:t>
      </w:r>
      <w:r w:rsidR="00A65CE3">
        <w:rPr>
          <w:rFonts w:ascii="David" w:hAnsi="David" w:cs="David" w:hint="cs"/>
          <w:sz w:val="24"/>
          <w:szCs w:val="24"/>
          <w:rtl/>
        </w:rPr>
        <w:t>טעם '</w:t>
      </w:r>
      <w:r w:rsidR="000E3C3F">
        <w:rPr>
          <w:rFonts w:ascii="David" w:hAnsi="David" w:cs="David" w:hint="cs"/>
          <w:sz w:val="24"/>
          <w:szCs w:val="24"/>
          <w:rtl/>
        </w:rPr>
        <w:t xml:space="preserve">מפני </w:t>
      </w:r>
      <w:r w:rsidR="00A65CE3">
        <w:rPr>
          <w:rFonts w:ascii="David" w:hAnsi="David" w:cs="David" w:hint="cs"/>
          <w:sz w:val="24"/>
          <w:szCs w:val="24"/>
          <w:rtl/>
        </w:rPr>
        <w:t>דרכי השלום'</w:t>
      </w:r>
      <w:r w:rsidR="00D16238">
        <w:rPr>
          <w:rFonts w:ascii="David" w:hAnsi="David" w:cs="David" w:hint="cs"/>
          <w:sz w:val="24"/>
          <w:szCs w:val="24"/>
          <w:rtl/>
        </w:rPr>
        <w:t>,</w:t>
      </w:r>
      <w:r w:rsidR="00A65CE3">
        <w:rPr>
          <w:rFonts w:ascii="David" w:hAnsi="David" w:cs="David" w:hint="cs"/>
          <w:sz w:val="24"/>
          <w:szCs w:val="24"/>
          <w:rtl/>
        </w:rPr>
        <w:t xml:space="preserve"> והוא </w:t>
      </w:r>
      <w:r w:rsidR="00D16238">
        <w:rPr>
          <w:rFonts w:ascii="David" w:hAnsi="David" w:cs="David" w:hint="cs"/>
          <w:sz w:val="24"/>
          <w:szCs w:val="24"/>
          <w:rtl/>
        </w:rPr>
        <w:t xml:space="preserve">חיצוניותו של הטעם לתחום ההלכתי </w:t>
      </w:r>
      <w:r w:rsidR="005F603B">
        <w:rPr>
          <w:rFonts w:ascii="David" w:hAnsi="David" w:cs="David" w:hint="cs"/>
          <w:sz w:val="24"/>
          <w:szCs w:val="24"/>
          <w:rtl/>
        </w:rPr>
        <w:t xml:space="preserve">שבו </w:t>
      </w:r>
      <w:r w:rsidR="00D16238">
        <w:rPr>
          <w:rFonts w:ascii="David" w:hAnsi="David" w:cs="David" w:hint="cs"/>
          <w:sz w:val="24"/>
          <w:szCs w:val="24"/>
          <w:rtl/>
        </w:rPr>
        <w:t>פועלת התקנה</w:t>
      </w:r>
      <w:r w:rsidR="005F603B">
        <w:rPr>
          <w:rFonts w:ascii="David" w:hAnsi="David" w:cs="David" w:hint="cs"/>
          <w:sz w:val="24"/>
          <w:szCs w:val="24"/>
          <w:rtl/>
        </w:rPr>
        <w:t>.</w:t>
      </w:r>
      <w:r w:rsidR="00903474">
        <w:rPr>
          <w:rFonts w:ascii="David" w:hAnsi="David" w:cs="David" w:hint="cs"/>
          <w:sz w:val="24"/>
          <w:szCs w:val="24"/>
          <w:rtl/>
        </w:rPr>
        <w:t xml:space="preserve"> </w:t>
      </w:r>
      <w:r w:rsidR="008D47B6" w:rsidRPr="008D47B6">
        <w:rPr>
          <w:rFonts w:ascii="David" w:hAnsi="David" w:cs="David"/>
          <w:sz w:val="24"/>
          <w:szCs w:val="24"/>
        </w:rPr>
        <w:t>Schauer</w:t>
      </w:r>
      <w:r w:rsidR="008D47B6" w:rsidRPr="008D47B6">
        <w:rPr>
          <w:rFonts w:ascii="David" w:hAnsi="David" w:cs="David" w:hint="cs"/>
          <w:sz w:val="24"/>
          <w:szCs w:val="24"/>
          <w:rtl/>
        </w:rPr>
        <w:t xml:space="preserve"> </w:t>
      </w:r>
      <w:r w:rsidR="00903474">
        <w:rPr>
          <w:rFonts w:ascii="David" w:hAnsi="David" w:cs="David" w:hint="cs"/>
          <w:sz w:val="24"/>
          <w:szCs w:val="24"/>
          <w:rtl/>
        </w:rPr>
        <w:t xml:space="preserve">מטעים כי </w:t>
      </w:r>
      <w:r w:rsidR="009376C3">
        <w:rPr>
          <w:rFonts w:ascii="SBL Greek" w:hAnsi="SBL Greek" w:cs="David"/>
          <w:sz w:val="24"/>
          <w:szCs w:val="24"/>
        </w:rPr>
        <w:t>“</w:t>
      </w:r>
      <w:r w:rsidR="009376C3">
        <w:rPr>
          <w:rFonts w:ascii="David" w:hAnsi="David" w:cs="David"/>
          <w:sz w:val="24"/>
          <w:szCs w:val="24"/>
        </w:rPr>
        <w:t>R</w:t>
      </w:r>
      <w:r w:rsidR="009376C3" w:rsidRPr="009376C3">
        <w:rPr>
          <w:rFonts w:ascii="David" w:hAnsi="David" w:cs="David"/>
          <w:sz w:val="24"/>
          <w:szCs w:val="24"/>
        </w:rPr>
        <w:t>easons are typically propositions of greater generality than the conclusions they are reasons fo</w:t>
      </w:r>
      <w:r w:rsidR="009376C3">
        <w:rPr>
          <w:rFonts w:ascii="David" w:hAnsi="David" w:cs="David"/>
          <w:sz w:val="24"/>
          <w:szCs w:val="24"/>
        </w:rPr>
        <w:t>r</w:t>
      </w:r>
      <w:r w:rsidR="009376C3">
        <w:rPr>
          <w:rFonts w:ascii="SBL Greek" w:hAnsi="SBL Greek" w:cs="David"/>
          <w:sz w:val="24"/>
          <w:szCs w:val="24"/>
        </w:rPr>
        <w:t>”</w:t>
      </w:r>
      <w:r w:rsidR="009376C3">
        <w:rPr>
          <w:rStyle w:val="a5"/>
          <w:rFonts w:ascii="SBL Greek" w:hAnsi="SBL Greek" w:cs="David"/>
          <w:sz w:val="24"/>
          <w:szCs w:val="24"/>
        </w:rPr>
        <w:footnoteReference w:id="63"/>
      </w:r>
      <w:r w:rsidR="000F5F30">
        <w:rPr>
          <w:rFonts w:ascii="David" w:hAnsi="David" w:cs="David" w:hint="cs"/>
          <w:sz w:val="24"/>
          <w:szCs w:val="24"/>
          <w:rtl/>
        </w:rPr>
        <w:t xml:space="preserve">, </w:t>
      </w:r>
      <w:r w:rsidR="00773773">
        <w:rPr>
          <w:rFonts w:ascii="David" w:hAnsi="David" w:cs="David" w:hint="cs"/>
          <w:sz w:val="24"/>
          <w:szCs w:val="24"/>
          <w:rtl/>
        </w:rPr>
        <w:t xml:space="preserve">כלומר, </w:t>
      </w:r>
      <w:r w:rsidR="00903474">
        <w:rPr>
          <w:rFonts w:ascii="David" w:hAnsi="David" w:cs="David" w:hint="cs"/>
          <w:sz w:val="24"/>
          <w:szCs w:val="24"/>
          <w:rtl/>
        </w:rPr>
        <w:t xml:space="preserve">למעשה בכל </w:t>
      </w:r>
      <w:r w:rsidR="00C96796">
        <w:rPr>
          <w:rFonts w:ascii="David" w:hAnsi="David" w:cs="David" w:hint="cs"/>
          <w:sz w:val="24"/>
          <w:szCs w:val="24"/>
          <w:rtl/>
        </w:rPr>
        <w:t xml:space="preserve"> שימוש ב</w:t>
      </w:r>
      <w:r w:rsidR="00903474">
        <w:rPr>
          <w:rFonts w:ascii="David" w:hAnsi="David" w:cs="David" w:hint="cs"/>
          <w:sz w:val="24"/>
          <w:szCs w:val="24"/>
          <w:rtl/>
        </w:rPr>
        <w:t xml:space="preserve">הנמקה </w:t>
      </w:r>
      <w:r w:rsidR="005518F8">
        <w:rPr>
          <w:rFonts w:ascii="David" w:hAnsi="David" w:cs="David"/>
          <w:sz w:val="24"/>
          <w:szCs w:val="24"/>
          <w:rtl/>
        </w:rPr>
        <w:t>–</w:t>
      </w:r>
      <w:r w:rsidR="00F55854">
        <w:rPr>
          <w:rFonts w:ascii="David" w:hAnsi="David" w:cs="David" w:hint="cs"/>
          <w:sz w:val="24"/>
          <w:szCs w:val="24"/>
          <w:rtl/>
        </w:rPr>
        <w:t xml:space="preserve">ולעניות דעתי </w:t>
      </w:r>
      <w:r w:rsidR="000668DC">
        <w:rPr>
          <w:rFonts w:ascii="David" w:hAnsi="David" w:cs="David" w:hint="cs"/>
          <w:sz w:val="24"/>
          <w:szCs w:val="24"/>
          <w:rtl/>
        </w:rPr>
        <w:t xml:space="preserve">ביתר שאת כשההנמקה מלכתחילה חיצונית לתחום המשפטי הספציפי של החוק </w:t>
      </w:r>
      <w:r w:rsidR="000668DC">
        <w:rPr>
          <w:rFonts w:ascii="David" w:hAnsi="David" w:cs="David"/>
          <w:sz w:val="24"/>
          <w:szCs w:val="24"/>
          <w:rtl/>
        </w:rPr>
        <w:t>–</w:t>
      </w:r>
      <w:r w:rsidR="000668DC">
        <w:rPr>
          <w:rFonts w:ascii="David" w:hAnsi="David" w:cs="David" w:hint="cs"/>
          <w:sz w:val="24"/>
          <w:szCs w:val="24"/>
          <w:rtl/>
        </w:rPr>
        <w:t xml:space="preserve"> קיים יסוד </w:t>
      </w:r>
      <w:r w:rsidR="00773773">
        <w:rPr>
          <w:rFonts w:ascii="David" w:hAnsi="David" w:cs="David" w:hint="cs"/>
          <w:sz w:val="24"/>
          <w:szCs w:val="24"/>
          <w:rtl/>
        </w:rPr>
        <w:t xml:space="preserve">של </w:t>
      </w:r>
      <w:r w:rsidR="00903474">
        <w:rPr>
          <w:rFonts w:ascii="David" w:hAnsi="David" w:cs="David" w:hint="cs"/>
          <w:sz w:val="24"/>
          <w:szCs w:val="24"/>
          <w:rtl/>
        </w:rPr>
        <w:t>'כלליות'</w:t>
      </w:r>
      <w:r w:rsidR="000668DC">
        <w:rPr>
          <w:rFonts w:ascii="David" w:hAnsi="David" w:cs="David" w:hint="cs"/>
          <w:sz w:val="24"/>
          <w:szCs w:val="24"/>
          <w:rtl/>
        </w:rPr>
        <w:t>,</w:t>
      </w:r>
      <w:r w:rsidR="001E1E24">
        <w:rPr>
          <w:rFonts w:ascii="David" w:hAnsi="David" w:cs="David"/>
          <w:sz w:val="24"/>
          <w:szCs w:val="24"/>
          <w:rtl/>
        </w:rPr>
        <w:t xml:space="preserve"> שמאפשר להרחיב את תחולתו</w:t>
      </w:r>
      <w:r w:rsidR="00655F63">
        <w:rPr>
          <w:rFonts w:ascii="David" w:hAnsi="David" w:cs="David" w:hint="cs"/>
          <w:sz w:val="24"/>
          <w:szCs w:val="24"/>
          <w:rtl/>
        </w:rPr>
        <w:t xml:space="preserve"> של הכלל (או העיקרון המשפטי</w:t>
      </w:r>
      <w:r w:rsidR="006B1D12">
        <w:rPr>
          <w:rFonts w:ascii="David" w:hAnsi="David" w:cs="David" w:hint="cs"/>
          <w:sz w:val="24"/>
          <w:szCs w:val="24"/>
          <w:rtl/>
        </w:rPr>
        <w:t xml:space="preserve">) </w:t>
      </w:r>
      <w:r w:rsidR="001E1E24">
        <w:rPr>
          <w:rFonts w:ascii="David" w:hAnsi="David" w:cs="David"/>
          <w:sz w:val="24"/>
          <w:szCs w:val="24"/>
          <w:rtl/>
        </w:rPr>
        <w:t>אל מקרים ותחומים</w:t>
      </w:r>
      <w:r w:rsidR="001E1E24">
        <w:rPr>
          <w:rFonts w:ascii="David" w:hAnsi="David" w:cs="David" w:hint="cs"/>
          <w:sz w:val="24"/>
          <w:szCs w:val="24"/>
          <w:rtl/>
        </w:rPr>
        <w:t xml:space="preserve"> אחרים מזה של הכלל הראשון</w:t>
      </w:r>
      <w:r w:rsidR="000668DC">
        <w:rPr>
          <w:rFonts w:ascii="David" w:hAnsi="David" w:cs="David" w:hint="cs"/>
          <w:sz w:val="24"/>
          <w:szCs w:val="24"/>
          <w:rtl/>
        </w:rPr>
        <w:t>. להחל</w:t>
      </w:r>
      <w:r w:rsidR="00E26272">
        <w:rPr>
          <w:rFonts w:ascii="David" w:hAnsi="David" w:cs="David" w:hint="cs"/>
          <w:sz w:val="24"/>
          <w:szCs w:val="24"/>
          <w:rtl/>
        </w:rPr>
        <w:t>ת</w:t>
      </w:r>
      <w:r w:rsidR="000668DC">
        <w:rPr>
          <w:rFonts w:ascii="David" w:hAnsi="David" w:cs="David" w:hint="cs"/>
          <w:sz w:val="24"/>
          <w:szCs w:val="24"/>
          <w:rtl/>
        </w:rPr>
        <w:t xml:space="preserve">ה </w:t>
      </w:r>
      <w:r w:rsidR="005D2592">
        <w:rPr>
          <w:rFonts w:ascii="David" w:hAnsi="David" w:cs="David" w:hint="cs"/>
          <w:sz w:val="24"/>
          <w:szCs w:val="24"/>
          <w:rtl/>
        </w:rPr>
        <w:t xml:space="preserve">של ההנמקה </w:t>
      </w:r>
      <w:r w:rsidR="000668DC">
        <w:rPr>
          <w:rFonts w:ascii="David" w:hAnsi="David" w:cs="David" w:hint="cs"/>
          <w:sz w:val="24"/>
          <w:szCs w:val="24"/>
          <w:rtl/>
        </w:rPr>
        <w:t xml:space="preserve">עשויות להיות </w:t>
      </w:r>
      <w:r w:rsidR="001E1E24">
        <w:rPr>
          <w:rFonts w:ascii="David" w:hAnsi="David" w:cs="David"/>
          <w:sz w:val="24"/>
          <w:szCs w:val="24"/>
          <w:rtl/>
        </w:rPr>
        <w:t>ההשלכות על התוצאות הנורמטיביות של ה</w:t>
      </w:r>
      <w:r w:rsidR="001E1E24">
        <w:rPr>
          <w:rFonts w:ascii="David" w:hAnsi="David" w:cs="David" w:hint="cs"/>
          <w:sz w:val="24"/>
          <w:szCs w:val="24"/>
          <w:rtl/>
        </w:rPr>
        <w:t>כללים</w:t>
      </w:r>
      <w:r w:rsidR="00684F03">
        <w:rPr>
          <w:rFonts w:ascii="David" w:hAnsi="David" w:cs="David" w:hint="cs"/>
          <w:sz w:val="24"/>
          <w:szCs w:val="24"/>
          <w:rtl/>
        </w:rPr>
        <w:t xml:space="preserve"> המשפטיים </w:t>
      </w:r>
      <w:r w:rsidR="00DB07FF">
        <w:rPr>
          <w:rFonts w:ascii="David" w:hAnsi="David" w:cs="David" w:hint="cs"/>
          <w:sz w:val="24"/>
          <w:szCs w:val="24"/>
          <w:rtl/>
        </w:rPr>
        <w:t>הנוספים</w:t>
      </w:r>
      <w:r w:rsidR="000668DC">
        <w:rPr>
          <w:rFonts w:ascii="David" w:hAnsi="David" w:cs="David" w:hint="cs"/>
          <w:sz w:val="24"/>
          <w:szCs w:val="24"/>
          <w:rtl/>
        </w:rPr>
        <w:t xml:space="preserve">, </w:t>
      </w:r>
      <w:r w:rsidR="000668DC">
        <w:rPr>
          <w:rFonts w:ascii="David" w:hAnsi="David" w:cs="David" w:hint="cs"/>
          <w:sz w:val="24"/>
          <w:szCs w:val="24"/>
          <w:rtl/>
        </w:rPr>
        <w:lastRenderedPageBreak/>
        <w:t xml:space="preserve">שלא בהכרח נלקחו בחשבון </w:t>
      </w:r>
      <w:r w:rsidR="005311F5">
        <w:rPr>
          <w:rFonts w:ascii="David" w:hAnsi="David" w:cs="David" w:hint="cs"/>
          <w:sz w:val="24"/>
          <w:szCs w:val="24"/>
          <w:rtl/>
        </w:rPr>
        <w:t xml:space="preserve">בזמן </w:t>
      </w:r>
      <w:r w:rsidR="000668DC">
        <w:rPr>
          <w:rFonts w:ascii="David" w:hAnsi="David" w:cs="David" w:hint="cs"/>
          <w:sz w:val="24"/>
          <w:szCs w:val="24"/>
          <w:rtl/>
        </w:rPr>
        <w:t>יצירתה של ההנמקה והחלתה על המקרה הראשון</w:t>
      </w:r>
      <w:r w:rsidR="00765681">
        <w:rPr>
          <w:rFonts w:ascii="David" w:hAnsi="David" w:cs="David" w:hint="cs"/>
          <w:sz w:val="24"/>
          <w:szCs w:val="24"/>
          <w:rtl/>
        </w:rPr>
        <w:t>, כפי</w:t>
      </w:r>
      <w:r w:rsidR="00DB07FF">
        <w:rPr>
          <w:rFonts w:ascii="David" w:hAnsi="David" w:cs="David" w:hint="cs"/>
          <w:sz w:val="24"/>
          <w:szCs w:val="24"/>
          <w:rtl/>
        </w:rPr>
        <w:t xml:space="preserve"> שמבהיר זאת</w:t>
      </w:r>
      <w:r w:rsidR="00765681">
        <w:rPr>
          <w:rFonts w:ascii="David" w:hAnsi="David" w:cs="David" w:hint="cs"/>
          <w:sz w:val="24"/>
          <w:szCs w:val="24"/>
          <w:rtl/>
        </w:rPr>
        <w:t xml:space="preserve"> </w:t>
      </w:r>
      <w:r w:rsidR="00DB07FF" w:rsidRPr="00DB07FF">
        <w:rPr>
          <w:rFonts w:ascii="David" w:hAnsi="David" w:cs="David"/>
          <w:sz w:val="24"/>
          <w:szCs w:val="24"/>
        </w:rPr>
        <w:t>Schauer</w:t>
      </w:r>
      <w:r w:rsidR="001E1E24">
        <w:rPr>
          <w:rFonts w:ascii="David" w:hAnsi="David" w:cs="David"/>
          <w:sz w:val="24"/>
          <w:szCs w:val="24"/>
          <w:rtl/>
        </w:rPr>
        <w:t>:</w:t>
      </w:r>
      <w:r w:rsidR="001E1E24" w:rsidRPr="00221BEB">
        <w:rPr>
          <w:rStyle w:val="a5"/>
          <w:rFonts w:ascii="David" w:hAnsi="David" w:cs="David"/>
          <w:sz w:val="24"/>
          <w:szCs w:val="24"/>
        </w:rPr>
        <w:t xml:space="preserve"> </w:t>
      </w:r>
      <w:r w:rsidR="001E1E24">
        <w:rPr>
          <w:rStyle w:val="a5"/>
          <w:rFonts w:ascii="David" w:hAnsi="David" w:cs="David"/>
          <w:sz w:val="24"/>
          <w:szCs w:val="24"/>
          <w:rtl/>
        </w:rPr>
        <w:footnoteReference w:id="64"/>
      </w:r>
    </w:p>
    <w:p w14:paraId="5F3081E6" w14:textId="253BD6E5" w:rsidR="001E1E24" w:rsidRPr="00CB2CA3" w:rsidRDefault="00FB4AA0" w:rsidP="001E1E24">
      <w:pPr>
        <w:bidi w:val="0"/>
        <w:spacing w:line="480" w:lineRule="auto"/>
        <w:ind w:left="720"/>
        <w:rPr>
          <w:rFonts w:ascii="David" w:hAnsi="David" w:cs="David"/>
          <w:sz w:val="24"/>
          <w:szCs w:val="24"/>
        </w:rPr>
      </w:pPr>
      <w:r>
        <w:rPr>
          <w:rFonts w:ascii="David" w:hAnsi="David" w:cs="David" w:hint="cs"/>
          <w:sz w:val="24"/>
          <w:szCs w:val="24"/>
        </w:rPr>
        <w:t>T</w:t>
      </w:r>
      <w:r w:rsidR="001E1E24" w:rsidRPr="00CB2CA3">
        <w:rPr>
          <w:rFonts w:ascii="David" w:hAnsi="David" w:cs="David"/>
          <w:sz w:val="24"/>
          <w:szCs w:val="24"/>
        </w:rPr>
        <w:t xml:space="preserve">he process of providing a reason is ordinarily nothing more than (but nothing less than) the process of locating a result within a greater degree of generality. Reasons, therefore, are commonly results, rules, principles, maxims, standards, or norms </w:t>
      </w:r>
      <w:bookmarkStart w:id="12" w:name="_Hlk7006429"/>
      <w:r w:rsidR="001E1E24" w:rsidRPr="00CB2CA3">
        <w:rPr>
          <w:rFonts w:ascii="David" w:hAnsi="David" w:cs="David"/>
          <w:sz w:val="24"/>
          <w:szCs w:val="24"/>
        </w:rPr>
        <w:t>taken to the next level of generality</w:t>
      </w:r>
      <w:bookmarkEnd w:id="12"/>
      <w:r w:rsidR="001E1E24" w:rsidRPr="00CB2CA3">
        <w:rPr>
          <w:rFonts w:ascii="David" w:hAnsi="David" w:cs="David"/>
          <w:sz w:val="24"/>
          <w:szCs w:val="24"/>
        </w:rPr>
        <w:t>. But regardless of the level of generality, and whether we are seeking to justify a result or a rule, the central point is that to say "x because y" is not only to say x, but to say y as well. When put this way the claim seems trivially tautological, but its consequences are both interesting and problematic</w:t>
      </w:r>
      <w:r w:rsidR="001E1E24">
        <w:rPr>
          <w:rFonts w:ascii="David" w:hAnsi="David" w:cs="David"/>
          <w:sz w:val="24"/>
          <w:szCs w:val="24"/>
        </w:rPr>
        <w:t>.</w:t>
      </w:r>
      <w:r w:rsidR="001E1E24" w:rsidRPr="009E6038">
        <w:rPr>
          <w:rStyle w:val="a5"/>
          <w:rFonts w:ascii="David" w:hAnsi="David" w:cs="David"/>
          <w:sz w:val="24"/>
          <w:szCs w:val="24"/>
          <w:rtl/>
        </w:rPr>
        <w:t xml:space="preserve"> </w:t>
      </w:r>
    </w:p>
    <w:p w14:paraId="78A5294B" w14:textId="77777777" w:rsidR="00E35F0B" w:rsidRDefault="00E35F0B" w:rsidP="00471B1E">
      <w:pPr>
        <w:spacing w:line="480" w:lineRule="auto"/>
        <w:rPr>
          <w:rFonts w:ascii="David" w:hAnsi="David" w:cs="David" w:hint="cs"/>
          <w:sz w:val="24"/>
          <w:szCs w:val="24"/>
          <w:rtl/>
        </w:rPr>
      </w:pPr>
    </w:p>
    <w:p w14:paraId="5BAD968C" w14:textId="0F482D35" w:rsidR="003D7989" w:rsidRDefault="001E1E24" w:rsidP="00471B1E">
      <w:pPr>
        <w:spacing w:line="480" w:lineRule="auto"/>
        <w:rPr>
          <w:rFonts w:cs="David"/>
          <w:sz w:val="24"/>
          <w:szCs w:val="24"/>
          <w:rtl/>
        </w:rPr>
      </w:pPr>
      <w:r w:rsidRPr="02C9E082">
        <w:rPr>
          <w:rFonts w:ascii="David" w:hAnsi="David" w:cs="David"/>
          <w:sz w:val="24"/>
          <w:szCs w:val="24"/>
          <w:rtl/>
        </w:rPr>
        <w:t xml:space="preserve">דברים אלו </w:t>
      </w:r>
      <w:r w:rsidR="000C4351">
        <w:rPr>
          <w:rFonts w:ascii="David" w:hAnsi="David" w:cs="David" w:hint="cs"/>
          <w:sz w:val="24"/>
          <w:szCs w:val="24"/>
          <w:rtl/>
        </w:rPr>
        <w:t xml:space="preserve">יכולים להסביר </w:t>
      </w:r>
      <w:r w:rsidRPr="02C9E082">
        <w:rPr>
          <w:rFonts w:ascii="David" w:hAnsi="David" w:cs="David"/>
          <w:sz w:val="24"/>
          <w:szCs w:val="24"/>
          <w:rtl/>
        </w:rPr>
        <w:t>כיצד מש</w:t>
      </w:r>
      <w:r>
        <w:rPr>
          <w:rFonts w:ascii="David" w:hAnsi="David" w:cs="David" w:hint="cs"/>
          <w:sz w:val="24"/>
          <w:szCs w:val="24"/>
          <w:rtl/>
        </w:rPr>
        <w:t>נכנס</w:t>
      </w:r>
      <w:r w:rsidR="00E35F0B">
        <w:rPr>
          <w:rFonts w:ascii="David" w:hAnsi="David" w:cs="David" w:hint="cs"/>
          <w:sz w:val="24"/>
          <w:szCs w:val="24"/>
          <w:rtl/>
        </w:rPr>
        <w:t>ה</w:t>
      </w:r>
      <w:r>
        <w:rPr>
          <w:rFonts w:ascii="David" w:hAnsi="David" w:cs="David" w:hint="cs"/>
          <w:sz w:val="24"/>
          <w:szCs w:val="24"/>
          <w:rtl/>
        </w:rPr>
        <w:t xml:space="preserve"> </w:t>
      </w:r>
      <w:r w:rsidR="00E35F0B">
        <w:rPr>
          <w:rFonts w:ascii="David" w:hAnsi="David" w:cs="David" w:hint="cs"/>
          <w:sz w:val="24"/>
          <w:szCs w:val="24"/>
          <w:rtl/>
        </w:rPr>
        <w:t>ה</w:t>
      </w:r>
      <w:r>
        <w:rPr>
          <w:rFonts w:ascii="David" w:hAnsi="David" w:cs="David" w:hint="cs"/>
          <w:sz w:val="24"/>
          <w:szCs w:val="24"/>
          <w:rtl/>
        </w:rPr>
        <w:t>נמק</w:t>
      </w:r>
      <w:r w:rsidR="00E35F0B">
        <w:rPr>
          <w:rFonts w:ascii="David" w:hAnsi="David" w:cs="David" w:hint="cs"/>
          <w:sz w:val="24"/>
          <w:szCs w:val="24"/>
          <w:rtl/>
        </w:rPr>
        <w:t>ת</w:t>
      </w:r>
      <w:r>
        <w:rPr>
          <w:rFonts w:ascii="David" w:hAnsi="David" w:cs="David" w:hint="cs"/>
          <w:sz w:val="24"/>
          <w:szCs w:val="24"/>
          <w:rtl/>
        </w:rPr>
        <w:t xml:space="preserve"> </w:t>
      </w:r>
      <w:r w:rsidR="00253E47">
        <w:rPr>
          <w:rFonts w:ascii="David" w:hAnsi="David" w:cs="David" w:hint="cs"/>
          <w:sz w:val="24"/>
          <w:szCs w:val="24"/>
          <w:rtl/>
        </w:rPr>
        <w:t xml:space="preserve">'דרכי השלום' </w:t>
      </w:r>
      <w:r w:rsidRPr="02C9E082">
        <w:rPr>
          <w:rFonts w:ascii="David" w:hAnsi="David" w:cs="David"/>
          <w:sz w:val="24"/>
          <w:szCs w:val="24"/>
          <w:rtl/>
        </w:rPr>
        <w:t>אל תוך השיח ההלכתי "</w:t>
      </w:r>
      <w:r w:rsidR="00D53B53">
        <w:rPr>
          <w:rFonts w:ascii="David" w:hAnsi="David" w:cs="David" w:hint="cs"/>
          <w:sz w:val="24"/>
          <w:szCs w:val="24"/>
          <w:rtl/>
        </w:rPr>
        <w:t>ניצלו</w:t>
      </w:r>
      <w:r w:rsidRPr="02C9E082">
        <w:rPr>
          <w:rFonts w:ascii="David" w:hAnsi="David" w:cs="David"/>
          <w:sz w:val="24"/>
          <w:szCs w:val="24"/>
          <w:rtl/>
        </w:rPr>
        <w:t xml:space="preserve">" חכמים את הכלליוּת </w:t>
      </w:r>
      <w:r w:rsidR="00F3316E">
        <w:rPr>
          <w:rFonts w:ascii="David" w:hAnsi="David" w:cs="David" w:hint="cs"/>
          <w:sz w:val="24"/>
          <w:szCs w:val="24"/>
          <w:rtl/>
        </w:rPr>
        <w:t xml:space="preserve">המובהקת </w:t>
      </w:r>
      <w:r w:rsidRPr="02C9E082">
        <w:rPr>
          <w:rFonts w:ascii="David" w:hAnsi="David" w:cs="David"/>
          <w:sz w:val="24"/>
          <w:szCs w:val="24"/>
          <w:rtl/>
        </w:rPr>
        <w:t>שטבועה ב</w:t>
      </w:r>
      <w:r w:rsidR="00E35F0B">
        <w:rPr>
          <w:rFonts w:ascii="David" w:hAnsi="David" w:cs="David" w:hint="cs"/>
          <w:sz w:val="24"/>
          <w:szCs w:val="24"/>
          <w:rtl/>
        </w:rPr>
        <w:t>ה</w:t>
      </w:r>
      <w:r>
        <w:rPr>
          <w:rFonts w:ascii="David" w:hAnsi="David" w:cs="David" w:hint="cs"/>
          <w:sz w:val="24"/>
          <w:szCs w:val="24"/>
          <w:rtl/>
        </w:rPr>
        <w:t xml:space="preserve">, </w:t>
      </w:r>
      <w:r>
        <w:rPr>
          <w:rFonts w:ascii="SBL Greek" w:hAnsi="SBL Greek" w:cs="David"/>
          <w:sz w:val="24"/>
          <w:szCs w:val="24"/>
        </w:rPr>
        <w:t xml:space="preserve"> .</w:t>
      </w:r>
      <w:r w:rsidRPr="02C9E082">
        <w:rPr>
          <w:rFonts w:ascii="SBL Greek" w:hAnsi="SBL Greek" w:cs="David"/>
          <w:sz w:val="24"/>
          <w:szCs w:val="24"/>
        </w:rPr>
        <w:t>”</w:t>
      </w:r>
      <w:r w:rsidRPr="02C9E082">
        <w:rPr>
          <w:rFonts w:ascii="David" w:hAnsi="David" w:cs="David"/>
          <w:sz w:val="24"/>
          <w:szCs w:val="24"/>
        </w:rPr>
        <w:t>for taking it to the next level of generality</w:t>
      </w:r>
      <w:r w:rsidRPr="02C9E082">
        <w:rPr>
          <w:rFonts w:ascii="SBL Greek" w:hAnsi="SBL Greek" w:cs="David"/>
          <w:sz w:val="24"/>
          <w:szCs w:val="24"/>
        </w:rPr>
        <w:t xml:space="preserve">” </w:t>
      </w:r>
      <w:r w:rsidRPr="02C9E082">
        <w:rPr>
          <w:rFonts w:ascii="Times New Roman" w:eastAsia="Times New Roman" w:hAnsi="Times New Roman" w:cs="Times New Roman"/>
          <w:sz w:val="24"/>
          <w:szCs w:val="24"/>
        </w:rPr>
        <w:t>as Schauer put it</w:t>
      </w:r>
      <w:r w:rsidR="00253E47">
        <w:rPr>
          <w:rFonts w:ascii="David" w:hAnsi="David" w:cs="David" w:hint="cs"/>
          <w:sz w:val="24"/>
          <w:szCs w:val="24"/>
          <w:rtl/>
        </w:rPr>
        <w:t>.</w:t>
      </w:r>
      <w:r w:rsidR="00F3316E">
        <w:rPr>
          <w:rFonts w:ascii="David" w:hAnsi="David" w:cs="David" w:hint="cs"/>
          <w:sz w:val="24"/>
          <w:szCs w:val="24"/>
          <w:rtl/>
        </w:rPr>
        <w:t xml:space="preserve"> </w:t>
      </w:r>
      <w:r w:rsidR="00E35F0B">
        <w:rPr>
          <w:rFonts w:ascii="David" w:hAnsi="David" w:cs="David" w:hint="cs"/>
          <w:sz w:val="24"/>
          <w:szCs w:val="24"/>
          <w:rtl/>
        </w:rPr>
        <w:t xml:space="preserve">כך </w:t>
      </w:r>
      <w:r w:rsidR="00C82541">
        <w:rPr>
          <w:rFonts w:ascii="David" w:hAnsi="David" w:cs="David" w:hint="cs"/>
          <w:sz w:val="24"/>
          <w:szCs w:val="24"/>
          <w:rtl/>
        </w:rPr>
        <w:t xml:space="preserve">היסדירו </w:t>
      </w:r>
      <w:r w:rsidR="00F3316E">
        <w:rPr>
          <w:rFonts w:ascii="David" w:hAnsi="David" w:cs="David" w:hint="cs"/>
          <w:sz w:val="24"/>
          <w:szCs w:val="24"/>
          <w:rtl/>
        </w:rPr>
        <w:t xml:space="preserve">עוד ועוד </w:t>
      </w:r>
      <w:r w:rsidRPr="02C9E082">
        <w:rPr>
          <w:rFonts w:ascii="David" w:hAnsi="David" w:cs="David"/>
          <w:sz w:val="24"/>
          <w:szCs w:val="24"/>
          <w:rtl/>
        </w:rPr>
        <w:t>תחומים שבהם חסרה בהירות הלכתית</w:t>
      </w:r>
      <w:r w:rsidR="00F3316E">
        <w:rPr>
          <w:rFonts w:ascii="David" w:hAnsi="David" w:cs="David" w:hint="cs"/>
          <w:sz w:val="24"/>
          <w:szCs w:val="24"/>
          <w:rtl/>
        </w:rPr>
        <w:t>.</w:t>
      </w:r>
      <w:r w:rsidRPr="02C9E082">
        <w:rPr>
          <w:rFonts w:ascii="David" w:hAnsi="David" w:cs="David"/>
          <w:sz w:val="24"/>
          <w:szCs w:val="24"/>
          <w:rtl/>
        </w:rPr>
        <w:t xml:space="preserve"> </w:t>
      </w:r>
      <w:r w:rsidRPr="02C9E082">
        <w:rPr>
          <w:rFonts w:cs="David"/>
          <w:sz w:val="24"/>
          <w:szCs w:val="24"/>
          <w:rtl/>
        </w:rPr>
        <w:t>בד בבד, במקרים מסוימים ההשלכות</w:t>
      </w:r>
      <w:r>
        <w:rPr>
          <w:rFonts w:cs="David" w:hint="cs"/>
          <w:sz w:val="24"/>
          <w:szCs w:val="24"/>
          <w:rtl/>
        </w:rPr>
        <w:t xml:space="preserve"> הנורמטיביות</w:t>
      </w:r>
      <w:r w:rsidRPr="02C9E082">
        <w:rPr>
          <w:rFonts w:cs="David"/>
          <w:sz w:val="24"/>
          <w:szCs w:val="24"/>
          <w:rtl/>
        </w:rPr>
        <w:t xml:space="preserve"> </w:t>
      </w:r>
      <w:r w:rsidR="006951BA">
        <w:rPr>
          <w:rFonts w:cs="David" w:hint="cs"/>
          <w:sz w:val="24"/>
          <w:szCs w:val="24"/>
          <w:rtl/>
        </w:rPr>
        <w:t xml:space="preserve">שנובעות </w:t>
      </w:r>
      <w:r w:rsidRPr="02C9E082">
        <w:rPr>
          <w:rFonts w:cs="David"/>
          <w:sz w:val="24"/>
          <w:szCs w:val="24"/>
          <w:rtl/>
        </w:rPr>
        <w:t xml:space="preserve">מהחלתו של הנימוק </w:t>
      </w:r>
      <w:r>
        <w:rPr>
          <w:rFonts w:cs="David" w:hint="cs"/>
          <w:sz w:val="24"/>
          <w:szCs w:val="24"/>
          <w:rtl/>
        </w:rPr>
        <w:t>על כללים ותחומים</w:t>
      </w:r>
      <w:r w:rsidR="00D92248">
        <w:rPr>
          <w:rFonts w:cs="David" w:hint="cs"/>
          <w:sz w:val="24"/>
          <w:szCs w:val="24"/>
          <w:rtl/>
        </w:rPr>
        <w:t xml:space="preserve"> חדשים</w:t>
      </w:r>
      <w:r>
        <w:rPr>
          <w:rFonts w:cs="David" w:hint="cs"/>
          <w:sz w:val="24"/>
          <w:szCs w:val="24"/>
          <w:rtl/>
        </w:rPr>
        <w:t xml:space="preserve">, </w:t>
      </w:r>
      <w:r w:rsidRPr="02C9E082">
        <w:rPr>
          <w:rFonts w:cs="David"/>
          <w:sz w:val="24"/>
          <w:szCs w:val="24"/>
          <w:rtl/>
        </w:rPr>
        <w:t xml:space="preserve">יצרו קשיים, שאולי לא </w:t>
      </w:r>
      <w:r>
        <w:rPr>
          <w:rFonts w:cs="David" w:hint="cs"/>
          <w:sz w:val="24"/>
          <w:szCs w:val="24"/>
          <w:rtl/>
        </w:rPr>
        <w:t xml:space="preserve">נצפו </w:t>
      </w:r>
      <w:r w:rsidRPr="02C9E082">
        <w:rPr>
          <w:rFonts w:cs="David"/>
          <w:sz w:val="24"/>
          <w:szCs w:val="24"/>
          <w:rtl/>
        </w:rPr>
        <w:t>על ידי החכמים בשעת החלתו של הטעם על ה</w:t>
      </w:r>
      <w:r w:rsidR="0087457C">
        <w:rPr>
          <w:rFonts w:cs="David" w:hint="cs"/>
          <w:sz w:val="24"/>
          <w:szCs w:val="24"/>
          <w:rtl/>
        </w:rPr>
        <w:t>-</w:t>
      </w:r>
      <w:r w:rsidRPr="00772A5F">
        <w:rPr>
          <w:rFonts w:ascii="Times New Roman" w:hAnsi="Times New Roman" w:cs="Times New Roman"/>
          <w:sz w:val="24"/>
          <w:szCs w:val="24"/>
        </w:rPr>
        <w:t>regular law</w:t>
      </w:r>
      <w:r>
        <w:rPr>
          <w:rFonts w:cs="David" w:hint="cs"/>
          <w:sz w:val="24"/>
          <w:szCs w:val="24"/>
          <w:rtl/>
        </w:rPr>
        <w:t xml:space="preserve"> הראשוני</w:t>
      </w:r>
      <w:r w:rsidR="00FB3335">
        <w:rPr>
          <w:rFonts w:cs="David" w:hint="cs"/>
          <w:sz w:val="24"/>
          <w:szCs w:val="24"/>
          <w:rtl/>
        </w:rPr>
        <w:t>.</w:t>
      </w:r>
      <w:r w:rsidR="003D041E">
        <w:rPr>
          <w:rFonts w:cs="David" w:hint="cs"/>
          <w:sz w:val="24"/>
          <w:szCs w:val="24"/>
          <w:rtl/>
        </w:rPr>
        <w:t xml:space="preserve"> </w:t>
      </w:r>
      <w:r w:rsidR="00520BFA">
        <w:rPr>
          <w:rFonts w:cs="David" w:hint="cs"/>
          <w:sz w:val="24"/>
          <w:szCs w:val="24"/>
          <w:rtl/>
        </w:rPr>
        <w:t xml:space="preserve">לחילופין, </w:t>
      </w:r>
      <w:r w:rsidR="00E2203C">
        <w:rPr>
          <w:rFonts w:cs="David" w:hint="cs"/>
          <w:sz w:val="24"/>
          <w:szCs w:val="24"/>
          <w:rtl/>
        </w:rPr>
        <w:t xml:space="preserve">נוצרו </w:t>
      </w:r>
      <w:r w:rsidR="00FB3335">
        <w:rPr>
          <w:rFonts w:cs="David" w:hint="cs"/>
          <w:sz w:val="24"/>
          <w:szCs w:val="24"/>
          <w:rtl/>
        </w:rPr>
        <w:t xml:space="preserve">תוצאות </w:t>
      </w:r>
      <w:r w:rsidRPr="02C9E082">
        <w:rPr>
          <w:rFonts w:cs="David"/>
          <w:sz w:val="24"/>
          <w:szCs w:val="24"/>
          <w:rtl/>
        </w:rPr>
        <w:t xml:space="preserve">שהיו </w:t>
      </w:r>
      <w:r w:rsidR="006951BA">
        <w:rPr>
          <w:rFonts w:cs="David" w:hint="cs"/>
          <w:sz w:val="24"/>
          <w:szCs w:val="24"/>
          <w:rtl/>
        </w:rPr>
        <w:t xml:space="preserve">נמנעות </w:t>
      </w:r>
      <w:r w:rsidRPr="02C9E082">
        <w:rPr>
          <w:rFonts w:cs="David"/>
          <w:sz w:val="24"/>
          <w:szCs w:val="24"/>
          <w:rtl/>
        </w:rPr>
        <w:t>לו החילו על</w:t>
      </w:r>
      <w:r w:rsidR="00FB3335">
        <w:rPr>
          <w:rFonts w:cs="David" w:hint="cs"/>
          <w:sz w:val="24"/>
          <w:szCs w:val="24"/>
          <w:rtl/>
        </w:rPr>
        <w:t xml:space="preserve"> התקנות ט</w:t>
      </w:r>
      <w:r w:rsidRPr="02C9E082">
        <w:rPr>
          <w:rFonts w:cs="David"/>
          <w:sz w:val="24"/>
          <w:szCs w:val="24"/>
          <w:rtl/>
        </w:rPr>
        <w:t>עמים אחרים</w:t>
      </w:r>
      <w:r>
        <w:rPr>
          <w:rFonts w:cs="David" w:hint="cs"/>
          <w:sz w:val="24"/>
          <w:szCs w:val="24"/>
          <w:rtl/>
        </w:rPr>
        <w:t xml:space="preserve">, שהם אינהרנטיים </w:t>
      </w:r>
      <w:r w:rsidR="00536FC6">
        <w:rPr>
          <w:rFonts w:cs="David" w:hint="cs"/>
          <w:sz w:val="24"/>
          <w:szCs w:val="24"/>
          <w:rtl/>
        </w:rPr>
        <w:t xml:space="preserve">לקטגוריה המשפטית </w:t>
      </w:r>
      <w:r>
        <w:rPr>
          <w:rFonts w:cs="David" w:hint="cs"/>
          <w:sz w:val="24"/>
          <w:szCs w:val="24"/>
          <w:rtl/>
        </w:rPr>
        <w:t>של הכלל</w:t>
      </w:r>
      <w:r w:rsidR="006B757B">
        <w:rPr>
          <w:rFonts w:cs="David" w:hint="cs"/>
          <w:sz w:val="24"/>
          <w:szCs w:val="24"/>
          <w:rtl/>
        </w:rPr>
        <w:t xml:space="preserve"> המדובר</w:t>
      </w:r>
      <w:r w:rsidR="00ED756C">
        <w:rPr>
          <w:rFonts w:cs="David" w:hint="cs"/>
          <w:sz w:val="24"/>
          <w:szCs w:val="24"/>
          <w:rtl/>
        </w:rPr>
        <w:t>.</w:t>
      </w:r>
      <w:r w:rsidR="006E1A50">
        <w:rPr>
          <w:rFonts w:cs="David" w:hint="cs"/>
          <w:sz w:val="24"/>
          <w:szCs w:val="24"/>
          <w:rtl/>
        </w:rPr>
        <w:t xml:space="preserve"> </w:t>
      </w:r>
      <w:r w:rsidR="008D2323">
        <w:rPr>
          <w:rFonts w:cs="David" w:hint="cs"/>
          <w:sz w:val="24"/>
          <w:szCs w:val="24"/>
          <w:rtl/>
        </w:rPr>
        <w:t xml:space="preserve">דוגמה לתהליך </w:t>
      </w:r>
      <w:r w:rsidR="004A2865">
        <w:rPr>
          <w:rFonts w:cs="David" w:hint="cs"/>
          <w:sz w:val="24"/>
          <w:szCs w:val="24"/>
          <w:rtl/>
        </w:rPr>
        <w:t>כ</w:t>
      </w:r>
      <w:r w:rsidR="008D2323">
        <w:rPr>
          <w:rFonts w:cs="David" w:hint="cs"/>
          <w:sz w:val="24"/>
          <w:szCs w:val="24"/>
          <w:rtl/>
        </w:rPr>
        <w:t xml:space="preserve">זה </w:t>
      </w:r>
      <w:r w:rsidR="004A2865">
        <w:rPr>
          <w:rFonts w:cs="David" w:hint="cs"/>
          <w:sz w:val="24"/>
          <w:szCs w:val="24"/>
          <w:rtl/>
        </w:rPr>
        <w:t xml:space="preserve">ראינו </w:t>
      </w:r>
      <w:r w:rsidR="006E1A50">
        <w:rPr>
          <w:rFonts w:cs="David" w:hint="cs"/>
          <w:sz w:val="24"/>
          <w:szCs w:val="24"/>
          <w:rtl/>
        </w:rPr>
        <w:t xml:space="preserve">בחילוקי הדעות שהתגלעו בין </w:t>
      </w:r>
      <w:r w:rsidR="003100F2">
        <w:rPr>
          <w:rFonts w:cs="David" w:hint="cs"/>
          <w:sz w:val="24"/>
          <w:szCs w:val="24"/>
          <w:rtl/>
        </w:rPr>
        <w:t xml:space="preserve">תנא קמא </w:t>
      </w:r>
      <w:proofErr w:type="spellStart"/>
      <w:r w:rsidR="006E1A50">
        <w:rPr>
          <w:rFonts w:cs="David" w:hint="cs"/>
          <w:sz w:val="24"/>
          <w:szCs w:val="24"/>
          <w:rtl/>
        </w:rPr>
        <w:t>לר</w:t>
      </w:r>
      <w:proofErr w:type="spellEnd"/>
      <w:r w:rsidR="006E1A50">
        <w:rPr>
          <w:rFonts w:cs="David" w:hint="cs"/>
          <w:sz w:val="24"/>
          <w:szCs w:val="24"/>
          <w:rtl/>
        </w:rPr>
        <w:t>' יוסי</w:t>
      </w:r>
      <w:r w:rsidR="003A2E82">
        <w:rPr>
          <w:rFonts w:cs="David" w:hint="cs"/>
          <w:sz w:val="24"/>
          <w:szCs w:val="24"/>
          <w:rtl/>
        </w:rPr>
        <w:t>. השאלה העקרונית שעלתה מן המחלוקת ה</w:t>
      </w:r>
      <w:r w:rsidR="003F7164">
        <w:rPr>
          <w:rFonts w:cs="David" w:hint="cs"/>
          <w:sz w:val="24"/>
          <w:szCs w:val="24"/>
          <w:rtl/>
        </w:rPr>
        <w:t>י</w:t>
      </w:r>
      <w:r w:rsidR="00BE7DEC">
        <w:rPr>
          <w:rFonts w:cs="David" w:hint="cs"/>
          <w:sz w:val="24"/>
          <w:szCs w:val="24"/>
          <w:rtl/>
        </w:rPr>
        <w:t xml:space="preserve">א </w:t>
      </w:r>
      <w:r w:rsidR="006F7540">
        <w:rPr>
          <w:rFonts w:cs="David" w:hint="cs"/>
          <w:sz w:val="24"/>
          <w:szCs w:val="24"/>
          <w:rtl/>
        </w:rPr>
        <w:t xml:space="preserve">לאיזה מן </w:t>
      </w:r>
      <w:r w:rsidR="004B433D">
        <w:rPr>
          <w:rFonts w:cs="David" w:hint="cs"/>
          <w:sz w:val="24"/>
          <w:szCs w:val="24"/>
          <w:rtl/>
        </w:rPr>
        <w:t xml:space="preserve">הקטגוריות המשפטיות </w:t>
      </w:r>
      <w:r w:rsidR="00CF0C5D">
        <w:rPr>
          <w:rFonts w:cs="David" w:hint="cs"/>
          <w:sz w:val="24"/>
          <w:szCs w:val="24"/>
          <w:rtl/>
        </w:rPr>
        <w:t xml:space="preserve">נכון לשייך את </w:t>
      </w:r>
      <w:r w:rsidR="006F7540">
        <w:rPr>
          <w:rFonts w:cs="David" w:hint="cs"/>
          <w:sz w:val="24"/>
          <w:szCs w:val="24"/>
          <w:rtl/>
        </w:rPr>
        <w:t xml:space="preserve">התקנה: </w:t>
      </w:r>
      <w:r w:rsidR="00ED756C">
        <w:rPr>
          <w:rFonts w:cs="David" w:hint="cs"/>
          <w:sz w:val="24"/>
          <w:szCs w:val="24"/>
          <w:rtl/>
        </w:rPr>
        <w:t xml:space="preserve">האם </w:t>
      </w:r>
      <w:r w:rsidR="0080715A">
        <w:rPr>
          <w:rFonts w:cs="David" w:hint="cs"/>
          <w:sz w:val="24"/>
          <w:szCs w:val="24"/>
          <w:rtl/>
        </w:rPr>
        <w:t xml:space="preserve">להרחיב את דיני הקניין על ידי </w:t>
      </w:r>
      <w:r w:rsidR="00D163AE">
        <w:rPr>
          <w:rFonts w:cs="David" w:hint="cs"/>
          <w:sz w:val="24"/>
          <w:szCs w:val="24"/>
          <w:rtl/>
        </w:rPr>
        <w:t xml:space="preserve">הוספת </w:t>
      </w:r>
      <w:r w:rsidR="0080715A">
        <w:rPr>
          <w:rFonts w:cs="David" w:hint="cs"/>
          <w:sz w:val="24"/>
          <w:szCs w:val="24"/>
          <w:rtl/>
        </w:rPr>
        <w:t>כלל נוסף</w:t>
      </w:r>
      <w:r w:rsidR="00D163AE">
        <w:rPr>
          <w:rFonts w:cs="David" w:hint="cs"/>
          <w:sz w:val="24"/>
          <w:szCs w:val="24"/>
          <w:rtl/>
        </w:rPr>
        <w:t xml:space="preserve"> -</w:t>
      </w:r>
      <w:r w:rsidR="0080715A">
        <w:rPr>
          <w:rFonts w:cs="David" w:hint="cs"/>
          <w:sz w:val="24"/>
          <w:szCs w:val="24"/>
          <w:rtl/>
        </w:rPr>
        <w:t xml:space="preserve"> </w:t>
      </w:r>
      <w:r w:rsidR="00FB3335">
        <w:rPr>
          <w:rFonts w:cs="David" w:hint="cs"/>
          <w:sz w:val="24"/>
          <w:szCs w:val="24"/>
          <w:rtl/>
        </w:rPr>
        <w:t>לשיטת ר' יוסי</w:t>
      </w:r>
      <w:r w:rsidR="006F7540">
        <w:rPr>
          <w:rFonts w:cs="David" w:hint="cs"/>
          <w:sz w:val="24"/>
          <w:szCs w:val="24"/>
          <w:rtl/>
        </w:rPr>
        <w:t>;</w:t>
      </w:r>
      <w:r w:rsidR="00FB3335">
        <w:rPr>
          <w:rFonts w:cs="David" w:hint="cs"/>
          <w:sz w:val="24"/>
          <w:szCs w:val="24"/>
          <w:rtl/>
        </w:rPr>
        <w:t xml:space="preserve"> </w:t>
      </w:r>
      <w:r w:rsidR="00ED756C">
        <w:rPr>
          <w:rFonts w:cs="David" w:hint="cs"/>
          <w:sz w:val="24"/>
          <w:szCs w:val="24"/>
          <w:rtl/>
        </w:rPr>
        <w:t>או ש</w:t>
      </w:r>
      <w:r w:rsidR="003A2E82">
        <w:rPr>
          <w:rFonts w:cs="David" w:hint="cs"/>
          <w:sz w:val="24"/>
          <w:szCs w:val="24"/>
          <w:rtl/>
        </w:rPr>
        <w:t xml:space="preserve">המעשה </w:t>
      </w:r>
      <w:r w:rsidR="00194AC5">
        <w:rPr>
          <w:rFonts w:cs="David" w:hint="cs"/>
          <w:sz w:val="24"/>
          <w:szCs w:val="24"/>
          <w:rtl/>
        </w:rPr>
        <w:t xml:space="preserve">אינו תואם </w:t>
      </w:r>
      <w:r w:rsidR="00AA337D">
        <w:rPr>
          <w:rFonts w:cs="David" w:hint="cs"/>
          <w:sz w:val="24"/>
          <w:szCs w:val="24"/>
          <w:rtl/>
        </w:rPr>
        <w:t>לקונסטרוקציה המשפטית של קטגוריה זו</w:t>
      </w:r>
      <w:r w:rsidR="00194AC5">
        <w:rPr>
          <w:rFonts w:cs="David" w:hint="cs"/>
          <w:sz w:val="24"/>
          <w:szCs w:val="24"/>
          <w:rtl/>
        </w:rPr>
        <w:t xml:space="preserve">, ועל כן </w:t>
      </w:r>
      <w:r w:rsidR="00DE6833">
        <w:rPr>
          <w:rFonts w:cs="David" w:hint="cs"/>
          <w:sz w:val="24"/>
          <w:szCs w:val="24"/>
          <w:rtl/>
        </w:rPr>
        <w:t xml:space="preserve">יש </w:t>
      </w:r>
      <w:r w:rsidR="00CA4A15">
        <w:rPr>
          <w:rFonts w:cs="David" w:hint="cs"/>
          <w:sz w:val="24"/>
          <w:szCs w:val="24"/>
          <w:rtl/>
        </w:rPr>
        <w:t xml:space="preserve">להחיל עליו </w:t>
      </w:r>
      <w:r w:rsidR="00DE6833">
        <w:rPr>
          <w:rFonts w:cs="David" w:hint="cs"/>
          <w:sz w:val="24"/>
          <w:szCs w:val="24"/>
          <w:rtl/>
        </w:rPr>
        <w:t>קטגוריה אחרת</w:t>
      </w:r>
      <w:r w:rsidR="00D163AE">
        <w:rPr>
          <w:rFonts w:cs="David" w:hint="cs"/>
          <w:sz w:val="24"/>
          <w:szCs w:val="24"/>
          <w:rtl/>
        </w:rPr>
        <w:t xml:space="preserve"> </w:t>
      </w:r>
      <w:r w:rsidR="006F7540">
        <w:rPr>
          <w:rFonts w:cs="David"/>
          <w:sz w:val="24"/>
          <w:szCs w:val="24"/>
          <w:rtl/>
        </w:rPr>
        <w:t>–</w:t>
      </w:r>
      <w:r w:rsidR="006F7540">
        <w:rPr>
          <w:rFonts w:cs="David" w:hint="cs"/>
          <w:sz w:val="24"/>
          <w:szCs w:val="24"/>
          <w:rtl/>
        </w:rPr>
        <w:t xml:space="preserve"> לשיטת תנא קמא</w:t>
      </w:r>
      <w:r w:rsidR="001D1C27">
        <w:rPr>
          <w:rFonts w:cs="David" w:hint="cs"/>
          <w:sz w:val="24"/>
          <w:szCs w:val="24"/>
          <w:rtl/>
        </w:rPr>
        <w:t>.</w:t>
      </w:r>
      <w:r w:rsidR="00FB3335">
        <w:rPr>
          <w:rFonts w:cs="David" w:hint="cs"/>
          <w:sz w:val="24"/>
          <w:szCs w:val="24"/>
          <w:rtl/>
        </w:rPr>
        <w:t xml:space="preserve"> </w:t>
      </w:r>
      <w:r w:rsidR="006F7540">
        <w:rPr>
          <w:rFonts w:cs="David" w:hint="cs"/>
          <w:sz w:val="24"/>
          <w:szCs w:val="24"/>
          <w:rtl/>
        </w:rPr>
        <w:t>התוצאה הנורמטיבית</w:t>
      </w:r>
      <w:r w:rsidR="0012737E">
        <w:rPr>
          <w:rFonts w:cs="David" w:hint="cs"/>
          <w:sz w:val="24"/>
          <w:szCs w:val="24"/>
          <w:rtl/>
        </w:rPr>
        <w:t>,</w:t>
      </w:r>
      <w:r w:rsidR="006F7540">
        <w:rPr>
          <w:rFonts w:cs="David" w:hint="cs"/>
          <w:sz w:val="24"/>
          <w:szCs w:val="24"/>
          <w:rtl/>
        </w:rPr>
        <w:t xml:space="preserve"> שנבעה מהחלת </w:t>
      </w:r>
      <w:r w:rsidR="006F7540">
        <w:rPr>
          <w:rFonts w:cs="David" w:hint="cs"/>
          <w:sz w:val="24"/>
          <w:szCs w:val="24"/>
          <w:rtl/>
        </w:rPr>
        <w:lastRenderedPageBreak/>
        <w:t>ההנמקה</w:t>
      </w:r>
      <w:r w:rsidR="00250F81">
        <w:rPr>
          <w:rFonts w:cs="David" w:hint="cs"/>
          <w:sz w:val="24"/>
          <w:szCs w:val="24"/>
          <w:rtl/>
        </w:rPr>
        <w:t>,</w:t>
      </w:r>
      <w:r w:rsidR="0012737E">
        <w:rPr>
          <w:rFonts w:cs="David" w:hint="cs"/>
          <w:sz w:val="24"/>
          <w:szCs w:val="24"/>
          <w:rtl/>
        </w:rPr>
        <w:t xml:space="preserve"> ששייכה את המקרה לקטגוריית</w:t>
      </w:r>
      <w:r w:rsidR="00ED756C">
        <w:rPr>
          <w:rFonts w:cs="David" w:hint="cs"/>
          <w:sz w:val="24"/>
          <w:szCs w:val="24"/>
          <w:rtl/>
        </w:rPr>
        <w:t xml:space="preserve"> '</w:t>
      </w:r>
      <w:r w:rsidR="001D1C27">
        <w:rPr>
          <w:rFonts w:cs="David" w:hint="cs"/>
          <w:sz w:val="24"/>
          <w:szCs w:val="24"/>
          <w:rtl/>
        </w:rPr>
        <w:t>דרכי שלום</w:t>
      </w:r>
      <w:r w:rsidR="00ED756C">
        <w:rPr>
          <w:rFonts w:cs="David" w:hint="cs"/>
          <w:sz w:val="24"/>
          <w:szCs w:val="24"/>
          <w:rtl/>
        </w:rPr>
        <w:t>'</w:t>
      </w:r>
      <w:r w:rsidR="00250F81">
        <w:rPr>
          <w:rFonts w:cs="David" w:hint="cs"/>
          <w:sz w:val="24"/>
          <w:szCs w:val="24"/>
          <w:rtl/>
        </w:rPr>
        <w:t>,</w:t>
      </w:r>
      <w:r w:rsidR="009150D0">
        <w:rPr>
          <w:rFonts w:cs="David" w:hint="cs"/>
          <w:sz w:val="24"/>
          <w:szCs w:val="24"/>
          <w:rtl/>
        </w:rPr>
        <w:t xml:space="preserve"> </w:t>
      </w:r>
      <w:r w:rsidR="001E29B1">
        <w:rPr>
          <w:rFonts w:cs="David" w:hint="cs"/>
          <w:sz w:val="24"/>
          <w:szCs w:val="24"/>
          <w:rtl/>
        </w:rPr>
        <w:t xml:space="preserve">לא כללה </w:t>
      </w:r>
      <w:r w:rsidR="006F7540">
        <w:rPr>
          <w:rFonts w:cs="David" w:hint="cs"/>
          <w:sz w:val="24"/>
          <w:szCs w:val="24"/>
          <w:rtl/>
        </w:rPr>
        <w:t>הטלת סנקציה משפטית על הגזלן</w:t>
      </w:r>
      <w:r w:rsidR="002B5C5E">
        <w:rPr>
          <w:rFonts w:cs="David" w:hint="cs"/>
          <w:sz w:val="24"/>
          <w:szCs w:val="24"/>
          <w:rtl/>
        </w:rPr>
        <w:t>.</w:t>
      </w:r>
      <w:r w:rsidR="00D163AE">
        <w:rPr>
          <w:rFonts w:cs="David" w:hint="cs"/>
          <w:sz w:val="24"/>
          <w:szCs w:val="24"/>
          <w:rtl/>
        </w:rPr>
        <w:t xml:space="preserve"> תוצאה שממנה</w:t>
      </w:r>
      <w:r w:rsidR="00D847B0">
        <w:rPr>
          <w:rFonts w:cs="David" w:hint="cs"/>
          <w:sz w:val="24"/>
          <w:szCs w:val="24"/>
          <w:rtl/>
        </w:rPr>
        <w:t>, כך נראה, רצה ר' יוסי לה</w:t>
      </w:r>
      <w:r w:rsidR="00DA0E3B">
        <w:rPr>
          <w:rFonts w:cs="David" w:hint="cs"/>
          <w:sz w:val="24"/>
          <w:szCs w:val="24"/>
          <w:rtl/>
        </w:rPr>
        <w:t>י</w:t>
      </w:r>
      <w:r w:rsidR="00D847B0">
        <w:rPr>
          <w:rFonts w:cs="David" w:hint="cs"/>
          <w:sz w:val="24"/>
          <w:szCs w:val="24"/>
          <w:rtl/>
        </w:rPr>
        <w:t>מנע</w:t>
      </w:r>
      <w:r w:rsidR="00565430">
        <w:rPr>
          <w:rFonts w:cs="David" w:hint="cs"/>
          <w:sz w:val="24"/>
          <w:szCs w:val="24"/>
          <w:rtl/>
        </w:rPr>
        <w:t>.</w:t>
      </w:r>
      <w:r w:rsidR="00D847B0">
        <w:rPr>
          <w:rFonts w:cs="David" w:hint="cs"/>
          <w:sz w:val="24"/>
          <w:szCs w:val="24"/>
          <w:rtl/>
        </w:rPr>
        <w:t xml:space="preserve"> </w:t>
      </w:r>
    </w:p>
    <w:p w14:paraId="362D6AD5" w14:textId="2B7E62AC" w:rsidR="002500E5" w:rsidRDefault="003D7989" w:rsidP="002500E5">
      <w:pPr>
        <w:spacing w:line="480" w:lineRule="auto"/>
        <w:ind w:firstLine="720"/>
        <w:rPr>
          <w:rFonts w:cs="David"/>
          <w:sz w:val="24"/>
          <w:szCs w:val="24"/>
          <w:rtl/>
        </w:rPr>
      </w:pPr>
      <w:r>
        <w:rPr>
          <w:rFonts w:cs="David" w:hint="cs"/>
          <w:sz w:val="24"/>
          <w:szCs w:val="24"/>
          <w:rtl/>
        </w:rPr>
        <w:t>מכיוון תאורטי אחר</w:t>
      </w:r>
      <w:r w:rsidR="00194AC5">
        <w:rPr>
          <w:rFonts w:cs="David" w:hint="cs"/>
          <w:sz w:val="24"/>
          <w:szCs w:val="24"/>
          <w:rtl/>
        </w:rPr>
        <w:t xml:space="preserve"> </w:t>
      </w:r>
      <w:r w:rsidR="004F4445">
        <w:rPr>
          <w:rFonts w:cs="David"/>
          <w:sz w:val="24"/>
          <w:szCs w:val="24"/>
          <w:rtl/>
        </w:rPr>
        <w:t>–</w:t>
      </w:r>
      <w:r w:rsidR="00E054ED">
        <w:rPr>
          <w:rFonts w:cs="David" w:hint="cs"/>
          <w:sz w:val="24"/>
          <w:szCs w:val="24"/>
          <w:rtl/>
        </w:rPr>
        <w:t xml:space="preserve"> </w:t>
      </w:r>
      <w:r w:rsidR="00194AC5">
        <w:rPr>
          <w:rFonts w:cs="David" w:hint="cs"/>
          <w:sz w:val="24"/>
          <w:szCs w:val="24"/>
          <w:rtl/>
        </w:rPr>
        <w:t xml:space="preserve">בדרכו של </w:t>
      </w:r>
      <w:r w:rsidR="0006355D" w:rsidRPr="0006355D">
        <w:rPr>
          <w:rFonts w:asciiTheme="majorBidi" w:hAnsiTheme="majorBidi" w:cstheme="majorBidi"/>
          <w:sz w:val="24"/>
          <w:szCs w:val="24"/>
        </w:rPr>
        <w:t>Duncan Kennedy</w:t>
      </w:r>
      <w:r w:rsidR="0006355D" w:rsidRPr="0006355D">
        <w:rPr>
          <w:rFonts w:ascii="Times New Roman" w:hAnsi="Times New Roman" w:cs="Times New Roman"/>
          <w:sz w:val="24"/>
          <w:szCs w:val="24"/>
          <w:rtl/>
        </w:rPr>
        <w:t xml:space="preserve"> </w:t>
      </w:r>
      <w:r w:rsidR="00194AC5">
        <w:rPr>
          <w:rFonts w:cs="David" w:hint="cs"/>
          <w:sz w:val="24"/>
          <w:szCs w:val="24"/>
          <w:rtl/>
        </w:rPr>
        <w:t>- ניתן לראות ב</w:t>
      </w:r>
      <w:r w:rsidR="00877295">
        <w:rPr>
          <w:rFonts w:cs="David" w:hint="cs"/>
          <w:sz w:val="24"/>
          <w:szCs w:val="24"/>
          <w:rtl/>
        </w:rPr>
        <w:t xml:space="preserve">הכרעה משפטית </w:t>
      </w:r>
      <w:r w:rsidR="00194AC5">
        <w:rPr>
          <w:rFonts w:cs="David" w:hint="cs"/>
          <w:sz w:val="24"/>
          <w:szCs w:val="24"/>
          <w:rtl/>
        </w:rPr>
        <w:t xml:space="preserve">זו מומנט שבו מתרחש שינוי </w:t>
      </w:r>
      <w:r w:rsidR="002500E5">
        <w:rPr>
          <w:rFonts w:cs="David" w:hint="cs"/>
          <w:sz w:val="24"/>
          <w:szCs w:val="24"/>
          <w:rtl/>
        </w:rPr>
        <w:t>באינטגרציה של המרכיבים השונים בתודעה המשפטית</w:t>
      </w:r>
      <w:r w:rsidR="00877295">
        <w:rPr>
          <w:rFonts w:cs="David" w:hint="cs"/>
          <w:sz w:val="24"/>
          <w:szCs w:val="24"/>
          <w:rtl/>
        </w:rPr>
        <w:t xml:space="preserve"> של החכמים. </w:t>
      </w:r>
      <w:r w:rsidR="00E054ED">
        <w:rPr>
          <w:rFonts w:cs="David" w:hint="cs"/>
          <w:sz w:val="24"/>
          <w:szCs w:val="24"/>
          <w:rtl/>
        </w:rPr>
        <w:t>ה</w:t>
      </w:r>
      <w:r w:rsidR="00877295">
        <w:rPr>
          <w:rFonts w:cs="David" w:hint="cs"/>
          <w:sz w:val="24"/>
          <w:szCs w:val="24"/>
          <w:rtl/>
        </w:rPr>
        <w:t xml:space="preserve">אינטגרציה </w:t>
      </w:r>
      <w:r w:rsidR="00E054ED">
        <w:rPr>
          <w:rFonts w:cs="David" w:hint="cs"/>
          <w:sz w:val="24"/>
          <w:szCs w:val="24"/>
          <w:rtl/>
        </w:rPr>
        <w:t>ה</w:t>
      </w:r>
      <w:r w:rsidR="00877295">
        <w:rPr>
          <w:rFonts w:cs="David" w:hint="cs"/>
          <w:sz w:val="24"/>
          <w:szCs w:val="24"/>
          <w:rtl/>
        </w:rPr>
        <w:t xml:space="preserve">חדשה היא תוצאה של תהליך פנימי שמתרחש מתוך עולמה של המערכת </w:t>
      </w:r>
      <w:r w:rsidR="00DD55CC">
        <w:rPr>
          <w:rFonts w:cs="David" w:hint="cs"/>
          <w:sz w:val="24"/>
          <w:szCs w:val="24"/>
          <w:rtl/>
        </w:rPr>
        <w:t>ה</w:t>
      </w:r>
      <w:r w:rsidR="00877295">
        <w:rPr>
          <w:rFonts w:cs="David" w:hint="cs"/>
          <w:sz w:val="24"/>
          <w:szCs w:val="24"/>
          <w:rtl/>
        </w:rPr>
        <w:t>משפטית, בשונה מתהליכים ושינויים שנובעים מ</w:t>
      </w:r>
      <w:r w:rsidR="002500E5">
        <w:rPr>
          <w:rFonts w:cs="David" w:hint="cs"/>
          <w:sz w:val="24"/>
          <w:szCs w:val="24"/>
          <w:rtl/>
        </w:rPr>
        <w:t>לחצים וכוחות חיצוניים ל</w:t>
      </w:r>
      <w:r w:rsidR="00D36D9F">
        <w:rPr>
          <w:rFonts w:cs="David" w:hint="cs"/>
          <w:sz w:val="24"/>
          <w:szCs w:val="24"/>
          <w:rtl/>
        </w:rPr>
        <w:t xml:space="preserve">מערכת </w:t>
      </w:r>
      <w:r w:rsidR="002500E5">
        <w:rPr>
          <w:rFonts w:cs="David" w:hint="cs"/>
          <w:sz w:val="24"/>
          <w:szCs w:val="24"/>
          <w:rtl/>
        </w:rPr>
        <w:t xml:space="preserve"> </w:t>
      </w:r>
      <w:r w:rsidR="002500E5">
        <w:rPr>
          <w:rFonts w:cs="David"/>
          <w:sz w:val="24"/>
          <w:szCs w:val="24"/>
          <w:rtl/>
        </w:rPr>
        <w:t>–</w:t>
      </w:r>
      <w:r w:rsidR="002500E5">
        <w:rPr>
          <w:rFonts w:cs="David" w:hint="cs"/>
          <w:sz w:val="24"/>
          <w:szCs w:val="24"/>
          <w:rtl/>
        </w:rPr>
        <w:t xml:space="preserve"> פוליטיים,</w:t>
      </w:r>
      <w:r w:rsidR="00B66593">
        <w:rPr>
          <w:rStyle w:val="a5"/>
          <w:rFonts w:cs="David"/>
          <w:sz w:val="24"/>
          <w:szCs w:val="24"/>
          <w:rtl/>
        </w:rPr>
        <w:footnoteReference w:id="65"/>
      </w:r>
      <w:r w:rsidR="002500E5">
        <w:rPr>
          <w:rFonts w:cs="David" w:hint="cs"/>
          <w:sz w:val="24"/>
          <w:szCs w:val="24"/>
          <w:rtl/>
        </w:rPr>
        <w:t xml:space="preserve"> כלכליים, מדיניים וכיו"ב</w:t>
      </w:r>
      <w:r w:rsidR="00945F78">
        <w:rPr>
          <w:rFonts w:cs="David" w:hint="cs"/>
          <w:sz w:val="24"/>
          <w:szCs w:val="24"/>
          <w:rtl/>
        </w:rPr>
        <w:t>.</w:t>
      </w:r>
      <w:r w:rsidR="00DC2B50">
        <w:rPr>
          <w:rStyle w:val="a5"/>
          <w:rFonts w:cs="David"/>
          <w:sz w:val="24"/>
          <w:szCs w:val="24"/>
          <w:rtl/>
        </w:rPr>
        <w:footnoteReference w:id="66"/>
      </w:r>
      <w:r w:rsidR="0023228B">
        <w:rPr>
          <w:rFonts w:cs="David" w:hint="cs"/>
          <w:sz w:val="24"/>
          <w:szCs w:val="24"/>
          <w:rtl/>
        </w:rPr>
        <w:t xml:space="preserve"> כפי שהוא מבהיר</w:t>
      </w:r>
      <w:r w:rsidR="002500E5">
        <w:rPr>
          <w:rFonts w:cs="David" w:hint="cs"/>
          <w:sz w:val="24"/>
          <w:szCs w:val="24"/>
          <w:rtl/>
        </w:rPr>
        <w:t>:</w:t>
      </w:r>
      <w:r w:rsidR="002500E5">
        <w:rPr>
          <w:rStyle w:val="a5"/>
          <w:rFonts w:cs="David"/>
          <w:sz w:val="24"/>
          <w:szCs w:val="24"/>
          <w:rtl/>
        </w:rPr>
        <w:footnoteReference w:id="67"/>
      </w:r>
    </w:p>
    <w:p w14:paraId="10555EA9" w14:textId="60838615" w:rsidR="0023228B" w:rsidRPr="007F7C87" w:rsidRDefault="00F34D9E" w:rsidP="00994B24">
      <w:pPr>
        <w:autoSpaceDE w:val="0"/>
        <w:autoSpaceDN w:val="0"/>
        <w:bidi w:val="0"/>
        <w:adjustRightInd w:val="0"/>
        <w:spacing w:after="0" w:line="480" w:lineRule="auto"/>
        <w:ind w:left="720"/>
        <w:jc w:val="both"/>
        <w:rPr>
          <w:rFonts w:asciiTheme="majorBidi" w:hAnsiTheme="majorBidi" w:cstheme="majorBidi"/>
          <w:sz w:val="24"/>
          <w:szCs w:val="24"/>
        </w:rPr>
      </w:pPr>
      <w:r w:rsidRPr="007F7C87">
        <w:rPr>
          <w:rFonts w:asciiTheme="majorBidi" w:hAnsiTheme="majorBidi" w:cstheme="majorBidi"/>
          <w:sz w:val="24"/>
          <w:szCs w:val="24"/>
        </w:rPr>
        <w:t xml:space="preserve">Integration refers to an aspect of legal consciousness at a </w:t>
      </w:r>
      <w:proofErr w:type="gramStart"/>
      <w:r w:rsidRPr="007F7C87">
        <w:rPr>
          <w:rFonts w:asciiTheme="majorBidi" w:hAnsiTheme="majorBidi" w:cstheme="majorBidi"/>
          <w:sz w:val="24"/>
          <w:szCs w:val="24"/>
        </w:rPr>
        <w:t>particular moment</w:t>
      </w:r>
      <w:proofErr w:type="gramEnd"/>
      <w:r w:rsidRPr="007F7C87">
        <w:rPr>
          <w:rFonts w:asciiTheme="majorBidi" w:hAnsiTheme="majorBidi" w:cstheme="majorBidi"/>
          <w:sz w:val="24"/>
          <w:szCs w:val="24"/>
        </w:rPr>
        <w:t xml:space="preserve"> in time: the manner in which the different elements that are in it (e.g., the doctrine of consideration and the rule against perpetuities) fit together into subsystems. The notion is that we can </w:t>
      </w:r>
      <w:proofErr w:type="gramStart"/>
      <w:r w:rsidRPr="007F7C87">
        <w:rPr>
          <w:rFonts w:asciiTheme="majorBidi" w:hAnsiTheme="majorBidi" w:cstheme="majorBidi"/>
          <w:sz w:val="24"/>
          <w:szCs w:val="24"/>
        </w:rPr>
        <w:t xml:space="preserve">compare and </w:t>
      </w:r>
      <w:r w:rsidR="00B91A25" w:rsidRPr="007F7C87">
        <w:rPr>
          <w:rFonts w:asciiTheme="majorBidi" w:hAnsiTheme="majorBidi" w:cstheme="majorBidi"/>
          <w:sz w:val="24"/>
          <w:szCs w:val="24"/>
        </w:rPr>
        <w:t>contr</w:t>
      </w:r>
      <w:r w:rsidR="00B91A25">
        <w:rPr>
          <w:rFonts w:asciiTheme="majorBidi" w:hAnsiTheme="majorBidi" w:cstheme="majorBidi"/>
          <w:sz w:val="24"/>
          <w:szCs w:val="24"/>
        </w:rPr>
        <w:t>a</w:t>
      </w:r>
      <w:r w:rsidR="00B91A25" w:rsidRPr="007F7C87">
        <w:rPr>
          <w:rFonts w:asciiTheme="majorBidi" w:hAnsiTheme="majorBidi" w:cstheme="majorBidi"/>
          <w:sz w:val="24"/>
          <w:szCs w:val="24"/>
        </w:rPr>
        <w:t>st</w:t>
      </w:r>
      <w:proofErr w:type="gramEnd"/>
      <w:r w:rsidRPr="007F7C87">
        <w:rPr>
          <w:rFonts w:asciiTheme="majorBidi" w:hAnsiTheme="majorBidi" w:cstheme="majorBidi"/>
          <w:sz w:val="24"/>
          <w:szCs w:val="24"/>
        </w:rPr>
        <w:t xml:space="preserve"> states of consciousness with respect to this aspect</w:t>
      </w:r>
      <w:r w:rsidRPr="007F7C87">
        <w:rPr>
          <w:rFonts w:asciiTheme="majorBidi" w:hAnsiTheme="majorBidi" w:cstheme="majorBidi"/>
          <w:sz w:val="24"/>
          <w:szCs w:val="24"/>
          <w:rtl/>
        </w:rPr>
        <w:t>.</w:t>
      </w:r>
      <w:r w:rsidR="00994B24">
        <w:rPr>
          <w:rFonts w:asciiTheme="majorBidi" w:hAnsiTheme="majorBidi" w:cstheme="majorBidi"/>
          <w:sz w:val="24"/>
          <w:szCs w:val="24"/>
        </w:rPr>
        <w:t xml:space="preserve"> </w:t>
      </w:r>
      <w:r w:rsidRPr="007F7C87">
        <w:rPr>
          <w:rFonts w:asciiTheme="majorBidi" w:hAnsiTheme="majorBidi" w:cstheme="majorBidi"/>
          <w:sz w:val="24"/>
          <w:szCs w:val="24"/>
        </w:rPr>
        <w:t>One way to do this is to attempt a kind of map of the subsystems composing a</w:t>
      </w:r>
      <w:r w:rsidR="00994B24">
        <w:rPr>
          <w:rFonts w:asciiTheme="majorBidi" w:hAnsiTheme="majorBidi" w:cstheme="majorBidi"/>
          <w:sz w:val="24"/>
          <w:szCs w:val="24"/>
        </w:rPr>
        <w:t xml:space="preserve"> </w:t>
      </w:r>
      <w:r w:rsidRPr="007F7C87">
        <w:rPr>
          <w:rFonts w:asciiTheme="majorBidi" w:hAnsiTheme="majorBidi" w:cstheme="majorBidi"/>
          <w:sz w:val="24"/>
          <w:szCs w:val="24"/>
        </w:rPr>
        <w:t xml:space="preserve">consciousness. We construct a map by asking whether a legal actor experiences a </w:t>
      </w:r>
      <w:proofErr w:type="gramStart"/>
      <w:r w:rsidRPr="007F7C87">
        <w:rPr>
          <w:rFonts w:asciiTheme="majorBidi" w:hAnsiTheme="majorBidi" w:cstheme="majorBidi"/>
          <w:sz w:val="24"/>
          <w:szCs w:val="24"/>
        </w:rPr>
        <w:t>particular rule</w:t>
      </w:r>
      <w:proofErr w:type="gramEnd"/>
      <w:r w:rsidRPr="007F7C87">
        <w:rPr>
          <w:rFonts w:asciiTheme="majorBidi" w:hAnsiTheme="majorBidi" w:cstheme="majorBidi"/>
          <w:sz w:val="24"/>
          <w:szCs w:val="24"/>
        </w:rPr>
        <w:t xml:space="preserve"> or doctrine as a possibly useful analogy in an argument about some other particular rule or doctrine. When we feel that an argument for X can draw on the arguments for Y</w:t>
      </w:r>
      <w:r w:rsidRPr="007F7C87">
        <w:rPr>
          <w:rFonts w:asciiTheme="majorBidi" w:hAnsiTheme="majorBidi" w:cstheme="majorBidi"/>
          <w:sz w:val="24"/>
          <w:szCs w:val="24"/>
          <w:rtl/>
        </w:rPr>
        <w:t>,</w:t>
      </w:r>
      <w:r w:rsidRPr="007F7C87">
        <w:rPr>
          <w:rFonts w:asciiTheme="majorBidi" w:hAnsiTheme="majorBidi" w:cstheme="majorBidi"/>
          <w:sz w:val="24"/>
          <w:szCs w:val="24"/>
        </w:rPr>
        <w:t xml:space="preserve"> then, by definition, these two are parts of a subsystem. If the arguments for Y would never come to mind or would be dismissed as absurd in the argument for X, then they are parts of different subsystems. Another way of putting the same idea is that if your </w:t>
      </w:r>
      <w:r w:rsidRPr="007F7C87">
        <w:rPr>
          <w:rFonts w:asciiTheme="majorBidi" w:hAnsiTheme="majorBidi" w:cstheme="majorBidi"/>
          <w:sz w:val="24"/>
          <w:szCs w:val="24"/>
        </w:rPr>
        <w:lastRenderedPageBreak/>
        <w:t xml:space="preserve">position about X puts a good deal of moral and intellectual pressure on you to take a </w:t>
      </w:r>
      <w:proofErr w:type="gramStart"/>
      <w:r w:rsidRPr="007F7C87">
        <w:rPr>
          <w:rFonts w:asciiTheme="majorBidi" w:hAnsiTheme="majorBidi" w:cstheme="majorBidi"/>
          <w:sz w:val="24"/>
          <w:szCs w:val="24"/>
        </w:rPr>
        <w:t>particular position</w:t>
      </w:r>
      <w:proofErr w:type="gramEnd"/>
      <w:r w:rsidRPr="007F7C87">
        <w:rPr>
          <w:rFonts w:asciiTheme="majorBidi" w:hAnsiTheme="majorBidi" w:cstheme="majorBidi"/>
          <w:sz w:val="24"/>
          <w:szCs w:val="24"/>
        </w:rPr>
        <w:t xml:space="preserve"> with respect to Y, then the two are part of a subsystem. If you experience no such pressure, they are not.</w:t>
      </w:r>
    </w:p>
    <w:p w14:paraId="591E512A" w14:textId="77777777" w:rsidR="00CA5327" w:rsidRPr="00CA5327" w:rsidRDefault="00CA5327" w:rsidP="002500E5">
      <w:pPr>
        <w:spacing w:line="480" w:lineRule="auto"/>
        <w:ind w:firstLine="720"/>
        <w:rPr>
          <w:rFonts w:cs="David"/>
          <w:sz w:val="24"/>
          <w:szCs w:val="24"/>
        </w:rPr>
      </w:pPr>
    </w:p>
    <w:p w14:paraId="0146A2DF" w14:textId="6BB0EEB2" w:rsidR="00CA5327" w:rsidRDefault="00666F12" w:rsidP="00914D27">
      <w:pPr>
        <w:spacing w:line="480" w:lineRule="auto"/>
        <w:rPr>
          <w:rFonts w:cs="David"/>
          <w:sz w:val="24"/>
          <w:szCs w:val="24"/>
          <w:rtl/>
        </w:rPr>
      </w:pPr>
      <w:r>
        <w:rPr>
          <w:rFonts w:cs="David" w:hint="cs"/>
          <w:sz w:val="24"/>
          <w:szCs w:val="24"/>
          <w:rtl/>
        </w:rPr>
        <w:t xml:space="preserve">במילים אחרות, כל אחד מן השחקנים במשנה </w:t>
      </w:r>
      <w:r>
        <w:rPr>
          <w:rFonts w:cs="David"/>
          <w:sz w:val="24"/>
          <w:szCs w:val="24"/>
          <w:rtl/>
        </w:rPr>
        <w:t>–</w:t>
      </w:r>
      <w:r>
        <w:rPr>
          <w:rFonts w:cs="David" w:hint="cs"/>
          <w:sz w:val="24"/>
          <w:szCs w:val="24"/>
          <w:rtl/>
        </w:rPr>
        <w:t xml:space="preserve"> תנא קמא ור' יוסי </w:t>
      </w:r>
      <w:r>
        <w:rPr>
          <w:rFonts w:cs="David"/>
          <w:sz w:val="24"/>
          <w:szCs w:val="24"/>
          <w:rtl/>
        </w:rPr>
        <w:t>–</w:t>
      </w:r>
      <w:r>
        <w:rPr>
          <w:rFonts w:cs="David" w:hint="cs"/>
          <w:sz w:val="24"/>
          <w:szCs w:val="24"/>
          <w:rtl/>
        </w:rPr>
        <w:t xml:space="preserve"> 'מעלה על דעתו' חוק (או</w:t>
      </w:r>
      <w:r w:rsidR="00C43BAB">
        <w:rPr>
          <w:rFonts w:cs="David" w:hint="cs"/>
          <w:sz w:val="24"/>
          <w:szCs w:val="24"/>
          <w:rtl/>
        </w:rPr>
        <w:t xml:space="preserve"> קטגוריה משפטית</w:t>
      </w:r>
      <w:r>
        <w:rPr>
          <w:rFonts w:cs="David" w:hint="cs"/>
          <w:sz w:val="24"/>
          <w:szCs w:val="24"/>
          <w:rtl/>
        </w:rPr>
        <w:t>) אחר</w:t>
      </w:r>
      <w:r w:rsidR="00533366">
        <w:rPr>
          <w:rFonts w:cs="David" w:hint="cs"/>
          <w:sz w:val="24"/>
          <w:szCs w:val="24"/>
          <w:rtl/>
        </w:rPr>
        <w:t>,</w:t>
      </w:r>
      <w:r>
        <w:rPr>
          <w:rFonts w:cs="David" w:hint="cs"/>
          <w:sz w:val="24"/>
          <w:szCs w:val="24"/>
          <w:rtl/>
        </w:rPr>
        <w:t xml:space="preserve"> שניתן לעשות אליו אנלוגיה של המקרה החדש</w:t>
      </w:r>
      <w:r w:rsidR="0021112D">
        <w:rPr>
          <w:rFonts w:cs="David" w:hint="cs"/>
          <w:sz w:val="24"/>
          <w:szCs w:val="24"/>
          <w:rtl/>
        </w:rPr>
        <w:t>;</w:t>
      </w:r>
      <w:r>
        <w:rPr>
          <w:rFonts w:cs="David" w:hint="cs"/>
          <w:sz w:val="24"/>
          <w:szCs w:val="24"/>
          <w:rtl/>
        </w:rPr>
        <w:t xml:space="preserve"> ואף להפך</w:t>
      </w:r>
      <w:r w:rsidR="006D6FFE">
        <w:rPr>
          <w:rFonts w:cs="David" w:hint="cs"/>
          <w:sz w:val="24"/>
          <w:szCs w:val="24"/>
          <w:rtl/>
        </w:rPr>
        <w:t>,</w:t>
      </w:r>
      <w:r>
        <w:rPr>
          <w:rFonts w:cs="David" w:hint="cs"/>
          <w:sz w:val="24"/>
          <w:szCs w:val="24"/>
          <w:rtl/>
        </w:rPr>
        <w:t xml:space="preserve"> 'לא מעלה על דעתו' שנכון להשוות בין המקרה החדש לבין התחום שמוצע על ידי השחקן השני.</w:t>
      </w:r>
      <w:r w:rsidR="00914D27">
        <w:rPr>
          <w:rStyle w:val="a5"/>
          <w:rFonts w:cs="David"/>
          <w:sz w:val="24"/>
          <w:szCs w:val="24"/>
          <w:rtl/>
        </w:rPr>
        <w:footnoteReference w:id="68"/>
      </w:r>
      <w:r w:rsidR="00914D27">
        <w:rPr>
          <w:rFonts w:cs="David" w:hint="cs"/>
          <w:sz w:val="24"/>
          <w:szCs w:val="24"/>
          <w:rtl/>
        </w:rPr>
        <w:t xml:space="preserve">  קבלת ההכרעה כתנא קמא </w:t>
      </w:r>
      <w:r w:rsidR="00914D27">
        <w:rPr>
          <w:rFonts w:cs="David"/>
          <w:sz w:val="24"/>
          <w:szCs w:val="24"/>
          <w:rtl/>
        </w:rPr>
        <w:t>–</w:t>
      </w:r>
      <w:r w:rsidR="00914D27">
        <w:rPr>
          <w:rFonts w:cs="David" w:hint="cs"/>
          <w:sz w:val="24"/>
          <w:szCs w:val="24"/>
          <w:rtl/>
        </w:rPr>
        <w:t xml:space="preserve"> 'גזל מפני דרכי שלום' </w:t>
      </w:r>
      <w:r w:rsidR="00914D27">
        <w:rPr>
          <w:rFonts w:cs="David"/>
          <w:sz w:val="24"/>
          <w:szCs w:val="24"/>
          <w:rtl/>
        </w:rPr>
        <w:t>–</w:t>
      </w:r>
      <w:r w:rsidR="00914D27">
        <w:rPr>
          <w:rFonts w:cs="David" w:hint="cs"/>
          <w:sz w:val="24"/>
          <w:szCs w:val="24"/>
          <w:rtl/>
        </w:rPr>
        <w:t xml:space="preserve"> מהווה הגדרה משפטית-מעשית </w:t>
      </w:r>
      <w:r w:rsidR="00914D27">
        <w:rPr>
          <w:rFonts w:cs="David"/>
          <w:sz w:val="24"/>
          <w:szCs w:val="24"/>
          <w:rtl/>
        </w:rPr>
        <w:t>–</w:t>
      </w:r>
      <w:r w:rsidR="00914D27">
        <w:rPr>
          <w:rFonts w:cs="David" w:hint="cs"/>
          <w:sz w:val="24"/>
          <w:szCs w:val="24"/>
          <w:rtl/>
        </w:rPr>
        <w:t xml:space="preserve"> של </w:t>
      </w:r>
      <w:r w:rsidR="00914D27" w:rsidRPr="00914D27">
        <w:rPr>
          <w:rFonts w:ascii="Times New Roman" w:hAnsi="Times New Roman" w:cs="Times New Roman"/>
          <w:sz w:val="24"/>
          <w:szCs w:val="24"/>
        </w:rPr>
        <w:t>the subsystem ‘</w:t>
      </w:r>
      <w:proofErr w:type="spellStart"/>
      <w:r w:rsidR="00914D27" w:rsidRPr="00914D27">
        <w:rPr>
          <w:rFonts w:ascii="Times New Roman" w:hAnsi="Times New Roman" w:cs="Times New Roman"/>
          <w:sz w:val="24"/>
          <w:szCs w:val="24"/>
        </w:rPr>
        <w:t>mipney</w:t>
      </w:r>
      <w:proofErr w:type="spellEnd"/>
      <w:r w:rsidR="00914D27" w:rsidRPr="00914D27">
        <w:rPr>
          <w:rFonts w:ascii="Times New Roman" w:hAnsi="Times New Roman" w:cs="Times New Roman"/>
          <w:sz w:val="24"/>
          <w:szCs w:val="24"/>
        </w:rPr>
        <w:t xml:space="preserve"> </w:t>
      </w:r>
      <w:proofErr w:type="spellStart"/>
      <w:r w:rsidR="00914D27" w:rsidRPr="00914D27">
        <w:rPr>
          <w:rFonts w:ascii="Times New Roman" w:hAnsi="Times New Roman" w:cs="Times New Roman"/>
          <w:sz w:val="24"/>
          <w:szCs w:val="24"/>
        </w:rPr>
        <w:t>darkey</w:t>
      </w:r>
      <w:proofErr w:type="spellEnd"/>
      <w:r w:rsidR="00914D27" w:rsidRPr="00914D27">
        <w:rPr>
          <w:rFonts w:ascii="Times New Roman" w:hAnsi="Times New Roman" w:cs="Times New Roman"/>
          <w:sz w:val="24"/>
          <w:szCs w:val="24"/>
        </w:rPr>
        <w:t xml:space="preserve"> Shalom’</w:t>
      </w:r>
      <w:r w:rsidR="00914D27">
        <w:rPr>
          <w:rFonts w:cs="David" w:hint="cs"/>
          <w:sz w:val="24"/>
          <w:szCs w:val="24"/>
          <w:rtl/>
        </w:rPr>
        <w:t>, הן מבחינת החוקים שהיא כוללת</w:t>
      </w:r>
      <w:r w:rsidR="006D6FFE">
        <w:rPr>
          <w:rFonts w:cs="David" w:hint="cs"/>
          <w:sz w:val="24"/>
          <w:szCs w:val="24"/>
          <w:rtl/>
        </w:rPr>
        <w:t xml:space="preserve"> (עד כה)</w:t>
      </w:r>
      <w:r w:rsidR="00914D27">
        <w:rPr>
          <w:rFonts w:cs="David" w:hint="cs"/>
          <w:sz w:val="24"/>
          <w:szCs w:val="24"/>
          <w:rtl/>
        </w:rPr>
        <w:t>, ועוד יותר מכך</w:t>
      </w:r>
      <w:r w:rsidR="00105FDA">
        <w:rPr>
          <w:rFonts w:cs="David" w:hint="cs"/>
          <w:sz w:val="24"/>
          <w:szCs w:val="24"/>
          <w:rtl/>
        </w:rPr>
        <w:t>,</w:t>
      </w:r>
      <w:r w:rsidR="00914D27">
        <w:rPr>
          <w:rFonts w:cs="David" w:hint="cs"/>
          <w:sz w:val="24"/>
          <w:szCs w:val="24"/>
          <w:rtl/>
        </w:rPr>
        <w:t xml:space="preserve"> של המשמעויות </w:t>
      </w:r>
      <w:r w:rsidR="00105FDA">
        <w:rPr>
          <w:rFonts w:cs="David" w:hint="cs"/>
          <w:sz w:val="24"/>
          <w:szCs w:val="24"/>
          <w:rtl/>
        </w:rPr>
        <w:t xml:space="preserve">הנורמטיביות </w:t>
      </w:r>
      <w:r w:rsidR="00914D27">
        <w:rPr>
          <w:rFonts w:cs="David" w:hint="cs"/>
          <w:sz w:val="24"/>
          <w:szCs w:val="24"/>
          <w:rtl/>
        </w:rPr>
        <w:t>ש</w:t>
      </w:r>
      <w:r w:rsidR="00105FDA">
        <w:rPr>
          <w:rFonts w:cs="David" w:hint="cs"/>
          <w:sz w:val="24"/>
          <w:szCs w:val="24"/>
          <w:rtl/>
        </w:rPr>
        <w:t>נובעות מהכללתו</w:t>
      </w:r>
      <w:r w:rsidR="00914D27">
        <w:rPr>
          <w:rFonts w:cs="David" w:hint="cs"/>
          <w:sz w:val="24"/>
          <w:szCs w:val="24"/>
          <w:rtl/>
        </w:rPr>
        <w:t xml:space="preserve"> של </w:t>
      </w:r>
      <w:r w:rsidR="00105FDA">
        <w:rPr>
          <w:rFonts w:cs="David" w:hint="cs"/>
          <w:sz w:val="24"/>
          <w:szCs w:val="24"/>
          <w:rtl/>
        </w:rPr>
        <w:t>ה</w:t>
      </w:r>
      <w:r w:rsidR="00914D27">
        <w:rPr>
          <w:rFonts w:cs="David" w:hint="cs"/>
          <w:sz w:val="24"/>
          <w:szCs w:val="24"/>
          <w:rtl/>
        </w:rPr>
        <w:t>חוק בתוכה.</w:t>
      </w:r>
    </w:p>
    <w:p w14:paraId="6172D478" w14:textId="6E8B3EFB" w:rsidR="00520FE9" w:rsidRDefault="00F93CD7" w:rsidP="00520FE9">
      <w:pPr>
        <w:spacing w:line="480" w:lineRule="auto"/>
        <w:rPr>
          <w:rFonts w:cs="David"/>
          <w:sz w:val="24"/>
          <w:szCs w:val="24"/>
          <w:rtl/>
        </w:rPr>
      </w:pPr>
      <w:r>
        <w:rPr>
          <w:rFonts w:cs="David"/>
          <w:sz w:val="24"/>
          <w:szCs w:val="24"/>
          <w:rtl/>
        </w:rPr>
        <w:tab/>
      </w:r>
      <w:r w:rsidR="006D0D5F">
        <w:rPr>
          <w:rFonts w:cs="David" w:hint="cs"/>
          <w:sz w:val="24"/>
          <w:szCs w:val="24"/>
          <w:rtl/>
        </w:rPr>
        <w:t xml:space="preserve">תהליכי השוואה כאלו, </w:t>
      </w:r>
      <w:r w:rsidR="009C565E">
        <w:rPr>
          <w:rFonts w:cs="David" w:hint="cs"/>
          <w:sz w:val="24"/>
          <w:szCs w:val="24"/>
          <w:rtl/>
        </w:rPr>
        <w:t>שבמהלכ</w:t>
      </w:r>
      <w:r w:rsidR="008E1A01">
        <w:rPr>
          <w:rFonts w:cs="David" w:hint="cs"/>
          <w:sz w:val="24"/>
          <w:szCs w:val="24"/>
          <w:rtl/>
        </w:rPr>
        <w:t>ם</w:t>
      </w:r>
      <w:r w:rsidR="009C565E">
        <w:rPr>
          <w:rFonts w:cs="David" w:hint="cs"/>
          <w:sz w:val="24"/>
          <w:szCs w:val="24"/>
          <w:rtl/>
        </w:rPr>
        <w:t xml:space="preserve"> מוכללים חוקים קונקרטיים בתוך תת מערכת משפטית על בסיס דמיון חלקי ביניהם</w:t>
      </w:r>
      <w:r w:rsidR="00F6579B">
        <w:rPr>
          <w:rFonts w:cs="David" w:hint="cs"/>
          <w:sz w:val="24"/>
          <w:szCs w:val="24"/>
          <w:rtl/>
        </w:rPr>
        <w:t>,</w:t>
      </w:r>
      <w:r w:rsidR="009C565E">
        <w:rPr>
          <w:rFonts w:cs="David" w:hint="cs"/>
          <w:sz w:val="24"/>
          <w:szCs w:val="24"/>
          <w:rtl/>
        </w:rPr>
        <w:t xml:space="preserve"> יכולים להסביר</w:t>
      </w:r>
      <w:r w:rsidR="00F6579B">
        <w:rPr>
          <w:rFonts w:cs="David" w:hint="cs"/>
          <w:sz w:val="24"/>
          <w:szCs w:val="24"/>
          <w:rtl/>
        </w:rPr>
        <w:t>,</w:t>
      </w:r>
      <w:r w:rsidR="006D0D5F">
        <w:rPr>
          <w:rFonts w:cs="David" w:hint="cs"/>
          <w:sz w:val="24"/>
          <w:szCs w:val="24"/>
          <w:rtl/>
        </w:rPr>
        <w:t xml:space="preserve"> </w:t>
      </w:r>
      <w:r w:rsidR="00F6579B">
        <w:rPr>
          <w:rFonts w:cs="David" w:hint="cs"/>
          <w:sz w:val="24"/>
          <w:szCs w:val="24"/>
          <w:rtl/>
        </w:rPr>
        <w:t xml:space="preserve">לכאורה, </w:t>
      </w:r>
      <w:r w:rsidR="009C565E">
        <w:rPr>
          <w:rFonts w:cs="David" w:hint="cs"/>
          <w:sz w:val="24"/>
          <w:szCs w:val="24"/>
          <w:rtl/>
        </w:rPr>
        <w:t xml:space="preserve">גם את הדחף ליצור את קובץ </w:t>
      </w:r>
      <w:r w:rsidR="005326D6">
        <w:rPr>
          <w:rFonts w:cs="David" w:hint="cs"/>
          <w:sz w:val="24"/>
          <w:szCs w:val="24"/>
          <w:rtl/>
        </w:rPr>
        <w:t xml:space="preserve">התקנות 'מפני </w:t>
      </w:r>
      <w:r>
        <w:rPr>
          <w:rFonts w:cs="David" w:hint="cs"/>
          <w:sz w:val="24"/>
          <w:szCs w:val="24"/>
          <w:rtl/>
        </w:rPr>
        <w:t>דרכי השלום</w:t>
      </w:r>
      <w:r w:rsidR="005326D6">
        <w:rPr>
          <w:rFonts w:cs="David" w:hint="cs"/>
          <w:sz w:val="24"/>
          <w:szCs w:val="24"/>
          <w:rtl/>
        </w:rPr>
        <w:t>'</w:t>
      </w:r>
      <w:r w:rsidR="006037AA">
        <w:rPr>
          <w:rFonts w:cs="David" w:hint="cs"/>
          <w:sz w:val="24"/>
          <w:szCs w:val="24"/>
          <w:rtl/>
        </w:rPr>
        <w:t xml:space="preserve"> במסכת גיטין</w:t>
      </w:r>
      <w:r w:rsidR="00BE4EFB">
        <w:rPr>
          <w:rFonts w:cs="David" w:hint="cs"/>
          <w:sz w:val="24"/>
          <w:szCs w:val="24"/>
          <w:rtl/>
        </w:rPr>
        <w:t xml:space="preserve">. </w:t>
      </w:r>
      <w:r w:rsidR="00F6579B">
        <w:rPr>
          <w:rFonts w:cs="David" w:hint="cs"/>
          <w:sz w:val="24"/>
          <w:szCs w:val="24"/>
          <w:rtl/>
        </w:rPr>
        <w:t xml:space="preserve">קנדי שואל מה יש </w:t>
      </w:r>
      <w:r w:rsidR="0087783C">
        <w:rPr>
          <w:rFonts w:cs="David" w:hint="cs"/>
          <w:sz w:val="24"/>
          <w:szCs w:val="24"/>
          <w:rtl/>
        </w:rPr>
        <w:t>למכלול חוקים שאוגדו תחת תת-תחום כלשהו במשותף זה עם זה? ומשיב</w:t>
      </w:r>
      <w:r w:rsidR="008A571C">
        <w:rPr>
          <w:rFonts w:cs="David" w:hint="cs"/>
          <w:sz w:val="24"/>
          <w:szCs w:val="24"/>
          <w:rtl/>
        </w:rPr>
        <w:t>,</w:t>
      </w:r>
      <w:r w:rsidR="0087783C">
        <w:rPr>
          <w:rFonts w:cs="David" w:hint="cs"/>
          <w:sz w:val="24"/>
          <w:szCs w:val="24"/>
          <w:rtl/>
        </w:rPr>
        <w:t xml:space="preserve"> שהם מאורגנים יחדיו פשוט לשם נוחות ויעילות</w:t>
      </w:r>
      <w:r w:rsidR="00F17EB5">
        <w:rPr>
          <w:rFonts w:cs="David" w:hint="cs"/>
          <w:sz w:val="24"/>
          <w:szCs w:val="24"/>
          <w:rtl/>
        </w:rPr>
        <w:t>. המשמעות האופרטיבית של היותם יחדיו אינה נובעת, ל</w:t>
      </w:r>
      <w:r w:rsidR="00B70D1E">
        <w:rPr>
          <w:rFonts w:cs="David" w:hint="cs"/>
          <w:sz w:val="24"/>
          <w:szCs w:val="24"/>
          <w:rtl/>
        </w:rPr>
        <w:t>תפיסתו</w:t>
      </w:r>
      <w:r w:rsidR="00F17EB5">
        <w:rPr>
          <w:rFonts w:cs="David" w:hint="cs"/>
          <w:sz w:val="24"/>
          <w:szCs w:val="24"/>
          <w:rtl/>
        </w:rPr>
        <w:t xml:space="preserve">, מכך שקובצו לקטגוריה מסוימת </w:t>
      </w:r>
      <w:r w:rsidR="00F17EB5">
        <w:rPr>
          <w:rFonts w:cs="David"/>
          <w:sz w:val="24"/>
          <w:szCs w:val="24"/>
          <w:rtl/>
        </w:rPr>
        <w:t>–</w:t>
      </w:r>
      <w:r w:rsidR="00F17EB5">
        <w:rPr>
          <w:rFonts w:cs="David" w:hint="cs"/>
          <w:sz w:val="24"/>
          <w:szCs w:val="24"/>
          <w:rtl/>
        </w:rPr>
        <w:t xml:space="preserve"> </w:t>
      </w:r>
      <w:r w:rsidR="00240D2F">
        <w:rPr>
          <w:rFonts w:cs="David" w:hint="cs"/>
          <w:sz w:val="24"/>
          <w:szCs w:val="24"/>
          <w:rtl/>
        </w:rPr>
        <w:t xml:space="preserve">למשל </w:t>
      </w:r>
      <w:r w:rsidR="00F17EB5">
        <w:rPr>
          <w:rFonts w:cs="David" w:hint="cs"/>
          <w:sz w:val="24"/>
          <w:szCs w:val="24"/>
          <w:rtl/>
        </w:rPr>
        <w:t>'מפני דרכי שלום</w:t>
      </w:r>
      <w:r w:rsidR="007817AC">
        <w:rPr>
          <w:rFonts w:cs="David" w:hint="cs"/>
          <w:sz w:val="24"/>
          <w:szCs w:val="24"/>
          <w:rtl/>
        </w:rPr>
        <w:t>'</w:t>
      </w:r>
      <w:r w:rsidR="00F17EB5">
        <w:rPr>
          <w:rFonts w:cs="David" w:hint="cs"/>
          <w:sz w:val="24"/>
          <w:szCs w:val="24"/>
          <w:rtl/>
        </w:rPr>
        <w:t xml:space="preserve"> </w:t>
      </w:r>
      <w:r w:rsidR="00F17EB5">
        <w:rPr>
          <w:rFonts w:cs="David"/>
          <w:sz w:val="24"/>
          <w:szCs w:val="24"/>
          <w:rtl/>
        </w:rPr>
        <w:t>–</w:t>
      </w:r>
      <w:r w:rsidR="00F17EB5">
        <w:rPr>
          <w:rFonts w:cs="David" w:hint="cs"/>
          <w:sz w:val="24"/>
          <w:szCs w:val="24"/>
          <w:rtl/>
        </w:rPr>
        <w:t xml:space="preserve"> שכן הקטגוריה עצמה יכולה להתרחב או לה</w:t>
      </w:r>
      <w:r w:rsidR="0038209C">
        <w:rPr>
          <w:rFonts w:cs="David" w:hint="cs"/>
          <w:sz w:val="24"/>
          <w:szCs w:val="24"/>
          <w:rtl/>
        </w:rPr>
        <w:t>י</w:t>
      </w:r>
      <w:r w:rsidR="00F41F0D">
        <w:rPr>
          <w:rFonts w:cs="David" w:hint="cs"/>
          <w:sz w:val="24"/>
          <w:szCs w:val="24"/>
          <w:rtl/>
        </w:rPr>
        <w:t>הפך</w:t>
      </w:r>
      <w:r w:rsidR="00F17EB5">
        <w:rPr>
          <w:rFonts w:cs="David" w:hint="cs"/>
          <w:sz w:val="24"/>
          <w:szCs w:val="24"/>
          <w:rtl/>
        </w:rPr>
        <w:t xml:space="preserve"> </w:t>
      </w:r>
      <w:r w:rsidR="0038209C">
        <w:rPr>
          <w:rFonts w:cs="David" w:hint="cs"/>
          <w:sz w:val="24"/>
          <w:szCs w:val="24"/>
          <w:rtl/>
        </w:rPr>
        <w:t>ל</w:t>
      </w:r>
      <w:r w:rsidR="00F17EB5">
        <w:rPr>
          <w:rFonts w:cs="David" w:hint="cs"/>
          <w:sz w:val="24"/>
          <w:szCs w:val="24"/>
          <w:rtl/>
        </w:rPr>
        <w:t>צרה יותר</w:t>
      </w:r>
      <w:r w:rsidR="00D113D6">
        <w:rPr>
          <w:rFonts w:cs="David" w:hint="cs"/>
          <w:sz w:val="24"/>
          <w:szCs w:val="24"/>
          <w:rtl/>
        </w:rPr>
        <w:t xml:space="preserve"> </w:t>
      </w:r>
      <w:r w:rsidR="00240D2F">
        <w:rPr>
          <w:rFonts w:cs="David" w:hint="cs"/>
          <w:sz w:val="24"/>
          <w:szCs w:val="24"/>
          <w:rtl/>
        </w:rPr>
        <w:t>(</w:t>
      </w:r>
      <w:r w:rsidR="008D20CB">
        <w:rPr>
          <w:rFonts w:cs="David" w:hint="cs"/>
          <w:sz w:val="24"/>
          <w:szCs w:val="24"/>
          <w:rtl/>
        </w:rPr>
        <w:t xml:space="preserve">באמצעות </w:t>
      </w:r>
      <w:r w:rsidR="00F17EB5">
        <w:rPr>
          <w:rFonts w:cs="David" w:hint="cs"/>
          <w:sz w:val="24"/>
          <w:szCs w:val="24"/>
          <w:rtl/>
        </w:rPr>
        <w:t>תוספת או גריעת חוקים</w:t>
      </w:r>
      <w:r w:rsidR="00240D2F">
        <w:rPr>
          <w:rFonts w:cs="David" w:hint="cs"/>
          <w:sz w:val="24"/>
          <w:szCs w:val="24"/>
          <w:rtl/>
        </w:rPr>
        <w:t>)</w:t>
      </w:r>
      <w:r w:rsidR="00AC31EA">
        <w:rPr>
          <w:rFonts w:cs="David" w:hint="cs"/>
          <w:sz w:val="24"/>
          <w:szCs w:val="24"/>
          <w:rtl/>
        </w:rPr>
        <w:t xml:space="preserve"> ללא שתאבד</w:t>
      </w:r>
      <w:r w:rsidR="00E84E00">
        <w:rPr>
          <w:rFonts w:cs="David" w:hint="cs"/>
          <w:sz w:val="24"/>
          <w:szCs w:val="24"/>
          <w:rtl/>
        </w:rPr>
        <w:t xml:space="preserve"> משהו ממאפייניה</w:t>
      </w:r>
      <w:r w:rsidR="00F17EB5">
        <w:rPr>
          <w:rFonts w:cs="David" w:hint="cs"/>
          <w:sz w:val="24"/>
          <w:szCs w:val="24"/>
          <w:rtl/>
        </w:rPr>
        <w:t xml:space="preserve">. </w:t>
      </w:r>
      <w:r w:rsidR="007817AC">
        <w:rPr>
          <w:rFonts w:cs="David" w:hint="cs"/>
          <w:sz w:val="24"/>
          <w:szCs w:val="24"/>
          <w:rtl/>
        </w:rPr>
        <w:t>ל</w:t>
      </w:r>
      <w:r w:rsidR="00244C04">
        <w:rPr>
          <w:rFonts w:cs="David" w:hint="cs"/>
          <w:sz w:val="24"/>
          <w:szCs w:val="24"/>
          <w:rtl/>
        </w:rPr>
        <w:t>דע</w:t>
      </w:r>
      <w:r w:rsidR="007817AC">
        <w:rPr>
          <w:rFonts w:cs="David" w:hint="cs"/>
          <w:sz w:val="24"/>
          <w:szCs w:val="24"/>
          <w:rtl/>
        </w:rPr>
        <w:t>תו</w:t>
      </w:r>
      <w:r w:rsidR="00244C04">
        <w:rPr>
          <w:rFonts w:cs="David" w:hint="cs"/>
          <w:sz w:val="24"/>
          <w:szCs w:val="24"/>
          <w:rtl/>
        </w:rPr>
        <w:t>,</w:t>
      </w:r>
      <w:r w:rsidR="007817AC">
        <w:rPr>
          <w:rFonts w:cs="David" w:hint="cs"/>
          <w:sz w:val="24"/>
          <w:szCs w:val="24"/>
          <w:rtl/>
        </w:rPr>
        <w:t xml:space="preserve"> </w:t>
      </w:r>
      <w:r w:rsidR="00F17EB5">
        <w:rPr>
          <w:rFonts w:cs="David" w:hint="cs"/>
          <w:sz w:val="24"/>
          <w:szCs w:val="24"/>
          <w:rtl/>
        </w:rPr>
        <w:t xml:space="preserve">המשמעות האופרטיבית </w:t>
      </w:r>
      <w:r w:rsidR="007817AC">
        <w:rPr>
          <w:rFonts w:cs="David" w:hint="cs"/>
          <w:sz w:val="24"/>
          <w:szCs w:val="24"/>
          <w:rtl/>
        </w:rPr>
        <w:t>של הקטגוריה</w:t>
      </w:r>
      <w:r w:rsidR="00F17EB5">
        <w:rPr>
          <w:rFonts w:cs="David" w:hint="cs"/>
          <w:sz w:val="24"/>
          <w:szCs w:val="24"/>
          <w:rtl/>
        </w:rPr>
        <w:t xml:space="preserve"> נובעת מכך שתוצאה (או השלכה נורמטיבית-אופרטיבית) של חוק אחד יכולה לשמש פתרון לבעיות שבהן מטפל חוק אחר, בעוד שהקטגוריה עצמה </w:t>
      </w:r>
      <w:r w:rsidR="00912FF9">
        <w:rPr>
          <w:rFonts w:cs="David"/>
          <w:sz w:val="24"/>
          <w:szCs w:val="24"/>
          <w:rtl/>
        </w:rPr>
        <w:t>–</w:t>
      </w:r>
      <w:r w:rsidR="00912FF9">
        <w:rPr>
          <w:rFonts w:cs="David" w:hint="cs"/>
          <w:sz w:val="24"/>
          <w:szCs w:val="24"/>
          <w:rtl/>
        </w:rPr>
        <w:t xml:space="preserve"> סך החוקים שלה - </w:t>
      </w:r>
      <w:r w:rsidR="00F17EB5">
        <w:rPr>
          <w:rFonts w:cs="David" w:hint="cs"/>
          <w:sz w:val="24"/>
          <w:szCs w:val="24"/>
          <w:rtl/>
        </w:rPr>
        <w:t xml:space="preserve">פשוט מתעדת את </w:t>
      </w:r>
      <w:r w:rsidR="00E84E00">
        <w:rPr>
          <w:rFonts w:cs="David" w:hint="cs"/>
          <w:sz w:val="24"/>
          <w:szCs w:val="24"/>
          <w:rtl/>
        </w:rPr>
        <w:t>ה</w:t>
      </w:r>
      <w:r w:rsidR="00F17EB5">
        <w:rPr>
          <w:rFonts w:cs="David" w:hint="cs"/>
          <w:sz w:val="24"/>
          <w:szCs w:val="24"/>
          <w:rtl/>
        </w:rPr>
        <w:t xml:space="preserve">תוצאות </w:t>
      </w:r>
      <w:r w:rsidR="00E84E00">
        <w:rPr>
          <w:rFonts w:cs="David" w:hint="cs"/>
          <w:sz w:val="24"/>
          <w:szCs w:val="24"/>
          <w:rtl/>
        </w:rPr>
        <w:t xml:space="preserve">של </w:t>
      </w:r>
      <w:r w:rsidR="00F17EB5">
        <w:rPr>
          <w:rFonts w:cs="David" w:hint="cs"/>
          <w:sz w:val="24"/>
          <w:szCs w:val="24"/>
          <w:rtl/>
        </w:rPr>
        <w:t>הפתרונות</w:t>
      </w:r>
      <w:r w:rsidR="00E84E00">
        <w:rPr>
          <w:rFonts w:cs="David" w:hint="cs"/>
          <w:sz w:val="24"/>
          <w:szCs w:val="24"/>
          <w:rtl/>
        </w:rPr>
        <w:t xml:space="preserve"> הללו</w:t>
      </w:r>
      <w:r w:rsidR="00F17EB5">
        <w:rPr>
          <w:rFonts w:cs="David" w:hint="cs"/>
          <w:sz w:val="24"/>
          <w:szCs w:val="24"/>
          <w:rtl/>
        </w:rPr>
        <w:t>.</w:t>
      </w:r>
      <w:r w:rsidR="00F17EB5">
        <w:rPr>
          <w:rStyle w:val="a5"/>
          <w:rFonts w:cs="David"/>
          <w:sz w:val="24"/>
          <w:szCs w:val="24"/>
          <w:rtl/>
        </w:rPr>
        <w:footnoteReference w:id="69"/>
      </w:r>
      <w:r w:rsidR="00F17EB5">
        <w:rPr>
          <w:rFonts w:cs="David" w:hint="cs"/>
          <w:sz w:val="24"/>
          <w:szCs w:val="24"/>
          <w:rtl/>
        </w:rPr>
        <w:t xml:space="preserve"> </w:t>
      </w:r>
      <w:r w:rsidR="00F07CE1">
        <w:rPr>
          <w:rFonts w:cs="David" w:hint="cs"/>
          <w:sz w:val="24"/>
          <w:szCs w:val="24"/>
          <w:rtl/>
        </w:rPr>
        <w:t xml:space="preserve"> האם</w:t>
      </w:r>
      <w:r w:rsidR="0038209C">
        <w:rPr>
          <w:rFonts w:cs="David" w:hint="cs"/>
          <w:sz w:val="24"/>
          <w:szCs w:val="24"/>
          <w:rtl/>
        </w:rPr>
        <w:t xml:space="preserve"> נכון להבין כך את הקובץ במסכת </w:t>
      </w:r>
      <w:r w:rsidR="0038209C">
        <w:rPr>
          <w:rFonts w:cs="David" w:hint="cs"/>
          <w:sz w:val="24"/>
          <w:szCs w:val="24"/>
          <w:rtl/>
        </w:rPr>
        <w:lastRenderedPageBreak/>
        <w:t>גיטין?</w:t>
      </w:r>
      <w:r w:rsidR="00F07CE1">
        <w:rPr>
          <w:rFonts w:cs="David" w:hint="cs"/>
          <w:sz w:val="24"/>
          <w:szCs w:val="24"/>
          <w:rtl/>
        </w:rPr>
        <w:t xml:space="preserve"> </w:t>
      </w:r>
      <w:r w:rsidR="0038209C">
        <w:rPr>
          <w:rFonts w:cs="David" w:hint="cs"/>
          <w:sz w:val="24"/>
          <w:szCs w:val="24"/>
          <w:rtl/>
        </w:rPr>
        <w:t>ו</w:t>
      </w:r>
      <w:r w:rsidR="00EA1935">
        <w:rPr>
          <w:rFonts w:cs="David" w:hint="cs"/>
          <w:sz w:val="24"/>
          <w:szCs w:val="24"/>
          <w:rtl/>
        </w:rPr>
        <w:t>אולי</w:t>
      </w:r>
      <w:r w:rsidR="0038209C">
        <w:rPr>
          <w:rFonts w:cs="David" w:hint="cs"/>
          <w:sz w:val="24"/>
          <w:szCs w:val="24"/>
          <w:rtl/>
        </w:rPr>
        <w:t xml:space="preserve"> גם </w:t>
      </w:r>
      <w:r w:rsidR="00F07CE1">
        <w:rPr>
          <w:rFonts w:cs="David" w:hint="cs"/>
          <w:sz w:val="24"/>
          <w:szCs w:val="24"/>
          <w:rtl/>
        </w:rPr>
        <w:t>את גישתו של ר' שמעון? כלומר</w:t>
      </w:r>
      <w:r w:rsidR="00E05DF5">
        <w:rPr>
          <w:rFonts w:cs="David" w:hint="cs"/>
          <w:sz w:val="24"/>
          <w:szCs w:val="24"/>
          <w:rtl/>
        </w:rPr>
        <w:t xml:space="preserve">, </w:t>
      </w:r>
      <w:r w:rsidR="00F07CE1">
        <w:rPr>
          <w:rFonts w:cs="David" w:hint="cs"/>
          <w:sz w:val="24"/>
          <w:szCs w:val="24"/>
          <w:rtl/>
        </w:rPr>
        <w:t xml:space="preserve">שאין לראות בה </w:t>
      </w:r>
      <w:r w:rsidR="00E05DF5">
        <w:rPr>
          <w:rFonts w:cs="David" w:hint="cs"/>
          <w:sz w:val="24"/>
          <w:szCs w:val="24"/>
          <w:rtl/>
        </w:rPr>
        <w:t xml:space="preserve">עיקרון </w:t>
      </w:r>
      <w:r w:rsidR="00F07CE1">
        <w:rPr>
          <w:rFonts w:cs="David" w:hint="cs"/>
          <w:sz w:val="24"/>
          <w:szCs w:val="24"/>
          <w:rtl/>
        </w:rPr>
        <w:t>מטה-הלכתי, אלא שימוש בתת-מערכת</w:t>
      </w:r>
      <w:r w:rsidR="00924BD9">
        <w:rPr>
          <w:rFonts w:cs="David" w:hint="cs"/>
          <w:sz w:val="24"/>
          <w:szCs w:val="24"/>
          <w:rtl/>
        </w:rPr>
        <w:t xml:space="preserve"> משפטית</w:t>
      </w:r>
      <w:r w:rsidR="00156DBB">
        <w:rPr>
          <w:rFonts w:cs="David" w:hint="cs"/>
          <w:sz w:val="24"/>
          <w:szCs w:val="24"/>
          <w:rtl/>
        </w:rPr>
        <w:t>,</w:t>
      </w:r>
      <w:r w:rsidR="00F07CE1">
        <w:rPr>
          <w:rFonts w:cs="David" w:hint="cs"/>
          <w:sz w:val="24"/>
          <w:szCs w:val="24"/>
          <w:rtl/>
        </w:rPr>
        <w:t xml:space="preserve"> ש</w:t>
      </w:r>
      <w:r w:rsidR="00156DBB">
        <w:rPr>
          <w:rFonts w:cs="David" w:hint="cs"/>
          <w:sz w:val="24"/>
          <w:szCs w:val="24"/>
          <w:rtl/>
        </w:rPr>
        <w:t>נותנת</w:t>
      </w:r>
      <w:r w:rsidR="00F07CE1">
        <w:rPr>
          <w:rFonts w:cs="David" w:hint="cs"/>
          <w:sz w:val="24"/>
          <w:szCs w:val="24"/>
          <w:rtl/>
        </w:rPr>
        <w:t xml:space="preserve"> פתרו</w:t>
      </w:r>
      <w:r w:rsidR="00156DBB">
        <w:rPr>
          <w:rFonts w:cs="David" w:hint="cs"/>
          <w:sz w:val="24"/>
          <w:szCs w:val="24"/>
          <w:rtl/>
        </w:rPr>
        <w:t>נות</w:t>
      </w:r>
      <w:r w:rsidR="00F07CE1">
        <w:rPr>
          <w:rFonts w:cs="David" w:hint="cs"/>
          <w:sz w:val="24"/>
          <w:szCs w:val="24"/>
          <w:rtl/>
        </w:rPr>
        <w:t xml:space="preserve"> למניעת עימותים בקהילה, כדי לספק פתרון לבעיה נוספת </w:t>
      </w:r>
      <w:r w:rsidR="00156DBB">
        <w:rPr>
          <w:rFonts w:cs="David" w:hint="cs"/>
          <w:sz w:val="24"/>
          <w:szCs w:val="24"/>
          <w:rtl/>
        </w:rPr>
        <w:t xml:space="preserve">שלא נכללה בה עד כה </w:t>
      </w:r>
      <w:r w:rsidR="00F07CE1">
        <w:rPr>
          <w:rFonts w:cs="David" w:hint="cs"/>
          <w:sz w:val="24"/>
          <w:szCs w:val="24"/>
          <w:rtl/>
        </w:rPr>
        <w:t>(</w:t>
      </w:r>
      <w:r w:rsidR="002F643A">
        <w:rPr>
          <w:rFonts w:cs="David" w:hint="cs"/>
          <w:sz w:val="24"/>
          <w:szCs w:val="24"/>
          <w:rtl/>
        </w:rPr>
        <w:t xml:space="preserve">מניעת </w:t>
      </w:r>
      <w:r w:rsidR="00F07CE1">
        <w:rPr>
          <w:rFonts w:cs="David" w:hint="cs"/>
          <w:sz w:val="24"/>
          <w:szCs w:val="24"/>
          <w:rtl/>
        </w:rPr>
        <w:t>פגיעה אפשרית בשכנים, מכרים וחברים</w:t>
      </w:r>
      <w:r w:rsidR="00EA1935">
        <w:rPr>
          <w:rFonts w:cs="David" w:hint="cs"/>
          <w:sz w:val="24"/>
          <w:szCs w:val="24"/>
          <w:rtl/>
        </w:rPr>
        <w:t xml:space="preserve"> בחג הפסח</w:t>
      </w:r>
      <w:r w:rsidR="00F07CE1">
        <w:rPr>
          <w:rFonts w:cs="David" w:hint="cs"/>
          <w:sz w:val="24"/>
          <w:szCs w:val="24"/>
          <w:rtl/>
        </w:rPr>
        <w:t>)?</w:t>
      </w:r>
    </w:p>
    <w:p w14:paraId="1261B9FC" w14:textId="77777777" w:rsidR="00F56552" w:rsidRDefault="00F56552" w:rsidP="00520FE9">
      <w:pPr>
        <w:spacing w:line="480" w:lineRule="auto"/>
        <w:rPr>
          <w:rFonts w:cs="David"/>
          <w:sz w:val="24"/>
          <w:szCs w:val="24"/>
          <w:rtl/>
        </w:rPr>
      </w:pPr>
    </w:p>
    <w:p w14:paraId="00BFF6B0" w14:textId="376AC89C" w:rsidR="005359C8" w:rsidRPr="005359C8" w:rsidRDefault="005359C8" w:rsidP="00106502">
      <w:pPr>
        <w:spacing w:line="480" w:lineRule="auto"/>
        <w:rPr>
          <w:rFonts w:cs="David"/>
          <w:b/>
          <w:bCs/>
          <w:sz w:val="24"/>
          <w:szCs w:val="24"/>
          <w:rtl/>
        </w:rPr>
      </w:pPr>
      <w:r w:rsidRPr="005359C8">
        <w:rPr>
          <w:rFonts w:cs="David" w:hint="cs"/>
          <w:b/>
          <w:bCs/>
          <w:sz w:val="24"/>
          <w:szCs w:val="24"/>
          <w:rtl/>
        </w:rPr>
        <w:t>במקום סיכום</w:t>
      </w:r>
      <w:r w:rsidR="00520FE9" w:rsidRPr="005359C8">
        <w:rPr>
          <w:rFonts w:cs="David"/>
          <w:b/>
          <w:bCs/>
          <w:sz w:val="24"/>
          <w:szCs w:val="24"/>
          <w:rtl/>
        </w:rPr>
        <w:tab/>
      </w:r>
    </w:p>
    <w:p w14:paraId="40B5D2B6" w14:textId="7EB92B2D" w:rsidR="00A80A26" w:rsidRPr="005359C8" w:rsidRDefault="00520FE9" w:rsidP="00106502">
      <w:pPr>
        <w:spacing w:line="480" w:lineRule="auto"/>
        <w:rPr>
          <w:rFonts w:cs="David"/>
          <w:sz w:val="24"/>
          <w:szCs w:val="24"/>
          <w:rtl/>
        </w:rPr>
      </w:pPr>
      <w:r>
        <w:rPr>
          <w:rFonts w:cs="David" w:hint="cs"/>
          <w:sz w:val="24"/>
          <w:szCs w:val="24"/>
          <w:rtl/>
        </w:rPr>
        <w:t xml:space="preserve">אני סבורה כי </w:t>
      </w:r>
      <w:r w:rsidR="00007F35">
        <w:rPr>
          <w:rFonts w:cs="David" w:hint="cs"/>
          <w:sz w:val="24"/>
          <w:szCs w:val="24"/>
          <w:rtl/>
        </w:rPr>
        <w:t>ה</w:t>
      </w:r>
      <w:r>
        <w:rPr>
          <w:rFonts w:cs="David" w:hint="cs"/>
          <w:sz w:val="24"/>
          <w:szCs w:val="24"/>
          <w:rtl/>
        </w:rPr>
        <w:t xml:space="preserve">אתגר שמציב בפנינו קנדי בחשיפת התפיסה (או התפיסות) </w:t>
      </w:r>
      <w:proofErr w:type="spellStart"/>
      <w:r>
        <w:rPr>
          <w:rFonts w:cs="David" w:hint="cs"/>
          <w:sz w:val="24"/>
          <w:szCs w:val="24"/>
          <w:rtl/>
        </w:rPr>
        <w:t>היוריספורדנטית</w:t>
      </w:r>
      <w:proofErr w:type="spellEnd"/>
      <w:r>
        <w:rPr>
          <w:rFonts w:cs="David" w:hint="cs"/>
          <w:sz w:val="24"/>
          <w:szCs w:val="24"/>
          <w:rtl/>
        </w:rPr>
        <w:t xml:space="preserve"> שעומדת בבסיס יצירתן של </w:t>
      </w:r>
      <w:r w:rsidR="00E46FE8" w:rsidRPr="00A74A1D">
        <w:rPr>
          <w:rFonts w:asciiTheme="majorBidi" w:hAnsiTheme="majorBidi" w:cstheme="majorBidi"/>
          <w:sz w:val="24"/>
          <w:szCs w:val="24"/>
        </w:rPr>
        <w:t>subsystems</w:t>
      </w:r>
      <w:r w:rsidR="00E46FE8" w:rsidRPr="00A74A1D">
        <w:rPr>
          <w:rFonts w:asciiTheme="majorBidi" w:hAnsiTheme="majorBidi" w:cstheme="majorBidi"/>
          <w:sz w:val="24"/>
          <w:szCs w:val="24"/>
          <w:rtl/>
        </w:rPr>
        <w:t xml:space="preserve"> </w:t>
      </w:r>
      <w:r>
        <w:rPr>
          <w:rFonts w:cs="David" w:hint="cs"/>
          <w:sz w:val="24"/>
          <w:szCs w:val="24"/>
          <w:rtl/>
        </w:rPr>
        <w:t xml:space="preserve">במערכת המשפט </w:t>
      </w:r>
      <w:r>
        <w:rPr>
          <w:rFonts w:cs="David"/>
          <w:sz w:val="24"/>
          <w:szCs w:val="24"/>
          <w:rtl/>
        </w:rPr>
        <w:t>–</w:t>
      </w:r>
      <w:r>
        <w:rPr>
          <w:rFonts w:cs="David" w:hint="cs"/>
          <w:sz w:val="24"/>
          <w:szCs w:val="24"/>
          <w:rtl/>
        </w:rPr>
        <w:t xml:space="preserve"> ובמקרה שלנו </w:t>
      </w:r>
      <w:r w:rsidR="00E46FE8">
        <w:rPr>
          <w:rFonts w:cs="David" w:hint="cs"/>
          <w:sz w:val="24"/>
          <w:szCs w:val="24"/>
          <w:rtl/>
        </w:rPr>
        <w:t xml:space="preserve">עריכת </w:t>
      </w:r>
      <w:r>
        <w:rPr>
          <w:rFonts w:cs="David" w:hint="cs"/>
          <w:sz w:val="24"/>
          <w:szCs w:val="24"/>
          <w:rtl/>
        </w:rPr>
        <w:t xml:space="preserve">קובץ שמכיל </w:t>
      </w:r>
      <w:r w:rsidR="007C063B">
        <w:rPr>
          <w:rFonts w:cs="David" w:hint="cs"/>
          <w:sz w:val="24"/>
          <w:szCs w:val="24"/>
          <w:rtl/>
        </w:rPr>
        <w:t xml:space="preserve">מספר </w:t>
      </w:r>
      <w:r>
        <w:rPr>
          <w:rFonts w:cs="David" w:hint="cs"/>
          <w:sz w:val="24"/>
          <w:szCs w:val="24"/>
          <w:rtl/>
        </w:rPr>
        <w:t>גדול למדי מתוך כלל ההלכות והתקנות שנומקו 'מפני דרכי שלום'</w:t>
      </w:r>
      <w:r w:rsidR="00E46FE8">
        <w:rPr>
          <w:rFonts w:cs="David" w:hint="cs"/>
          <w:sz w:val="24"/>
          <w:szCs w:val="24"/>
          <w:rtl/>
        </w:rPr>
        <w:t xml:space="preserve"> </w:t>
      </w:r>
      <w:r>
        <w:rPr>
          <w:rFonts w:cs="David" w:hint="cs"/>
          <w:sz w:val="24"/>
          <w:szCs w:val="24"/>
          <w:rtl/>
        </w:rPr>
        <w:t xml:space="preserve">- מצטרף לאופנים נוספים שבהם ניסו חלק מן החוקרים שקדמו לי </w:t>
      </w:r>
      <w:r w:rsidR="00007F35" w:rsidRPr="00007F35">
        <w:rPr>
          <w:rFonts w:cs="David"/>
          <w:sz w:val="24"/>
          <w:szCs w:val="24"/>
          <w:rtl/>
        </w:rPr>
        <w:t>להסביר</w:t>
      </w:r>
      <w:r w:rsidR="00007F35" w:rsidRPr="00007F35">
        <w:rPr>
          <w:rFonts w:cs="David" w:hint="cs"/>
          <w:sz w:val="24"/>
          <w:szCs w:val="24"/>
          <w:rtl/>
        </w:rPr>
        <w:t xml:space="preserve"> </w:t>
      </w:r>
      <w:r>
        <w:rPr>
          <w:rFonts w:cs="David" w:hint="cs"/>
          <w:sz w:val="24"/>
          <w:szCs w:val="24"/>
          <w:rtl/>
        </w:rPr>
        <w:t xml:space="preserve">את המשמעויות וההשלכות האפשריות שיש לשימוש בהנמקה 'מפני דרכי שלום'. </w:t>
      </w:r>
      <w:r w:rsidR="00871339">
        <w:rPr>
          <w:rFonts w:cs="David" w:hint="cs"/>
          <w:sz w:val="24"/>
          <w:szCs w:val="24"/>
          <w:rtl/>
        </w:rPr>
        <w:t>אני חושבת שהתשובה לכך מורכבת יותר</w:t>
      </w:r>
      <w:r>
        <w:rPr>
          <w:rFonts w:cs="David" w:hint="cs"/>
          <w:sz w:val="24"/>
          <w:szCs w:val="24"/>
          <w:rtl/>
        </w:rPr>
        <w:t xml:space="preserve"> ממה</w:t>
      </w:r>
      <w:r w:rsidR="00106502">
        <w:rPr>
          <w:rFonts w:cs="David" w:hint="cs"/>
          <w:sz w:val="24"/>
          <w:szCs w:val="24"/>
          <w:rtl/>
        </w:rPr>
        <w:t xml:space="preserve"> שמציע לנו קנדי</w:t>
      </w:r>
      <w:r>
        <w:rPr>
          <w:rFonts w:cs="David" w:hint="cs"/>
          <w:sz w:val="24"/>
          <w:szCs w:val="24"/>
          <w:rtl/>
        </w:rPr>
        <w:t xml:space="preserve">, </w:t>
      </w:r>
      <w:r w:rsidR="008C0C7F">
        <w:rPr>
          <w:rFonts w:cs="David" w:hint="cs"/>
          <w:sz w:val="24"/>
          <w:szCs w:val="24"/>
          <w:rtl/>
        </w:rPr>
        <w:t xml:space="preserve">אך </w:t>
      </w:r>
      <w:r>
        <w:rPr>
          <w:rFonts w:cs="David" w:hint="cs"/>
          <w:sz w:val="24"/>
          <w:szCs w:val="24"/>
          <w:rtl/>
        </w:rPr>
        <w:t>גם ממה שהציעו קודמי</w:t>
      </w:r>
      <w:r w:rsidR="00DE5AD8">
        <w:rPr>
          <w:rFonts w:cs="David" w:hint="cs"/>
          <w:sz w:val="24"/>
          <w:szCs w:val="24"/>
          <w:rtl/>
        </w:rPr>
        <w:t xml:space="preserve">, </w:t>
      </w:r>
      <w:r w:rsidR="00106502">
        <w:rPr>
          <w:rFonts w:cs="David" w:hint="cs"/>
          <w:sz w:val="24"/>
          <w:szCs w:val="24"/>
          <w:rtl/>
        </w:rPr>
        <w:t>ש</w:t>
      </w:r>
      <w:r>
        <w:rPr>
          <w:rFonts w:cs="David" w:hint="cs"/>
          <w:sz w:val="24"/>
          <w:szCs w:val="24"/>
          <w:rtl/>
        </w:rPr>
        <w:t xml:space="preserve">רובם </w:t>
      </w:r>
      <w:r w:rsidR="00F51C11">
        <w:rPr>
          <w:rFonts w:cs="David" w:hint="cs"/>
          <w:sz w:val="24"/>
          <w:szCs w:val="24"/>
          <w:rtl/>
        </w:rPr>
        <w:t>עסקו ב</w:t>
      </w:r>
      <w:r>
        <w:rPr>
          <w:rFonts w:cs="David" w:hint="cs"/>
          <w:sz w:val="24"/>
          <w:szCs w:val="24"/>
          <w:rtl/>
        </w:rPr>
        <w:t>תקנות 'דרכי השלום' ללא התייחסות</w:t>
      </w:r>
      <w:r w:rsidR="007C4428">
        <w:rPr>
          <w:rFonts w:cs="David" w:hint="cs"/>
          <w:sz w:val="24"/>
          <w:szCs w:val="24"/>
          <w:rtl/>
        </w:rPr>
        <w:t xml:space="preserve"> מובחנת </w:t>
      </w:r>
      <w:r>
        <w:rPr>
          <w:rFonts w:cs="David" w:hint="cs"/>
          <w:sz w:val="24"/>
          <w:szCs w:val="24"/>
          <w:rtl/>
        </w:rPr>
        <w:t>לשאלות שנובעות מעריכתו של הקובץ במסכת גיטין</w:t>
      </w:r>
      <w:r w:rsidR="00106502">
        <w:rPr>
          <w:rFonts w:cs="David" w:hint="cs"/>
          <w:sz w:val="24"/>
          <w:szCs w:val="24"/>
          <w:rtl/>
        </w:rPr>
        <w:t>;</w:t>
      </w:r>
      <w:r w:rsidR="005057DA">
        <w:rPr>
          <w:rFonts w:cs="David" w:hint="cs"/>
          <w:sz w:val="24"/>
          <w:szCs w:val="24"/>
          <w:rtl/>
        </w:rPr>
        <w:t xml:space="preserve"> </w:t>
      </w:r>
      <w:r w:rsidR="00F51C11">
        <w:rPr>
          <w:rFonts w:cs="David" w:hint="cs"/>
          <w:sz w:val="24"/>
          <w:szCs w:val="24"/>
          <w:rtl/>
        </w:rPr>
        <w:t>א</w:t>
      </w:r>
      <w:r w:rsidR="007C4428">
        <w:rPr>
          <w:rFonts w:cs="David" w:hint="cs"/>
          <w:sz w:val="24"/>
          <w:szCs w:val="24"/>
          <w:rtl/>
        </w:rPr>
        <w:t>ו</w:t>
      </w:r>
      <w:r w:rsidR="00F51C11">
        <w:rPr>
          <w:rFonts w:cs="David" w:hint="cs"/>
          <w:sz w:val="24"/>
          <w:szCs w:val="24"/>
          <w:rtl/>
        </w:rPr>
        <w:t xml:space="preserve"> </w:t>
      </w:r>
      <w:r w:rsidR="00C07A30">
        <w:rPr>
          <w:rFonts w:cs="David" w:hint="cs"/>
          <w:sz w:val="24"/>
          <w:szCs w:val="24"/>
          <w:rtl/>
        </w:rPr>
        <w:t xml:space="preserve">בהשוואה </w:t>
      </w:r>
      <w:r w:rsidR="005057DA">
        <w:rPr>
          <w:rFonts w:cs="David" w:hint="cs"/>
          <w:sz w:val="24"/>
          <w:szCs w:val="24"/>
          <w:rtl/>
        </w:rPr>
        <w:t xml:space="preserve">למודל שהעמיד </w:t>
      </w:r>
      <w:proofErr w:type="spellStart"/>
      <w:r w:rsidR="005057DA">
        <w:rPr>
          <w:rFonts w:cs="David" w:hint="cs"/>
          <w:sz w:val="24"/>
          <w:szCs w:val="24"/>
          <w:rtl/>
        </w:rPr>
        <w:t>דוורקין</w:t>
      </w:r>
      <w:proofErr w:type="spellEnd"/>
      <w:r w:rsidR="00871339">
        <w:rPr>
          <w:rFonts w:cs="David" w:hint="cs"/>
          <w:sz w:val="24"/>
          <w:szCs w:val="24"/>
          <w:rtl/>
        </w:rPr>
        <w:t>.</w:t>
      </w:r>
      <w:r w:rsidR="00C10747">
        <w:rPr>
          <w:rStyle w:val="a5"/>
          <w:rFonts w:cs="David"/>
          <w:sz w:val="24"/>
          <w:szCs w:val="24"/>
          <w:rtl/>
        </w:rPr>
        <w:footnoteReference w:id="70"/>
      </w:r>
      <w:r w:rsidR="00871339">
        <w:rPr>
          <w:rFonts w:cs="David" w:hint="cs"/>
          <w:sz w:val="24"/>
          <w:szCs w:val="24"/>
          <w:rtl/>
        </w:rPr>
        <w:t xml:space="preserve"> </w:t>
      </w:r>
      <w:r w:rsidR="008A571C">
        <w:rPr>
          <w:rFonts w:cs="David" w:hint="cs"/>
          <w:sz w:val="24"/>
          <w:szCs w:val="24"/>
          <w:rtl/>
        </w:rPr>
        <w:t xml:space="preserve">זאת משום </w:t>
      </w:r>
      <w:r w:rsidR="0073363D">
        <w:rPr>
          <w:rFonts w:cs="David" w:hint="cs"/>
          <w:sz w:val="24"/>
          <w:szCs w:val="24"/>
          <w:rtl/>
        </w:rPr>
        <w:t>ש</w:t>
      </w:r>
      <w:r w:rsidR="005057DA">
        <w:rPr>
          <w:rFonts w:cs="David" w:hint="cs"/>
          <w:sz w:val="24"/>
          <w:szCs w:val="24"/>
          <w:rtl/>
        </w:rPr>
        <w:t>לעריכתו של קובץ</w:t>
      </w:r>
      <w:r w:rsidR="0073363D">
        <w:rPr>
          <w:rFonts w:cs="David" w:hint="cs"/>
          <w:sz w:val="24"/>
          <w:szCs w:val="24"/>
          <w:rtl/>
        </w:rPr>
        <w:t xml:space="preserve"> הלכות,</w:t>
      </w:r>
      <w:r w:rsidR="005057DA">
        <w:rPr>
          <w:rFonts w:cs="David" w:hint="cs"/>
          <w:sz w:val="24"/>
          <w:szCs w:val="24"/>
          <w:rtl/>
        </w:rPr>
        <w:t xml:space="preserve"> ולמיקומו ביחס להלכות או לקבצים אחרים במשנה, עשויות להיות </w:t>
      </w:r>
      <w:r w:rsidR="006664C6">
        <w:rPr>
          <w:rFonts w:cs="David" w:hint="cs"/>
          <w:sz w:val="24"/>
          <w:szCs w:val="24"/>
          <w:rtl/>
        </w:rPr>
        <w:t xml:space="preserve">משמעויות </w:t>
      </w:r>
      <w:r w:rsidR="00E01D28">
        <w:rPr>
          <w:rFonts w:cs="David"/>
          <w:sz w:val="24"/>
          <w:szCs w:val="24"/>
          <w:rtl/>
        </w:rPr>
        <w:t>–</w:t>
      </w:r>
      <w:r w:rsidR="00E01D28">
        <w:rPr>
          <w:rFonts w:cs="David" w:hint="cs"/>
          <w:sz w:val="24"/>
          <w:szCs w:val="24"/>
          <w:rtl/>
        </w:rPr>
        <w:t xml:space="preserve"> רעיוניות ואופרטיביות -</w:t>
      </w:r>
      <w:r w:rsidR="005057DA">
        <w:rPr>
          <w:rFonts w:cs="David" w:hint="cs"/>
          <w:sz w:val="24"/>
          <w:szCs w:val="24"/>
          <w:rtl/>
        </w:rPr>
        <w:t xml:space="preserve"> שהן מעבר</w:t>
      </w:r>
      <w:r w:rsidR="008F395B">
        <w:rPr>
          <w:rFonts w:cs="David" w:hint="cs"/>
          <w:sz w:val="24"/>
          <w:szCs w:val="24"/>
          <w:rtl/>
        </w:rPr>
        <w:t xml:space="preserve"> לתכנה של תקנה בודדת.</w:t>
      </w:r>
      <w:r w:rsidR="005057DA">
        <w:rPr>
          <w:rStyle w:val="a5"/>
          <w:rFonts w:cs="David"/>
          <w:sz w:val="24"/>
          <w:szCs w:val="24"/>
          <w:rtl/>
        </w:rPr>
        <w:footnoteReference w:id="71"/>
      </w:r>
      <w:r w:rsidR="00106502">
        <w:rPr>
          <w:rFonts w:cs="David" w:hint="cs"/>
          <w:sz w:val="24"/>
          <w:szCs w:val="24"/>
          <w:rtl/>
        </w:rPr>
        <w:t xml:space="preserve"> אנסה ל</w:t>
      </w:r>
      <w:r w:rsidR="000917FE">
        <w:rPr>
          <w:rFonts w:cs="David" w:hint="cs"/>
          <w:sz w:val="24"/>
          <w:szCs w:val="24"/>
          <w:rtl/>
        </w:rPr>
        <w:t>נסח</w:t>
      </w:r>
      <w:r w:rsidR="00106502">
        <w:rPr>
          <w:rFonts w:cs="David" w:hint="cs"/>
          <w:sz w:val="24"/>
          <w:szCs w:val="24"/>
          <w:rtl/>
        </w:rPr>
        <w:t xml:space="preserve"> </w:t>
      </w:r>
      <w:r w:rsidR="00A80A26">
        <w:rPr>
          <w:rFonts w:cs="David" w:hint="cs"/>
          <w:sz w:val="24"/>
          <w:szCs w:val="24"/>
          <w:rtl/>
        </w:rPr>
        <w:t xml:space="preserve">אפוא </w:t>
      </w:r>
      <w:r w:rsidR="00106502">
        <w:rPr>
          <w:rFonts w:cs="David" w:hint="cs"/>
          <w:sz w:val="24"/>
          <w:szCs w:val="24"/>
          <w:rtl/>
        </w:rPr>
        <w:t xml:space="preserve">את השאלות שנותרות </w:t>
      </w:r>
      <w:r w:rsidR="0073363D">
        <w:rPr>
          <w:rFonts w:cs="David" w:hint="cs"/>
          <w:sz w:val="24"/>
          <w:szCs w:val="24"/>
          <w:rtl/>
        </w:rPr>
        <w:t xml:space="preserve">לעת עתה </w:t>
      </w:r>
      <w:r w:rsidR="00106502">
        <w:rPr>
          <w:rFonts w:cs="David" w:hint="cs"/>
          <w:sz w:val="24"/>
          <w:szCs w:val="24"/>
          <w:rtl/>
        </w:rPr>
        <w:t>פתוחות</w:t>
      </w:r>
      <w:r w:rsidR="00A80A26">
        <w:rPr>
          <w:rFonts w:cs="David" w:hint="cs"/>
          <w:sz w:val="24"/>
          <w:szCs w:val="24"/>
          <w:rtl/>
        </w:rPr>
        <w:t xml:space="preserve"> בעיני</w:t>
      </w:r>
      <w:r w:rsidR="00D3201B">
        <w:rPr>
          <w:rFonts w:cs="David" w:hint="cs"/>
          <w:sz w:val="24"/>
          <w:szCs w:val="24"/>
          <w:rtl/>
        </w:rPr>
        <w:t xml:space="preserve"> </w:t>
      </w:r>
      <w:r w:rsidR="00D3201B">
        <w:rPr>
          <w:rFonts w:cs="David"/>
          <w:sz w:val="24"/>
          <w:szCs w:val="24"/>
          <w:rtl/>
        </w:rPr>
        <w:t>–</w:t>
      </w:r>
      <w:r w:rsidR="00D3201B">
        <w:rPr>
          <w:rFonts w:cs="David" w:hint="cs"/>
          <w:sz w:val="24"/>
          <w:szCs w:val="24"/>
          <w:rtl/>
        </w:rPr>
        <w:t xml:space="preserve"> הן במישור הרעיוני הן במישור </w:t>
      </w:r>
      <w:proofErr w:type="spellStart"/>
      <w:r w:rsidR="00D3201B">
        <w:rPr>
          <w:rFonts w:cs="David" w:hint="cs"/>
          <w:sz w:val="24"/>
          <w:szCs w:val="24"/>
          <w:rtl/>
        </w:rPr>
        <w:t>היוריספר</w:t>
      </w:r>
      <w:r w:rsidR="001E5FAC">
        <w:rPr>
          <w:rFonts w:cs="David" w:hint="cs"/>
          <w:sz w:val="24"/>
          <w:szCs w:val="24"/>
          <w:rtl/>
        </w:rPr>
        <w:t>ו</w:t>
      </w:r>
      <w:r w:rsidR="00D3201B">
        <w:rPr>
          <w:rFonts w:cs="David" w:hint="cs"/>
          <w:sz w:val="24"/>
          <w:szCs w:val="24"/>
          <w:rtl/>
        </w:rPr>
        <w:t>דנטי</w:t>
      </w:r>
      <w:proofErr w:type="spellEnd"/>
      <w:r w:rsidR="00D3201B">
        <w:rPr>
          <w:rFonts w:cs="David" w:hint="cs"/>
          <w:sz w:val="24"/>
          <w:szCs w:val="24"/>
          <w:rtl/>
        </w:rPr>
        <w:t xml:space="preserve"> -</w:t>
      </w:r>
      <w:r w:rsidR="00106502">
        <w:rPr>
          <w:rFonts w:cs="David" w:hint="cs"/>
          <w:sz w:val="24"/>
          <w:szCs w:val="24"/>
          <w:rtl/>
        </w:rPr>
        <w:t xml:space="preserve"> מתוך כוונה </w:t>
      </w:r>
      <w:r w:rsidR="006A327D">
        <w:rPr>
          <w:rFonts w:cs="David" w:hint="cs"/>
          <w:sz w:val="24"/>
          <w:szCs w:val="24"/>
          <w:rtl/>
        </w:rPr>
        <w:t xml:space="preserve">להקדיש להן </w:t>
      </w:r>
      <w:r w:rsidR="00106502">
        <w:rPr>
          <w:rFonts w:cs="David" w:hint="cs"/>
          <w:sz w:val="24"/>
          <w:szCs w:val="24"/>
          <w:rtl/>
        </w:rPr>
        <w:t>מ</w:t>
      </w:r>
      <w:r w:rsidR="00E038F6">
        <w:rPr>
          <w:rFonts w:cs="David" w:hint="cs"/>
          <w:sz w:val="24"/>
          <w:szCs w:val="24"/>
          <w:rtl/>
        </w:rPr>
        <w:t>חקר</w:t>
      </w:r>
      <w:r w:rsidR="00106502">
        <w:rPr>
          <w:rFonts w:cs="David" w:hint="cs"/>
          <w:sz w:val="24"/>
          <w:szCs w:val="24"/>
          <w:rtl/>
        </w:rPr>
        <w:t xml:space="preserve"> נפרד: האם </w:t>
      </w:r>
      <w:r w:rsidR="00A80A26">
        <w:rPr>
          <w:rFonts w:cs="David" w:hint="cs"/>
          <w:sz w:val="24"/>
          <w:szCs w:val="24"/>
          <w:rtl/>
        </w:rPr>
        <w:t xml:space="preserve">בחינתן של כלל התקנות שנאספו בקובץ שבמסכת גיטין יכולה ללמד אותנו משהו </w:t>
      </w:r>
      <w:r w:rsidR="004C0D90">
        <w:rPr>
          <w:rFonts w:cs="David" w:hint="cs"/>
          <w:sz w:val="24"/>
          <w:szCs w:val="24"/>
          <w:rtl/>
        </w:rPr>
        <w:t>חדש ונ</w:t>
      </w:r>
      <w:r w:rsidR="00A80A26">
        <w:rPr>
          <w:rFonts w:cs="David" w:hint="cs"/>
          <w:sz w:val="24"/>
          <w:szCs w:val="24"/>
          <w:rtl/>
        </w:rPr>
        <w:t xml:space="preserve">וסף על </w:t>
      </w:r>
      <w:r w:rsidR="00066112">
        <w:rPr>
          <w:rFonts w:cs="David" w:hint="cs"/>
          <w:sz w:val="24"/>
          <w:szCs w:val="24"/>
          <w:rtl/>
        </w:rPr>
        <w:t xml:space="preserve">אודות </w:t>
      </w:r>
      <w:r w:rsidR="00A80A26">
        <w:rPr>
          <w:rFonts w:cs="David" w:hint="cs"/>
          <w:sz w:val="24"/>
          <w:szCs w:val="24"/>
          <w:rtl/>
        </w:rPr>
        <w:t xml:space="preserve">התפיסה הערכית של שלהי תקופת המשנה את </w:t>
      </w:r>
      <w:r w:rsidR="00D3201B">
        <w:rPr>
          <w:rFonts w:cs="David" w:hint="cs"/>
          <w:sz w:val="24"/>
          <w:szCs w:val="24"/>
          <w:rtl/>
        </w:rPr>
        <w:t>'</w:t>
      </w:r>
      <w:r w:rsidR="00A80A26">
        <w:rPr>
          <w:rFonts w:cs="David" w:hint="cs"/>
          <w:sz w:val="24"/>
          <w:szCs w:val="24"/>
          <w:rtl/>
        </w:rPr>
        <w:t>דרכי השלום'? לצד זאת</w:t>
      </w:r>
      <w:r w:rsidR="004C0D90">
        <w:rPr>
          <w:rFonts w:cs="David" w:hint="cs"/>
          <w:sz w:val="24"/>
          <w:szCs w:val="24"/>
          <w:rtl/>
        </w:rPr>
        <w:t xml:space="preserve"> </w:t>
      </w:r>
      <w:r w:rsidR="00D3201B">
        <w:rPr>
          <w:rFonts w:cs="David"/>
          <w:sz w:val="24"/>
          <w:szCs w:val="24"/>
          <w:rtl/>
        </w:rPr>
        <w:t>–</w:t>
      </w:r>
      <w:r w:rsidR="00A80A26">
        <w:rPr>
          <w:rFonts w:cs="David" w:hint="cs"/>
          <w:sz w:val="24"/>
          <w:szCs w:val="24"/>
          <w:rtl/>
        </w:rPr>
        <w:t xml:space="preserve"> </w:t>
      </w:r>
      <w:r w:rsidR="00D3201B">
        <w:rPr>
          <w:rFonts w:cs="David" w:hint="cs"/>
          <w:sz w:val="24"/>
          <w:szCs w:val="24"/>
          <w:rtl/>
        </w:rPr>
        <w:t>האם ו</w:t>
      </w:r>
      <w:r w:rsidR="00A80A26">
        <w:rPr>
          <w:rFonts w:cs="David" w:hint="cs"/>
          <w:sz w:val="24"/>
          <w:szCs w:val="24"/>
          <w:rtl/>
        </w:rPr>
        <w:t xml:space="preserve">מה ניתן ללמוד מההכרעה שלא לכלול </w:t>
      </w:r>
      <w:r w:rsidR="00D3201B">
        <w:rPr>
          <w:rFonts w:cs="David" w:hint="cs"/>
          <w:sz w:val="24"/>
          <w:szCs w:val="24"/>
          <w:rtl/>
        </w:rPr>
        <w:t xml:space="preserve">בקובץ </w:t>
      </w:r>
      <w:r w:rsidR="005D14B7">
        <w:rPr>
          <w:rFonts w:cs="David" w:hint="cs"/>
          <w:sz w:val="24"/>
          <w:szCs w:val="24"/>
          <w:rtl/>
        </w:rPr>
        <w:lastRenderedPageBreak/>
        <w:t xml:space="preserve">זה </w:t>
      </w:r>
      <w:r w:rsidR="00A80A26">
        <w:rPr>
          <w:rFonts w:cs="David" w:hint="cs"/>
          <w:sz w:val="24"/>
          <w:szCs w:val="24"/>
          <w:rtl/>
        </w:rPr>
        <w:t xml:space="preserve">הלכות </w:t>
      </w:r>
      <w:r w:rsidR="005D14B7">
        <w:rPr>
          <w:rFonts w:cs="David" w:hint="cs"/>
          <w:sz w:val="24"/>
          <w:szCs w:val="24"/>
          <w:rtl/>
        </w:rPr>
        <w:t>ות</w:t>
      </w:r>
      <w:r w:rsidR="00A80A26">
        <w:rPr>
          <w:rFonts w:cs="David" w:hint="cs"/>
          <w:sz w:val="24"/>
          <w:szCs w:val="24"/>
          <w:rtl/>
        </w:rPr>
        <w:t>קנות קדומות יותר</w:t>
      </w:r>
      <w:r w:rsidR="00D3201B">
        <w:rPr>
          <w:rFonts w:cs="David" w:hint="cs"/>
          <w:sz w:val="24"/>
          <w:szCs w:val="24"/>
          <w:rtl/>
        </w:rPr>
        <w:t>,</w:t>
      </w:r>
      <w:r w:rsidR="002A3F0F">
        <w:rPr>
          <w:rFonts w:cs="David" w:hint="cs"/>
          <w:sz w:val="24"/>
          <w:szCs w:val="24"/>
          <w:rtl/>
        </w:rPr>
        <w:t xml:space="preserve"> שנשתמרו במקורות </w:t>
      </w:r>
      <w:proofErr w:type="spellStart"/>
      <w:r w:rsidR="002A3F0F">
        <w:rPr>
          <w:rFonts w:cs="David" w:hint="cs"/>
          <w:sz w:val="24"/>
          <w:szCs w:val="24"/>
          <w:rtl/>
        </w:rPr>
        <w:t>תנאי</w:t>
      </w:r>
      <w:r w:rsidR="001E5FAC">
        <w:rPr>
          <w:rFonts w:cs="David" w:hint="cs"/>
          <w:sz w:val="24"/>
          <w:szCs w:val="24"/>
          <w:rtl/>
        </w:rPr>
        <w:t>י</w:t>
      </w:r>
      <w:r w:rsidR="002A3F0F">
        <w:rPr>
          <w:rFonts w:cs="David" w:hint="cs"/>
          <w:sz w:val="24"/>
          <w:szCs w:val="24"/>
          <w:rtl/>
        </w:rPr>
        <w:t>ם</w:t>
      </w:r>
      <w:proofErr w:type="spellEnd"/>
      <w:r w:rsidR="002A3F0F">
        <w:rPr>
          <w:rFonts w:cs="David" w:hint="cs"/>
          <w:sz w:val="24"/>
          <w:szCs w:val="24"/>
          <w:rtl/>
        </w:rPr>
        <w:t xml:space="preserve"> אחרים</w:t>
      </w:r>
      <w:r w:rsidR="00D55ADA">
        <w:rPr>
          <w:rFonts w:cs="David" w:hint="cs"/>
          <w:sz w:val="24"/>
          <w:szCs w:val="24"/>
          <w:rtl/>
        </w:rPr>
        <w:t xml:space="preserve"> (במשנה או מחוצה לה)</w:t>
      </w:r>
      <w:r w:rsidR="00A80A26">
        <w:rPr>
          <w:rFonts w:cs="David" w:hint="cs"/>
          <w:sz w:val="24"/>
          <w:szCs w:val="24"/>
          <w:rtl/>
        </w:rPr>
        <w:t xml:space="preserve">? </w:t>
      </w:r>
      <w:r w:rsidR="00D3201B">
        <w:rPr>
          <w:rFonts w:cs="David" w:hint="cs"/>
          <w:sz w:val="24"/>
          <w:szCs w:val="24"/>
          <w:rtl/>
        </w:rPr>
        <w:t>ושאלה אחרונה במישור</w:t>
      </w:r>
      <w:r w:rsidR="00F075F0">
        <w:rPr>
          <w:rFonts w:cs="David" w:hint="cs"/>
          <w:sz w:val="24"/>
          <w:szCs w:val="24"/>
          <w:rtl/>
        </w:rPr>
        <w:t xml:space="preserve"> הרעיוני</w:t>
      </w:r>
      <w:r w:rsidR="00D3201B">
        <w:rPr>
          <w:rFonts w:cs="David" w:hint="cs"/>
          <w:sz w:val="24"/>
          <w:szCs w:val="24"/>
          <w:rtl/>
        </w:rPr>
        <w:t xml:space="preserve">, </w:t>
      </w:r>
      <w:r w:rsidR="0063143B">
        <w:rPr>
          <w:rFonts w:cs="David" w:hint="cs"/>
          <w:sz w:val="24"/>
          <w:szCs w:val="24"/>
          <w:rtl/>
        </w:rPr>
        <w:t xml:space="preserve">שהתייחסתי אליה </w:t>
      </w:r>
      <w:r w:rsidR="00D3201B">
        <w:rPr>
          <w:rFonts w:cs="David" w:hint="cs"/>
          <w:sz w:val="24"/>
          <w:szCs w:val="24"/>
          <w:rtl/>
        </w:rPr>
        <w:t>בחלקו הקודם של המאמר</w:t>
      </w:r>
      <w:r w:rsidR="004934FA">
        <w:rPr>
          <w:rFonts w:cs="David" w:hint="cs"/>
          <w:sz w:val="24"/>
          <w:szCs w:val="24"/>
          <w:rtl/>
        </w:rPr>
        <w:t xml:space="preserve"> באופן לא ממצה</w:t>
      </w:r>
      <w:r w:rsidR="00D3201B">
        <w:rPr>
          <w:rFonts w:cs="David" w:hint="cs"/>
          <w:sz w:val="24"/>
          <w:szCs w:val="24"/>
          <w:rtl/>
        </w:rPr>
        <w:t>, היא מהן המשמעויות שנוצרו כתוצאה מהצמדתו של קובץ 'דרכי השלום' אל חטיבת 'תיקון העולם'?</w:t>
      </w:r>
      <w:r w:rsidR="0004161E">
        <w:rPr>
          <w:rFonts w:cs="David" w:hint="cs"/>
          <w:sz w:val="24"/>
          <w:szCs w:val="24"/>
          <w:rtl/>
        </w:rPr>
        <w:t>;</w:t>
      </w:r>
      <w:r w:rsidR="00D3201B">
        <w:rPr>
          <w:rFonts w:cs="David" w:hint="cs"/>
          <w:sz w:val="24"/>
          <w:szCs w:val="24"/>
          <w:rtl/>
        </w:rPr>
        <w:t xml:space="preserve"> </w:t>
      </w:r>
      <w:r w:rsidR="00A80A26">
        <w:rPr>
          <w:rFonts w:cs="David" w:hint="cs"/>
          <w:sz w:val="24"/>
          <w:szCs w:val="24"/>
          <w:rtl/>
        </w:rPr>
        <w:t xml:space="preserve">מן הבחינה </w:t>
      </w:r>
      <w:proofErr w:type="spellStart"/>
      <w:r w:rsidR="00A80A26">
        <w:rPr>
          <w:rFonts w:cs="David" w:hint="cs"/>
          <w:sz w:val="24"/>
          <w:szCs w:val="24"/>
          <w:rtl/>
        </w:rPr>
        <w:t>היוריספרודנטית</w:t>
      </w:r>
      <w:proofErr w:type="spellEnd"/>
      <w:r w:rsidR="00A80A26">
        <w:rPr>
          <w:rFonts w:cs="David" w:hint="cs"/>
          <w:sz w:val="24"/>
          <w:szCs w:val="24"/>
          <w:rtl/>
        </w:rPr>
        <w:t xml:space="preserve"> </w:t>
      </w:r>
      <w:r w:rsidR="00E45E5F">
        <w:rPr>
          <w:rFonts w:cs="David" w:hint="cs"/>
          <w:sz w:val="24"/>
          <w:szCs w:val="24"/>
          <w:rtl/>
        </w:rPr>
        <w:t xml:space="preserve">נשאל </w:t>
      </w:r>
      <w:r w:rsidR="00A80A26">
        <w:rPr>
          <w:rFonts w:cs="David" w:hint="cs"/>
          <w:sz w:val="24"/>
          <w:szCs w:val="24"/>
          <w:rtl/>
        </w:rPr>
        <w:t>האם</w:t>
      </w:r>
      <w:r w:rsidR="0026373A">
        <w:rPr>
          <w:rFonts w:cs="David" w:hint="cs"/>
          <w:sz w:val="24"/>
          <w:szCs w:val="24"/>
          <w:rtl/>
        </w:rPr>
        <w:t xml:space="preserve"> הבחנתו של קנדי לגבי יצירתה של קטגוריה משפטית תקפה לקבצי תקנות במשנה,</w:t>
      </w:r>
      <w:r w:rsidR="00A80A26">
        <w:rPr>
          <w:rFonts w:cs="David" w:hint="cs"/>
          <w:sz w:val="24"/>
          <w:szCs w:val="24"/>
          <w:rtl/>
        </w:rPr>
        <w:t xml:space="preserve"> </w:t>
      </w:r>
      <w:r w:rsidR="004C0D90">
        <w:rPr>
          <w:rFonts w:cs="David" w:hint="cs"/>
          <w:sz w:val="24"/>
          <w:szCs w:val="24"/>
          <w:rtl/>
        </w:rPr>
        <w:t>או שמא להפך</w:t>
      </w:r>
      <w:r w:rsidR="00A80A26">
        <w:rPr>
          <w:rFonts w:cs="David" w:hint="cs"/>
          <w:sz w:val="24"/>
          <w:szCs w:val="24"/>
          <w:rtl/>
        </w:rPr>
        <w:t xml:space="preserve">, </w:t>
      </w:r>
      <w:r w:rsidR="00DE78C8">
        <w:rPr>
          <w:rFonts w:cs="David" w:hint="cs"/>
          <w:sz w:val="24"/>
          <w:szCs w:val="24"/>
          <w:rtl/>
        </w:rPr>
        <w:t>בדומה ל</w:t>
      </w:r>
      <w:r w:rsidR="003E255B">
        <w:rPr>
          <w:rFonts w:cs="David" w:hint="cs"/>
          <w:sz w:val="24"/>
          <w:szCs w:val="24"/>
          <w:rtl/>
        </w:rPr>
        <w:t>הבחנותיהם</w:t>
      </w:r>
      <w:r w:rsidR="004C0D90">
        <w:rPr>
          <w:rFonts w:cs="David" w:hint="cs"/>
          <w:sz w:val="24"/>
          <w:szCs w:val="24"/>
          <w:rtl/>
        </w:rPr>
        <w:t xml:space="preserve"> של </w:t>
      </w:r>
      <w:r w:rsidR="00A80A26">
        <w:rPr>
          <w:rFonts w:cs="David" w:hint="cs"/>
          <w:sz w:val="24"/>
          <w:szCs w:val="24"/>
          <w:rtl/>
        </w:rPr>
        <w:t>הוגים אחרים</w:t>
      </w:r>
      <w:r w:rsidR="00235E27">
        <w:rPr>
          <w:rFonts w:cs="David" w:hint="cs"/>
          <w:sz w:val="24"/>
          <w:szCs w:val="24"/>
          <w:rtl/>
        </w:rPr>
        <w:t xml:space="preserve"> -</w:t>
      </w:r>
      <w:r w:rsidR="00A80A26">
        <w:rPr>
          <w:rFonts w:cs="David" w:hint="cs"/>
          <w:sz w:val="24"/>
          <w:szCs w:val="24"/>
          <w:rtl/>
        </w:rPr>
        <w:t xml:space="preserve"> כגון הרט, ו</w:t>
      </w:r>
      <w:r w:rsidR="00E7637C">
        <w:rPr>
          <w:rFonts w:cs="David" w:hint="cs"/>
          <w:sz w:val="24"/>
          <w:szCs w:val="24"/>
          <w:rtl/>
        </w:rPr>
        <w:t>לחילופין</w:t>
      </w:r>
      <w:r w:rsidR="00A80A26">
        <w:rPr>
          <w:rFonts w:cs="David" w:hint="cs"/>
          <w:sz w:val="24"/>
          <w:szCs w:val="24"/>
          <w:rtl/>
        </w:rPr>
        <w:t xml:space="preserve"> </w:t>
      </w:r>
      <w:proofErr w:type="spellStart"/>
      <w:r w:rsidR="00A80A26">
        <w:rPr>
          <w:rFonts w:cs="David" w:hint="cs"/>
          <w:sz w:val="24"/>
          <w:szCs w:val="24"/>
          <w:rtl/>
        </w:rPr>
        <w:t>דוורקין</w:t>
      </w:r>
      <w:proofErr w:type="spellEnd"/>
      <w:r w:rsidR="00235E27">
        <w:rPr>
          <w:rFonts w:cs="David" w:hint="cs"/>
          <w:sz w:val="24"/>
          <w:szCs w:val="24"/>
          <w:rtl/>
        </w:rPr>
        <w:t xml:space="preserve"> -</w:t>
      </w:r>
      <w:r w:rsidR="00A80A26">
        <w:rPr>
          <w:rFonts w:cs="David" w:hint="cs"/>
          <w:sz w:val="24"/>
          <w:szCs w:val="24"/>
          <w:rtl/>
        </w:rPr>
        <w:t xml:space="preserve"> </w:t>
      </w:r>
      <w:r w:rsidR="00797FEF">
        <w:rPr>
          <w:rFonts w:cs="David" w:hint="cs"/>
          <w:sz w:val="24"/>
          <w:szCs w:val="24"/>
          <w:rtl/>
        </w:rPr>
        <w:t xml:space="preserve">התקנות מקבלות כך מעמד חדש, של </w:t>
      </w:r>
      <w:r w:rsidR="00A80A26">
        <w:rPr>
          <w:rFonts w:cs="David" w:hint="cs"/>
          <w:sz w:val="24"/>
          <w:szCs w:val="24"/>
          <w:rtl/>
        </w:rPr>
        <w:t>עיקרון משפטי</w:t>
      </w:r>
      <w:r w:rsidR="0026373A">
        <w:rPr>
          <w:rFonts w:cs="David" w:hint="cs"/>
          <w:sz w:val="24"/>
          <w:szCs w:val="24"/>
          <w:rtl/>
        </w:rPr>
        <w:t>?</w:t>
      </w:r>
      <w:r w:rsidR="00797FEF">
        <w:rPr>
          <w:rFonts w:cs="David" w:hint="cs"/>
          <w:sz w:val="24"/>
          <w:szCs w:val="24"/>
          <w:rtl/>
        </w:rPr>
        <w:t xml:space="preserve"> ואם כך </w:t>
      </w:r>
      <w:r w:rsidR="00797FEF">
        <w:rPr>
          <w:rFonts w:cs="David"/>
          <w:sz w:val="24"/>
          <w:szCs w:val="24"/>
          <w:rtl/>
        </w:rPr>
        <w:t>–</w:t>
      </w:r>
      <w:r w:rsidR="00797FEF">
        <w:rPr>
          <w:rFonts w:cs="David" w:hint="cs"/>
          <w:sz w:val="24"/>
          <w:szCs w:val="24"/>
          <w:rtl/>
        </w:rPr>
        <w:t xml:space="preserve"> האם יש למעמד זה </w:t>
      </w:r>
      <w:r w:rsidR="00B2427E">
        <w:rPr>
          <w:rFonts w:cs="David" w:hint="cs"/>
          <w:sz w:val="24"/>
          <w:szCs w:val="24"/>
          <w:rtl/>
        </w:rPr>
        <w:t xml:space="preserve">יש </w:t>
      </w:r>
      <w:r w:rsidR="00797FEF">
        <w:rPr>
          <w:rFonts w:cs="David" w:hint="cs"/>
          <w:sz w:val="24"/>
          <w:szCs w:val="24"/>
          <w:rtl/>
        </w:rPr>
        <w:t xml:space="preserve">משמעויות והשלכות אחרות מאשר </w:t>
      </w:r>
      <w:r w:rsidR="0004161E">
        <w:rPr>
          <w:rFonts w:cs="David" w:hint="cs"/>
          <w:sz w:val="24"/>
          <w:szCs w:val="24"/>
          <w:rtl/>
        </w:rPr>
        <w:t>אלו שנבעו מ</w:t>
      </w:r>
      <w:r w:rsidR="00797FEF">
        <w:rPr>
          <w:rFonts w:cs="David" w:hint="cs"/>
          <w:sz w:val="24"/>
          <w:szCs w:val="24"/>
          <w:rtl/>
        </w:rPr>
        <w:t xml:space="preserve">תפיסתן </w:t>
      </w:r>
      <w:r w:rsidR="00A36FA4">
        <w:rPr>
          <w:rFonts w:cs="David" w:hint="cs"/>
          <w:sz w:val="24"/>
          <w:szCs w:val="24"/>
          <w:rtl/>
        </w:rPr>
        <w:t xml:space="preserve">של ההלכות </w:t>
      </w:r>
      <w:r w:rsidR="00797FEF">
        <w:rPr>
          <w:rFonts w:cs="David" w:hint="cs"/>
          <w:sz w:val="24"/>
          <w:szCs w:val="24"/>
          <w:rtl/>
        </w:rPr>
        <w:t xml:space="preserve">ככללים משפטיים בלבד?; </w:t>
      </w:r>
      <w:r w:rsidR="006C6439">
        <w:rPr>
          <w:rFonts w:cs="David" w:hint="cs"/>
          <w:sz w:val="24"/>
          <w:szCs w:val="24"/>
          <w:rtl/>
        </w:rPr>
        <w:t xml:space="preserve">ואולי </w:t>
      </w:r>
      <w:r w:rsidR="00B2427E">
        <w:rPr>
          <w:rFonts w:cs="David" w:hint="cs"/>
          <w:sz w:val="24"/>
          <w:szCs w:val="24"/>
          <w:rtl/>
        </w:rPr>
        <w:t xml:space="preserve">יתגלו </w:t>
      </w:r>
      <w:r w:rsidR="002939A9">
        <w:rPr>
          <w:rFonts w:cs="David" w:hint="cs"/>
          <w:sz w:val="24"/>
          <w:szCs w:val="24"/>
          <w:rtl/>
        </w:rPr>
        <w:t xml:space="preserve">הקונספציות המשפטיות החיצוניות </w:t>
      </w:r>
      <w:r w:rsidR="00B2427E">
        <w:rPr>
          <w:rFonts w:cs="David" w:hint="cs"/>
          <w:sz w:val="24"/>
          <w:szCs w:val="24"/>
          <w:rtl/>
        </w:rPr>
        <w:t>כחסרות תרומה</w:t>
      </w:r>
      <w:r w:rsidR="00A46544">
        <w:rPr>
          <w:rFonts w:cs="David" w:hint="cs"/>
          <w:sz w:val="24"/>
          <w:szCs w:val="24"/>
          <w:rtl/>
        </w:rPr>
        <w:t xml:space="preserve"> </w:t>
      </w:r>
      <w:proofErr w:type="spellStart"/>
      <w:r w:rsidR="002939A9">
        <w:rPr>
          <w:rFonts w:cs="David" w:hint="cs"/>
          <w:sz w:val="24"/>
          <w:szCs w:val="24"/>
          <w:rtl/>
        </w:rPr>
        <w:t>להנהרתה</w:t>
      </w:r>
      <w:proofErr w:type="spellEnd"/>
      <w:r w:rsidR="002939A9">
        <w:rPr>
          <w:rFonts w:cs="David" w:hint="cs"/>
          <w:sz w:val="24"/>
          <w:szCs w:val="24"/>
          <w:rtl/>
        </w:rPr>
        <w:t xml:space="preserve"> של המערכת ההלכתית התנאית</w:t>
      </w:r>
      <w:r w:rsidR="00A46544">
        <w:rPr>
          <w:rFonts w:cs="David" w:hint="cs"/>
          <w:sz w:val="24"/>
          <w:szCs w:val="24"/>
          <w:rtl/>
        </w:rPr>
        <w:t xml:space="preserve"> -</w:t>
      </w:r>
      <w:r w:rsidR="002939A9">
        <w:rPr>
          <w:rFonts w:cs="David" w:hint="cs"/>
          <w:sz w:val="24"/>
          <w:szCs w:val="24"/>
          <w:rtl/>
        </w:rPr>
        <w:t xml:space="preserve"> בכל האמור </w:t>
      </w:r>
      <w:r w:rsidR="007E6F26">
        <w:rPr>
          <w:rFonts w:cs="David" w:hint="cs"/>
          <w:sz w:val="24"/>
          <w:szCs w:val="24"/>
          <w:rtl/>
        </w:rPr>
        <w:t>ב</w:t>
      </w:r>
      <w:r w:rsidR="002939A9">
        <w:rPr>
          <w:rFonts w:cs="David" w:hint="cs"/>
          <w:sz w:val="24"/>
          <w:szCs w:val="24"/>
          <w:rtl/>
        </w:rPr>
        <w:t xml:space="preserve">אותם </w:t>
      </w:r>
      <w:r w:rsidR="005A4176">
        <w:rPr>
          <w:rFonts w:cs="David" w:hint="cs"/>
          <w:sz w:val="24"/>
          <w:szCs w:val="24"/>
          <w:rtl/>
        </w:rPr>
        <w:t xml:space="preserve">מקבצים </w:t>
      </w:r>
      <w:r w:rsidR="006C6439">
        <w:rPr>
          <w:rFonts w:cs="David" w:hint="cs"/>
          <w:sz w:val="24"/>
          <w:szCs w:val="24"/>
          <w:rtl/>
        </w:rPr>
        <w:t xml:space="preserve">שבהם צמודה </w:t>
      </w:r>
      <w:r w:rsidR="00BF34B3">
        <w:rPr>
          <w:rFonts w:cs="David" w:hint="cs"/>
          <w:sz w:val="24"/>
          <w:szCs w:val="24"/>
          <w:rtl/>
        </w:rPr>
        <w:t xml:space="preserve">אותה </w:t>
      </w:r>
      <w:r w:rsidR="006C6439">
        <w:rPr>
          <w:rFonts w:cs="David" w:hint="cs"/>
          <w:sz w:val="24"/>
          <w:szCs w:val="24"/>
          <w:rtl/>
        </w:rPr>
        <w:t xml:space="preserve">הנמקה מפורשת כמעט לכל </w:t>
      </w:r>
      <w:r w:rsidR="00210E96">
        <w:rPr>
          <w:rFonts w:cs="David" w:hint="cs"/>
          <w:sz w:val="24"/>
          <w:szCs w:val="24"/>
          <w:rtl/>
        </w:rPr>
        <w:t xml:space="preserve">אחת מן </w:t>
      </w:r>
      <w:r w:rsidR="006C6439">
        <w:rPr>
          <w:rFonts w:cs="David" w:hint="cs"/>
          <w:sz w:val="24"/>
          <w:szCs w:val="24"/>
          <w:rtl/>
        </w:rPr>
        <w:t>ה</w:t>
      </w:r>
      <w:r w:rsidR="00210E96">
        <w:rPr>
          <w:rFonts w:cs="David" w:hint="cs"/>
          <w:sz w:val="24"/>
          <w:szCs w:val="24"/>
          <w:rtl/>
        </w:rPr>
        <w:t>ה</w:t>
      </w:r>
      <w:r w:rsidR="006C6439">
        <w:rPr>
          <w:rFonts w:cs="David" w:hint="cs"/>
          <w:sz w:val="24"/>
          <w:szCs w:val="24"/>
          <w:rtl/>
        </w:rPr>
        <w:t>לכ</w:t>
      </w:r>
      <w:r w:rsidR="00210E96">
        <w:rPr>
          <w:rFonts w:cs="David" w:hint="cs"/>
          <w:sz w:val="24"/>
          <w:szCs w:val="24"/>
          <w:rtl/>
        </w:rPr>
        <w:t>ות</w:t>
      </w:r>
      <w:r w:rsidR="00BF34B3">
        <w:rPr>
          <w:rFonts w:cs="David" w:hint="cs"/>
          <w:sz w:val="24"/>
          <w:szCs w:val="24"/>
          <w:rtl/>
        </w:rPr>
        <w:t xml:space="preserve"> שבקובץ</w:t>
      </w:r>
      <w:r w:rsidR="006C6439">
        <w:rPr>
          <w:rFonts w:cs="David" w:hint="cs"/>
          <w:sz w:val="24"/>
          <w:szCs w:val="24"/>
          <w:rtl/>
        </w:rPr>
        <w:t xml:space="preserve"> </w:t>
      </w:r>
      <w:r w:rsidR="00A46544">
        <w:rPr>
          <w:rFonts w:cs="David"/>
          <w:sz w:val="24"/>
          <w:szCs w:val="24"/>
          <w:rtl/>
        </w:rPr>
        <w:t>–</w:t>
      </w:r>
      <w:r w:rsidR="006C6439">
        <w:rPr>
          <w:rFonts w:cs="David" w:hint="cs"/>
          <w:sz w:val="24"/>
          <w:szCs w:val="24"/>
          <w:rtl/>
        </w:rPr>
        <w:t xml:space="preserve"> </w:t>
      </w:r>
      <w:r w:rsidR="00A46544">
        <w:rPr>
          <w:rFonts w:cs="David" w:hint="cs"/>
          <w:sz w:val="24"/>
          <w:szCs w:val="24"/>
          <w:rtl/>
        </w:rPr>
        <w:t xml:space="preserve">לגבי </w:t>
      </w:r>
      <w:r w:rsidR="006C6439" w:rsidRPr="006C6439">
        <w:rPr>
          <w:rFonts w:cs="David"/>
          <w:sz w:val="24"/>
          <w:szCs w:val="24"/>
          <w:rtl/>
        </w:rPr>
        <w:t>היחס</w:t>
      </w:r>
      <w:r w:rsidR="00A46544">
        <w:rPr>
          <w:rFonts w:cs="David" w:hint="cs"/>
          <w:sz w:val="24"/>
          <w:szCs w:val="24"/>
          <w:rtl/>
        </w:rPr>
        <w:t>ים</w:t>
      </w:r>
      <w:r w:rsidR="006C6439" w:rsidRPr="006C6439">
        <w:rPr>
          <w:rFonts w:cs="David"/>
          <w:sz w:val="24"/>
          <w:szCs w:val="24"/>
          <w:rtl/>
        </w:rPr>
        <w:t xml:space="preserve"> שמתקיי</w:t>
      </w:r>
      <w:r w:rsidR="00A46544">
        <w:rPr>
          <w:rFonts w:cs="David" w:hint="cs"/>
          <w:sz w:val="24"/>
          <w:szCs w:val="24"/>
          <w:rtl/>
        </w:rPr>
        <w:t>מים</w:t>
      </w:r>
      <w:r w:rsidR="006C6439" w:rsidRPr="006C6439">
        <w:rPr>
          <w:rFonts w:cs="David"/>
          <w:sz w:val="24"/>
          <w:szCs w:val="24"/>
          <w:rtl/>
        </w:rPr>
        <w:t xml:space="preserve"> </w:t>
      </w:r>
      <w:r w:rsidR="00BA1C26">
        <w:rPr>
          <w:rFonts w:cs="David" w:hint="cs"/>
          <w:sz w:val="24"/>
          <w:szCs w:val="24"/>
          <w:rtl/>
        </w:rPr>
        <w:t>בין כלל</w:t>
      </w:r>
      <w:r w:rsidR="00A46544">
        <w:rPr>
          <w:rFonts w:cs="David" w:hint="cs"/>
          <w:sz w:val="24"/>
          <w:szCs w:val="24"/>
          <w:rtl/>
        </w:rPr>
        <w:t>ים</w:t>
      </w:r>
      <w:r w:rsidR="00BA1C26">
        <w:rPr>
          <w:rFonts w:cs="David" w:hint="cs"/>
          <w:sz w:val="24"/>
          <w:szCs w:val="24"/>
          <w:rtl/>
        </w:rPr>
        <w:t xml:space="preserve"> או עקרו</w:t>
      </w:r>
      <w:r w:rsidR="00A46544">
        <w:rPr>
          <w:rFonts w:cs="David" w:hint="cs"/>
          <w:sz w:val="24"/>
          <w:szCs w:val="24"/>
          <w:rtl/>
        </w:rPr>
        <w:t>נות משפטיים</w:t>
      </w:r>
      <w:r w:rsidR="00BA1C26">
        <w:rPr>
          <w:rFonts w:cs="David" w:hint="cs"/>
          <w:sz w:val="24"/>
          <w:szCs w:val="24"/>
          <w:rtl/>
        </w:rPr>
        <w:t xml:space="preserve"> ל</w:t>
      </w:r>
      <w:r w:rsidR="00210E96">
        <w:rPr>
          <w:rFonts w:cs="David" w:hint="cs"/>
          <w:sz w:val="24"/>
          <w:szCs w:val="24"/>
          <w:rtl/>
        </w:rPr>
        <w:t xml:space="preserve">בין </w:t>
      </w:r>
      <w:r w:rsidR="00BA1C26">
        <w:rPr>
          <w:rFonts w:cs="David" w:hint="cs"/>
          <w:sz w:val="24"/>
          <w:szCs w:val="24"/>
          <w:rtl/>
        </w:rPr>
        <w:t>טעמ</w:t>
      </w:r>
      <w:r w:rsidR="00A46544">
        <w:rPr>
          <w:rFonts w:cs="David" w:hint="cs"/>
          <w:sz w:val="24"/>
          <w:szCs w:val="24"/>
          <w:rtl/>
        </w:rPr>
        <w:t>ם</w:t>
      </w:r>
      <w:r w:rsidR="00B4512F">
        <w:rPr>
          <w:rFonts w:cs="David" w:hint="cs"/>
          <w:sz w:val="24"/>
          <w:szCs w:val="24"/>
          <w:rtl/>
        </w:rPr>
        <w:t>.</w:t>
      </w:r>
      <w:r w:rsidR="00BA1C26">
        <w:rPr>
          <w:rFonts w:cs="David" w:hint="cs"/>
          <w:sz w:val="24"/>
          <w:szCs w:val="24"/>
          <w:rtl/>
        </w:rPr>
        <w:t xml:space="preserve"> </w:t>
      </w:r>
      <w:r w:rsidR="00B72212">
        <w:rPr>
          <w:rFonts w:cs="David" w:hint="cs"/>
          <w:sz w:val="24"/>
          <w:szCs w:val="24"/>
          <w:rtl/>
        </w:rPr>
        <w:t xml:space="preserve">מכל מקום </w:t>
      </w:r>
      <w:r w:rsidR="00192351">
        <w:rPr>
          <w:rFonts w:cs="David" w:hint="cs"/>
          <w:sz w:val="24"/>
          <w:szCs w:val="24"/>
          <w:rtl/>
        </w:rPr>
        <w:t>נצטרך לנסות ל</w:t>
      </w:r>
      <w:r w:rsidR="00546A96">
        <w:rPr>
          <w:rFonts w:cs="David" w:hint="cs"/>
          <w:sz w:val="24"/>
          <w:szCs w:val="24"/>
          <w:rtl/>
        </w:rPr>
        <w:t>ה</w:t>
      </w:r>
      <w:r w:rsidR="00FD0981">
        <w:rPr>
          <w:rFonts w:cs="David" w:hint="cs"/>
          <w:sz w:val="24"/>
          <w:szCs w:val="24"/>
          <w:rtl/>
        </w:rPr>
        <w:t>בין</w:t>
      </w:r>
      <w:r w:rsidR="00546A96">
        <w:rPr>
          <w:rFonts w:cs="David" w:hint="cs"/>
          <w:sz w:val="24"/>
          <w:szCs w:val="24"/>
          <w:rtl/>
        </w:rPr>
        <w:t xml:space="preserve"> </w:t>
      </w:r>
      <w:r w:rsidR="00192351">
        <w:rPr>
          <w:rFonts w:cs="David" w:hint="cs"/>
          <w:sz w:val="24"/>
          <w:szCs w:val="24"/>
          <w:rtl/>
        </w:rPr>
        <w:t>מה היו סיבותיהם של החכמים לנקוט באופן זה</w:t>
      </w:r>
      <w:r w:rsidR="00FD6228">
        <w:rPr>
          <w:rFonts w:cs="David" w:hint="cs"/>
          <w:sz w:val="24"/>
          <w:szCs w:val="24"/>
          <w:rtl/>
        </w:rPr>
        <w:t>, שהוא שונה מ</w:t>
      </w:r>
      <w:r w:rsidR="001E3834">
        <w:rPr>
          <w:rFonts w:cs="David" w:hint="cs"/>
          <w:sz w:val="24"/>
          <w:szCs w:val="24"/>
          <w:rtl/>
        </w:rPr>
        <w:t>הרכב</w:t>
      </w:r>
      <w:r w:rsidR="00BF34B3">
        <w:rPr>
          <w:rFonts w:cs="David" w:hint="cs"/>
          <w:sz w:val="24"/>
          <w:szCs w:val="24"/>
          <w:rtl/>
        </w:rPr>
        <w:t>ם</w:t>
      </w:r>
      <w:r w:rsidR="001E3834">
        <w:rPr>
          <w:rFonts w:cs="David" w:hint="cs"/>
          <w:sz w:val="24"/>
          <w:szCs w:val="24"/>
          <w:rtl/>
        </w:rPr>
        <w:t xml:space="preserve"> של</w:t>
      </w:r>
      <w:r w:rsidR="00FD6228">
        <w:rPr>
          <w:rFonts w:cs="David" w:hint="cs"/>
          <w:sz w:val="24"/>
          <w:szCs w:val="24"/>
          <w:rtl/>
        </w:rPr>
        <w:t xml:space="preserve"> רוב </w:t>
      </w:r>
      <w:bookmarkStart w:id="13" w:name="_GoBack"/>
      <w:bookmarkEnd w:id="13"/>
      <w:r w:rsidR="00BF34B3">
        <w:rPr>
          <w:rFonts w:cs="David" w:hint="cs"/>
          <w:sz w:val="24"/>
          <w:szCs w:val="24"/>
          <w:rtl/>
        </w:rPr>
        <w:t>פרקי המשנה</w:t>
      </w:r>
      <w:r w:rsidR="00192351">
        <w:rPr>
          <w:rFonts w:cs="David" w:hint="cs"/>
          <w:sz w:val="24"/>
          <w:szCs w:val="24"/>
          <w:rtl/>
        </w:rPr>
        <w:t>.</w:t>
      </w:r>
    </w:p>
    <w:p w14:paraId="26CE864E" w14:textId="77777777" w:rsidR="00A80A26" w:rsidRDefault="00A80A26" w:rsidP="00106502">
      <w:pPr>
        <w:spacing w:line="480" w:lineRule="auto"/>
        <w:rPr>
          <w:rFonts w:cs="David"/>
          <w:sz w:val="24"/>
          <w:szCs w:val="24"/>
          <w:rtl/>
        </w:rPr>
      </w:pPr>
    </w:p>
    <w:p w14:paraId="0562CB0E" w14:textId="33A79864" w:rsidR="002012CA" w:rsidRPr="002012CA" w:rsidRDefault="00A80A26" w:rsidP="00597BD6">
      <w:pPr>
        <w:spacing w:line="480" w:lineRule="auto"/>
        <w:rPr>
          <w:rFonts w:eastAsia="Calibri" w:cs="David"/>
          <w:sz w:val="24"/>
          <w:szCs w:val="24"/>
          <w:shd w:val="clear" w:color="auto" w:fill="FFFFFF"/>
        </w:rPr>
      </w:pPr>
      <w:r>
        <w:rPr>
          <w:rFonts w:cs="David" w:hint="cs"/>
          <w:sz w:val="24"/>
          <w:szCs w:val="24"/>
          <w:rtl/>
        </w:rPr>
        <w:t xml:space="preserve"> </w:t>
      </w:r>
    </w:p>
    <w:p w14:paraId="34CE0A41" w14:textId="77777777" w:rsidR="004F1368" w:rsidRPr="003F211C" w:rsidRDefault="004F1368" w:rsidP="004F1368">
      <w:pPr>
        <w:spacing w:line="480" w:lineRule="auto"/>
        <w:rPr>
          <w:rFonts w:ascii="Times New Roman" w:eastAsia="Calibri" w:hAnsi="Times New Roman" w:cs="Times New Roman"/>
          <w:sz w:val="24"/>
          <w:szCs w:val="24"/>
          <w:shd w:val="clear" w:color="auto" w:fill="FFFFFF"/>
          <w:rtl/>
        </w:rPr>
      </w:pPr>
    </w:p>
    <w:p w14:paraId="62EBF3C5" w14:textId="77777777" w:rsidR="003F211C" w:rsidRPr="003F211C" w:rsidRDefault="003F211C" w:rsidP="003F211C">
      <w:pPr>
        <w:pStyle w:val="21"/>
        <w:bidi/>
        <w:spacing w:line="480" w:lineRule="auto"/>
        <w:ind w:right="-87"/>
        <w:rPr>
          <w:rFonts w:ascii="David" w:hAnsi="David"/>
          <w:sz w:val="24"/>
          <w:szCs w:val="24"/>
          <w:rtl/>
        </w:rPr>
      </w:pPr>
    </w:p>
    <w:p w14:paraId="6D98A12B" w14:textId="77777777" w:rsidR="006533EA" w:rsidRDefault="006533EA" w:rsidP="004C2324">
      <w:pPr>
        <w:pStyle w:val="21"/>
        <w:spacing w:line="480" w:lineRule="auto"/>
        <w:ind w:right="-87"/>
        <w:rPr>
          <w:rFonts w:cs="Times New Roman"/>
          <w:sz w:val="24"/>
          <w:szCs w:val="24"/>
        </w:rPr>
      </w:pPr>
    </w:p>
    <w:p w14:paraId="2946DB82" w14:textId="77777777" w:rsidR="00DC3EC9" w:rsidRPr="00DC3EC9" w:rsidRDefault="00DC3EC9" w:rsidP="00886A47">
      <w:pPr>
        <w:spacing w:line="480" w:lineRule="auto"/>
        <w:rPr>
          <w:rFonts w:ascii="David" w:hAnsi="David" w:cs="David"/>
          <w:sz w:val="24"/>
          <w:szCs w:val="24"/>
          <w:rtl/>
        </w:rPr>
      </w:pPr>
    </w:p>
    <w:p w14:paraId="5997CC1D" w14:textId="77777777" w:rsidR="008F55F9" w:rsidRPr="000F4223" w:rsidRDefault="008F55F9" w:rsidP="008F55F9">
      <w:pPr>
        <w:spacing w:line="480" w:lineRule="auto"/>
        <w:rPr>
          <w:rFonts w:ascii="David" w:hAnsi="David" w:cs="David"/>
          <w:sz w:val="24"/>
          <w:szCs w:val="24"/>
        </w:rPr>
      </w:pPr>
    </w:p>
    <w:p w14:paraId="110FFD37" w14:textId="77777777" w:rsidR="008F55F9" w:rsidRPr="008F55F9" w:rsidRDefault="008F55F9" w:rsidP="008F55F9">
      <w:pPr>
        <w:spacing w:line="480" w:lineRule="auto"/>
        <w:rPr>
          <w:rFonts w:ascii="David" w:hAnsi="David" w:cs="David"/>
          <w:sz w:val="24"/>
          <w:szCs w:val="24"/>
          <w:rtl/>
        </w:rPr>
      </w:pPr>
    </w:p>
    <w:p w14:paraId="6B699379" w14:textId="77777777" w:rsidR="008B7A36" w:rsidRDefault="008B7A36" w:rsidP="0060516F">
      <w:pPr>
        <w:spacing w:line="480" w:lineRule="auto"/>
        <w:rPr>
          <w:rFonts w:ascii="David" w:hAnsi="David" w:cs="David"/>
          <w:sz w:val="24"/>
          <w:szCs w:val="24"/>
          <w:rtl/>
        </w:rPr>
      </w:pPr>
    </w:p>
    <w:p w14:paraId="3FE9F23F" w14:textId="77777777" w:rsidR="0060516F" w:rsidRDefault="0060516F" w:rsidP="00554147">
      <w:pPr>
        <w:spacing w:line="480" w:lineRule="auto"/>
        <w:rPr>
          <w:rFonts w:ascii="David" w:hAnsi="David" w:cs="David"/>
          <w:sz w:val="24"/>
          <w:szCs w:val="24"/>
          <w:rtl/>
        </w:rPr>
      </w:pPr>
    </w:p>
    <w:p w14:paraId="1F72F646" w14:textId="77777777" w:rsidR="0060516F" w:rsidRDefault="0060516F" w:rsidP="00554147">
      <w:pPr>
        <w:spacing w:line="480" w:lineRule="auto"/>
        <w:rPr>
          <w:rFonts w:ascii="David" w:hAnsi="David" w:cs="David"/>
          <w:sz w:val="24"/>
          <w:szCs w:val="24"/>
          <w:rtl/>
        </w:rPr>
      </w:pPr>
    </w:p>
    <w:p w14:paraId="08CE6F91" w14:textId="77777777" w:rsidR="00F27AF0" w:rsidRPr="004C15ED" w:rsidRDefault="00F27AF0" w:rsidP="00F27AF0">
      <w:pPr>
        <w:bidi w:val="0"/>
        <w:spacing w:line="480" w:lineRule="auto"/>
        <w:contextualSpacing/>
        <w:rPr>
          <w:rFonts w:ascii="Times New Roman" w:hAnsi="Times New Roman" w:cs="Times New Roman"/>
          <w:sz w:val="24"/>
          <w:szCs w:val="24"/>
        </w:rPr>
      </w:pPr>
    </w:p>
    <w:p w14:paraId="61CDCEAD" w14:textId="77777777" w:rsidR="00E32526" w:rsidRPr="00F805AA" w:rsidRDefault="00E32526" w:rsidP="00E32526">
      <w:pPr>
        <w:pStyle w:val="ab"/>
        <w:bidi w:val="0"/>
        <w:spacing w:line="480" w:lineRule="auto"/>
        <w:ind w:left="420"/>
        <w:rPr>
          <w:rFonts w:ascii="Times New Roman" w:eastAsia="Calibri" w:hAnsi="Times New Roman"/>
          <w:sz w:val="24"/>
          <w:szCs w:val="24"/>
        </w:rPr>
      </w:pPr>
    </w:p>
    <w:p w14:paraId="6BB9E253" w14:textId="77777777" w:rsidR="008B0177" w:rsidRDefault="008B0177" w:rsidP="007B66F9">
      <w:pPr>
        <w:spacing w:line="480" w:lineRule="auto"/>
        <w:rPr>
          <w:rFonts w:ascii="David" w:hAnsi="David" w:cs="David"/>
          <w:sz w:val="24"/>
          <w:szCs w:val="24"/>
          <w:rtl/>
        </w:rPr>
      </w:pPr>
    </w:p>
    <w:p w14:paraId="23DE523C" w14:textId="77777777" w:rsidR="0081195E" w:rsidRPr="00FB46EE" w:rsidRDefault="0081195E" w:rsidP="007B66F9">
      <w:pPr>
        <w:spacing w:line="480" w:lineRule="auto"/>
        <w:rPr>
          <w:rFonts w:ascii="David" w:hAnsi="David" w:cs="David"/>
          <w:sz w:val="24"/>
          <w:szCs w:val="24"/>
        </w:rPr>
      </w:pPr>
    </w:p>
    <w:p w14:paraId="52E56223" w14:textId="77777777" w:rsidR="00971670" w:rsidRPr="00B214F1" w:rsidRDefault="00971670" w:rsidP="00B214F1">
      <w:pPr>
        <w:spacing w:line="480" w:lineRule="auto"/>
        <w:rPr>
          <w:rFonts w:ascii="David" w:hAnsi="David" w:cs="David"/>
          <w:b/>
          <w:bCs/>
          <w:sz w:val="24"/>
          <w:szCs w:val="24"/>
          <w:rtl/>
        </w:rPr>
      </w:pPr>
    </w:p>
    <w:p w14:paraId="07547A01" w14:textId="77777777" w:rsidR="00A02B9F" w:rsidRPr="002E7D7C" w:rsidRDefault="00A02B9F" w:rsidP="00BE24C1">
      <w:pPr>
        <w:spacing w:line="480" w:lineRule="auto"/>
        <w:ind w:firstLine="720"/>
        <w:rPr>
          <w:rFonts w:ascii="David" w:hAnsi="David" w:cs="David"/>
          <w:sz w:val="24"/>
          <w:szCs w:val="24"/>
        </w:rPr>
      </w:pPr>
    </w:p>
    <w:sectPr w:rsidR="00A02B9F" w:rsidRPr="002E7D7C" w:rsidSect="00096A2C">
      <w:headerReference w:type="default" r:id="rId8"/>
      <w:footerReference w:type="default" r:id="rId9"/>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6E6996" w14:textId="77777777" w:rsidR="000E645C" w:rsidRDefault="000E645C" w:rsidP="00FF02CD">
      <w:pPr>
        <w:spacing w:after="0" w:line="240" w:lineRule="auto"/>
      </w:pPr>
      <w:r>
        <w:separator/>
      </w:r>
    </w:p>
  </w:endnote>
  <w:endnote w:type="continuationSeparator" w:id="0">
    <w:p w14:paraId="601EB748" w14:textId="77777777" w:rsidR="000E645C" w:rsidRDefault="000E645C" w:rsidP="00FF02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BL Greek">
    <w:altName w:val="Times New Roman"/>
    <w:panose1 w:val="02000000000000000000"/>
    <w:charset w:val="00"/>
    <w:family w:val="auto"/>
    <w:pitch w:val="variable"/>
    <w:sig w:usb0="C00000EF" w:usb1="0001A0CB" w:usb2="00000000" w:usb3="00000000" w:csb0="00000009"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GANRW S+ Times">
    <w:altName w:val="Cambria"/>
    <w:panose1 w:val="00000000000000000000"/>
    <w:charset w:val="00"/>
    <w:family w:val="roman"/>
    <w:notTrueType/>
    <w:pitch w:val="default"/>
    <w:sig w:usb0="00000003" w:usb1="00000000" w:usb2="00000000" w:usb3="00000000" w:csb0="00000001"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Estrangelo Edessa">
    <w:panose1 w:val="03080600000000000000"/>
    <w:charset w:val="00"/>
    <w:family w:val="script"/>
    <w:pitch w:val="variable"/>
    <w:sig w:usb0="80002003" w:usb1="00000000" w:usb2="00000080" w:usb3="00000000" w:csb0="00000001" w:csb1="00000000"/>
  </w:font>
  <w:font w:name="Code">
    <w:altName w:val="Calibri"/>
    <w:panose1 w:val="00000000000000000000"/>
    <w:charset w:val="00"/>
    <w:family w:val="swiss"/>
    <w:notTrueType/>
    <w:pitch w:val="default"/>
    <w:sig w:usb0="00000003" w:usb1="00000000" w:usb2="00000000" w:usb3="00000000" w:csb0="00000001"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tl/>
      </w:rPr>
      <w:id w:val="-1429648637"/>
      <w:docPartObj>
        <w:docPartGallery w:val="Page Numbers (Bottom of Page)"/>
        <w:docPartUnique/>
      </w:docPartObj>
    </w:sdtPr>
    <w:sdtEndPr/>
    <w:sdtContent>
      <w:p w14:paraId="0EB546F9" w14:textId="018F1670" w:rsidR="00797FEF" w:rsidRDefault="00797FEF">
        <w:pPr>
          <w:pStyle w:val="a9"/>
          <w:jc w:val="right"/>
        </w:pPr>
        <w:r>
          <w:fldChar w:fldCharType="begin"/>
        </w:r>
        <w:r>
          <w:instrText>PAGE   \* MERGEFORMAT</w:instrText>
        </w:r>
        <w:r>
          <w:fldChar w:fldCharType="separate"/>
        </w:r>
        <w:r w:rsidRPr="005A0557">
          <w:rPr>
            <w:rFonts w:cs="Calibri"/>
            <w:noProof/>
            <w:rtl/>
            <w:lang w:val="he-IL"/>
          </w:rPr>
          <w:t>1</w:t>
        </w:r>
        <w:r w:rsidRPr="005A0557">
          <w:rPr>
            <w:rFonts w:cs="Calibri"/>
            <w:noProof/>
            <w:rtl/>
            <w:lang w:val="he-IL"/>
          </w:rPr>
          <w:t>4</w:t>
        </w:r>
        <w:r>
          <w:fldChar w:fldCharType="end"/>
        </w:r>
      </w:p>
    </w:sdtContent>
  </w:sdt>
  <w:p w14:paraId="5043CB0F" w14:textId="77777777" w:rsidR="00797FEF" w:rsidRDefault="00797FEF">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3D13DA" w14:textId="77777777" w:rsidR="000E645C" w:rsidRDefault="000E645C" w:rsidP="00FF02CD">
      <w:pPr>
        <w:spacing w:after="0" w:line="240" w:lineRule="auto"/>
      </w:pPr>
      <w:r>
        <w:separator/>
      </w:r>
    </w:p>
  </w:footnote>
  <w:footnote w:type="continuationSeparator" w:id="0">
    <w:p w14:paraId="2566B7DE" w14:textId="77777777" w:rsidR="000E645C" w:rsidRDefault="000E645C" w:rsidP="00FF02CD">
      <w:pPr>
        <w:spacing w:after="0" w:line="240" w:lineRule="auto"/>
      </w:pPr>
      <w:r>
        <w:continuationSeparator/>
      </w:r>
    </w:p>
  </w:footnote>
  <w:footnote w:id="1">
    <w:p w14:paraId="016A189F" w14:textId="0354E8DB" w:rsidR="00797FEF" w:rsidRPr="0095188F" w:rsidRDefault="00797FEF" w:rsidP="00E468C1">
      <w:pPr>
        <w:pStyle w:val="a3"/>
        <w:spacing w:line="480" w:lineRule="auto"/>
        <w:rPr>
          <w:rFonts w:ascii="David" w:hAnsi="David" w:cs="David"/>
          <w:sz w:val="24"/>
          <w:szCs w:val="24"/>
          <w:rtl/>
        </w:rPr>
      </w:pPr>
      <w:r w:rsidRPr="0095188F">
        <w:rPr>
          <w:rStyle w:val="a5"/>
          <w:rFonts w:ascii="David" w:hAnsi="David" w:cs="David"/>
          <w:sz w:val="24"/>
          <w:szCs w:val="24"/>
        </w:rPr>
        <w:footnoteRef/>
      </w:r>
      <w:r w:rsidRPr="0095188F">
        <w:rPr>
          <w:rFonts w:ascii="David" w:hAnsi="David" w:cs="David"/>
          <w:sz w:val="24"/>
          <w:szCs w:val="24"/>
          <w:rtl/>
        </w:rPr>
        <w:t xml:space="preserve"> </w:t>
      </w:r>
      <w:r w:rsidRPr="00B51D49">
        <w:rPr>
          <w:rFonts w:ascii="David" w:hAnsi="David" w:cs="David"/>
          <w:sz w:val="24"/>
          <w:szCs w:val="24"/>
          <w:rtl/>
        </w:rPr>
        <w:t>שביעית ד, ג, וְ-ה, ט</w:t>
      </w:r>
      <w:r>
        <w:rPr>
          <w:rFonts w:ascii="David" w:hAnsi="David" w:cs="David" w:hint="cs"/>
          <w:sz w:val="24"/>
          <w:szCs w:val="24"/>
          <w:rtl/>
        </w:rPr>
        <w:t xml:space="preserve">; </w:t>
      </w:r>
      <w:r w:rsidRPr="0095188F">
        <w:rPr>
          <w:rFonts w:ascii="David" w:hAnsi="David" w:cs="David"/>
          <w:sz w:val="24"/>
          <w:szCs w:val="24"/>
          <w:rtl/>
        </w:rPr>
        <w:t>שקלים א, ג; גיטין ה, ח-ט</w:t>
      </w:r>
      <w:r>
        <w:rPr>
          <w:rFonts w:ascii="David" w:hAnsi="David" w:cs="David" w:hint="cs"/>
          <w:sz w:val="24"/>
          <w:szCs w:val="24"/>
          <w:rtl/>
        </w:rPr>
        <w:t xml:space="preserve">; </w:t>
      </w:r>
      <w:r w:rsidRPr="00B51D49">
        <w:rPr>
          <w:rFonts w:ascii="David" w:hAnsi="David" w:cs="David"/>
          <w:sz w:val="24"/>
          <w:szCs w:val="24"/>
          <w:rtl/>
        </w:rPr>
        <w:t>דמאי ד, ב</w:t>
      </w:r>
      <w:r>
        <w:rPr>
          <w:rFonts w:ascii="David" w:hAnsi="David" w:cs="David" w:hint="cs"/>
          <w:sz w:val="24"/>
          <w:szCs w:val="24"/>
          <w:rtl/>
        </w:rPr>
        <w:t>.</w:t>
      </w:r>
    </w:p>
  </w:footnote>
  <w:footnote w:id="2">
    <w:p w14:paraId="680F37C1" w14:textId="7BB35751" w:rsidR="00797FEF" w:rsidRPr="0095188F" w:rsidRDefault="00797FEF" w:rsidP="00E468C1">
      <w:pPr>
        <w:pStyle w:val="a3"/>
        <w:spacing w:line="480" w:lineRule="auto"/>
        <w:rPr>
          <w:rFonts w:ascii="David" w:hAnsi="David" w:cs="David"/>
          <w:sz w:val="24"/>
          <w:szCs w:val="24"/>
          <w:rtl/>
        </w:rPr>
      </w:pPr>
      <w:r w:rsidRPr="0095188F">
        <w:rPr>
          <w:rStyle w:val="a5"/>
          <w:rFonts w:ascii="David" w:hAnsi="David" w:cs="David"/>
          <w:sz w:val="24"/>
          <w:szCs w:val="24"/>
        </w:rPr>
        <w:footnoteRef/>
      </w:r>
      <w:r w:rsidRPr="0095188F">
        <w:rPr>
          <w:rFonts w:ascii="David" w:hAnsi="David" w:cs="David"/>
          <w:sz w:val="24"/>
          <w:szCs w:val="24"/>
          <w:rtl/>
        </w:rPr>
        <w:t xml:space="preserve"> </w:t>
      </w:r>
      <w:r w:rsidRPr="0095188F">
        <w:rPr>
          <w:rFonts w:ascii="David" w:hAnsi="David" w:cs="David"/>
          <w:sz w:val="24"/>
          <w:szCs w:val="24"/>
          <w:rtl/>
        </w:rPr>
        <w:t xml:space="preserve">פאה ג, א; עירובין ה, יא; נדרים ב, ז; גיטין ג, </w:t>
      </w:r>
      <w:proofErr w:type="spellStart"/>
      <w:r w:rsidRPr="0095188F">
        <w:rPr>
          <w:rFonts w:ascii="David" w:hAnsi="David" w:cs="David"/>
          <w:sz w:val="24"/>
          <w:szCs w:val="24"/>
          <w:rtl/>
        </w:rPr>
        <w:t>יג</w:t>
      </w:r>
      <w:proofErr w:type="spellEnd"/>
      <w:r w:rsidRPr="0095188F">
        <w:rPr>
          <w:rFonts w:ascii="David" w:hAnsi="David" w:cs="David"/>
          <w:sz w:val="24"/>
          <w:szCs w:val="24"/>
          <w:rtl/>
        </w:rPr>
        <w:t xml:space="preserve">-יד; עבודה זרה א, ג; חולין י, </w:t>
      </w:r>
      <w:proofErr w:type="spellStart"/>
      <w:r w:rsidRPr="0095188F">
        <w:rPr>
          <w:rFonts w:ascii="David" w:hAnsi="David" w:cs="David"/>
          <w:sz w:val="24"/>
          <w:szCs w:val="24"/>
          <w:rtl/>
        </w:rPr>
        <w:t>יג</w:t>
      </w:r>
      <w:proofErr w:type="spellEnd"/>
      <w:r w:rsidR="00593776">
        <w:rPr>
          <w:rFonts w:ascii="David" w:hAnsi="David" w:cs="David" w:hint="cs"/>
          <w:sz w:val="24"/>
          <w:szCs w:val="24"/>
          <w:rtl/>
        </w:rPr>
        <w:t xml:space="preserve">; במסכתות הקטנות: </w:t>
      </w:r>
      <w:r w:rsidRPr="0095188F">
        <w:rPr>
          <w:rFonts w:ascii="David" w:hAnsi="David" w:cs="David"/>
          <w:sz w:val="24"/>
          <w:szCs w:val="24"/>
          <w:rtl/>
        </w:rPr>
        <w:t xml:space="preserve"> כלה רבתי ג, א.  </w:t>
      </w:r>
    </w:p>
  </w:footnote>
  <w:footnote w:id="3">
    <w:p w14:paraId="41EF3029" w14:textId="5432A779" w:rsidR="00797FEF" w:rsidRPr="0095188F" w:rsidRDefault="00797FEF" w:rsidP="0083375A">
      <w:pPr>
        <w:pStyle w:val="a3"/>
        <w:spacing w:line="480" w:lineRule="auto"/>
        <w:rPr>
          <w:rFonts w:ascii="David" w:hAnsi="David" w:cs="David"/>
          <w:sz w:val="24"/>
          <w:szCs w:val="24"/>
          <w:rtl/>
        </w:rPr>
      </w:pPr>
      <w:r w:rsidRPr="0095188F">
        <w:rPr>
          <w:rStyle w:val="a5"/>
          <w:rFonts w:ascii="David" w:hAnsi="David" w:cs="David"/>
          <w:sz w:val="24"/>
          <w:szCs w:val="24"/>
        </w:rPr>
        <w:footnoteRef/>
      </w:r>
      <w:r w:rsidRPr="0095188F">
        <w:rPr>
          <w:rFonts w:ascii="David" w:hAnsi="David" w:cs="David"/>
          <w:sz w:val="24"/>
          <w:szCs w:val="24"/>
          <w:rtl/>
        </w:rPr>
        <w:t xml:space="preserve"> </w:t>
      </w:r>
      <w:r w:rsidRPr="0095188F">
        <w:rPr>
          <w:rFonts w:ascii="David" w:hAnsi="David" w:cs="David"/>
          <w:sz w:val="24"/>
          <w:szCs w:val="24"/>
          <w:rtl/>
        </w:rPr>
        <w:t>קטע גניזה ניו יורק</w:t>
      </w:r>
      <w:r>
        <w:rPr>
          <w:rFonts w:ascii="David" w:hAnsi="David" w:cs="Estrangelo Edessa" w:hint="cs"/>
          <w:sz w:val="24"/>
          <w:szCs w:val="24"/>
          <w:rtl/>
          <w:lang w:bidi="syr-SY"/>
        </w:rPr>
        <w:t xml:space="preserve"> </w:t>
      </w:r>
      <w:r w:rsidRPr="0095188F">
        <w:rPr>
          <w:rFonts w:ascii="David" w:hAnsi="David" w:cs="David"/>
          <w:sz w:val="24"/>
          <w:szCs w:val="24"/>
        </w:rPr>
        <w:t>JTS ENA 1340.4</w:t>
      </w:r>
      <w:r w:rsidRPr="0095188F">
        <w:rPr>
          <w:rFonts w:ascii="David" w:hAnsi="David" w:cs="David"/>
          <w:sz w:val="24"/>
          <w:szCs w:val="24"/>
          <w:rtl/>
        </w:rPr>
        <w:t xml:space="preserve">. </w:t>
      </w:r>
      <w:r>
        <w:rPr>
          <w:rFonts w:ascii="David" w:hAnsi="David" w:cs="David" w:hint="cs"/>
          <w:sz w:val="24"/>
          <w:szCs w:val="24"/>
          <w:rtl/>
        </w:rPr>
        <w:t xml:space="preserve">הקטע מקביל למהדורת אפשטיין-מלמד של מכילתא </w:t>
      </w:r>
      <w:proofErr w:type="spellStart"/>
      <w:r>
        <w:rPr>
          <w:rFonts w:ascii="David" w:hAnsi="David" w:cs="David" w:hint="cs"/>
          <w:sz w:val="24"/>
          <w:szCs w:val="24"/>
          <w:rtl/>
        </w:rPr>
        <w:t>דרשב"י</w:t>
      </w:r>
      <w:proofErr w:type="spellEnd"/>
      <w:r>
        <w:rPr>
          <w:rFonts w:ascii="David" w:hAnsi="David" w:cs="David" w:hint="cs"/>
          <w:sz w:val="24"/>
          <w:szCs w:val="24"/>
          <w:rtl/>
        </w:rPr>
        <w:t>, עמ' 10-9</w:t>
      </w:r>
      <w:r w:rsidR="00593776">
        <w:rPr>
          <w:rFonts w:ascii="David" w:hAnsi="David" w:cs="David" w:hint="cs"/>
          <w:sz w:val="24"/>
          <w:szCs w:val="24"/>
          <w:rtl/>
        </w:rPr>
        <w:t>,</w:t>
      </w:r>
      <w:r>
        <w:rPr>
          <w:rFonts w:ascii="David" w:hAnsi="David" w:cs="David" w:hint="cs"/>
          <w:sz w:val="24"/>
          <w:szCs w:val="24"/>
          <w:rtl/>
        </w:rPr>
        <w:t xml:space="preserve">  </w:t>
      </w:r>
      <w:r w:rsidR="00593776">
        <w:rPr>
          <w:rFonts w:ascii="David" w:hAnsi="David" w:cs="David" w:hint="cs"/>
          <w:sz w:val="24"/>
          <w:szCs w:val="24"/>
          <w:rtl/>
        </w:rPr>
        <w:t>ו</w:t>
      </w:r>
      <w:r w:rsidRPr="0095188F">
        <w:rPr>
          <w:rFonts w:ascii="David" w:hAnsi="David" w:cs="David"/>
          <w:sz w:val="24"/>
          <w:szCs w:val="24"/>
          <w:rtl/>
        </w:rPr>
        <w:t xml:space="preserve">פורסם על ידי </w:t>
      </w:r>
      <w:r w:rsidRPr="0071708B">
        <w:rPr>
          <w:rFonts w:asciiTheme="majorBidi" w:hAnsiTheme="majorBidi" w:cstheme="majorBidi"/>
          <w:sz w:val="24"/>
          <w:szCs w:val="24"/>
        </w:rPr>
        <w:t xml:space="preserve">Shraga Abramson, </w:t>
      </w:r>
      <w:r>
        <w:rPr>
          <w:rFonts w:ascii="SBL Greek" w:hAnsi="SBL Greek" w:cstheme="majorBidi"/>
          <w:sz w:val="24"/>
          <w:szCs w:val="24"/>
        </w:rPr>
        <w:t>“</w:t>
      </w:r>
      <w:r w:rsidRPr="0071708B">
        <w:rPr>
          <w:rFonts w:asciiTheme="majorBidi" w:hAnsiTheme="majorBidi" w:cstheme="majorBidi"/>
          <w:sz w:val="24"/>
          <w:szCs w:val="24"/>
        </w:rPr>
        <w:t xml:space="preserve">A New Fragment of the </w:t>
      </w:r>
      <w:r>
        <w:rPr>
          <w:rFonts w:asciiTheme="majorBidi" w:hAnsiTheme="majorBidi" w:cstheme="majorBidi"/>
          <w:sz w:val="24"/>
          <w:szCs w:val="24"/>
        </w:rPr>
        <w:t>Ꜥ</w:t>
      </w:r>
      <w:proofErr w:type="spellStart"/>
      <w:r w:rsidRPr="0071708B">
        <w:rPr>
          <w:rFonts w:asciiTheme="majorBidi" w:hAnsiTheme="majorBidi" w:cstheme="majorBidi"/>
          <w:sz w:val="24"/>
          <w:szCs w:val="24"/>
        </w:rPr>
        <w:t>Mekhilta</w:t>
      </w:r>
      <w:proofErr w:type="spellEnd"/>
      <w:r w:rsidRPr="0071708B">
        <w:rPr>
          <w:rFonts w:asciiTheme="majorBidi" w:hAnsiTheme="majorBidi" w:cstheme="majorBidi"/>
          <w:sz w:val="24"/>
          <w:szCs w:val="24"/>
        </w:rPr>
        <w:t xml:space="preserve"> de Rabbi </w:t>
      </w:r>
      <w:proofErr w:type="spellStart"/>
      <w:r w:rsidRPr="0071708B">
        <w:rPr>
          <w:rFonts w:asciiTheme="majorBidi" w:hAnsiTheme="majorBidi" w:cstheme="majorBidi"/>
          <w:sz w:val="24"/>
          <w:szCs w:val="24"/>
        </w:rPr>
        <w:t>Shim</w:t>
      </w:r>
      <w:r>
        <w:rPr>
          <w:rFonts w:ascii="SBL Greek" w:hAnsi="SBL Greek" w:cstheme="majorBidi"/>
          <w:sz w:val="24"/>
          <w:szCs w:val="24"/>
        </w:rPr>
        <w:t>`</w:t>
      </w:r>
      <w:r w:rsidRPr="0071708B">
        <w:rPr>
          <w:rFonts w:asciiTheme="majorBidi" w:hAnsiTheme="majorBidi" w:cstheme="majorBidi"/>
          <w:sz w:val="24"/>
          <w:szCs w:val="24"/>
        </w:rPr>
        <w:t>on</w:t>
      </w:r>
      <w:proofErr w:type="spellEnd"/>
      <w:r w:rsidRPr="0071708B">
        <w:rPr>
          <w:rFonts w:asciiTheme="majorBidi" w:hAnsiTheme="majorBidi" w:cstheme="majorBidi"/>
          <w:sz w:val="24"/>
          <w:szCs w:val="24"/>
        </w:rPr>
        <w:t xml:space="preserve"> Bar </w:t>
      </w:r>
      <w:proofErr w:type="spellStart"/>
      <w:r w:rsidRPr="0071708B">
        <w:rPr>
          <w:rFonts w:asciiTheme="majorBidi" w:hAnsiTheme="majorBidi" w:cstheme="majorBidi"/>
          <w:sz w:val="24"/>
          <w:szCs w:val="24"/>
        </w:rPr>
        <w:t>Yoha</w:t>
      </w:r>
      <w:r>
        <w:rPr>
          <w:rFonts w:asciiTheme="majorBidi" w:hAnsiTheme="majorBidi" w:cstheme="majorBidi"/>
          <w:sz w:val="24"/>
          <w:szCs w:val="24"/>
        </w:rPr>
        <w:t>i</w:t>
      </w:r>
      <w:proofErr w:type="spellEnd"/>
      <w:r>
        <w:rPr>
          <w:rFonts w:ascii="SBL Greek" w:hAnsi="SBL Greek" w:cstheme="majorBidi"/>
          <w:sz w:val="24"/>
          <w:szCs w:val="24"/>
        </w:rPr>
        <w:t>’</w:t>
      </w:r>
      <w:r w:rsidRPr="0071708B">
        <w:rPr>
          <w:rFonts w:asciiTheme="majorBidi" w:hAnsiTheme="majorBidi" w:cstheme="majorBidi"/>
          <w:sz w:val="24"/>
          <w:szCs w:val="24"/>
        </w:rPr>
        <w:t xml:space="preserve">”, </w:t>
      </w:r>
      <w:proofErr w:type="spellStart"/>
      <w:r w:rsidRPr="0071708B">
        <w:rPr>
          <w:rFonts w:asciiTheme="majorBidi" w:hAnsiTheme="majorBidi" w:cstheme="majorBidi"/>
          <w:i/>
          <w:iCs/>
          <w:sz w:val="24"/>
          <w:szCs w:val="24"/>
        </w:rPr>
        <w:t>Tarbiz</w:t>
      </w:r>
      <w:proofErr w:type="spellEnd"/>
      <w:r w:rsidRPr="0071708B">
        <w:rPr>
          <w:rFonts w:asciiTheme="majorBidi" w:hAnsiTheme="majorBidi" w:cstheme="majorBidi"/>
          <w:sz w:val="24"/>
          <w:szCs w:val="24"/>
        </w:rPr>
        <w:t xml:space="preserve"> 41 (1971),  pp. 361-372</w:t>
      </w:r>
      <w:r w:rsidR="00FE291F">
        <w:rPr>
          <w:rFonts w:ascii="Times New Roman" w:hAnsi="Times New Roman" w:hint="cs"/>
          <w:sz w:val="24"/>
          <w:szCs w:val="24"/>
          <w:rtl/>
        </w:rPr>
        <w:t>;</w:t>
      </w:r>
      <w:r>
        <w:rPr>
          <w:rFonts w:ascii="Times New Roman" w:hAnsi="Times New Roman" w:hint="cs"/>
          <w:sz w:val="24"/>
          <w:szCs w:val="24"/>
          <w:rtl/>
        </w:rPr>
        <w:t xml:space="preserve"> </w:t>
      </w:r>
      <w:r w:rsidRPr="0083375A">
        <w:rPr>
          <w:rFonts w:ascii="David" w:hAnsi="David" w:cs="David"/>
          <w:sz w:val="24"/>
          <w:szCs w:val="24"/>
          <w:rtl/>
        </w:rPr>
        <w:t>תיאור הקטע אצל</w:t>
      </w:r>
      <w:r w:rsidRPr="00416FD8">
        <w:rPr>
          <w:rFonts w:ascii="Times New Roman" w:hAnsi="Times New Roman" w:cs="Times New Roman"/>
          <w:sz w:val="24"/>
          <w:szCs w:val="24"/>
          <w:lang w:val="el-GR"/>
        </w:rPr>
        <w:t xml:space="preserve">      </w:t>
      </w:r>
      <w:r w:rsidRPr="00416FD8">
        <w:rPr>
          <w:rFonts w:ascii="Times New Roman" w:hAnsi="Times New Roman" w:cs="Times New Roman"/>
          <w:sz w:val="24"/>
          <w:szCs w:val="24"/>
        </w:rPr>
        <w:t xml:space="preserve">Menahem </w:t>
      </w:r>
      <w:proofErr w:type="spellStart"/>
      <w:r w:rsidRPr="00416FD8">
        <w:rPr>
          <w:rFonts w:ascii="Times New Roman" w:hAnsi="Times New Roman" w:cs="Times New Roman"/>
          <w:sz w:val="24"/>
          <w:szCs w:val="24"/>
        </w:rPr>
        <w:t>Khana</w:t>
      </w:r>
      <w:proofErr w:type="spellEnd"/>
      <w:r w:rsidRPr="00416FD8">
        <w:rPr>
          <w:rFonts w:ascii="Times New Roman" w:hAnsi="Times New Roman" w:cs="Times New Roman"/>
          <w:sz w:val="24"/>
          <w:szCs w:val="24"/>
        </w:rPr>
        <w:t xml:space="preserve">, </w:t>
      </w:r>
      <w:r w:rsidRPr="00416FD8">
        <w:rPr>
          <w:rFonts w:ascii="Times New Roman" w:hAnsi="Times New Roman" w:cs="Times New Roman"/>
          <w:i/>
          <w:iCs/>
          <w:sz w:val="24"/>
          <w:szCs w:val="24"/>
        </w:rPr>
        <w:t>Manuscripts of the Halakhic Midrashim An Annotated Catalogue</w:t>
      </w:r>
      <w:r w:rsidRPr="00416FD8">
        <w:rPr>
          <w:rFonts w:ascii="Times New Roman" w:hAnsi="Times New Roman" w:cs="Times New Roman"/>
          <w:sz w:val="24"/>
          <w:szCs w:val="24"/>
        </w:rPr>
        <w:t xml:space="preserve">, Jerusalem: The Israel Academy and Humanities </w:t>
      </w:r>
      <w:proofErr w:type="spellStart"/>
      <w:r w:rsidRPr="00416FD8">
        <w:rPr>
          <w:rFonts w:ascii="Times New Roman" w:hAnsi="Times New Roman" w:cs="Times New Roman"/>
          <w:sz w:val="24"/>
          <w:szCs w:val="24"/>
        </w:rPr>
        <w:t>Yad</w:t>
      </w:r>
      <w:proofErr w:type="spellEnd"/>
      <w:r w:rsidRPr="00416FD8">
        <w:rPr>
          <w:rFonts w:ascii="Times New Roman" w:hAnsi="Times New Roman" w:cs="Times New Roman"/>
          <w:sz w:val="24"/>
          <w:szCs w:val="24"/>
        </w:rPr>
        <w:t xml:space="preserve"> Izhak Ben-</w:t>
      </w:r>
      <w:proofErr w:type="spellStart"/>
      <w:r w:rsidRPr="00416FD8">
        <w:rPr>
          <w:rFonts w:ascii="Times New Roman" w:hAnsi="Times New Roman" w:cs="Times New Roman"/>
          <w:sz w:val="24"/>
          <w:szCs w:val="24"/>
        </w:rPr>
        <w:t>Zvi</w:t>
      </w:r>
      <w:proofErr w:type="spellEnd"/>
      <w:r w:rsidRPr="00416FD8">
        <w:rPr>
          <w:rFonts w:ascii="Times New Roman" w:hAnsi="Times New Roman" w:cs="Times New Roman"/>
          <w:sz w:val="24"/>
          <w:szCs w:val="24"/>
        </w:rPr>
        <w:t xml:space="preserve">, 1995, </w:t>
      </w:r>
      <w:proofErr w:type="gramStart"/>
      <w:r w:rsidRPr="00416FD8">
        <w:rPr>
          <w:rFonts w:ascii="Times New Roman" w:hAnsi="Times New Roman" w:cs="Times New Roman"/>
          <w:sz w:val="24"/>
          <w:szCs w:val="24"/>
        </w:rPr>
        <w:t>46</w:t>
      </w:r>
      <w:r>
        <w:rPr>
          <w:rFonts w:ascii="David" w:hAnsi="David" w:cs="David"/>
          <w:sz w:val="24"/>
          <w:szCs w:val="24"/>
        </w:rPr>
        <w:t>;</w:t>
      </w:r>
      <w:r>
        <w:rPr>
          <w:rFonts w:ascii="David" w:hAnsi="David" w:cs="David" w:hint="cs"/>
          <w:sz w:val="24"/>
          <w:szCs w:val="24"/>
          <w:rtl/>
        </w:rPr>
        <w:t>.</w:t>
      </w:r>
      <w:proofErr w:type="gramEnd"/>
      <w:r>
        <w:rPr>
          <w:rFonts w:ascii="David" w:hAnsi="David" w:cs="David" w:hint="cs"/>
          <w:sz w:val="24"/>
          <w:szCs w:val="24"/>
          <w:rtl/>
        </w:rPr>
        <w:t xml:space="preserve"> הקטע כולו: </w:t>
      </w:r>
      <w:r>
        <w:rPr>
          <w:rFonts w:ascii="David" w:hAnsi="David" w:cs="David"/>
          <w:sz w:val="24"/>
          <w:szCs w:val="24"/>
        </w:rPr>
        <w:t xml:space="preserve"> Idem, The </w:t>
      </w:r>
      <w:proofErr w:type="spellStart"/>
      <w:r>
        <w:rPr>
          <w:rFonts w:ascii="David" w:hAnsi="David" w:cs="David"/>
          <w:sz w:val="24"/>
          <w:szCs w:val="24"/>
        </w:rPr>
        <w:t>Gnizah</w:t>
      </w:r>
      <w:proofErr w:type="spellEnd"/>
      <w:r>
        <w:rPr>
          <w:rFonts w:ascii="David" w:hAnsi="David" w:cs="David"/>
          <w:sz w:val="24"/>
          <w:szCs w:val="24"/>
        </w:rPr>
        <w:t xml:space="preserve"> Fragments of the Halakhic Midrashim, I, Jerusalem: </w:t>
      </w:r>
      <w:proofErr w:type="spellStart"/>
      <w:r>
        <w:rPr>
          <w:rFonts w:ascii="David" w:hAnsi="David" w:cs="David"/>
          <w:sz w:val="24"/>
          <w:szCs w:val="24"/>
        </w:rPr>
        <w:t>Magnes</w:t>
      </w:r>
      <w:proofErr w:type="spellEnd"/>
      <w:r>
        <w:rPr>
          <w:rFonts w:ascii="David" w:hAnsi="David" w:cs="David"/>
          <w:sz w:val="24"/>
          <w:szCs w:val="24"/>
        </w:rPr>
        <w:t xml:space="preserve"> Press, 2005, 154-155.  </w:t>
      </w:r>
      <w:r w:rsidRPr="0095188F">
        <w:rPr>
          <w:rFonts w:ascii="David" w:hAnsi="David" w:cs="David"/>
          <w:sz w:val="24"/>
          <w:szCs w:val="24"/>
          <w:rtl/>
        </w:rPr>
        <w:t>.</w:t>
      </w:r>
    </w:p>
  </w:footnote>
  <w:footnote w:id="4">
    <w:p w14:paraId="44E871BC" w14:textId="3D1EC2AB" w:rsidR="00797FEF" w:rsidRPr="006D07FB" w:rsidRDefault="00797FEF" w:rsidP="006D07FB">
      <w:pPr>
        <w:pStyle w:val="a3"/>
        <w:spacing w:line="480" w:lineRule="auto"/>
        <w:rPr>
          <w:rFonts w:ascii="David" w:hAnsi="David" w:cs="David"/>
          <w:sz w:val="24"/>
          <w:szCs w:val="24"/>
          <w:rtl/>
        </w:rPr>
      </w:pPr>
      <w:r w:rsidRPr="0095188F">
        <w:rPr>
          <w:rStyle w:val="a5"/>
          <w:rFonts w:ascii="David" w:hAnsi="David" w:cs="David"/>
          <w:sz w:val="24"/>
          <w:szCs w:val="24"/>
        </w:rPr>
        <w:footnoteRef/>
      </w:r>
      <w:r w:rsidRPr="0095188F">
        <w:rPr>
          <w:rFonts w:ascii="David" w:hAnsi="David" w:cs="David"/>
          <w:sz w:val="24"/>
          <w:szCs w:val="24"/>
          <w:rtl/>
        </w:rPr>
        <w:t xml:space="preserve"> </w:t>
      </w:r>
      <w:r w:rsidRPr="0095188F">
        <w:rPr>
          <w:rFonts w:ascii="David" w:hAnsi="David" w:cs="David"/>
          <w:sz w:val="24"/>
          <w:szCs w:val="24"/>
        </w:rPr>
        <w:t xml:space="preserve">See Eliezer </w:t>
      </w:r>
      <w:proofErr w:type="spellStart"/>
      <w:r w:rsidRPr="0095188F">
        <w:rPr>
          <w:rFonts w:ascii="David" w:hAnsi="David" w:cs="David"/>
          <w:sz w:val="24"/>
          <w:szCs w:val="24"/>
        </w:rPr>
        <w:t>Bugard</w:t>
      </w:r>
      <w:proofErr w:type="spellEnd"/>
      <w:r w:rsidRPr="0095188F">
        <w:rPr>
          <w:rFonts w:ascii="David" w:hAnsi="David" w:cs="David"/>
          <w:sz w:val="24"/>
          <w:szCs w:val="24"/>
        </w:rPr>
        <w:t xml:space="preserve">, </w:t>
      </w:r>
      <w:r w:rsidRPr="0095188F">
        <w:rPr>
          <w:rFonts w:ascii="David" w:hAnsi="David" w:cs="David"/>
          <w:i/>
          <w:iCs/>
          <w:sz w:val="24"/>
          <w:szCs w:val="24"/>
        </w:rPr>
        <w:t>"</w:t>
      </w:r>
      <w:proofErr w:type="spellStart"/>
      <w:r w:rsidRPr="0095188F">
        <w:rPr>
          <w:rFonts w:ascii="David" w:hAnsi="David" w:cs="David"/>
          <w:i/>
          <w:iCs/>
          <w:sz w:val="24"/>
          <w:szCs w:val="24"/>
        </w:rPr>
        <w:t>Mipenei</w:t>
      </w:r>
      <w:proofErr w:type="spellEnd"/>
      <w:r w:rsidRPr="0095188F">
        <w:rPr>
          <w:rFonts w:ascii="David" w:hAnsi="David" w:cs="David"/>
          <w:i/>
          <w:iCs/>
          <w:sz w:val="24"/>
          <w:szCs w:val="24"/>
        </w:rPr>
        <w:t xml:space="preserve"> </w:t>
      </w:r>
      <w:proofErr w:type="spellStart"/>
      <w:r w:rsidRPr="0095188F">
        <w:rPr>
          <w:rFonts w:ascii="David" w:hAnsi="David" w:cs="David"/>
          <w:i/>
          <w:iCs/>
          <w:sz w:val="24"/>
          <w:szCs w:val="24"/>
        </w:rPr>
        <w:t>darkhei</w:t>
      </w:r>
      <w:proofErr w:type="spellEnd"/>
      <w:r w:rsidRPr="0095188F">
        <w:rPr>
          <w:rFonts w:ascii="David" w:hAnsi="David" w:cs="David"/>
          <w:i/>
          <w:iCs/>
          <w:sz w:val="24"/>
          <w:szCs w:val="24"/>
        </w:rPr>
        <w:t xml:space="preserve"> shalom"</w:t>
      </w:r>
      <w:r w:rsidRPr="0095188F">
        <w:rPr>
          <w:rFonts w:ascii="David" w:hAnsi="David" w:cs="David"/>
          <w:sz w:val="24"/>
          <w:szCs w:val="24"/>
        </w:rPr>
        <w:t xml:space="preserve"> (master's thesis, Bar </w:t>
      </w:r>
      <w:proofErr w:type="spellStart"/>
      <w:r w:rsidRPr="0095188F">
        <w:rPr>
          <w:rFonts w:ascii="David" w:hAnsi="David" w:cs="David"/>
          <w:sz w:val="24"/>
          <w:szCs w:val="24"/>
        </w:rPr>
        <w:t>Ilan</w:t>
      </w:r>
      <w:proofErr w:type="spellEnd"/>
      <w:r w:rsidRPr="0095188F">
        <w:rPr>
          <w:rFonts w:ascii="David" w:hAnsi="David" w:cs="David"/>
          <w:sz w:val="24"/>
          <w:szCs w:val="24"/>
        </w:rPr>
        <w:t xml:space="preserve"> University, 1977</w:t>
      </w:r>
      <w:r w:rsidRPr="006D07FB">
        <w:rPr>
          <w:rFonts w:ascii="David" w:hAnsi="David" w:cs="David"/>
          <w:sz w:val="24"/>
          <w:szCs w:val="24"/>
        </w:rPr>
        <w:t>)</w:t>
      </w:r>
      <w:r w:rsidRPr="006D07FB">
        <w:rPr>
          <w:rFonts w:ascii="David" w:hAnsi="David" w:cs="David" w:hint="cs"/>
          <w:sz w:val="24"/>
          <w:szCs w:val="24"/>
          <w:rtl/>
        </w:rPr>
        <w:t xml:space="preserve"> </w:t>
      </w:r>
      <w:r>
        <w:rPr>
          <w:rFonts w:ascii="David" w:hAnsi="David" w:cs="David" w:hint="cs"/>
          <w:sz w:val="24"/>
          <w:szCs w:val="24"/>
          <w:rtl/>
        </w:rPr>
        <w:t xml:space="preserve">; </w:t>
      </w:r>
      <w:r w:rsidRPr="006D07FB">
        <w:rPr>
          <w:rFonts w:ascii="David" w:hAnsi="David" w:cs="David"/>
          <w:sz w:val="24"/>
          <w:szCs w:val="24"/>
          <w:rtl/>
        </w:rPr>
        <w:t>הייז, רואה את שתי ההצדקות כמייצגות שני מצבים הופכיים</w:t>
      </w:r>
      <w:r>
        <w:rPr>
          <w:rFonts w:ascii="David" w:hAnsi="David" w:cs="David" w:hint="cs"/>
          <w:sz w:val="24"/>
          <w:szCs w:val="24"/>
          <w:rtl/>
        </w:rPr>
        <w:t xml:space="preserve">: </w:t>
      </w:r>
      <w:r w:rsidRPr="006D07FB">
        <w:rPr>
          <w:rFonts w:ascii="David" w:hAnsi="David" w:cs="David"/>
          <w:sz w:val="24"/>
          <w:szCs w:val="24"/>
        </w:rPr>
        <w:t xml:space="preserve">Christine Elizabeth Hayes, </w:t>
      </w:r>
      <w:r w:rsidRPr="006D07FB">
        <w:rPr>
          <w:rFonts w:ascii="David" w:hAnsi="David" w:cs="David"/>
          <w:i/>
          <w:iCs/>
          <w:sz w:val="24"/>
          <w:szCs w:val="24"/>
        </w:rPr>
        <w:t xml:space="preserve">Between the Babylonian and Palestinian </w:t>
      </w:r>
      <w:proofErr w:type="spellStart"/>
      <w:r w:rsidRPr="006D07FB">
        <w:rPr>
          <w:rFonts w:ascii="David" w:hAnsi="David" w:cs="David"/>
          <w:i/>
          <w:iCs/>
          <w:sz w:val="24"/>
          <w:szCs w:val="24"/>
        </w:rPr>
        <w:t>Talmuds</w:t>
      </w:r>
      <w:proofErr w:type="spellEnd"/>
      <w:r w:rsidRPr="006D07FB">
        <w:rPr>
          <w:rFonts w:ascii="David" w:hAnsi="David" w:cs="David"/>
          <w:i/>
          <w:iCs/>
          <w:sz w:val="24"/>
          <w:szCs w:val="24"/>
        </w:rPr>
        <w:t xml:space="preserve">: </w:t>
      </w:r>
      <w:r w:rsidRPr="006D07FB">
        <w:rPr>
          <w:rFonts w:ascii="David" w:hAnsi="David" w:cs="David"/>
          <w:i/>
          <w:iCs/>
          <w:color w:val="111111"/>
          <w:sz w:val="24"/>
          <w:szCs w:val="24"/>
        </w:rPr>
        <w:t xml:space="preserve">Accounting for Halakhic Difference in Selected </w:t>
      </w:r>
      <w:proofErr w:type="spellStart"/>
      <w:r w:rsidRPr="006D07FB">
        <w:rPr>
          <w:rFonts w:ascii="David" w:hAnsi="David" w:cs="David"/>
          <w:i/>
          <w:iCs/>
          <w:color w:val="111111"/>
          <w:sz w:val="24"/>
          <w:szCs w:val="24"/>
        </w:rPr>
        <w:t>Sugyot</w:t>
      </w:r>
      <w:proofErr w:type="spellEnd"/>
      <w:r w:rsidRPr="006D07FB">
        <w:rPr>
          <w:rFonts w:ascii="David" w:hAnsi="David" w:cs="David"/>
          <w:i/>
          <w:iCs/>
          <w:color w:val="111111"/>
          <w:sz w:val="24"/>
          <w:szCs w:val="24"/>
        </w:rPr>
        <w:t xml:space="preserve"> from Tractate </w:t>
      </w:r>
      <w:proofErr w:type="spellStart"/>
      <w:r w:rsidRPr="006D07FB">
        <w:rPr>
          <w:rFonts w:ascii="David" w:hAnsi="David" w:cs="David"/>
          <w:i/>
          <w:iCs/>
          <w:color w:val="111111"/>
          <w:sz w:val="24"/>
          <w:szCs w:val="24"/>
        </w:rPr>
        <w:t>Avodah</w:t>
      </w:r>
      <w:proofErr w:type="spellEnd"/>
      <w:r w:rsidRPr="006D07FB">
        <w:rPr>
          <w:rFonts w:ascii="David" w:hAnsi="David" w:cs="David"/>
          <w:i/>
          <w:iCs/>
          <w:color w:val="111111"/>
          <w:sz w:val="24"/>
          <w:szCs w:val="24"/>
        </w:rPr>
        <w:t xml:space="preserve"> </w:t>
      </w:r>
      <w:proofErr w:type="spellStart"/>
      <w:r w:rsidRPr="006D07FB">
        <w:rPr>
          <w:rFonts w:ascii="David" w:hAnsi="David" w:cs="David"/>
          <w:i/>
          <w:iCs/>
          <w:color w:val="111111"/>
          <w:sz w:val="24"/>
          <w:szCs w:val="24"/>
        </w:rPr>
        <w:t>Zarah</w:t>
      </w:r>
      <w:proofErr w:type="spellEnd"/>
      <w:r w:rsidRPr="006D07FB">
        <w:rPr>
          <w:rFonts w:ascii="David" w:hAnsi="David" w:cs="David"/>
          <w:i/>
          <w:iCs/>
          <w:color w:val="111111"/>
          <w:sz w:val="24"/>
          <w:szCs w:val="24"/>
        </w:rPr>
        <w:t xml:space="preserve"> </w:t>
      </w:r>
      <w:r w:rsidRPr="006D07FB">
        <w:rPr>
          <w:rFonts w:ascii="David" w:hAnsi="David" w:cs="David"/>
          <w:color w:val="111111"/>
          <w:sz w:val="24"/>
          <w:szCs w:val="24"/>
        </w:rPr>
        <w:t>(</w:t>
      </w:r>
      <w:r w:rsidRPr="006D07FB">
        <w:rPr>
          <w:rFonts w:ascii="David" w:hAnsi="David" w:cs="David"/>
          <w:sz w:val="24"/>
          <w:szCs w:val="24"/>
        </w:rPr>
        <w:t>New York: Oxford University Press 1997)</w:t>
      </w:r>
      <w:r w:rsidRPr="006D07FB">
        <w:rPr>
          <w:rFonts w:ascii="David" w:hAnsi="David" w:cs="David"/>
          <w:i/>
          <w:iCs/>
          <w:sz w:val="24"/>
          <w:szCs w:val="24"/>
        </w:rPr>
        <w:t xml:space="preserve">, </w:t>
      </w:r>
      <w:r w:rsidRPr="006D07FB">
        <w:rPr>
          <w:rFonts w:ascii="David" w:hAnsi="David" w:cs="David"/>
          <w:sz w:val="24"/>
          <w:szCs w:val="24"/>
        </w:rPr>
        <w:t xml:space="preserve">238 n 46. </w:t>
      </w:r>
      <w:r w:rsidRPr="006D07FB">
        <w:rPr>
          <w:rFonts w:ascii="David" w:hAnsi="David" w:cs="David" w:hint="cs"/>
          <w:b/>
          <w:bCs/>
          <w:sz w:val="24"/>
          <w:szCs w:val="24"/>
          <w:rtl/>
        </w:rPr>
        <w:t xml:space="preserve">. </w:t>
      </w:r>
      <w:r w:rsidRPr="006D07FB">
        <w:rPr>
          <w:rFonts w:ascii="David" w:hAnsi="David" w:cs="David"/>
          <w:sz w:val="24"/>
          <w:szCs w:val="24"/>
          <w:rtl/>
        </w:rPr>
        <w:t xml:space="preserve">כך טוען גם </w:t>
      </w:r>
      <w:r w:rsidRPr="006D07FB">
        <w:rPr>
          <w:rFonts w:ascii="David" w:hAnsi="David" w:cs="David"/>
          <w:sz w:val="24"/>
          <w:szCs w:val="24"/>
        </w:rPr>
        <w:t xml:space="preserve">Walter S. </w:t>
      </w:r>
      <w:proofErr w:type="spellStart"/>
      <w:r w:rsidRPr="006D07FB">
        <w:rPr>
          <w:rFonts w:ascii="David" w:hAnsi="David" w:cs="David"/>
          <w:sz w:val="24"/>
          <w:szCs w:val="24"/>
        </w:rPr>
        <w:t>Würzburger</w:t>
      </w:r>
      <w:proofErr w:type="spellEnd"/>
      <w:r w:rsidRPr="006D07FB">
        <w:rPr>
          <w:rFonts w:ascii="David" w:hAnsi="David" w:cs="David"/>
          <w:sz w:val="24"/>
          <w:szCs w:val="24"/>
        </w:rPr>
        <w:t xml:space="preserve">, </w:t>
      </w:r>
      <w:r w:rsidRPr="006D07FB">
        <w:rPr>
          <w:rFonts w:ascii="David" w:hAnsi="David" w:cs="David"/>
          <w:i/>
          <w:iCs/>
          <w:color w:val="000000" w:themeColor="text1"/>
          <w:sz w:val="24"/>
          <w:szCs w:val="24"/>
        </w:rPr>
        <w:t xml:space="preserve">Ethics of Responsibility: pluralistic approaches to covenantal ethics </w:t>
      </w:r>
      <w:r w:rsidRPr="006D07FB">
        <w:rPr>
          <w:rFonts w:ascii="David" w:hAnsi="David" w:cs="David"/>
          <w:color w:val="000000" w:themeColor="text1"/>
          <w:sz w:val="24"/>
          <w:szCs w:val="24"/>
        </w:rPr>
        <w:t>1 set ed. (</w:t>
      </w:r>
      <w:r w:rsidRPr="006D07FB">
        <w:rPr>
          <w:rFonts w:ascii="David" w:hAnsi="David" w:cs="David"/>
          <w:color w:val="000000" w:themeColor="text1"/>
          <w:sz w:val="24"/>
          <w:szCs w:val="24"/>
          <w:shd w:val="clear" w:color="auto" w:fill="FFFFFF"/>
        </w:rPr>
        <w:t>Philadelphia: The Jewish Publication Society 1994)</w:t>
      </w:r>
      <w:r w:rsidRPr="006D07FB">
        <w:rPr>
          <w:rFonts w:ascii="David" w:hAnsi="David" w:cs="David"/>
          <w:i/>
          <w:iCs/>
          <w:color w:val="000000" w:themeColor="text1"/>
          <w:sz w:val="24"/>
          <w:szCs w:val="24"/>
        </w:rPr>
        <w:t xml:space="preserve"> </w:t>
      </w:r>
      <w:r w:rsidRPr="006D07FB">
        <w:rPr>
          <w:rFonts w:ascii="David" w:hAnsi="David" w:cs="David"/>
          <w:color w:val="000000" w:themeColor="text1"/>
          <w:sz w:val="24"/>
          <w:szCs w:val="24"/>
        </w:rPr>
        <w:t xml:space="preserve">49. See also </w:t>
      </w:r>
      <w:r w:rsidRPr="006D07FB">
        <w:rPr>
          <w:rFonts w:ascii="David" w:hAnsi="David" w:cs="David"/>
          <w:sz w:val="24"/>
          <w:szCs w:val="24"/>
        </w:rPr>
        <w:t xml:space="preserve">Walter S. </w:t>
      </w:r>
      <w:proofErr w:type="spellStart"/>
      <w:r w:rsidRPr="006D07FB">
        <w:rPr>
          <w:rFonts w:ascii="David" w:hAnsi="David" w:cs="David"/>
          <w:color w:val="000000" w:themeColor="text1"/>
          <w:sz w:val="24"/>
          <w:szCs w:val="24"/>
        </w:rPr>
        <w:t>Würzburger</w:t>
      </w:r>
      <w:proofErr w:type="spellEnd"/>
      <w:r w:rsidRPr="006D07FB">
        <w:rPr>
          <w:rFonts w:ascii="David" w:hAnsi="David" w:cs="David"/>
          <w:color w:val="000000" w:themeColor="text1"/>
          <w:sz w:val="24"/>
          <w:szCs w:val="24"/>
        </w:rPr>
        <w:t>, "</w:t>
      </w:r>
      <w:proofErr w:type="spellStart"/>
      <w:r w:rsidRPr="006D07FB">
        <w:rPr>
          <w:rFonts w:ascii="David" w:hAnsi="David" w:cs="David"/>
          <w:color w:val="000000" w:themeColor="text1"/>
          <w:sz w:val="24"/>
          <w:szCs w:val="24"/>
        </w:rPr>
        <w:t>Darkei</w:t>
      </w:r>
      <w:proofErr w:type="spellEnd"/>
      <w:r w:rsidRPr="006D07FB">
        <w:rPr>
          <w:rFonts w:ascii="David" w:hAnsi="David" w:cs="David"/>
          <w:color w:val="000000" w:themeColor="text1"/>
          <w:sz w:val="24"/>
          <w:szCs w:val="24"/>
        </w:rPr>
        <w:t xml:space="preserve"> Shalom," </w:t>
      </w:r>
      <w:proofErr w:type="spellStart"/>
      <w:r w:rsidRPr="006D07FB">
        <w:rPr>
          <w:rFonts w:ascii="David" w:hAnsi="David" w:cs="David"/>
          <w:color w:val="000000" w:themeColor="text1"/>
          <w:sz w:val="24"/>
          <w:szCs w:val="24"/>
        </w:rPr>
        <w:t>Gesher</w:t>
      </w:r>
      <w:proofErr w:type="spellEnd"/>
      <w:r w:rsidRPr="006D07FB">
        <w:rPr>
          <w:rFonts w:ascii="David" w:hAnsi="David" w:cs="David"/>
          <w:color w:val="000000" w:themeColor="text1"/>
          <w:sz w:val="24"/>
          <w:szCs w:val="24"/>
        </w:rPr>
        <w:t>:</w:t>
      </w:r>
      <w:r w:rsidRPr="006D07FB">
        <w:rPr>
          <w:rFonts w:ascii="David" w:hAnsi="David" w:cs="David"/>
          <w:sz w:val="24"/>
          <w:szCs w:val="24"/>
        </w:rPr>
        <w:t xml:space="preserve"> Bridging the Spectrum of Orthodox Jewish </w:t>
      </w:r>
      <w:proofErr w:type="spellStart"/>
      <w:r w:rsidRPr="006D07FB">
        <w:rPr>
          <w:rFonts w:ascii="David" w:hAnsi="David" w:cs="David"/>
          <w:sz w:val="24"/>
          <w:szCs w:val="24"/>
        </w:rPr>
        <w:t>Schohrship</w:t>
      </w:r>
      <w:proofErr w:type="spellEnd"/>
      <w:r w:rsidRPr="006D07FB">
        <w:rPr>
          <w:rFonts w:ascii="David" w:hAnsi="David" w:cs="David"/>
          <w:color w:val="000000" w:themeColor="text1"/>
          <w:sz w:val="24"/>
          <w:szCs w:val="24"/>
        </w:rPr>
        <w:t xml:space="preserve"> 6 (1978), p. </w:t>
      </w:r>
      <w:proofErr w:type="gramStart"/>
      <w:r w:rsidRPr="006D07FB">
        <w:rPr>
          <w:rFonts w:ascii="David" w:hAnsi="David" w:cs="David"/>
          <w:color w:val="000000" w:themeColor="text1"/>
          <w:sz w:val="24"/>
          <w:szCs w:val="24"/>
        </w:rPr>
        <w:t>82</w:t>
      </w:r>
      <w:r w:rsidRPr="006D07FB">
        <w:rPr>
          <w:rFonts w:ascii="David" w:hAnsi="David" w:cs="David"/>
          <w:sz w:val="24"/>
          <w:szCs w:val="24"/>
        </w:rPr>
        <w:t>.</w:t>
      </w:r>
      <w:r w:rsidRPr="006D07FB">
        <w:rPr>
          <w:rFonts w:ascii="David" w:hAnsi="David" w:cs="David" w:hint="cs"/>
          <w:sz w:val="24"/>
          <w:szCs w:val="24"/>
          <w:rtl/>
        </w:rPr>
        <w:t>.</w:t>
      </w:r>
      <w:proofErr w:type="gramEnd"/>
      <w:r w:rsidRPr="006D07FB">
        <w:rPr>
          <w:rFonts w:ascii="David" w:hAnsi="David" w:cs="David" w:hint="cs"/>
          <w:sz w:val="24"/>
          <w:szCs w:val="24"/>
          <w:rtl/>
        </w:rPr>
        <w:t xml:space="preserve"> </w:t>
      </w:r>
      <w:r w:rsidRPr="006D07FB">
        <w:rPr>
          <w:rFonts w:ascii="David" w:hAnsi="David" w:cs="David"/>
          <w:sz w:val="24"/>
          <w:szCs w:val="24"/>
          <w:rtl/>
        </w:rPr>
        <w:t>בדומה לכך גם:</w:t>
      </w:r>
    </w:p>
    <w:p w14:paraId="20E3A41F" w14:textId="77777777" w:rsidR="00797FEF" w:rsidRPr="0095188F" w:rsidRDefault="00797FEF" w:rsidP="00E468C1">
      <w:pPr>
        <w:pStyle w:val="Default"/>
        <w:spacing w:line="480" w:lineRule="auto"/>
        <w:rPr>
          <w:rFonts w:ascii="David" w:hAnsi="David" w:cs="David"/>
        </w:rPr>
      </w:pPr>
      <w:r w:rsidRPr="0095188F">
        <w:rPr>
          <w:rFonts w:ascii="David" w:hAnsi="David" w:cs="David"/>
          <w:color w:val="auto"/>
        </w:rPr>
        <w:t xml:space="preserve"> Daniel L. Schiff, "Principles of Power: The Application of Ethical Norms within the Halacha" [Rabbinic thesis, Hebrew Union College-Jewish Institute for Religion, Cincinnati, 1987]; Jennie </w:t>
      </w:r>
      <w:proofErr w:type="spellStart"/>
      <w:r w:rsidRPr="0095188F">
        <w:rPr>
          <w:rFonts w:ascii="David" w:hAnsi="David" w:cs="David"/>
          <w:color w:val="auto"/>
        </w:rPr>
        <w:t>Rosenn</w:t>
      </w:r>
      <w:proofErr w:type="spellEnd"/>
      <w:r w:rsidRPr="0095188F">
        <w:rPr>
          <w:rFonts w:ascii="David" w:hAnsi="David" w:cs="David"/>
          <w:color w:val="auto"/>
        </w:rPr>
        <w:t xml:space="preserve">, </w:t>
      </w:r>
      <w:r w:rsidRPr="0095188F">
        <w:rPr>
          <w:rFonts w:ascii="David" w:hAnsi="David" w:cs="David"/>
          <w:i/>
          <w:iCs/>
          <w:color w:val="auto"/>
        </w:rPr>
        <w:t>"</w:t>
      </w:r>
      <w:proofErr w:type="spellStart"/>
      <w:r w:rsidRPr="0095188F">
        <w:rPr>
          <w:rFonts w:ascii="David" w:hAnsi="David" w:cs="David"/>
          <w:i/>
          <w:iCs/>
          <w:color w:val="auto"/>
        </w:rPr>
        <w:t>Mipnei</w:t>
      </w:r>
      <w:proofErr w:type="spellEnd"/>
      <w:r w:rsidRPr="0095188F">
        <w:rPr>
          <w:rFonts w:ascii="David" w:hAnsi="David" w:cs="David"/>
          <w:i/>
          <w:iCs/>
          <w:color w:val="auto"/>
        </w:rPr>
        <w:t xml:space="preserve"> </w:t>
      </w:r>
      <w:proofErr w:type="spellStart"/>
      <w:r w:rsidRPr="0095188F">
        <w:rPr>
          <w:rFonts w:ascii="David" w:hAnsi="David" w:cs="David"/>
          <w:i/>
          <w:iCs/>
          <w:color w:val="auto"/>
        </w:rPr>
        <w:t>Darhei</w:t>
      </w:r>
      <w:proofErr w:type="spellEnd"/>
      <w:r w:rsidRPr="0095188F">
        <w:rPr>
          <w:rFonts w:ascii="David" w:hAnsi="David" w:cs="David"/>
          <w:i/>
          <w:iCs/>
          <w:color w:val="auto"/>
        </w:rPr>
        <w:t xml:space="preserve"> Shalom </w:t>
      </w:r>
      <w:r w:rsidRPr="0095188F">
        <w:rPr>
          <w:rFonts w:ascii="David" w:hAnsi="David" w:cs="David"/>
          <w:color w:val="auto"/>
        </w:rPr>
        <w:t xml:space="preserve">in Rabbinic Tradition" [Rabbinic thesis, Hebrew Union College-Jewish Institute of Religion, New York, 1997]; David Novak, </w:t>
      </w:r>
      <w:r w:rsidRPr="0095188F">
        <w:rPr>
          <w:rFonts w:ascii="David" w:hAnsi="David" w:cs="David"/>
          <w:i/>
          <w:iCs/>
          <w:color w:val="auto"/>
        </w:rPr>
        <w:t xml:space="preserve">Covenantal Rights: A Study in Jewish Political Theory, </w:t>
      </w:r>
      <w:r w:rsidRPr="0095188F">
        <w:rPr>
          <w:rFonts w:ascii="David" w:hAnsi="David" w:cs="David"/>
          <w:color w:val="auto"/>
        </w:rPr>
        <w:t>New Forum Books (Princeton, N.J.: Princeton University Press, 2000)</w:t>
      </w:r>
      <w:r w:rsidRPr="0095188F">
        <w:rPr>
          <w:rFonts w:ascii="David" w:hAnsi="David" w:cs="David"/>
        </w:rPr>
        <w:t>;</w:t>
      </w:r>
    </w:p>
    <w:p w14:paraId="49229FEB" w14:textId="3173027D" w:rsidR="00797FEF" w:rsidRPr="0095188F" w:rsidRDefault="006D4662" w:rsidP="00E468C1">
      <w:pPr>
        <w:pStyle w:val="Default"/>
        <w:bidi/>
        <w:spacing w:line="480" w:lineRule="auto"/>
        <w:rPr>
          <w:rFonts w:ascii="David" w:hAnsi="David" w:cs="David"/>
          <w:rtl/>
        </w:rPr>
      </w:pPr>
      <w:r w:rsidRPr="006D4662">
        <w:rPr>
          <w:rFonts w:ascii="David" w:hAnsi="David" w:cs="David"/>
        </w:rPr>
        <w:t>Jonathan K. Crane</w:t>
      </w:r>
      <w:r w:rsidRPr="006D4662">
        <w:rPr>
          <w:rFonts w:ascii="David" w:hAnsi="David" w:cs="David"/>
          <w:rtl/>
        </w:rPr>
        <w:t xml:space="preserve"> </w:t>
      </w:r>
      <w:r w:rsidR="00797FEF" w:rsidRPr="0095188F">
        <w:rPr>
          <w:rFonts w:ascii="David" w:hAnsi="David" w:cs="David"/>
          <w:rtl/>
        </w:rPr>
        <w:t>עסק רק בתקנות שעוסקות ביחסים שבין ישראל לנוכרים. ראו</w:t>
      </w:r>
    </w:p>
    <w:p w14:paraId="773F63D4" w14:textId="77777777" w:rsidR="00797FEF" w:rsidRPr="0095188F" w:rsidRDefault="00797FEF" w:rsidP="00E468C1">
      <w:pPr>
        <w:pStyle w:val="Default"/>
        <w:spacing w:line="480" w:lineRule="auto"/>
        <w:rPr>
          <w:rFonts w:ascii="David" w:hAnsi="David" w:cs="David"/>
        </w:rPr>
      </w:pPr>
      <w:r w:rsidRPr="0095188F">
        <w:rPr>
          <w:rFonts w:ascii="David" w:hAnsi="David" w:cs="David"/>
        </w:rPr>
        <w:t xml:space="preserve"> </w:t>
      </w:r>
      <w:bookmarkStart w:id="0" w:name="_Hlk14426929"/>
      <w:r w:rsidRPr="0095188F">
        <w:rPr>
          <w:rFonts w:ascii="David" w:hAnsi="David" w:cs="David"/>
        </w:rPr>
        <w:t>Jonathan K. Crane</w:t>
      </w:r>
      <w:bookmarkEnd w:id="0"/>
      <w:r w:rsidRPr="0095188F">
        <w:rPr>
          <w:rFonts w:ascii="David" w:hAnsi="David" w:cs="David"/>
        </w:rPr>
        <w:t xml:space="preserve">, "Because </w:t>
      </w:r>
      <w:proofErr w:type="gramStart"/>
      <w:r w:rsidRPr="0095188F">
        <w:rPr>
          <w:rFonts w:ascii="David" w:hAnsi="David" w:cs="David"/>
        </w:rPr>
        <w:t>. . . :</w:t>
      </w:r>
      <w:proofErr w:type="gramEnd"/>
      <w:r w:rsidRPr="0095188F">
        <w:rPr>
          <w:rFonts w:ascii="David" w:hAnsi="David" w:cs="David"/>
        </w:rPr>
        <w:t xml:space="preserve"> Justifying Law/Rationalizing Ethics," </w:t>
      </w:r>
      <w:r w:rsidRPr="0095188F">
        <w:rPr>
          <w:rFonts w:ascii="David" w:hAnsi="David" w:cs="David"/>
          <w:i/>
          <w:iCs/>
          <w:color w:val="222222"/>
          <w:shd w:val="clear" w:color="auto" w:fill="FFFFFF"/>
        </w:rPr>
        <w:t>Journal of the Society of Christian Ethics</w:t>
      </w:r>
      <w:r w:rsidRPr="0095188F">
        <w:rPr>
          <w:rFonts w:ascii="David" w:hAnsi="David" w:cs="David"/>
        </w:rPr>
        <w:t xml:space="preserve"> 25 (2005): 55–77.</w:t>
      </w:r>
    </w:p>
  </w:footnote>
  <w:footnote w:id="5">
    <w:p w14:paraId="379AEAC6" w14:textId="77777777" w:rsidR="00797FEF" w:rsidRPr="0095188F" w:rsidRDefault="00797FEF" w:rsidP="00E468C1">
      <w:pPr>
        <w:pStyle w:val="a3"/>
        <w:spacing w:line="480" w:lineRule="auto"/>
        <w:rPr>
          <w:rFonts w:ascii="David" w:hAnsi="David" w:cs="David"/>
          <w:sz w:val="24"/>
          <w:szCs w:val="24"/>
          <w:rtl/>
        </w:rPr>
      </w:pPr>
      <w:r w:rsidRPr="0095188F">
        <w:rPr>
          <w:rStyle w:val="a5"/>
          <w:rFonts w:ascii="David" w:hAnsi="David" w:cs="David"/>
          <w:sz w:val="24"/>
          <w:szCs w:val="24"/>
        </w:rPr>
        <w:footnoteRef/>
      </w:r>
      <w:r w:rsidRPr="0095188F">
        <w:rPr>
          <w:rFonts w:ascii="David" w:hAnsi="David" w:cs="David"/>
          <w:sz w:val="24"/>
          <w:szCs w:val="24"/>
          <w:rtl/>
        </w:rPr>
        <w:t xml:space="preserve"> </w:t>
      </w:r>
      <w:r w:rsidRPr="0095188F">
        <w:rPr>
          <w:rFonts w:ascii="David" w:hAnsi="David" w:cs="David"/>
          <w:sz w:val="24"/>
          <w:szCs w:val="24"/>
        </w:rPr>
        <w:t xml:space="preserve">Michael Matthew </w:t>
      </w:r>
      <w:proofErr w:type="spellStart"/>
      <w:r w:rsidRPr="0095188F">
        <w:rPr>
          <w:rFonts w:ascii="David" w:hAnsi="David" w:cs="David"/>
          <w:sz w:val="24"/>
          <w:szCs w:val="24"/>
        </w:rPr>
        <w:t>Pitkowsky</w:t>
      </w:r>
      <w:proofErr w:type="spellEnd"/>
      <w:r w:rsidRPr="0095188F">
        <w:rPr>
          <w:rFonts w:ascii="David" w:hAnsi="David" w:cs="David"/>
          <w:sz w:val="24"/>
          <w:szCs w:val="24"/>
        </w:rPr>
        <w:t xml:space="preserve"> (</w:t>
      </w:r>
      <w:r>
        <w:rPr>
          <w:rFonts w:ascii="SBL Greek" w:hAnsi="SBL Greek" w:cs="David"/>
          <w:i/>
          <w:iCs/>
          <w:sz w:val="24"/>
          <w:szCs w:val="24"/>
        </w:rPr>
        <w:t>“‘</w:t>
      </w:r>
      <w:proofErr w:type="spellStart"/>
      <w:r w:rsidRPr="0095188F">
        <w:rPr>
          <w:rFonts w:ascii="David" w:hAnsi="David" w:cs="David"/>
          <w:i/>
          <w:iCs/>
          <w:sz w:val="24"/>
          <w:szCs w:val="24"/>
        </w:rPr>
        <w:t>Mipenei</w:t>
      </w:r>
      <w:proofErr w:type="spellEnd"/>
      <w:r w:rsidRPr="0095188F">
        <w:rPr>
          <w:rFonts w:ascii="David" w:hAnsi="David" w:cs="David"/>
          <w:i/>
          <w:iCs/>
          <w:sz w:val="24"/>
          <w:szCs w:val="24"/>
        </w:rPr>
        <w:t xml:space="preserve"> </w:t>
      </w:r>
      <w:proofErr w:type="spellStart"/>
      <w:r w:rsidRPr="0095188F">
        <w:rPr>
          <w:rFonts w:ascii="David" w:hAnsi="David" w:cs="David"/>
          <w:i/>
          <w:iCs/>
          <w:sz w:val="24"/>
          <w:szCs w:val="24"/>
        </w:rPr>
        <w:t>Darkei</w:t>
      </w:r>
      <w:proofErr w:type="spellEnd"/>
      <w:r w:rsidRPr="0095188F">
        <w:rPr>
          <w:rFonts w:ascii="David" w:hAnsi="David" w:cs="David"/>
          <w:i/>
          <w:iCs/>
          <w:sz w:val="24"/>
          <w:szCs w:val="24"/>
        </w:rPr>
        <w:t xml:space="preserve"> Shalom</w:t>
      </w:r>
      <w:r>
        <w:rPr>
          <w:rFonts w:ascii="SBL Greek" w:hAnsi="SBL Greek" w:cs="David"/>
          <w:sz w:val="24"/>
          <w:szCs w:val="24"/>
        </w:rPr>
        <w:t>’</w:t>
      </w:r>
      <w:r w:rsidRPr="0095188F">
        <w:rPr>
          <w:rFonts w:ascii="David" w:hAnsi="David" w:cs="David"/>
          <w:sz w:val="24"/>
          <w:szCs w:val="24"/>
        </w:rPr>
        <w:t xml:space="preserve"> (Because of the Paths of Peace) and Related Terms: A Case Study of How Concepts and Terminology Developed from Tannaitic To Talmudic Literature," [Ph.D. diss., JTS, 2011].</w:t>
      </w:r>
    </w:p>
    <w:p w14:paraId="01BC550A" w14:textId="138A672B" w:rsidR="00797FEF" w:rsidRPr="0095188F" w:rsidRDefault="00797FEF" w:rsidP="006B2CB8">
      <w:pPr>
        <w:autoSpaceDE w:val="0"/>
        <w:autoSpaceDN w:val="0"/>
        <w:adjustRightInd w:val="0"/>
        <w:spacing w:after="0" w:line="480" w:lineRule="auto"/>
        <w:rPr>
          <w:rFonts w:ascii="David" w:hAnsi="David" w:cs="David"/>
          <w:sz w:val="24"/>
          <w:szCs w:val="24"/>
          <w:rtl/>
        </w:rPr>
      </w:pPr>
      <w:proofErr w:type="spellStart"/>
      <w:r w:rsidRPr="0095188F">
        <w:rPr>
          <w:rFonts w:ascii="David" w:hAnsi="David" w:cs="David"/>
          <w:sz w:val="24"/>
          <w:szCs w:val="24"/>
          <w:rtl/>
        </w:rPr>
        <w:t>פיטקובסקי</w:t>
      </w:r>
      <w:proofErr w:type="spellEnd"/>
      <w:r>
        <w:rPr>
          <w:rFonts w:ascii="David" w:hAnsi="David" w:cs="David" w:hint="cs"/>
          <w:sz w:val="24"/>
          <w:szCs w:val="24"/>
          <w:rtl/>
        </w:rPr>
        <w:t xml:space="preserve"> דן בעבודתו </w:t>
      </w:r>
      <w:r w:rsidR="00AE2577">
        <w:rPr>
          <w:rFonts w:ascii="David" w:hAnsi="David" w:cs="David" w:hint="cs"/>
          <w:sz w:val="24"/>
          <w:szCs w:val="24"/>
          <w:rtl/>
        </w:rPr>
        <w:t xml:space="preserve">בהלכות </w:t>
      </w:r>
      <w:r>
        <w:rPr>
          <w:rFonts w:ascii="David" w:hAnsi="David" w:cs="David" w:hint="cs"/>
          <w:sz w:val="24"/>
          <w:szCs w:val="24"/>
          <w:rtl/>
        </w:rPr>
        <w:t>שנומקו 'מפני דרכי שלום', 'משום איבה', 'לשם טובה', ו</w:t>
      </w:r>
      <w:r w:rsidRPr="0095188F">
        <w:rPr>
          <w:rFonts w:ascii="David" w:hAnsi="David" w:cs="David"/>
          <w:sz w:val="24"/>
          <w:szCs w:val="24"/>
          <w:rtl/>
        </w:rPr>
        <w:t>'מפני חילול השם'</w:t>
      </w:r>
      <w:r>
        <w:rPr>
          <w:rFonts w:ascii="David" w:hAnsi="David" w:cs="David" w:hint="cs"/>
          <w:sz w:val="24"/>
          <w:szCs w:val="24"/>
          <w:rtl/>
        </w:rPr>
        <w:t xml:space="preserve"> בספרות התלמודית</w:t>
      </w:r>
      <w:r w:rsidRPr="0095188F">
        <w:rPr>
          <w:rFonts w:ascii="David" w:hAnsi="David" w:cs="David"/>
          <w:sz w:val="24"/>
          <w:szCs w:val="24"/>
          <w:rtl/>
        </w:rPr>
        <w:t>.</w:t>
      </w:r>
      <w:r w:rsidRPr="004020A0">
        <w:rPr>
          <w:rtl/>
        </w:rPr>
        <w:t xml:space="preserve"> </w:t>
      </w:r>
      <w:r>
        <w:rPr>
          <w:rFonts w:ascii="David" w:hAnsi="David" w:cs="David" w:hint="cs"/>
          <w:sz w:val="24"/>
          <w:szCs w:val="24"/>
          <w:rtl/>
        </w:rPr>
        <w:t xml:space="preserve">הוא </w:t>
      </w:r>
      <w:r w:rsidRPr="004020A0">
        <w:rPr>
          <w:rFonts w:ascii="David" w:hAnsi="David" w:cs="David"/>
          <w:sz w:val="24"/>
          <w:szCs w:val="24"/>
          <w:rtl/>
        </w:rPr>
        <w:t>עמד על שינויים שחלו במעבר</w:t>
      </w:r>
      <w:r w:rsidRPr="0095188F">
        <w:rPr>
          <w:rFonts w:ascii="David" w:hAnsi="David" w:cs="David"/>
          <w:sz w:val="24"/>
          <w:szCs w:val="24"/>
        </w:rPr>
        <w:t xml:space="preserve"> </w:t>
      </w:r>
      <w:r>
        <w:rPr>
          <w:rFonts w:ascii="David" w:hAnsi="David" w:cs="David" w:hint="cs"/>
          <w:sz w:val="24"/>
          <w:szCs w:val="24"/>
          <w:rtl/>
        </w:rPr>
        <w:t>מן הרובד התנאי לאמוראי</w:t>
      </w:r>
      <w:r w:rsidR="0021725E">
        <w:rPr>
          <w:rFonts w:ascii="David" w:hAnsi="David" w:cs="David" w:hint="cs"/>
          <w:sz w:val="24"/>
          <w:szCs w:val="24"/>
          <w:rtl/>
        </w:rPr>
        <w:t>.</w:t>
      </w:r>
      <w:r>
        <w:rPr>
          <w:rFonts w:ascii="David" w:hAnsi="David" w:cs="David" w:hint="cs"/>
          <w:sz w:val="24"/>
          <w:szCs w:val="24"/>
          <w:rtl/>
        </w:rPr>
        <w:t xml:space="preserve"> מסקנותיו ביחס לרובד התנא</w:t>
      </w:r>
      <w:r w:rsidR="006B2CB8">
        <w:rPr>
          <w:rFonts w:ascii="David" w:hAnsi="David" w:cs="David" w:hint="cs"/>
          <w:sz w:val="24"/>
          <w:szCs w:val="24"/>
          <w:rtl/>
        </w:rPr>
        <w:t xml:space="preserve">י </w:t>
      </w:r>
      <w:r>
        <w:rPr>
          <w:rFonts w:ascii="David" w:hAnsi="David" w:cs="David" w:hint="cs"/>
          <w:sz w:val="24"/>
          <w:szCs w:val="24"/>
          <w:rtl/>
        </w:rPr>
        <w:t xml:space="preserve">(עמ' 171) כלליות מאוד, ואינן מספקות הסברים לתופעות השונות שסקר. </w:t>
      </w:r>
    </w:p>
  </w:footnote>
  <w:footnote w:id="6">
    <w:p w14:paraId="0105662F" w14:textId="3845F31F" w:rsidR="006C04AA" w:rsidRPr="00EC2CA6" w:rsidRDefault="006C04AA" w:rsidP="00EC2CA6">
      <w:pPr>
        <w:pStyle w:val="a3"/>
        <w:spacing w:line="480" w:lineRule="auto"/>
        <w:rPr>
          <w:rFonts w:ascii="David" w:hAnsi="David" w:cs="David"/>
          <w:sz w:val="24"/>
          <w:szCs w:val="24"/>
        </w:rPr>
      </w:pPr>
      <w:r w:rsidRPr="00EC2CA6">
        <w:rPr>
          <w:rStyle w:val="a5"/>
          <w:rFonts w:ascii="David" w:hAnsi="David" w:cs="David"/>
          <w:sz w:val="24"/>
          <w:szCs w:val="24"/>
        </w:rPr>
        <w:footnoteRef/>
      </w:r>
      <w:r w:rsidRPr="00EC2CA6">
        <w:rPr>
          <w:rFonts w:ascii="David" w:hAnsi="David" w:cs="David"/>
          <w:sz w:val="24"/>
          <w:szCs w:val="24"/>
          <w:rtl/>
        </w:rPr>
        <w:t xml:space="preserve"> </w:t>
      </w:r>
      <w:r w:rsidR="00377A98">
        <w:rPr>
          <w:rFonts w:ascii="David" w:hAnsi="David" w:cs="David" w:hint="cs"/>
          <w:sz w:val="24"/>
          <w:szCs w:val="24"/>
          <w:rtl/>
        </w:rPr>
        <w:t xml:space="preserve">לצערי, </w:t>
      </w:r>
      <w:r w:rsidR="00EC2CA6">
        <w:rPr>
          <w:rFonts w:ascii="David" w:hAnsi="David" w:cs="David" w:hint="cs"/>
          <w:sz w:val="24"/>
          <w:szCs w:val="24"/>
          <w:rtl/>
        </w:rPr>
        <w:t xml:space="preserve">עקב קוצר היריעה </w:t>
      </w:r>
      <w:r w:rsidRPr="00EC2CA6">
        <w:rPr>
          <w:rFonts w:ascii="David" w:hAnsi="David" w:cs="David"/>
          <w:sz w:val="24"/>
          <w:szCs w:val="24"/>
          <w:rtl/>
        </w:rPr>
        <w:t xml:space="preserve">לא אוכל לנתח </w:t>
      </w:r>
      <w:r w:rsidR="00EC2CA6">
        <w:rPr>
          <w:rFonts w:ascii="David" w:hAnsi="David" w:cs="David" w:hint="cs"/>
          <w:sz w:val="24"/>
          <w:szCs w:val="24"/>
          <w:rtl/>
        </w:rPr>
        <w:t xml:space="preserve">כאן </w:t>
      </w:r>
      <w:r w:rsidRPr="00EC2CA6">
        <w:rPr>
          <w:rFonts w:ascii="David" w:hAnsi="David" w:cs="David"/>
          <w:sz w:val="24"/>
          <w:szCs w:val="24"/>
          <w:rtl/>
        </w:rPr>
        <w:t xml:space="preserve">את כלל הלכות </w:t>
      </w:r>
      <w:r w:rsidR="00EC2CA6">
        <w:rPr>
          <w:rFonts w:ascii="David" w:hAnsi="David" w:cs="David" w:hint="cs"/>
          <w:sz w:val="24"/>
          <w:szCs w:val="24"/>
          <w:rtl/>
        </w:rPr>
        <w:t>'</w:t>
      </w:r>
      <w:r w:rsidRPr="00EC2CA6">
        <w:rPr>
          <w:rFonts w:ascii="David" w:hAnsi="David" w:cs="David"/>
          <w:sz w:val="24"/>
          <w:szCs w:val="24"/>
          <w:rtl/>
        </w:rPr>
        <w:t xml:space="preserve">דרכי השלום' </w:t>
      </w:r>
      <w:r w:rsidR="00EC2CA6">
        <w:rPr>
          <w:rFonts w:ascii="David" w:hAnsi="David" w:cs="David" w:hint="cs"/>
          <w:sz w:val="24"/>
          <w:szCs w:val="24"/>
          <w:rtl/>
        </w:rPr>
        <w:t>ש</w:t>
      </w:r>
      <w:r w:rsidRPr="00EC2CA6">
        <w:rPr>
          <w:rFonts w:ascii="David" w:hAnsi="David" w:cs="David"/>
          <w:sz w:val="24"/>
          <w:szCs w:val="24"/>
          <w:rtl/>
        </w:rPr>
        <w:t xml:space="preserve">בקבצים </w:t>
      </w:r>
      <w:proofErr w:type="spellStart"/>
      <w:r w:rsidRPr="00EC2CA6">
        <w:rPr>
          <w:rFonts w:ascii="David" w:hAnsi="David" w:cs="David"/>
          <w:sz w:val="24"/>
          <w:szCs w:val="24"/>
          <w:rtl/>
        </w:rPr>
        <w:t>התנאיים</w:t>
      </w:r>
      <w:proofErr w:type="spellEnd"/>
      <w:r w:rsidRPr="00EC2CA6">
        <w:rPr>
          <w:rFonts w:ascii="David" w:hAnsi="David" w:cs="David"/>
          <w:sz w:val="24"/>
          <w:szCs w:val="24"/>
          <w:rtl/>
        </w:rPr>
        <w:t xml:space="preserve">. </w:t>
      </w:r>
      <w:r w:rsidR="00F40C37">
        <w:rPr>
          <w:rFonts w:ascii="David" w:hAnsi="David" w:cs="David" w:hint="cs"/>
          <w:sz w:val="24"/>
          <w:szCs w:val="24"/>
          <w:rtl/>
        </w:rPr>
        <w:t xml:space="preserve">לחלקן </w:t>
      </w:r>
      <w:r w:rsidRPr="00EC2CA6">
        <w:rPr>
          <w:rFonts w:ascii="David" w:hAnsi="David" w:cs="David"/>
          <w:sz w:val="24"/>
          <w:szCs w:val="24"/>
          <w:rtl/>
        </w:rPr>
        <w:t xml:space="preserve">אתייחס בקצרה או בהערות </w:t>
      </w:r>
      <w:r w:rsidR="00C111FF" w:rsidRPr="00EC2CA6">
        <w:rPr>
          <w:rFonts w:ascii="David" w:hAnsi="David" w:cs="David"/>
          <w:sz w:val="24"/>
          <w:szCs w:val="24"/>
          <w:rtl/>
        </w:rPr>
        <w:t>בלבד</w:t>
      </w:r>
      <w:r w:rsidRPr="00EC2CA6">
        <w:rPr>
          <w:rFonts w:ascii="David" w:hAnsi="David" w:cs="David"/>
          <w:sz w:val="24"/>
          <w:szCs w:val="24"/>
          <w:rtl/>
        </w:rPr>
        <w:t>.</w:t>
      </w:r>
    </w:p>
  </w:footnote>
  <w:footnote w:id="7">
    <w:p w14:paraId="33F9C508" w14:textId="5B223FC8" w:rsidR="00797FEF" w:rsidRPr="00C143D3" w:rsidRDefault="00797FEF" w:rsidP="000A7084">
      <w:pPr>
        <w:pStyle w:val="a3"/>
        <w:spacing w:line="480" w:lineRule="auto"/>
        <w:rPr>
          <w:rFonts w:ascii="David" w:hAnsi="David" w:cs="David"/>
          <w:sz w:val="24"/>
          <w:szCs w:val="24"/>
          <w:rtl/>
        </w:rPr>
      </w:pPr>
      <w:r w:rsidRPr="00D9118A">
        <w:rPr>
          <w:rStyle w:val="a5"/>
          <w:rFonts w:ascii="David" w:hAnsi="David" w:cs="David"/>
          <w:sz w:val="24"/>
          <w:szCs w:val="24"/>
        </w:rPr>
        <w:footnoteRef/>
      </w:r>
      <w:r w:rsidRPr="00D9118A">
        <w:rPr>
          <w:rFonts w:ascii="David" w:hAnsi="David" w:cs="David"/>
          <w:sz w:val="24"/>
          <w:szCs w:val="24"/>
          <w:rtl/>
        </w:rPr>
        <w:t xml:space="preserve"> </w:t>
      </w:r>
      <w:r w:rsidR="008C02F4">
        <w:rPr>
          <w:rFonts w:ascii="David" w:hAnsi="David" w:cs="David" w:hint="cs"/>
          <w:sz w:val="24"/>
          <w:szCs w:val="24"/>
          <w:rtl/>
        </w:rPr>
        <w:t>ל</w:t>
      </w:r>
      <w:r w:rsidRPr="00D9118A">
        <w:rPr>
          <w:rFonts w:ascii="David" w:hAnsi="David" w:cs="David"/>
          <w:sz w:val="24"/>
          <w:szCs w:val="24"/>
          <w:rtl/>
        </w:rPr>
        <w:t>כוחה היוצר של העריכה</w:t>
      </w:r>
      <w:r w:rsidR="008C02F4">
        <w:rPr>
          <w:rFonts w:ascii="David" w:hAnsi="David" w:cs="David" w:hint="cs"/>
          <w:sz w:val="24"/>
          <w:szCs w:val="24"/>
          <w:rtl/>
        </w:rPr>
        <w:t xml:space="preserve"> ראו לדוגמא</w:t>
      </w:r>
      <w:r w:rsidR="00FF0436">
        <w:rPr>
          <w:rFonts w:ascii="David" w:hAnsi="David" w:cs="David" w:hint="cs"/>
          <w:sz w:val="24"/>
          <w:szCs w:val="24"/>
          <w:rtl/>
        </w:rPr>
        <w:t>:</w:t>
      </w:r>
      <w:r>
        <w:rPr>
          <w:rFonts w:ascii="David" w:hAnsi="David" w:cs="David" w:hint="cs"/>
          <w:sz w:val="24"/>
          <w:szCs w:val="24"/>
          <w:rtl/>
        </w:rPr>
        <w:t xml:space="preserve"> אברהם </w:t>
      </w:r>
      <w:proofErr w:type="spellStart"/>
      <w:r w:rsidRPr="00D9118A">
        <w:rPr>
          <w:rFonts w:ascii="David" w:hAnsi="David" w:cs="David"/>
          <w:sz w:val="24"/>
          <w:szCs w:val="24"/>
          <w:rtl/>
        </w:rPr>
        <w:t>וולפיש</w:t>
      </w:r>
      <w:proofErr w:type="spellEnd"/>
      <w:r w:rsidRPr="00D9118A">
        <w:rPr>
          <w:rFonts w:ascii="David" w:hAnsi="David" w:cs="David"/>
          <w:sz w:val="24"/>
          <w:szCs w:val="24"/>
          <w:rtl/>
        </w:rPr>
        <w:t xml:space="preserve"> [א]. שיקולים ספרותיים בעריכת המשנה ומשמעויותיהם; [ב]. משחקי לשון במשנה</w:t>
      </w:r>
      <w:r>
        <w:rPr>
          <w:rFonts w:ascii="David" w:hAnsi="David" w:cs="David" w:hint="cs"/>
          <w:sz w:val="24"/>
          <w:szCs w:val="24"/>
          <w:rtl/>
        </w:rPr>
        <w:t>,</w:t>
      </w:r>
      <w:r w:rsidRPr="00D9118A">
        <w:rPr>
          <w:rFonts w:ascii="David" w:hAnsi="David" w:cs="David"/>
          <w:sz w:val="24"/>
          <w:szCs w:val="24"/>
          <w:rtl/>
        </w:rPr>
        <w:t xml:space="preserve"> </w:t>
      </w:r>
      <w:r w:rsidRPr="00D9118A">
        <w:rPr>
          <w:rFonts w:ascii="David" w:hAnsi="David" w:cs="David" w:hint="cs"/>
          <w:sz w:val="24"/>
          <w:szCs w:val="24"/>
          <w:rtl/>
        </w:rPr>
        <w:t>נטועים</w:t>
      </w:r>
      <w:r w:rsidRPr="00D9118A">
        <w:rPr>
          <w:rFonts w:ascii="David" w:hAnsi="David" w:cs="David"/>
          <w:sz w:val="24"/>
          <w:szCs w:val="24"/>
          <w:rtl/>
        </w:rPr>
        <w:t xml:space="preserve">; </w:t>
      </w:r>
      <w:r w:rsidRPr="00D9118A">
        <w:rPr>
          <w:rFonts w:ascii="David" w:hAnsi="David" w:cs="David" w:hint="cs"/>
          <w:sz w:val="24"/>
          <w:szCs w:val="24"/>
          <w:rtl/>
        </w:rPr>
        <w:t>ביטאון</w:t>
      </w:r>
      <w:r w:rsidRPr="00D9118A">
        <w:rPr>
          <w:rFonts w:ascii="David" w:hAnsi="David" w:cs="David"/>
          <w:sz w:val="24"/>
          <w:szCs w:val="24"/>
          <w:rtl/>
        </w:rPr>
        <w:t xml:space="preserve"> </w:t>
      </w:r>
      <w:r w:rsidRPr="00D9118A">
        <w:rPr>
          <w:rFonts w:ascii="David" w:hAnsi="David" w:cs="David" w:hint="cs"/>
          <w:sz w:val="24"/>
          <w:szCs w:val="24"/>
          <w:rtl/>
        </w:rPr>
        <w:t>לענייני</w:t>
      </w:r>
      <w:r w:rsidRPr="00D9118A">
        <w:rPr>
          <w:rFonts w:ascii="David" w:hAnsi="David" w:cs="David"/>
          <w:sz w:val="24"/>
          <w:szCs w:val="24"/>
          <w:rtl/>
        </w:rPr>
        <w:t xml:space="preserve"> </w:t>
      </w:r>
      <w:r w:rsidRPr="00D9118A">
        <w:rPr>
          <w:rFonts w:ascii="David" w:hAnsi="David" w:cs="David" w:hint="cs"/>
          <w:sz w:val="24"/>
          <w:szCs w:val="24"/>
          <w:rtl/>
        </w:rPr>
        <w:t>תורה</w:t>
      </w:r>
      <w:r w:rsidRPr="00D9118A">
        <w:rPr>
          <w:rFonts w:ascii="David" w:hAnsi="David" w:cs="David"/>
          <w:sz w:val="24"/>
          <w:szCs w:val="24"/>
          <w:rtl/>
        </w:rPr>
        <w:t xml:space="preserve"> </w:t>
      </w:r>
      <w:r w:rsidRPr="00D9118A">
        <w:rPr>
          <w:rFonts w:ascii="David" w:hAnsi="David" w:cs="David" w:hint="cs"/>
          <w:sz w:val="24"/>
          <w:szCs w:val="24"/>
          <w:rtl/>
        </w:rPr>
        <w:t>שבעל</w:t>
      </w:r>
      <w:r w:rsidRPr="00D9118A">
        <w:rPr>
          <w:rFonts w:ascii="David" w:hAnsi="David" w:cs="David"/>
          <w:sz w:val="24"/>
          <w:szCs w:val="24"/>
          <w:rtl/>
        </w:rPr>
        <w:t>-</w:t>
      </w:r>
      <w:r w:rsidRPr="00D9118A">
        <w:rPr>
          <w:rFonts w:ascii="David" w:hAnsi="David" w:cs="David" w:hint="cs"/>
          <w:sz w:val="24"/>
          <w:szCs w:val="24"/>
          <w:rtl/>
        </w:rPr>
        <w:t>פה</w:t>
      </w:r>
      <w:r w:rsidRPr="00D9118A">
        <w:rPr>
          <w:rFonts w:ascii="David" w:hAnsi="David" w:cs="David"/>
          <w:sz w:val="24"/>
          <w:szCs w:val="24"/>
          <w:rtl/>
        </w:rPr>
        <w:t xml:space="preserve"> </w:t>
      </w:r>
      <w:r w:rsidRPr="00D9118A">
        <w:rPr>
          <w:rFonts w:ascii="David" w:hAnsi="David" w:cs="David" w:hint="cs"/>
          <w:sz w:val="24"/>
          <w:szCs w:val="24"/>
          <w:rtl/>
        </w:rPr>
        <w:t>א</w:t>
      </w:r>
      <w:r w:rsidRPr="00D9118A">
        <w:rPr>
          <w:rFonts w:ascii="David" w:hAnsi="David" w:cs="David"/>
          <w:sz w:val="24"/>
          <w:szCs w:val="24"/>
          <w:rtl/>
        </w:rPr>
        <w:t xml:space="preserve"> (</w:t>
      </w:r>
      <w:proofErr w:type="spellStart"/>
      <w:r w:rsidRPr="00D9118A">
        <w:rPr>
          <w:rFonts w:ascii="David" w:hAnsi="David" w:cs="David" w:hint="cs"/>
          <w:sz w:val="24"/>
          <w:szCs w:val="24"/>
          <w:rtl/>
        </w:rPr>
        <w:t>תשנד</w:t>
      </w:r>
      <w:proofErr w:type="spellEnd"/>
      <w:r w:rsidRPr="00D9118A">
        <w:rPr>
          <w:rFonts w:ascii="David" w:hAnsi="David" w:cs="David"/>
          <w:sz w:val="24"/>
          <w:szCs w:val="24"/>
          <w:rtl/>
        </w:rPr>
        <w:t xml:space="preserve">) 33-60; </w:t>
      </w:r>
      <w:r w:rsidRPr="00D9118A">
        <w:rPr>
          <w:rFonts w:ascii="David" w:hAnsi="David" w:cs="David" w:hint="cs"/>
          <w:sz w:val="24"/>
          <w:szCs w:val="24"/>
          <w:rtl/>
        </w:rPr>
        <w:t>ב</w:t>
      </w:r>
      <w:r w:rsidRPr="00D9118A">
        <w:rPr>
          <w:rFonts w:ascii="David" w:hAnsi="David" w:cs="David"/>
          <w:sz w:val="24"/>
          <w:szCs w:val="24"/>
          <w:rtl/>
        </w:rPr>
        <w:t xml:space="preserve"> (</w:t>
      </w:r>
      <w:r w:rsidRPr="00D9118A">
        <w:rPr>
          <w:rFonts w:ascii="David" w:hAnsi="David" w:cs="David" w:hint="cs"/>
          <w:sz w:val="24"/>
          <w:szCs w:val="24"/>
          <w:rtl/>
        </w:rPr>
        <w:t>תשנה</w:t>
      </w:r>
      <w:r w:rsidRPr="00D9118A">
        <w:rPr>
          <w:rFonts w:ascii="David" w:hAnsi="David" w:cs="David"/>
          <w:sz w:val="24"/>
          <w:szCs w:val="24"/>
          <w:rtl/>
        </w:rPr>
        <w:t xml:space="preserve">) 75-95; </w:t>
      </w:r>
      <w:r>
        <w:rPr>
          <w:rFonts w:ascii="David" w:hAnsi="David" w:cs="David" w:hint="cs"/>
          <w:sz w:val="24"/>
          <w:szCs w:val="24"/>
          <w:rtl/>
        </w:rPr>
        <w:t xml:space="preserve">משה </w:t>
      </w:r>
      <w:proofErr w:type="spellStart"/>
      <w:r w:rsidRPr="009F6F2A">
        <w:rPr>
          <w:rFonts w:ascii="David" w:hAnsi="David" w:cs="David"/>
          <w:sz w:val="24"/>
          <w:szCs w:val="24"/>
          <w:rtl/>
        </w:rPr>
        <w:t>הלברטל</w:t>
      </w:r>
      <w:proofErr w:type="spellEnd"/>
      <w:r w:rsidRPr="009F6F2A">
        <w:rPr>
          <w:rFonts w:ascii="David" w:hAnsi="David" w:cs="David"/>
          <w:sz w:val="24"/>
          <w:szCs w:val="24"/>
          <w:rtl/>
        </w:rPr>
        <w:t>, "דוד הרטמן והפילוסופיה של ההלכה", בתוך: מחויבות יהודית מתחדשת: על עולמו ההגותי של דוד הרטמן א, תל אביב: הקיבוץ המאוחד</w:t>
      </w:r>
      <w:r>
        <w:rPr>
          <w:rFonts w:ascii="David" w:hAnsi="David" w:cs="David" w:hint="cs"/>
          <w:sz w:val="24"/>
          <w:szCs w:val="24"/>
          <w:rtl/>
        </w:rPr>
        <w:t xml:space="preserve"> (2001),</w:t>
      </w:r>
      <w:r w:rsidRPr="009F6F2A">
        <w:rPr>
          <w:rFonts w:ascii="David" w:hAnsi="David" w:cs="David"/>
          <w:sz w:val="24"/>
          <w:szCs w:val="24"/>
          <w:rtl/>
        </w:rPr>
        <w:t xml:space="preserve"> עמ' 35-13;</w:t>
      </w:r>
      <w:r w:rsidR="001970C7">
        <w:rPr>
          <w:rFonts w:ascii="David" w:hAnsi="David" w:cs="David" w:hint="cs"/>
          <w:sz w:val="24"/>
          <w:szCs w:val="24"/>
          <w:rtl/>
        </w:rPr>
        <w:t xml:space="preserve"> </w:t>
      </w:r>
      <w:r w:rsidRPr="00D9118A">
        <w:rPr>
          <w:rFonts w:ascii="David" w:hAnsi="David" w:cs="David"/>
          <w:sz w:val="24"/>
          <w:szCs w:val="24"/>
          <w:rtl/>
        </w:rPr>
        <w:t>נעם זהר, בסוד היצירה של ספרות חז"ל: העריכה כמפתח למשמעות, ירושלים: מאגנס (2007). במיוחד עמ'</w:t>
      </w:r>
      <w:r>
        <w:rPr>
          <w:rFonts w:ascii="David" w:hAnsi="David" w:cs="David" w:hint="cs"/>
          <w:sz w:val="24"/>
          <w:szCs w:val="24"/>
          <w:rtl/>
        </w:rPr>
        <w:t xml:space="preserve"> 17-6, 161-150. וראו סקירת מחקר שם; </w:t>
      </w:r>
      <w:r w:rsidRPr="00A84169">
        <w:rPr>
          <w:rFonts w:ascii="Times New Roman" w:hAnsi="Times New Roman" w:cs="Times New Roman"/>
          <w:sz w:val="24"/>
          <w:szCs w:val="24"/>
        </w:rPr>
        <w:t xml:space="preserve">Aaron Amit and Aharon </w:t>
      </w:r>
      <w:proofErr w:type="spellStart"/>
      <w:r w:rsidRPr="00A84169">
        <w:rPr>
          <w:rFonts w:ascii="Times New Roman" w:hAnsi="Times New Roman" w:cs="Times New Roman"/>
          <w:sz w:val="24"/>
          <w:szCs w:val="24"/>
        </w:rPr>
        <w:t>Shemesh</w:t>
      </w:r>
      <w:proofErr w:type="spellEnd"/>
      <w:r w:rsidRPr="00A84169">
        <w:rPr>
          <w:rFonts w:ascii="Times New Roman" w:hAnsi="Times New Roman" w:cs="Times New Roman"/>
          <w:sz w:val="24"/>
          <w:szCs w:val="24"/>
        </w:rPr>
        <w:t xml:space="preserve"> (Eds</w:t>
      </w:r>
      <w:r w:rsidRPr="00A84169">
        <w:rPr>
          <w:rFonts w:ascii="Times New Roman" w:hAnsi="Times New Roman" w:cs="Times New Roman"/>
          <w:i/>
          <w:iCs/>
          <w:sz w:val="24"/>
          <w:szCs w:val="24"/>
        </w:rPr>
        <w:t xml:space="preserve">.), </w:t>
      </w:r>
      <w:proofErr w:type="spellStart"/>
      <w:r w:rsidRPr="00A84169">
        <w:rPr>
          <w:rFonts w:ascii="Times New Roman" w:hAnsi="Times New Roman" w:cs="Times New Roman"/>
          <w:i/>
          <w:iCs/>
          <w:sz w:val="24"/>
          <w:szCs w:val="24"/>
        </w:rPr>
        <w:t>Melekhet</w:t>
      </w:r>
      <w:proofErr w:type="spellEnd"/>
      <w:r w:rsidRPr="00A84169">
        <w:rPr>
          <w:rFonts w:ascii="Times New Roman" w:hAnsi="Times New Roman" w:cs="Times New Roman"/>
          <w:i/>
          <w:iCs/>
          <w:sz w:val="24"/>
          <w:szCs w:val="24"/>
        </w:rPr>
        <w:t xml:space="preserve"> </w:t>
      </w:r>
      <w:proofErr w:type="spellStart"/>
      <w:r w:rsidRPr="00A84169">
        <w:rPr>
          <w:rFonts w:ascii="Times New Roman" w:hAnsi="Times New Roman" w:cs="Times New Roman"/>
          <w:i/>
          <w:iCs/>
          <w:sz w:val="24"/>
          <w:szCs w:val="24"/>
        </w:rPr>
        <w:t>Mahshevet</w:t>
      </w:r>
      <w:proofErr w:type="spellEnd"/>
      <w:r w:rsidRPr="00A84169">
        <w:rPr>
          <w:rFonts w:ascii="Times New Roman" w:hAnsi="Times New Roman" w:cs="Times New Roman"/>
          <w:i/>
          <w:iCs/>
          <w:sz w:val="24"/>
          <w:szCs w:val="24"/>
        </w:rPr>
        <w:t>: Studies in the Redaction and Development of Talmudic Literature</w:t>
      </w:r>
      <w:r w:rsidRPr="00A84169">
        <w:rPr>
          <w:rFonts w:ascii="Times New Roman" w:hAnsi="Times New Roman" w:cs="Times New Roman"/>
          <w:sz w:val="24"/>
          <w:szCs w:val="24"/>
        </w:rPr>
        <w:t xml:space="preserve">, Ramat Gan: Bar </w:t>
      </w:r>
      <w:proofErr w:type="spellStart"/>
      <w:r w:rsidRPr="00A84169">
        <w:rPr>
          <w:rFonts w:ascii="Times New Roman" w:hAnsi="Times New Roman" w:cs="Times New Roman"/>
          <w:sz w:val="24"/>
          <w:szCs w:val="24"/>
        </w:rPr>
        <w:t>Ilan</w:t>
      </w:r>
      <w:proofErr w:type="spellEnd"/>
      <w:r w:rsidRPr="00A84169">
        <w:rPr>
          <w:rFonts w:ascii="Times New Roman" w:hAnsi="Times New Roman" w:cs="Times New Roman"/>
          <w:sz w:val="24"/>
          <w:szCs w:val="24"/>
        </w:rPr>
        <w:t xml:space="preserve"> University Press, 2011</w:t>
      </w:r>
      <w:r>
        <w:rPr>
          <w:rFonts w:ascii="Arial" w:hAnsi="Arial" w:cs="Arial"/>
          <w:sz w:val="24"/>
          <w:szCs w:val="24"/>
        </w:rPr>
        <w:t>.</w:t>
      </w:r>
      <w:r w:rsidRPr="00D9118A">
        <w:rPr>
          <w:rFonts w:ascii="Arial" w:hAnsi="Arial" w:cs="Arial" w:hint="cs"/>
          <w:sz w:val="24"/>
          <w:szCs w:val="24"/>
          <w:rtl/>
        </w:rPr>
        <w:t>‬</w:t>
      </w:r>
      <w:r>
        <w:rPr>
          <w:rFonts w:hint="cs"/>
          <w:rtl/>
        </w:rPr>
        <w:t xml:space="preserve"> </w:t>
      </w:r>
      <w:r w:rsidR="001E0DFD">
        <w:rPr>
          <w:rFonts w:ascii="David" w:hAnsi="David" w:cs="David" w:hint="cs"/>
          <w:sz w:val="24"/>
          <w:szCs w:val="24"/>
          <w:rtl/>
        </w:rPr>
        <w:t xml:space="preserve">אני תקווה כי </w:t>
      </w:r>
      <w:r w:rsidRPr="00C143D3">
        <w:rPr>
          <w:rFonts w:ascii="David" w:hAnsi="David" w:cs="David"/>
          <w:sz w:val="24"/>
          <w:szCs w:val="24"/>
          <w:rtl/>
        </w:rPr>
        <w:t xml:space="preserve">תרומתי </w:t>
      </w:r>
      <w:r w:rsidR="008B31B0">
        <w:rPr>
          <w:rFonts w:ascii="David" w:hAnsi="David" w:cs="David" w:hint="cs"/>
          <w:sz w:val="24"/>
          <w:szCs w:val="24"/>
          <w:rtl/>
        </w:rPr>
        <w:t xml:space="preserve">לדיון </w:t>
      </w:r>
      <w:r w:rsidRPr="00C143D3">
        <w:rPr>
          <w:rFonts w:ascii="David" w:hAnsi="David" w:cs="David"/>
          <w:sz w:val="24"/>
          <w:szCs w:val="24"/>
          <w:rtl/>
        </w:rPr>
        <w:t>תהיה</w:t>
      </w:r>
      <w:r w:rsidR="001970C7">
        <w:rPr>
          <w:rFonts w:ascii="David" w:hAnsi="David" w:cs="David" w:hint="cs"/>
          <w:sz w:val="24"/>
          <w:szCs w:val="24"/>
          <w:rtl/>
        </w:rPr>
        <w:t xml:space="preserve"> </w:t>
      </w:r>
      <w:r w:rsidR="00CB5828">
        <w:rPr>
          <w:rFonts w:ascii="David" w:hAnsi="David" w:cs="David" w:hint="cs"/>
          <w:sz w:val="24"/>
          <w:szCs w:val="24"/>
          <w:rtl/>
        </w:rPr>
        <w:t xml:space="preserve">בעמידה על </w:t>
      </w:r>
      <w:r w:rsidRPr="00C143D3">
        <w:rPr>
          <w:rFonts w:ascii="David" w:hAnsi="David" w:cs="David"/>
          <w:sz w:val="24"/>
          <w:szCs w:val="24"/>
          <w:rtl/>
        </w:rPr>
        <w:t>משמעויות</w:t>
      </w:r>
      <w:r w:rsidR="001970C7">
        <w:rPr>
          <w:rFonts w:ascii="David" w:hAnsi="David" w:cs="David" w:hint="cs"/>
          <w:sz w:val="24"/>
          <w:szCs w:val="24"/>
          <w:rtl/>
        </w:rPr>
        <w:t xml:space="preserve"> והשלכות</w:t>
      </w:r>
      <w:r w:rsidRPr="00C143D3">
        <w:rPr>
          <w:rFonts w:ascii="David" w:hAnsi="David" w:cs="David"/>
          <w:sz w:val="24"/>
          <w:szCs w:val="24"/>
          <w:rtl/>
        </w:rPr>
        <w:t xml:space="preserve"> </w:t>
      </w:r>
      <w:proofErr w:type="spellStart"/>
      <w:r w:rsidRPr="00C143D3">
        <w:rPr>
          <w:rFonts w:ascii="David" w:hAnsi="David" w:cs="David"/>
          <w:sz w:val="24"/>
          <w:szCs w:val="24"/>
          <w:rtl/>
        </w:rPr>
        <w:t>היורוספרודנטיות</w:t>
      </w:r>
      <w:proofErr w:type="spellEnd"/>
      <w:r w:rsidRPr="00C143D3">
        <w:rPr>
          <w:rFonts w:ascii="David" w:hAnsi="David" w:cs="David"/>
          <w:sz w:val="24"/>
          <w:szCs w:val="24"/>
          <w:rtl/>
        </w:rPr>
        <w:t xml:space="preserve"> </w:t>
      </w:r>
      <w:r w:rsidR="00414D65">
        <w:rPr>
          <w:rFonts w:ascii="David" w:hAnsi="David" w:cs="David" w:hint="cs"/>
          <w:sz w:val="24"/>
          <w:szCs w:val="24"/>
          <w:rtl/>
        </w:rPr>
        <w:t>שיש לקב</w:t>
      </w:r>
      <w:r w:rsidR="001970C7">
        <w:rPr>
          <w:rFonts w:ascii="David" w:hAnsi="David" w:cs="David" w:hint="cs"/>
          <w:sz w:val="24"/>
          <w:szCs w:val="24"/>
          <w:rtl/>
        </w:rPr>
        <w:t>צי תקנות במשנה</w:t>
      </w:r>
      <w:r w:rsidRPr="00C143D3">
        <w:rPr>
          <w:rFonts w:ascii="David" w:hAnsi="David" w:cs="David"/>
          <w:sz w:val="24"/>
          <w:szCs w:val="24"/>
          <w:rtl/>
        </w:rPr>
        <w:t>.</w:t>
      </w:r>
    </w:p>
  </w:footnote>
  <w:footnote w:id="8">
    <w:p w14:paraId="71A80A2C" w14:textId="31868B96" w:rsidR="00797FEF" w:rsidRPr="0095188F" w:rsidRDefault="00797FEF" w:rsidP="00E468C1">
      <w:pPr>
        <w:pStyle w:val="a3"/>
        <w:spacing w:line="480" w:lineRule="auto"/>
        <w:rPr>
          <w:rFonts w:ascii="David" w:hAnsi="David" w:cs="David"/>
          <w:sz w:val="24"/>
          <w:szCs w:val="24"/>
          <w:rtl/>
        </w:rPr>
      </w:pPr>
      <w:r w:rsidRPr="0095188F">
        <w:rPr>
          <w:rStyle w:val="a5"/>
          <w:rFonts w:ascii="David" w:hAnsi="David" w:cs="David"/>
          <w:sz w:val="24"/>
          <w:szCs w:val="24"/>
        </w:rPr>
        <w:footnoteRef/>
      </w:r>
      <w:r w:rsidRPr="0095188F">
        <w:rPr>
          <w:rFonts w:ascii="David" w:hAnsi="David" w:cs="David"/>
          <w:sz w:val="24"/>
          <w:szCs w:val="24"/>
          <w:rtl/>
        </w:rPr>
        <w:t xml:space="preserve"> </w:t>
      </w:r>
      <w:r w:rsidRPr="0095188F">
        <w:rPr>
          <w:rFonts w:asciiTheme="majorBidi" w:hAnsiTheme="majorBidi" w:cstheme="majorBidi"/>
          <w:sz w:val="24"/>
          <w:szCs w:val="24"/>
        </w:rPr>
        <w:t xml:space="preserve">Jacob Nahum </w:t>
      </w:r>
      <w:proofErr w:type="spellStart"/>
      <w:r w:rsidRPr="0095188F">
        <w:rPr>
          <w:rFonts w:asciiTheme="majorBidi" w:hAnsiTheme="majorBidi" w:cstheme="majorBidi"/>
          <w:sz w:val="24"/>
          <w:szCs w:val="24"/>
        </w:rPr>
        <w:t>Epstien</w:t>
      </w:r>
      <w:proofErr w:type="spellEnd"/>
      <w:r w:rsidRPr="0095188F">
        <w:rPr>
          <w:rFonts w:asciiTheme="majorBidi" w:hAnsiTheme="majorBidi" w:cstheme="majorBidi"/>
          <w:sz w:val="24"/>
          <w:szCs w:val="24"/>
        </w:rPr>
        <w:t xml:space="preserve"> [Halevi], Ezra </w:t>
      </w:r>
      <w:proofErr w:type="spellStart"/>
      <w:r w:rsidRPr="0095188F">
        <w:rPr>
          <w:rFonts w:asciiTheme="majorBidi" w:hAnsiTheme="majorBidi" w:cstheme="majorBidi"/>
          <w:sz w:val="24"/>
          <w:szCs w:val="24"/>
        </w:rPr>
        <w:t>Siyon-Mlammed</w:t>
      </w:r>
      <w:proofErr w:type="spellEnd"/>
      <w:r w:rsidRPr="0095188F">
        <w:rPr>
          <w:rFonts w:asciiTheme="majorBidi" w:hAnsiTheme="majorBidi" w:cstheme="majorBidi"/>
          <w:sz w:val="24"/>
          <w:szCs w:val="24"/>
        </w:rPr>
        <w:t xml:space="preserve"> ed., </w:t>
      </w:r>
      <w:r w:rsidRPr="0095188F">
        <w:rPr>
          <w:rFonts w:asciiTheme="majorBidi" w:hAnsiTheme="majorBidi" w:cstheme="majorBidi"/>
          <w:i/>
          <w:iCs/>
          <w:sz w:val="24"/>
          <w:szCs w:val="24"/>
        </w:rPr>
        <w:t>Introduction to the Tannaitic Literature</w:t>
      </w:r>
      <w:r w:rsidRPr="0095188F">
        <w:rPr>
          <w:rFonts w:asciiTheme="majorBidi" w:hAnsiTheme="majorBidi" w:cstheme="majorBidi"/>
          <w:sz w:val="24"/>
          <w:szCs w:val="24"/>
        </w:rPr>
        <w:t xml:space="preserve">: </w:t>
      </w:r>
      <w:r w:rsidRPr="0095188F">
        <w:rPr>
          <w:rFonts w:asciiTheme="majorBidi" w:hAnsiTheme="majorBidi" w:cstheme="majorBidi"/>
          <w:i/>
          <w:iCs/>
          <w:color w:val="000000" w:themeColor="text1"/>
          <w:sz w:val="24"/>
          <w:szCs w:val="24"/>
        </w:rPr>
        <w:t xml:space="preserve">Mishna, </w:t>
      </w:r>
      <w:proofErr w:type="spellStart"/>
      <w:r w:rsidRPr="0095188F">
        <w:rPr>
          <w:rFonts w:asciiTheme="majorBidi" w:hAnsiTheme="majorBidi" w:cstheme="majorBidi"/>
          <w:i/>
          <w:iCs/>
          <w:color w:val="000000" w:themeColor="text1"/>
          <w:sz w:val="24"/>
          <w:szCs w:val="24"/>
        </w:rPr>
        <w:t>Tosephta</w:t>
      </w:r>
      <w:proofErr w:type="spellEnd"/>
      <w:r w:rsidRPr="0095188F">
        <w:rPr>
          <w:rFonts w:asciiTheme="majorBidi" w:hAnsiTheme="majorBidi" w:cstheme="majorBidi"/>
          <w:i/>
          <w:iCs/>
          <w:color w:val="000000" w:themeColor="text1"/>
          <w:sz w:val="24"/>
          <w:szCs w:val="24"/>
        </w:rPr>
        <w:t xml:space="preserve"> and Halakhic Midrashim</w:t>
      </w:r>
      <w:r w:rsidRPr="0095188F">
        <w:rPr>
          <w:rFonts w:asciiTheme="majorBidi" w:hAnsiTheme="majorBidi" w:cstheme="majorBidi"/>
          <w:sz w:val="24"/>
          <w:szCs w:val="24"/>
        </w:rPr>
        <w:t xml:space="preserve">, </w:t>
      </w:r>
      <w:proofErr w:type="spellStart"/>
      <w:r w:rsidRPr="0095188F">
        <w:rPr>
          <w:rFonts w:asciiTheme="majorBidi" w:hAnsiTheme="majorBidi" w:cstheme="majorBidi"/>
          <w:sz w:val="24"/>
          <w:szCs w:val="24"/>
        </w:rPr>
        <w:t>Jerusalm</w:t>
      </w:r>
      <w:proofErr w:type="spellEnd"/>
      <w:r w:rsidRPr="0095188F">
        <w:rPr>
          <w:rFonts w:asciiTheme="majorBidi" w:hAnsiTheme="majorBidi" w:cstheme="majorBidi"/>
          <w:sz w:val="24"/>
          <w:szCs w:val="24"/>
        </w:rPr>
        <w:t xml:space="preserve">: </w:t>
      </w:r>
      <w:proofErr w:type="spellStart"/>
      <w:r w:rsidRPr="0095188F">
        <w:rPr>
          <w:rFonts w:asciiTheme="majorBidi" w:hAnsiTheme="majorBidi" w:cstheme="majorBidi"/>
          <w:sz w:val="24"/>
          <w:szCs w:val="24"/>
        </w:rPr>
        <w:t>Magnes</w:t>
      </w:r>
      <w:proofErr w:type="spellEnd"/>
      <w:r w:rsidRPr="0095188F">
        <w:rPr>
          <w:rFonts w:asciiTheme="majorBidi" w:hAnsiTheme="majorBidi" w:cstheme="majorBidi"/>
          <w:sz w:val="24"/>
          <w:szCs w:val="24"/>
        </w:rPr>
        <w:t xml:space="preserve"> Press &amp; Tel Aviv: </w:t>
      </w:r>
      <w:proofErr w:type="spellStart"/>
      <w:r w:rsidRPr="0095188F">
        <w:rPr>
          <w:rFonts w:asciiTheme="majorBidi" w:hAnsiTheme="majorBidi" w:cstheme="majorBidi"/>
          <w:sz w:val="24"/>
          <w:szCs w:val="24"/>
        </w:rPr>
        <w:t>Dvir</w:t>
      </w:r>
      <w:proofErr w:type="spellEnd"/>
      <w:r w:rsidRPr="0095188F">
        <w:rPr>
          <w:rFonts w:asciiTheme="majorBidi" w:hAnsiTheme="majorBidi" w:cstheme="majorBidi"/>
          <w:sz w:val="24"/>
          <w:szCs w:val="24"/>
        </w:rPr>
        <w:t xml:space="preserve"> Co LTD 1957, p. 339</w:t>
      </w:r>
      <w:r w:rsidRPr="0095188F">
        <w:rPr>
          <w:rFonts w:ascii="David" w:hAnsi="David" w:cs="David"/>
          <w:sz w:val="24"/>
          <w:szCs w:val="24"/>
          <w:rtl/>
        </w:rPr>
        <w:t xml:space="preserve">. </w:t>
      </w:r>
    </w:p>
  </w:footnote>
  <w:footnote w:id="9">
    <w:p w14:paraId="338ECFF2" w14:textId="209BDC62" w:rsidR="00797FEF" w:rsidRPr="0095188F" w:rsidRDefault="00797FEF" w:rsidP="00E468C1">
      <w:pPr>
        <w:pStyle w:val="a3"/>
        <w:spacing w:line="480" w:lineRule="auto"/>
        <w:rPr>
          <w:rFonts w:ascii="David" w:hAnsi="David" w:cs="David"/>
          <w:sz w:val="24"/>
          <w:szCs w:val="24"/>
          <w:rtl/>
        </w:rPr>
      </w:pPr>
      <w:r w:rsidRPr="0095188F">
        <w:rPr>
          <w:rStyle w:val="a5"/>
          <w:rFonts w:ascii="David" w:hAnsi="David" w:cs="David"/>
          <w:sz w:val="24"/>
          <w:szCs w:val="24"/>
        </w:rPr>
        <w:footnoteRef/>
      </w:r>
      <w:r w:rsidRPr="0095188F">
        <w:rPr>
          <w:rFonts w:ascii="David" w:hAnsi="David" w:cs="David"/>
          <w:sz w:val="24"/>
          <w:szCs w:val="24"/>
          <w:rtl/>
        </w:rPr>
        <w:t xml:space="preserve"> </w:t>
      </w:r>
      <w:r w:rsidRPr="0095188F">
        <w:rPr>
          <w:rFonts w:ascii="David" w:hAnsi="David" w:cs="David"/>
          <w:sz w:val="24"/>
          <w:szCs w:val="24"/>
          <w:rtl/>
        </w:rPr>
        <w:t xml:space="preserve">לסקירת מחקר, ועמדות החוקרים השונות ראו </w:t>
      </w:r>
      <w:proofErr w:type="spellStart"/>
      <w:r w:rsidRPr="0095188F">
        <w:rPr>
          <w:rFonts w:ascii="David" w:hAnsi="David" w:cs="David"/>
          <w:sz w:val="24"/>
          <w:szCs w:val="24"/>
        </w:rPr>
        <w:t>Vered</w:t>
      </w:r>
      <w:proofErr w:type="spellEnd"/>
      <w:r w:rsidRPr="0095188F">
        <w:rPr>
          <w:rFonts w:ascii="David" w:hAnsi="David" w:cs="David"/>
          <w:sz w:val="24"/>
          <w:szCs w:val="24"/>
        </w:rPr>
        <w:t xml:space="preserve"> Noam, </w:t>
      </w:r>
      <w:proofErr w:type="spellStart"/>
      <w:r w:rsidRPr="008A586D">
        <w:rPr>
          <w:rFonts w:ascii="David" w:hAnsi="David" w:cs="David"/>
          <w:i/>
          <w:iCs/>
          <w:sz w:val="24"/>
          <w:szCs w:val="24"/>
        </w:rPr>
        <w:t>Megillat</w:t>
      </w:r>
      <w:proofErr w:type="spellEnd"/>
      <w:r w:rsidRPr="008A586D">
        <w:rPr>
          <w:rFonts w:ascii="David" w:hAnsi="David" w:cs="David"/>
          <w:i/>
          <w:iCs/>
          <w:sz w:val="24"/>
          <w:szCs w:val="24"/>
        </w:rPr>
        <w:t xml:space="preserve"> </w:t>
      </w:r>
      <w:proofErr w:type="spellStart"/>
      <w:r w:rsidRPr="008A586D">
        <w:rPr>
          <w:rFonts w:ascii="David" w:hAnsi="David" w:cs="David"/>
          <w:i/>
          <w:iCs/>
          <w:sz w:val="24"/>
          <w:szCs w:val="24"/>
        </w:rPr>
        <w:t>Ta</w:t>
      </w:r>
      <w:r w:rsidRPr="008A586D">
        <w:rPr>
          <w:rFonts w:ascii="Arial" w:hAnsi="Arial" w:cs="Arial"/>
          <w:i/>
          <w:iCs/>
          <w:sz w:val="24"/>
          <w:szCs w:val="24"/>
        </w:rPr>
        <w:t>Ꜥ</w:t>
      </w:r>
      <w:r w:rsidRPr="008A586D">
        <w:rPr>
          <w:rFonts w:ascii="David" w:hAnsi="David" w:cs="David"/>
          <w:i/>
          <w:iCs/>
          <w:sz w:val="24"/>
          <w:szCs w:val="24"/>
        </w:rPr>
        <w:t>anit</w:t>
      </w:r>
      <w:proofErr w:type="spellEnd"/>
      <w:r w:rsidRPr="008A586D">
        <w:rPr>
          <w:rFonts w:ascii="David" w:hAnsi="David" w:cs="David"/>
          <w:i/>
          <w:iCs/>
          <w:sz w:val="24"/>
          <w:szCs w:val="24"/>
        </w:rPr>
        <w:t>: Versions, Interpretation, History with a critical edition</w:t>
      </w:r>
      <w:r w:rsidRPr="0095188F">
        <w:rPr>
          <w:rFonts w:ascii="David" w:hAnsi="David" w:cs="David"/>
          <w:sz w:val="24"/>
          <w:szCs w:val="24"/>
        </w:rPr>
        <w:t xml:space="preserve">, Jerusalem: </w:t>
      </w:r>
      <w:proofErr w:type="spellStart"/>
      <w:r w:rsidRPr="0095188F">
        <w:rPr>
          <w:rFonts w:ascii="David" w:hAnsi="David" w:cs="David"/>
          <w:sz w:val="24"/>
          <w:szCs w:val="24"/>
        </w:rPr>
        <w:t>Yad</w:t>
      </w:r>
      <w:proofErr w:type="spellEnd"/>
      <w:r w:rsidRPr="0095188F">
        <w:rPr>
          <w:rFonts w:ascii="David" w:hAnsi="David" w:cs="David"/>
          <w:sz w:val="24"/>
          <w:szCs w:val="24"/>
        </w:rPr>
        <w:t xml:space="preserve"> Ben-</w:t>
      </w:r>
      <w:proofErr w:type="spellStart"/>
      <w:r w:rsidRPr="0095188F">
        <w:rPr>
          <w:rFonts w:ascii="David" w:hAnsi="David" w:cs="David"/>
          <w:sz w:val="24"/>
          <w:szCs w:val="24"/>
        </w:rPr>
        <w:t>Zvi</w:t>
      </w:r>
      <w:proofErr w:type="spellEnd"/>
      <w:r w:rsidRPr="0095188F">
        <w:rPr>
          <w:rFonts w:ascii="David" w:hAnsi="David" w:cs="David"/>
          <w:sz w:val="24"/>
          <w:szCs w:val="24"/>
        </w:rPr>
        <w:t xml:space="preserve"> press 2003, pp. 165-168.</w:t>
      </w:r>
    </w:p>
  </w:footnote>
  <w:footnote w:id="10">
    <w:p w14:paraId="28C90FAD" w14:textId="39C30AEB" w:rsidR="00797FEF" w:rsidRPr="0095188F" w:rsidRDefault="00797FEF" w:rsidP="00E468C1">
      <w:pPr>
        <w:pStyle w:val="a3"/>
        <w:spacing w:line="480" w:lineRule="auto"/>
        <w:rPr>
          <w:rFonts w:ascii="David" w:hAnsi="David" w:cs="David"/>
          <w:sz w:val="24"/>
          <w:szCs w:val="24"/>
          <w:rtl/>
        </w:rPr>
      </w:pPr>
      <w:r w:rsidRPr="0095188F">
        <w:rPr>
          <w:rStyle w:val="a5"/>
          <w:rFonts w:ascii="David" w:hAnsi="David" w:cs="David"/>
          <w:sz w:val="24"/>
          <w:szCs w:val="24"/>
        </w:rPr>
        <w:footnoteRef/>
      </w:r>
      <w:r w:rsidRPr="0095188F">
        <w:rPr>
          <w:rFonts w:ascii="David" w:hAnsi="David" w:cs="David"/>
          <w:sz w:val="24"/>
          <w:szCs w:val="24"/>
          <w:rtl/>
        </w:rPr>
        <w:t xml:space="preserve"> </w:t>
      </w:r>
      <w:r w:rsidRPr="0095188F">
        <w:rPr>
          <w:rFonts w:ascii="David" w:hAnsi="David" w:cs="David"/>
          <w:sz w:val="24"/>
          <w:szCs w:val="24"/>
          <w:rtl/>
        </w:rPr>
        <w:t>נעם, שם, עמ' 165</w:t>
      </w:r>
      <w:r w:rsidRPr="0095188F">
        <w:rPr>
          <w:rFonts w:ascii="David" w:hAnsi="David" w:cs="David"/>
          <w:sz w:val="24"/>
          <w:szCs w:val="24"/>
        </w:rPr>
        <w:t>.</w:t>
      </w:r>
    </w:p>
  </w:footnote>
  <w:footnote w:id="11">
    <w:p w14:paraId="49F3218A" w14:textId="0A30366C" w:rsidR="00797FEF" w:rsidRPr="0095188F" w:rsidRDefault="00797FEF" w:rsidP="00E468C1">
      <w:pPr>
        <w:pStyle w:val="a3"/>
        <w:spacing w:line="480" w:lineRule="auto"/>
        <w:rPr>
          <w:rFonts w:ascii="David" w:hAnsi="David" w:cs="David"/>
          <w:sz w:val="24"/>
          <w:szCs w:val="24"/>
          <w:rtl/>
        </w:rPr>
      </w:pPr>
      <w:r w:rsidRPr="0095188F">
        <w:rPr>
          <w:rStyle w:val="a5"/>
          <w:rFonts w:ascii="David" w:hAnsi="David" w:cs="David"/>
          <w:sz w:val="24"/>
          <w:szCs w:val="24"/>
        </w:rPr>
        <w:footnoteRef/>
      </w:r>
      <w:r w:rsidRPr="0095188F">
        <w:rPr>
          <w:rFonts w:ascii="David" w:hAnsi="David" w:cs="David"/>
          <w:sz w:val="24"/>
          <w:szCs w:val="24"/>
          <w:rtl/>
        </w:rPr>
        <w:t xml:space="preserve"> </w:t>
      </w:r>
      <w:r w:rsidRPr="0095188F">
        <w:rPr>
          <w:rFonts w:ascii="David" w:hAnsi="David" w:cs="David"/>
          <w:sz w:val="24"/>
          <w:szCs w:val="24"/>
          <w:rtl/>
        </w:rPr>
        <w:t xml:space="preserve">מסורות </w:t>
      </w:r>
      <w:proofErr w:type="spellStart"/>
      <w:r w:rsidRPr="0095188F">
        <w:rPr>
          <w:rFonts w:ascii="David" w:hAnsi="David" w:cs="David"/>
          <w:sz w:val="24"/>
          <w:szCs w:val="24"/>
          <w:rtl/>
        </w:rPr>
        <w:t>הסכוליון</w:t>
      </w:r>
      <w:proofErr w:type="spellEnd"/>
      <w:r w:rsidRPr="0095188F">
        <w:rPr>
          <w:rFonts w:ascii="David" w:hAnsi="David" w:cs="David"/>
          <w:sz w:val="24"/>
          <w:szCs w:val="24"/>
          <w:rtl/>
        </w:rPr>
        <w:t xml:space="preserve"> מחליפות בין צדוקים </w:t>
      </w:r>
      <w:proofErr w:type="spellStart"/>
      <w:r w:rsidRPr="0095188F">
        <w:rPr>
          <w:rFonts w:ascii="David" w:hAnsi="David" w:cs="David"/>
          <w:sz w:val="24"/>
          <w:szCs w:val="24"/>
          <w:rtl/>
        </w:rPr>
        <w:t>לבייתוסים</w:t>
      </w:r>
      <w:proofErr w:type="spellEnd"/>
      <w:r w:rsidRPr="0095188F">
        <w:rPr>
          <w:rFonts w:ascii="David" w:hAnsi="David" w:cs="David"/>
          <w:sz w:val="24"/>
          <w:szCs w:val="24"/>
          <w:rtl/>
        </w:rPr>
        <w:t xml:space="preserve">. </w:t>
      </w:r>
      <w:r w:rsidRPr="0095188F">
        <w:rPr>
          <w:rFonts w:ascii="David" w:hAnsi="David" w:cs="David" w:hint="cs"/>
          <w:sz w:val="24"/>
          <w:szCs w:val="24"/>
          <w:rtl/>
        </w:rPr>
        <w:t xml:space="preserve">ראו </w:t>
      </w:r>
      <w:proofErr w:type="spellStart"/>
      <w:r w:rsidRPr="0095188F">
        <w:rPr>
          <w:rFonts w:asciiTheme="majorBidi" w:hAnsiTheme="majorBidi" w:cstheme="majorBidi"/>
          <w:sz w:val="24"/>
          <w:szCs w:val="24"/>
        </w:rPr>
        <w:t>Vered</w:t>
      </w:r>
      <w:proofErr w:type="spellEnd"/>
      <w:r w:rsidRPr="0095188F">
        <w:rPr>
          <w:rFonts w:asciiTheme="majorBidi" w:hAnsiTheme="majorBidi" w:cstheme="majorBidi"/>
          <w:sz w:val="24"/>
          <w:szCs w:val="24"/>
        </w:rPr>
        <w:t xml:space="preserve"> Noam, “Rediscovered Fragments of Variant Biblical and Midrashic Texts”, in </w:t>
      </w:r>
      <w:r w:rsidRPr="0095188F">
        <w:rPr>
          <w:rFonts w:asciiTheme="majorBidi" w:hAnsiTheme="majorBidi" w:cstheme="majorBidi"/>
          <w:i/>
          <w:iCs/>
          <w:sz w:val="24"/>
          <w:szCs w:val="24"/>
        </w:rPr>
        <w:t xml:space="preserve">Issues in Talmudic Research: Conference Commemorating the Fifth Anniversary of the Passing of Ephraim E. </w:t>
      </w:r>
      <w:proofErr w:type="spellStart"/>
      <w:r w:rsidRPr="0095188F">
        <w:rPr>
          <w:rFonts w:asciiTheme="majorBidi" w:hAnsiTheme="majorBidi" w:cstheme="majorBidi"/>
          <w:i/>
          <w:iCs/>
          <w:sz w:val="24"/>
          <w:szCs w:val="24"/>
        </w:rPr>
        <w:t>Urbach</w:t>
      </w:r>
      <w:proofErr w:type="spellEnd"/>
      <w:r w:rsidRPr="0095188F">
        <w:rPr>
          <w:rFonts w:asciiTheme="majorBidi" w:hAnsiTheme="majorBidi" w:cstheme="majorBidi"/>
          <w:sz w:val="24"/>
          <w:szCs w:val="24"/>
        </w:rPr>
        <w:t>, Jerusalem: The Israel Academy of Sciences and Humanities 2001, pp. 72-76</w:t>
      </w:r>
      <w:r w:rsidRPr="0095188F">
        <w:rPr>
          <w:rFonts w:cs="David" w:hint="cs"/>
          <w:sz w:val="24"/>
          <w:szCs w:val="24"/>
          <w:rtl/>
        </w:rPr>
        <w:t>;</w:t>
      </w:r>
      <w:r w:rsidRPr="0095188F">
        <w:rPr>
          <w:rFonts w:ascii="David" w:hAnsi="David" w:cs="David"/>
          <w:b/>
          <w:bCs/>
          <w:sz w:val="24"/>
          <w:szCs w:val="24"/>
          <w:rtl/>
        </w:rPr>
        <w:t xml:space="preserve"> </w:t>
      </w:r>
      <w:r w:rsidR="00FD3536">
        <w:rPr>
          <w:rFonts w:ascii="David" w:hAnsi="David" w:cs="David" w:hint="cs"/>
          <w:sz w:val="24"/>
          <w:szCs w:val="24"/>
          <w:rtl/>
        </w:rPr>
        <w:t>שחזור ל</w:t>
      </w:r>
      <w:r w:rsidRPr="0095188F">
        <w:rPr>
          <w:rFonts w:ascii="David" w:hAnsi="David" w:cs="David"/>
          <w:sz w:val="24"/>
          <w:szCs w:val="24"/>
          <w:rtl/>
        </w:rPr>
        <w:t xml:space="preserve">נוסח כ"י </w:t>
      </w:r>
      <w:proofErr w:type="spellStart"/>
      <w:r w:rsidRPr="0095188F">
        <w:rPr>
          <w:rFonts w:ascii="David" w:hAnsi="David" w:cs="David"/>
          <w:sz w:val="24"/>
          <w:szCs w:val="24"/>
          <w:rtl/>
        </w:rPr>
        <w:t>פארמה</w:t>
      </w:r>
      <w:proofErr w:type="spellEnd"/>
      <w:r w:rsidR="00FD3536">
        <w:rPr>
          <w:rFonts w:ascii="David" w:hAnsi="David" w:cs="David" w:hint="cs"/>
          <w:sz w:val="24"/>
          <w:szCs w:val="24"/>
          <w:rtl/>
        </w:rPr>
        <w:t xml:space="preserve"> ראו</w:t>
      </w:r>
      <w:r>
        <w:rPr>
          <w:rFonts w:ascii="David" w:hAnsi="David" w:cs="David" w:hint="cs"/>
          <w:sz w:val="24"/>
          <w:szCs w:val="24"/>
          <w:rtl/>
        </w:rPr>
        <w:t xml:space="preserve"> </w:t>
      </w:r>
      <w:r w:rsidR="00CE758B">
        <w:rPr>
          <w:rFonts w:ascii="David" w:hAnsi="David" w:cs="David" w:hint="cs"/>
          <w:sz w:val="24"/>
          <w:szCs w:val="24"/>
          <w:rtl/>
        </w:rPr>
        <w:t xml:space="preserve">'מגילת תענית', </w:t>
      </w:r>
      <w:r w:rsidRPr="0095188F">
        <w:rPr>
          <w:rFonts w:ascii="David" w:hAnsi="David" w:cs="David"/>
          <w:sz w:val="24"/>
          <w:szCs w:val="24"/>
          <w:rtl/>
        </w:rPr>
        <w:t>עמ' 165.</w:t>
      </w:r>
    </w:p>
  </w:footnote>
  <w:footnote w:id="12">
    <w:p w14:paraId="22D72570" w14:textId="77777777" w:rsidR="00797FEF" w:rsidRPr="0095188F" w:rsidRDefault="00797FEF" w:rsidP="00E468C1">
      <w:pPr>
        <w:pStyle w:val="a3"/>
        <w:spacing w:line="480" w:lineRule="auto"/>
        <w:rPr>
          <w:rFonts w:ascii="David" w:hAnsi="David" w:cs="David"/>
          <w:sz w:val="24"/>
          <w:szCs w:val="24"/>
          <w:rtl/>
        </w:rPr>
      </w:pPr>
      <w:r w:rsidRPr="0095188F">
        <w:rPr>
          <w:rStyle w:val="a5"/>
          <w:rFonts w:ascii="David" w:hAnsi="David" w:cs="David"/>
          <w:sz w:val="24"/>
          <w:szCs w:val="24"/>
        </w:rPr>
        <w:footnoteRef/>
      </w:r>
      <w:r w:rsidRPr="0095188F">
        <w:rPr>
          <w:rFonts w:ascii="David" w:hAnsi="David" w:cs="David"/>
          <w:sz w:val="24"/>
          <w:szCs w:val="24"/>
          <w:rtl/>
        </w:rPr>
        <w:t xml:space="preserve"> </w:t>
      </w:r>
      <w:proofErr w:type="spellStart"/>
      <w:r w:rsidRPr="0095188F">
        <w:rPr>
          <w:rFonts w:ascii="David" w:hAnsi="David" w:cs="David"/>
          <w:sz w:val="24"/>
          <w:szCs w:val="24"/>
        </w:rPr>
        <w:t>Eyal</w:t>
      </w:r>
      <w:proofErr w:type="spellEnd"/>
      <w:r w:rsidRPr="0095188F">
        <w:rPr>
          <w:rFonts w:ascii="David" w:hAnsi="David" w:cs="David"/>
          <w:sz w:val="24"/>
          <w:szCs w:val="24"/>
        </w:rPr>
        <w:t xml:space="preserve"> Regev, </w:t>
      </w:r>
      <w:r w:rsidRPr="0095188F">
        <w:rPr>
          <w:rFonts w:ascii="David" w:hAnsi="David" w:cs="David"/>
          <w:i/>
          <w:iCs/>
          <w:sz w:val="24"/>
          <w:szCs w:val="24"/>
        </w:rPr>
        <w:t>The Sadducees And Their Halakah: Religion and Society in the Second Temple Period</w:t>
      </w:r>
      <w:r w:rsidRPr="0095188F">
        <w:rPr>
          <w:rFonts w:ascii="David" w:hAnsi="David" w:cs="David"/>
          <w:sz w:val="24"/>
          <w:szCs w:val="24"/>
        </w:rPr>
        <w:t xml:space="preserve">, Jerusalem: </w:t>
      </w:r>
      <w:proofErr w:type="spellStart"/>
      <w:r w:rsidRPr="0095188F">
        <w:rPr>
          <w:rFonts w:ascii="David" w:hAnsi="David" w:cs="David"/>
          <w:sz w:val="24"/>
          <w:szCs w:val="24"/>
        </w:rPr>
        <w:t>Yad</w:t>
      </w:r>
      <w:proofErr w:type="spellEnd"/>
      <w:r w:rsidRPr="0095188F">
        <w:rPr>
          <w:rFonts w:ascii="David" w:hAnsi="David" w:cs="David"/>
          <w:sz w:val="24"/>
          <w:szCs w:val="24"/>
        </w:rPr>
        <w:t xml:space="preserve"> Ben-</w:t>
      </w:r>
      <w:proofErr w:type="spellStart"/>
      <w:r w:rsidRPr="0095188F">
        <w:rPr>
          <w:rFonts w:ascii="David" w:hAnsi="David" w:cs="David"/>
          <w:sz w:val="24"/>
          <w:szCs w:val="24"/>
        </w:rPr>
        <w:t>Zvi</w:t>
      </w:r>
      <w:proofErr w:type="spellEnd"/>
      <w:r w:rsidRPr="0095188F">
        <w:rPr>
          <w:rFonts w:ascii="David" w:hAnsi="David" w:cs="David"/>
          <w:sz w:val="24"/>
          <w:szCs w:val="24"/>
        </w:rPr>
        <w:t xml:space="preserve"> 2005, pp. 132-137.</w:t>
      </w:r>
    </w:p>
  </w:footnote>
  <w:footnote w:id="13">
    <w:p w14:paraId="22845258" w14:textId="77777777" w:rsidR="00797FEF" w:rsidRPr="0095188F" w:rsidRDefault="00797FEF" w:rsidP="00E468C1">
      <w:pPr>
        <w:pStyle w:val="a3"/>
        <w:spacing w:line="480" w:lineRule="auto"/>
        <w:rPr>
          <w:rFonts w:ascii="David" w:hAnsi="David" w:cs="David"/>
          <w:sz w:val="24"/>
          <w:szCs w:val="24"/>
          <w:rtl/>
        </w:rPr>
      </w:pPr>
      <w:r w:rsidRPr="0095188F">
        <w:rPr>
          <w:rStyle w:val="a5"/>
          <w:rFonts w:ascii="David" w:hAnsi="David" w:cs="David"/>
          <w:sz w:val="24"/>
          <w:szCs w:val="24"/>
        </w:rPr>
        <w:footnoteRef/>
      </w:r>
      <w:r w:rsidRPr="0095188F">
        <w:rPr>
          <w:rFonts w:ascii="David" w:hAnsi="David" w:cs="David"/>
          <w:sz w:val="24"/>
          <w:szCs w:val="24"/>
          <w:rtl/>
        </w:rPr>
        <w:t xml:space="preserve"> </w:t>
      </w:r>
      <w:r w:rsidRPr="0095188F">
        <w:rPr>
          <w:rFonts w:ascii="David" w:hAnsi="David" w:cs="David"/>
          <w:sz w:val="24"/>
          <w:szCs w:val="24"/>
          <w:rtl/>
        </w:rPr>
        <w:t>רגב, הצדוקים, עמ' 134.</w:t>
      </w:r>
    </w:p>
  </w:footnote>
  <w:footnote w:id="14">
    <w:p w14:paraId="6353DDEF" w14:textId="3FAF110F" w:rsidR="00C053EF" w:rsidRDefault="00C053EF" w:rsidP="00B5793E">
      <w:pPr>
        <w:pStyle w:val="a3"/>
        <w:spacing w:line="480" w:lineRule="auto"/>
        <w:rPr>
          <w:rtl/>
        </w:rPr>
      </w:pPr>
      <w:r>
        <w:rPr>
          <w:rStyle w:val="a5"/>
        </w:rPr>
        <w:footnoteRef/>
      </w:r>
      <w:r>
        <w:rPr>
          <w:rtl/>
        </w:rPr>
        <w:t xml:space="preserve"> </w:t>
      </w:r>
      <w:r w:rsidRPr="00C053EF">
        <w:rPr>
          <w:rFonts w:ascii="Times New Roman" w:hAnsi="Times New Roman" w:cs="Times New Roman"/>
          <w:sz w:val="24"/>
          <w:szCs w:val="24"/>
        </w:rPr>
        <w:t xml:space="preserve">English translations of the Hebrew Bible are from </w:t>
      </w:r>
      <w:r w:rsidRPr="00277010">
        <w:rPr>
          <w:rFonts w:ascii="Times New Roman" w:hAnsi="Times New Roman" w:cs="Times New Roman"/>
          <w:i/>
          <w:iCs/>
          <w:sz w:val="24"/>
          <w:szCs w:val="24"/>
        </w:rPr>
        <w:t>Tanakh: The Holy Scriptures</w:t>
      </w:r>
      <w:r w:rsidR="00B5793E" w:rsidRPr="00277010">
        <w:rPr>
          <w:rFonts w:ascii="Times New Roman" w:hAnsi="Times New Roman" w:cs="Times New Roman"/>
          <w:i/>
          <w:iCs/>
          <w:sz w:val="24"/>
          <w:szCs w:val="24"/>
        </w:rPr>
        <w:t>: A New Translation of According to the Traditional Hebrew Text</w:t>
      </w:r>
      <w:r w:rsidRPr="00C053EF">
        <w:rPr>
          <w:rFonts w:ascii="Times New Roman" w:hAnsi="Times New Roman" w:cs="Times New Roman"/>
          <w:sz w:val="24"/>
          <w:szCs w:val="24"/>
        </w:rPr>
        <w:t>, Philadelphia/</w:t>
      </w:r>
      <w:r w:rsidR="00D65AFC">
        <w:rPr>
          <w:rFonts w:ascii="Times New Roman" w:hAnsi="Times New Roman" w:cs="Times New Roman"/>
          <w:sz w:val="24"/>
          <w:szCs w:val="24"/>
        </w:rPr>
        <w:t>New York/</w:t>
      </w:r>
      <w:r w:rsidRPr="00C053EF">
        <w:rPr>
          <w:rFonts w:ascii="Times New Roman" w:hAnsi="Times New Roman" w:cs="Times New Roman"/>
          <w:sz w:val="24"/>
          <w:szCs w:val="24"/>
        </w:rPr>
        <w:t>Jerusalem</w:t>
      </w:r>
      <w:r w:rsidR="00D65AFC">
        <w:rPr>
          <w:rFonts w:ascii="Times New Roman" w:hAnsi="Times New Roman" w:cs="Times New Roman"/>
          <w:sz w:val="24"/>
          <w:szCs w:val="24"/>
        </w:rPr>
        <w:t>: The Jewish Publication Society</w:t>
      </w:r>
      <w:r w:rsidRPr="00C053EF">
        <w:rPr>
          <w:rFonts w:ascii="Times New Roman" w:hAnsi="Times New Roman" w:cs="Times New Roman"/>
          <w:sz w:val="24"/>
          <w:szCs w:val="24"/>
        </w:rPr>
        <w:t xml:space="preserve">, </w:t>
      </w:r>
      <w:proofErr w:type="gramStart"/>
      <w:r w:rsidRPr="00C053EF">
        <w:rPr>
          <w:rFonts w:ascii="Times New Roman" w:hAnsi="Times New Roman" w:cs="Times New Roman"/>
          <w:sz w:val="24"/>
          <w:szCs w:val="24"/>
        </w:rPr>
        <w:t>1985</w:t>
      </w:r>
      <w:r w:rsidR="00B5793E">
        <w:rPr>
          <w:rFonts w:cs="Arial"/>
        </w:rPr>
        <w:t>.</w:t>
      </w:r>
      <w:r w:rsidRPr="00C053EF">
        <w:rPr>
          <w:rFonts w:cs="Arial"/>
          <w:rtl/>
        </w:rPr>
        <w:t>.</w:t>
      </w:r>
      <w:proofErr w:type="gramEnd"/>
    </w:p>
  </w:footnote>
  <w:footnote w:id="15">
    <w:p w14:paraId="46BC176E" w14:textId="121A0982" w:rsidR="00797FEF" w:rsidRPr="0095188F" w:rsidRDefault="00797FEF" w:rsidP="00E468C1">
      <w:pPr>
        <w:pStyle w:val="a3"/>
        <w:spacing w:line="480" w:lineRule="auto"/>
        <w:rPr>
          <w:rFonts w:cs="David"/>
          <w:sz w:val="24"/>
          <w:szCs w:val="24"/>
          <w:rtl/>
        </w:rPr>
      </w:pPr>
      <w:r w:rsidRPr="0095188F">
        <w:rPr>
          <w:rStyle w:val="a5"/>
          <w:rFonts w:ascii="David" w:hAnsi="David" w:cs="David"/>
          <w:sz w:val="24"/>
          <w:szCs w:val="24"/>
        </w:rPr>
        <w:footnoteRef/>
      </w:r>
      <w:r w:rsidRPr="0095188F">
        <w:rPr>
          <w:rFonts w:ascii="David" w:hAnsi="David" w:cs="David"/>
          <w:sz w:val="24"/>
          <w:szCs w:val="24"/>
          <w:rtl/>
        </w:rPr>
        <w:t xml:space="preserve"> </w:t>
      </w:r>
      <w:r w:rsidR="007D424D">
        <w:rPr>
          <w:rFonts w:ascii="David" w:hAnsi="David" w:cs="David" w:hint="cs"/>
          <w:sz w:val="24"/>
          <w:szCs w:val="24"/>
          <w:rtl/>
        </w:rPr>
        <w:t>דרש</w:t>
      </w:r>
      <w:r w:rsidR="002A1C80">
        <w:rPr>
          <w:rFonts w:ascii="David" w:hAnsi="David" w:cs="David" w:hint="cs"/>
          <w:sz w:val="24"/>
          <w:szCs w:val="24"/>
          <w:rtl/>
        </w:rPr>
        <w:t>ות</w:t>
      </w:r>
      <w:r w:rsidR="007D424D">
        <w:rPr>
          <w:rFonts w:ascii="David" w:hAnsi="David" w:cs="David" w:hint="cs"/>
          <w:sz w:val="24"/>
          <w:szCs w:val="24"/>
          <w:rtl/>
        </w:rPr>
        <w:t xml:space="preserve"> דומ</w:t>
      </w:r>
      <w:r w:rsidR="002A1C80">
        <w:rPr>
          <w:rFonts w:ascii="David" w:hAnsi="David" w:cs="David" w:hint="cs"/>
          <w:sz w:val="24"/>
          <w:szCs w:val="24"/>
          <w:rtl/>
        </w:rPr>
        <w:t>ות</w:t>
      </w:r>
      <w:r w:rsidR="007D424D">
        <w:rPr>
          <w:rFonts w:ascii="David" w:hAnsi="David" w:cs="David" w:hint="cs"/>
          <w:sz w:val="24"/>
          <w:szCs w:val="24"/>
          <w:rtl/>
        </w:rPr>
        <w:t xml:space="preserve"> </w:t>
      </w:r>
      <w:r w:rsidR="007A6CCF">
        <w:rPr>
          <w:rFonts w:ascii="David" w:hAnsi="David" w:cs="David" w:hint="cs"/>
          <w:sz w:val="24"/>
          <w:szCs w:val="24"/>
          <w:rtl/>
        </w:rPr>
        <w:t xml:space="preserve">נמצאות </w:t>
      </w:r>
      <w:r w:rsidRPr="0095188F">
        <w:rPr>
          <w:rFonts w:ascii="David" w:hAnsi="David" w:cs="David"/>
          <w:sz w:val="24"/>
          <w:szCs w:val="24"/>
          <w:rtl/>
        </w:rPr>
        <w:t>בספרי</w:t>
      </w:r>
      <w:r w:rsidR="00A15E27">
        <w:rPr>
          <w:rFonts w:ascii="David" w:hAnsi="David" w:cs="David" w:hint="cs"/>
          <w:sz w:val="24"/>
          <w:szCs w:val="24"/>
          <w:rtl/>
        </w:rPr>
        <w:t xml:space="preserve"> </w:t>
      </w:r>
      <w:r w:rsidR="007A6CCF">
        <w:rPr>
          <w:rFonts w:ascii="David" w:hAnsi="David" w:cs="David" w:hint="cs"/>
          <w:sz w:val="24"/>
          <w:szCs w:val="24"/>
          <w:rtl/>
        </w:rPr>
        <w:t xml:space="preserve">על </w:t>
      </w:r>
      <w:r w:rsidR="00A15E27">
        <w:rPr>
          <w:rFonts w:ascii="David" w:hAnsi="David" w:cs="David" w:hint="cs"/>
          <w:sz w:val="24"/>
          <w:szCs w:val="24"/>
          <w:rtl/>
        </w:rPr>
        <w:t>במדבר</w:t>
      </w:r>
      <w:r w:rsidR="007A6CCF">
        <w:rPr>
          <w:rFonts w:ascii="David" w:hAnsi="David" w:cs="David" w:hint="cs"/>
          <w:sz w:val="24"/>
          <w:szCs w:val="24"/>
          <w:rtl/>
        </w:rPr>
        <w:t>,</w:t>
      </w:r>
      <w:r w:rsidR="002A1C80">
        <w:rPr>
          <w:rFonts w:ascii="David" w:hAnsi="David" w:cs="David" w:hint="cs"/>
          <w:sz w:val="24"/>
          <w:szCs w:val="24"/>
          <w:rtl/>
        </w:rPr>
        <w:t xml:space="preserve"> ו</w:t>
      </w:r>
      <w:r w:rsidRPr="0095188F">
        <w:rPr>
          <w:rFonts w:ascii="David" w:hAnsi="David" w:cs="David" w:hint="cs"/>
          <w:sz w:val="24"/>
          <w:szCs w:val="24"/>
          <w:rtl/>
        </w:rPr>
        <w:t xml:space="preserve">בספרי זוטא </w:t>
      </w:r>
      <w:r w:rsidR="007A6CCF">
        <w:rPr>
          <w:rFonts w:ascii="David" w:hAnsi="David" w:cs="David" w:hint="cs"/>
          <w:sz w:val="24"/>
          <w:szCs w:val="24"/>
          <w:rtl/>
        </w:rPr>
        <w:t xml:space="preserve">על </w:t>
      </w:r>
      <w:r w:rsidRPr="0095188F">
        <w:rPr>
          <w:rFonts w:ascii="David" w:hAnsi="David" w:cs="David" w:hint="cs"/>
          <w:sz w:val="24"/>
          <w:szCs w:val="24"/>
          <w:rtl/>
        </w:rPr>
        <w:t xml:space="preserve">במדבר ראו </w:t>
      </w:r>
      <w:r w:rsidRPr="0095188F">
        <w:rPr>
          <w:rFonts w:ascii="David" w:hAnsi="David" w:cs="David"/>
          <w:sz w:val="24"/>
          <w:szCs w:val="24"/>
        </w:rPr>
        <w:t xml:space="preserve">Menahem I. </w:t>
      </w:r>
      <w:proofErr w:type="spellStart"/>
      <w:r w:rsidRPr="0095188F">
        <w:rPr>
          <w:rFonts w:ascii="David" w:hAnsi="David" w:cs="David"/>
          <w:sz w:val="24"/>
          <w:szCs w:val="24"/>
        </w:rPr>
        <w:t>Kahana</w:t>
      </w:r>
      <w:proofErr w:type="spellEnd"/>
      <w:r w:rsidRPr="0095188F">
        <w:rPr>
          <w:rFonts w:ascii="David" w:hAnsi="David" w:cs="David"/>
          <w:sz w:val="24"/>
          <w:szCs w:val="24"/>
        </w:rPr>
        <w:t xml:space="preserve">, </w:t>
      </w:r>
      <w:proofErr w:type="spellStart"/>
      <w:r w:rsidRPr="0095188F">
        <w:rPr>
          <w:rFonts w:ascii="David" w:hAnsi="David" w:cs="David"/>
          <w:i/>
          <w:iCs/>
          <w:sz w:val="24"/>
          <w:szCs w:val="24"/>
        </w:rPr>
        <w:t>Sifre</w:t>
      </w:r>
      <w:proofErr w:type="spellEnd"/>
      <w:r w:rsidRPr="0095188F">
        <w:rPr>
          <w:rFonts w:ascii="David" w:hAnsi="David" w:cs="David"/>
          <w:i/>
          <w:iCs/>
          <w:sz w:val="24"/>
          <w:szCs w:val="24"/>
        </w:rPr>
        <w:t xml:space="preserve"> on Numbers: An Annotated Edition</w:t>
      </w:r>
      <w:r w:rsidRPr="0095188F">
        <w:rPr>
          <w:rFonts w:ascii="David" w:hAnsi="David" w:cs="David"/>
          <w:sz w:val="24"/>
          <w:szCs w:val="24"/>
        </w:rPr>
        <w:t xml:space="preserve">, Jerusalem: </w:t>
      </w:r>
      <w:proofErr w:type="spellStart"/>
      <w:r w:rsidRPr="0095188F">
        <w:rPr>
          <w:rFonts w:ascii="David" w:hAnsi="David" w:cs="David"/>
          <w:sz w:val="24"/>
          <w:szCs w:val="24"/>
        </w:rPr>
        <w:t>Magnes</w:t>
      </w:r>
      <w:proofErr w:type="spellEnd"/>
      <w:r w:rsidRPr="0095188F">
        <w:rPr>
          <w:rFonts w:ascii="David" w:hAnsi="David" w:cs="David"/>
          <w:sz w:val="24"/>
          <w:szCs w:val="24"/>
        </w:rPr>
        <w:t xml:space="preserve"> Press 2015, Part I: The Edition, p. </w:t>
      </w:r>
      <w:proofErr w:type="gramStart"/>
      <w:r w:rsidRPr="0095188F">
        <w:rPr>
          <w:rFonts w:ascii="David" w:hAnsi="David" w:cs="David"/>
          <w:sz w:val="24"/>
          <w:szCs w:val="24"/>
          <w:highlight w:val="yellow"/>
        </w:rPr>
        <w:t>67</w:t>
      </w:r>
      <w:r w:rsidRPr="0095188F">
        <w:rPr>
          <w:rFonts w:ascii="David" w:hAnsi="David" w:cs="David"/>
          <w:sz w:val="24"/>
          <w:szCs w:val="24"/>
        </w:rPr>
        <w:t xml:space="preserve">  ,</w:t>
      </w:r>
      <w:proofErr w:type="gramEnd"/>
      <w:r w:rsidRPr="0095188F">
        <w:rPr>
          <w:rFonts w:ascii="David" w:hAnsi="David" w:cs="David"/>
          <w:sz w:val="24"/>
          <w:szCs w:val="24"/>
        </w:rPr>
        <w:t xml:space="preserve"> Part IV: A Commentary on </w:t>
      </w:r>
      <w:proofErr w:type="spellStart"/>
      <w:r w:rsidRPr="0095188F">
        <w:rPr>
          <w:rFonts w:ascii="David" w:hAnsi="David" w:cs="David"/>
          <w:sz w:val="24"/>
          <w:szCs w:val="24"/>
        </w:rPr>
        <w:t>Piska'ot</w:t>
      </w:r>
      <w:proofErr w:type="spellEnd"/>
      <w:r w:rsidRPr="0095188F">
        <w:rPr>
          <w:rFonts w:ascii="David" w:hAnsi="David" w:cs="David"/>
          <w:sz w:val="24"/>
          <w:szCs w:val="24"/>
        </w:rPr>
        <w:t xml:space="preserve"> 107-161 (The Portions of Shelah-</w:t>
      </w:r>
      <w:proofErr w:type="spellStart"/>
      <w:r w:rsidRPr="0095188F">
        <w:rPr>
          <w:rFonts w:ascii="David" w:hAnsi="David" w:cs="David"/>
          <w:sz w:val="24"/>
          <w:szCs w:val="24"/>
        </w:rPr>
        <w:t>Masei</w:t>
      </w:r>
      <w:proofErr w:type="spellEnd"/>
      <w:r w:rsidRPr="0095188F">
        <w:rPr>
          <w:rFonts w:ascii="David" w:hAnsi="David" w:cs="David"/>
          <w:sz w:val="24"/>
          <w:szCs w:val="24"/>
        </w:rPr>
        <w:t>), p. 1176.</w:t>
      </w:r>
    </w:p>
  </w:footnote>
  <w:footnote w:id="16">
    <w:p w14:paraId="2C8BA196" w14:textId="56160BB1" w:rsidR="00797FEF" w:rsidRPr="0095188F" w:rsidRDefault="00797FEF" w:rsidP="00E468C1">
      <w:pPr>
        <w:pStyle w:val="a3"/>
        <w:spacing w:line="480" w:lineRule="auto"/>
        <w:rPr>
          <w:rFonts w:ascii="David" w:hAnsi="David" w:cs="David"/>
          <w:sz w:val="24"/>
          <w:szCs w:val="24"/>
          <w:rtl/>
        </w:rPr>
      </w:pPr>
      <w:r w:rsidRPr="0095188F">
        <w:rPr>
          <w:rStyle w:val="a5"/>
          <w:rFonts w:ascii="David" w:hAnsi="David" w:cs="David"/>
          <w:sz w:val="24"/>
          <w:szCs w:val="24"/>
        </w:rPr>
        <w:footnoteRef/>
      </w:r>
      <w:r w:rsidRPr="0095188F">
        <w:rPr>
          <w:rFonts w:ascii="David" w:hAnsi="David" w:cs="David"/>
          <w:sz w:val="24"/>
          <w:szCs w:val="24"/>
          <w:rtl/>
        </w:rPr>
        <w:t xml:space="preserve"> </w:t>
      </w:r>
      <w:r w:rsidRPr="0095188F">
        <w:rPr>
          <w:rFonts w:ascii="David" w:hAnsi="David" w:cs="David"/>
          <w:sz w:val="24"/>
          <w:szCs w:val="24"/>
          <w:rtl/>
        </w:rPr>
        <w:t>רגב, הצדוקים, עמ' 134</w:t>
      </w:r>
      <w:r w:rsidRPr="0095188F">
        <w:rPr>
          <w:rFonts w:ascii="David" w:hAnsi="David" w:cs="David" w:hint="cs"/>
          <w:sz w:val="24"/>
          <w:szCs w:val="24"/>
          <w:rtl/>
        </w:rPr>
        <w:t>; משה בר</w:t>
      </w:r>
      <w:r>
        <w:rPr>
          <w:rFonts w:ascii="David" w:hAnsi="David" w:cs="David" w:hint="cs"/>
          <w:sz w:val="24"/>
          <w:szCs w:val="24"/>
          <w:rtl/>
        </w:rPr>
        <w:t xml:space="preserve"> </w:t>
      </w:r>
      <w:r w:rsidRPr="0095188F">
        <w:rPr>
          <w:rFonts w:ascii="David" w:hAnsi="David" w:cs="David" w:hint="cs"/>
          <w:sz w:val="24"/>
          <w:szCs w:val="24"/>
          <w:rtl/>
        </w:rPr>
        <w:t xml:space="preserve">מצביע על אינטרס כלכלי של הפרושים </w:t>
      </w:r>
      <w:r>
        <w:rPr>
          <w:rFonts w:ascii="David" w:hAnsi="David" w:cs="David" w:hint="cs"/>
          <w:sz w:val="24"/>
          <w:szCs w:val="24"/>
          <w:rtl/>
        </w:rPr>
        <w:t xml:space="preserve">לייסד </w:t>
      </w:r>
      <w:r w:rsidRPr="0095188F">
        <w:rPr>
          <w:rFonts w:ascii="David" w:hAnsi="David" w:cs="David" w:hint="cs"/>
          <w:sz w:val="24"/>
          <w:szCs w:val="24"/>
          <w:rtl/>
        </w:rPr>
        <w:t>מס קבוע</w:t>
      </w:r>
      <w:r w:rsidR="008C6DC0">
        <w:rPr>
          <w:rFonts w:ascii="David" w:hAnsi="David" w:cs="David" w:hint="cs"/>
          <w:sz w:val="24"/>
          <w:szCs w:val="24"/>
          <w:rtl/>
        </w:rPr>
        <w:t>.</w:t>
      </w:r>
      <w:r w:rsidRPr="0095188F">
        <w:rPr>
          <w:rFonts w:ascii="David" w:hAnsi="David" w:cs="David" w:hint="cs"/>
          <w:sz w:val="24"/>
          <w:szCs w:val="24"/>
          <w:rtl/>
        </w:rPr>
        <w:t xml:space="preserve"> ראו </w:t>
      </w:r>
      <w:r w:rsidRPr="0095188F">
        <w:rPr>
          <w:rFonts w:ascii="Times New Roman" w:hAnsi="Times New Roman" w:cs="Times New Roman"/>
          <w:sz w:val="24"/>
          <w:szCs w:val="24"/>
        </w:rPr>
        <w:t xml:space="preserve">Moshe Beer, “The Sects and the Half </w:t>
      </w:r>
      <w:proofErr w:type="spellStart"/>
      <w:r w:rsidRPr="0095188F">
        <w:rPr>
          <w:rFonts w:ascii="Times New Roman" w:hAnsi="Times New Roman" w:cs="Times New Roman"/>
          <w:sz w:val="24"/>
          <w:szCs w:val="24"/>
        </w:rPr>
        <w:t>Sheqel</w:t>
      </w:r>
      <w:proofErr w:type="spellEnd"/>
      <w:r w:rsidRPr="0095188F">
        <w:rPr>
          <w:rFonts w:ascii="Times New Roman" w:hAnsi="Times New Roman" w:cs="Times New Roman"/>
          <w:sz w:val="24"/>
          <w:szCs w:val="24"/>
        </w:rPr>
        <w:t>”</w:t>
      </w:r>
      <w:r>
        <w:rPr>
          <w:rFonts w:ascii="Times New Roman" w:hAnsi="Times New Roman" w:cs="Times New Roman"/>
          <w:sz w:val="24"/>
          <w:szCs w:val="24"/>
        </w:rPr>
        <w:t xml:space="preserve"> [Heb.]</w:t>
      </w:r>
      <w:r w:rsidRPr="0095188F">
        <w:rPr>
          <w:rFonts w:ascii="Times New Roman" w:hAnsi="Times New Roman" w:cs="Times New Roman"/>
          <w:sz w:val="24"/>
          <w:szCs w:val="24"/>
        </w:rPr>
        <w:t xml:space="preserve">, </w:t>
      </w:r>
      <w:proofErr w:type="spellStart"/>
      <w:r w:rsidRPr="0095188F">
        <w:rPr>
          <w:rFonts w:ascii="Times New Roman" w:hAnsi="Times New Roman" w:cs="Times New Roman"/>
          <w:i/>
          <w:iCs/>
          <w:sz w:val="24"/>
          <w:szCs w:val="24"/>
        </w:rPr>
        <w:t>Tarbiz</w:t>
      </w:r>
      <w:proofErr w:type="spellEnd"/>
      <w:r w:rsidRPr="0095188F">
        <w:rPr>
          <w:rFonts w:ascii="Times New Roman" w:hAnsi="Times New Roman" w:cs="Times New Roman"/>
          <w:sz w:val="24"/>
          <w:szCs w:val="24"/>
        </w:rPr>
        <w:t xml:space="preserve"> 31 (1962), p. 299.</w:t>
      </w:r>
    </w:p>
  </w:footnote>
  <w:footnote w:id="17">
    <w:p w14:paraId="177918AB" w14:textId="0C73D057" w:rsidR="00797FEF" w:rsidRPr="0095188F" w:rsidRDefault="00797FEF" w:rsidP="00E468C1">
      <w:pPr>
        <w:pStyle w:val="a3"/>
        <w:spacing w:line="480" w:lineRule="auto"/>
        <w:rPr>
          <w:sz w:val="24"/>
          <w:szCs w:val="24"/>
        </w:rPr>
      </w:pPr>
      <w:r w:rsidRPr="0095188F">
        <w:rPr>
          <w:rStyle w:val="a5"/>
          <w:rFonts w:ascii="David" w:hAnsi="David" w:cs="David"/>
          <w:sz w:val="24"/>
          <w:szCs w:val="24"/>
        </w:rPr>
        <w:footnoteRef/>
      </w:r>
      <w:r w:rsidRPr="0095188F">
        <w:rPr>
          <w:rFonts w:ascii="David" w:hAnsi="David" w:cs="David"/>
          <w:sz w:val="24"/>
          <w:szCs w:val="24"/>
          <w:rtl/>
        </w:rPr>
        <w:t xml:space="preserve"> </w:t>
      </w:r>
      <w:r w:rsidRPr="0095188F">
        <w:rPr>
          <w:rFonts w:ascii="David" w:hAnsi="David" w:cs="David"/>
          <w:sz w:val="24"/>
          <w:szCs w:val="24"/>
          <w:rtl/>
        </w:rPr>
        <w:t xml:space="preserve">דברי הימים ב, לא ג.  בספר יחזקאל (מה </w:t>
      </w:r>
      <w:proofErr w:type="spellStart"/>
      <w:r w:rsidRPr="0095188F">
        <w:rPr>
          <w:rFonts w:ascii="David" w:hAnsi="David" w:cs="David"/>
          <w:sz w:val="24"/>
          <w:szCs w:val="24"/>
          <w:rtl/>
        </w:rPr>
        <w:t>טז-יז</w:t>
      </w:r>
      <w:proofErr w:type="spellEnd"/>
      <w:r w:rsidRPr="0095188F">
        <w:rPr>
          <w:rFonts w:ascii="David" w:hAnsi="David" w:cs="David"/>
          <w:sz w:val="24"/>
          <w:szCs w:val="24"/>
          <w:rtl/>
        </w:rPr>
        <w:t>) מובעת השקפה כי הנשיא הוא האחראי להבאת ק</w:t>
      </w:r>
      <w:r w:rsidR="007D424D">
        <w:rPr>
          <w:rFonts w:ascii="David" w:hAnsi="David" w:cs="David" w:hint="cs"/>
          <w:sz w:val="24"/>
          <w:szCs w:val="24"/>
          <w:rtl/>
        </w:rPr>
        <w:t>ו</w:t>
      </w:r>
      <w:r w:rsidRPr="0095188F">
        <w:rPr>
          <w:rFonts w:ascii="David" w:hAnsi="David" w:cs="David"/>
          <w:sz w:val="24"/>
          <w:szCs w:val="24"/>
          <w:rtl/>
        </w:rPr>
        <w:t>רבנות הקבע למקדש. בראשית ימי שיבת ציון מומנו ק</w:t>
      </w:r>
      <w:r w:rsidR="007D424D">
        <w:rPr>
          <w:rFonts w:ascii="David" w:hAnsi="David" w:cs="David" w:hint="cs"/>
          <w:sz w:val="24"/>
          <w:szCs w:val="24"/>
          <w:rtl/>
        </w:rPr>
        <w:t>ו</w:t>
      </w:r>
      <w:r w:rsidRPr="0095188F">
        <w:rPr>
          <w:rFonts w:ascii="David" w:hAnsi="David" w:cs="David"/>
          <w:sz w:val="24"/>
          <w:szCs w:val="24"/>
          <w:rtl/>
        </w:rPr>
        <w:t xml:space="preserve">רבנות היום יום מנכסיו של </w:t>
      </w:r>
      <w:proofErr w:type="spellStart"/>
      <w:r w:rsidRPr="0095188F">
        <w:rPr>
          <w:rFonts w:ascii="David" w:hAnsi="David" w:cs="David"/>
          <w:sz w:val="24"/>
          <w:szCs w:val="24"/>
          <w:rtl/>
        </w:rPr>
        <w:t>דריווש</w:t>
      </w:r>
      <w:proofErr w:type="spellEnd"/>
      <w:r w:rsidRPr="0095188F">
        <w:rPr>
          <w:rFonts w:ascii="David" w:hAnsi="David" w:cs="David"/>
          <w:sz w:val="24"/>
          <w:szCs w:val="24"/>
          <w:rtl/>
        </w:rPr>
        <w:t xml:space="preserve"> השני,  ובימי עזרא מימן זאת </w:t>
      </w:r>
      <w:proofErr w:type="spellStart"/>
      <w:r w:rsidRPr="0095188F">
        <w:rPr>
          <w:rFonts w:ascii="David" w:hAnsi="David" w:cs="David"/>
          <w:sz w:val="24"/>
          <w:szCs w:val="24"/>
          <w:rtl/>
        </w:rPr>
        <w:t>ארתחשסתא</w:t>
      </w:r>
      <w:proofErr w:type="spellEnd"/>
      <w:r w:rsidRPr="0095188F">
        <w:rPr>
          <w:rFonts w:ascii="David" w:hAnsi="David" w:cs="David"/>
          <w:sz w:val="24"/>
          <w:szCs w:val="24"/>
          <w:rtl/>
        </w:rPr>
        <w:t>.</w:t>
      </w:r>
      <w:r w:rsidRPr="0095188F">
        <w:rPr>
          <w:rFonts w:cs="Arial"/>
          <w:sz w:val="24"/>
          <w:szCs w:val="24"/>
          <w:rtl/>
        </w:rPr>
        <w:t xml:space="preserve">  </w:t>
      </w:r>
    </w:p>
  </w:footnote>
  <w:footnote w:id="18">
    <w:p w14:paraId="4446B66B" w14:textId="3DE80398" w:rsidR="00797FEF" w:rsidRPr="0095188F" w:rsidRDefault="00797FEF" w:rsidP="00E468C1">
      <w:pPr>
        <w:pStyle w:val="a3"/>
        <w:spacing w:line="480" w:lineRule="auto"/>
        <w:rPr>
          <w:sz w:val="24"/>
          <w:szCs w:val="24"/>
        </w:rPr>
      </w:pPr>
      <w:r w:rsidRPr="0095188F">
        <w:rPr>
          <w:rStyle w:val="a5"/>
          <w:sz w:val="24"/>
          <w:szCs w:val="24"/>
        </w:rPr>
        <w:footnoteRef/>
      </w:r>
      <w:r w:rsidRPr="0095188F">
        <w:rPr>
          <w:sz w:val="24"/>
          <w:szCs w:val="24"/>
          <w:rtl/>
        </w:rPr>
        <w:t xml:space="preserve"> </w:t>
      </w:r>
      <w:r w:rsidRPr="0095188F">
        <w:rPr>
          <w:rFonts w:ascii="David" w:hAnsi="David" w:cs="David"/>
          <w:sz w:val="24"/>
          <w:szCs w:val="24"/>
          <w:rtl/>
        </w:rPr>
        <w:t xml:space="preserve">חוקרים נחלקים ביניהם אם מס זה נהג מאותה עת </w:t>
      </w:r>
      <w:r>
        <w:rPr>
          <w:rFonts w:ascii="David" w:hAnsi="David" w:cs="David" w:hint="cs"/>
          <w:sz w:val="24"/>
          <w:szCs w:val="24"/>
          <w:rtl/>
        </w:rPr>
        <w:t>ו</w:t>
      </w:r>
      <w:r w:rsidRPr="0095188F">
        <w:rPr>
          <w:rFonts w:ascii="David" w:hAnsi="David" w:cs="David"/>
          <w:sz w:val="24"/>
          <w:szCs w:val="24"/>
          <w:rtl/>
        </w:rPr>
        <w:t xml:space="preserve">עד לחורבן בית שני, או </w:t>
      </w:r>
      <w:r>
        <w:rPr>
          <w:rFonts w:ascii="David" w:hAnsi="David" w:cs="David" w:hint="cs"/>
          <w:sz w:val="24"/>
          <w:szCs w:val="24"/>
          <w:rtl/>
        </w:rPr>
        <w:t>ש</w:t>
      </w:r>
      <w:r w:rsidRPr="0095188F">
        <w:rPr>
          <w:rFonts w:ascii="David" w:hAnsi="David" w:cs="David"/>
          <w:sz w:val="24"/>
          <w:szCs w:val="24"/>
          <w:rtl/>
        </w:rPr>
        <w:t>הייתה זו תקנה חד פעמית</w:t>
      </w:r>
      <w:r>
        <w:rPr>
          <w:rFonts w:ascii="David" w:hAnsi="David" w:cs="David" w:hint="cs"/>
          <w:sz w:val="24"/>
          <w:szCs w:val="24"/>
          <w:rtl/>
        </w:rPr>
        <w:t>,</w:t>
      </w:r>
      <w:r w:rsidRPr="0095188F">
        <w:rPr>
          <w:rFonts w:ascii="David" w:hAnsi="David" w:cs="David"/>
          <w:sz w:val="24"/>
          <w:szCs w:val="24"/>
          <w:rtl/>
        </w:rPr>
        <w:t xml:space="preserve"> </w:t>
      </w:r>
      <w:r>
        <w:rPr>
          <w:rFonts w:ascii="David" w:hAnsi="David" w:cs="David" w:hint="cs"/>
          <w:sz w:val="24"/>
          <w:szCs w:val="24"/>
          <w:rtl/>
        </w:rPr>
        <w:t>ש</w:t>
      </w:r>
      <w:r w:rsidRPr="0095188F">
        <w:rPr>
          <w:rFonts w:ascii="David" w:hAnsi="David" w:cs="David"/>
          <w:sz w:val="24"/>
          <w:szCs w:val="24"/>
          <w:rtl/>
        </w:rPr>
        <w:t>נבעה מקושי זמני במימון הפולחן</w:t>
      </w:r>
      <w:r>
        <w:rPr>
          <w:rFonts w:ascii="David" w:hAnsi="David" w:cs="David" w:hint="cs"/>
          <w:sz w:val="24"/>
          <w:szCs w:val="24"/>
          <w:rtl/>
        </w:rPr>
        <w:t>,</w:t>
      </w:r>
      <w:r w:rsidRPr="0095188F">
        <w:rPr>
          <w:rFonts w:ascii="David" w:hAnsi="David" w:cs="David"/>
          <w:sz w:val="24"/>
          <w:szCs w:val="24"/>
          <w:rtl/>
        </w:rPr>
        <w:t xml:space="preserve"> לאחר שחדלה הממלכה הפרסית לסייע במימונו.</w:t>
      </w:r>
    </w:p>
  </w:footnote>
  <w:footnote w:id="19">
    <w:p w14:paraId="2AA2627F" w14:textId="77777777" w:rsidR="00797FEF" w:rsidRPr="0095188F" w:rsidRDefault="00797FEF" w:rsidP="00E468C1">
      <w:pPr>
        <w:pStyle w:val="a3"/>
        <w:spacing w:line="480" w:lineRule="auto"/>
        <w:rPr>
          <w:rFonts w:ascii="David" w:hAnsi="David" w:cs="David"/>
          <w:sz w:val="24"/>
          <w:szCs w:val="24"/>
          <w:rtl/>
        </w:rPr>
      </w:pPr>
      <w:r w:rsidRPr="0095188F">
        <w:rPr>
          <w:rStyle w:val="a5"/>
          <w:rFonts w:ascii="David" w:hAnsi="David" w:cs="David"/>
          <w:sz w:val="24"/>
          <w:szCs w:val="24"/>
        </w:rPr>
        <w:footnoteRef/>
      </w:r>
      <w:r w:rsidRPr="0095188F">
        <w:rPr>
          <w:rFonts w:ascii="David" w:hAnsi="David" w:cs="David"/>
          <w:sz w:val="24"/>
          <w:szCs w:val="24"/>
          <w:rtl/>
        </w:rPr>
        <w:t xml:space="preserve"> </w:t>
      </w:r>
      <w:r w:rsidRPr="0095188F">
        <w:rPr>
          <w:rFonts w:ascii="Times New Roman" w:hAnsi="Times New Roman" w:cs="Times New Roman"/>
          <w:sz w:val="24"/>
          <w:szCs w:val="24"/>
        </w:rPr>
        <w:t xml:space="preserve">Jacob Liver, “The Edict of the Half-Shekel” [Heb.], in </w:t>
      </w:r>
      <w:r w:rsidRPr="0095188F">
        <w:rPr>
          <w:rFonts w:ascii="Times New Roman" w:hAnsi="Times New Roman" w:cs="Times New Roman"/>
          <w:i/>
          <w:iCs/>
          <w:sz w:val="24"/>
          <w:szCs w:val="24"/>
        </w:rPr>
        <w:t xml:space="preserve">The </w:t>
      </w:r>
      <w:proofErr w:type="spellStart"/>
      <w:r w:rsidRPr="0095188F">
        <w:rPr>
          <w:rFonts w:ascii="Times New Roman" w:hAnsi="Times New Roman" w:cs="Times New Roman"/>
          <w:i/>
          <w:iCs/>
          <w:sz w:val="24"/>
          <w:szCs w:val="24"/>
        </w:rPr>
        <w:t>Yehezkel</w:t>
      </w:r>
      <w:proofErr w:type="spellEnd"/>
      <w:r w:rsidRPr="0095188F">
        <w:rPr>
          <w:rFonts w:ascii="Times New Roman" w:hAnsi="Times New Roman" w:cs="Times New Roman"/>
          <w:i/>
          <w:iCs/>
          <w:sz w:val="24"/>
          <w:szCs w:val="24"/>
        </w:rPr>
        <w:t xml:space="preserve"> Kaufman Jubilee Volume</w:t>
      </w:r>
      <w:r w:rsidRPr="0095188F">
        <w:rPr>
          <w:rFonts w:ascii="Times New Roman" w:hAnsi="Times New Roman" w:cs="Times New Roman"/>
          <w:sz w:val="24"/>
          <w:szCs w:val="24"/>
        </w:rPr>
        <w:t xml:space="preserve">, ed. Menahem Haran, </w:t>
      </w:r>
      <w:r>
        <w:rPr>
          <w:rFonts w:ascii="Times New Roman" w:hAnsi="Times New Roman" w:cs="Times New Roman"/>
          <w:sz w:val="24"/>
          <w:szCs w:val="24"/>
        </w:rPr>
        <w:t>(</w:t>
      </w:r>
      <w:r w:rsidRPr="0095188F">
        <w:rPr>
          <w:rFonts w:ascii="Times New Roman" w:hAnsi="Times New Roman" w:cs="Times New Roman"/>
          <w:sz w:val="24"/>
          <w:szCs w:val="24"/>
        </w:rPr>
        <w:t xml:space="preserve">Jerusalem: </w:t>
      </w:r>
      <w:proofErr w:type="spellStart"/>
      <w:r w:rsidRPr="0095188F">
        <w:rPr>
          <w:rFonts w:ascii="Times New Roman" w:hAnsi="Times New Roman" w:cs="Times New Roman"/>
          <w:sz w:val="24"/>
          <w:szCs w:val="24"/>
        </w:rPr>
        <w:t>Magnes</w:t>
      </w:r>
      <w:proofErr w:type="spellEnd"/>
      <w:r w:rsidRPr="0095188F">
        <w:rPr>
          <w:rFonts w:ascii="Times New Roman" w:hAnsi="Times New Roman" w:cs="Times New Roman"/>
          <w:sz w:val="24"/>
          <w:szCs w:val="24"/>
        </w:rPr>
        <w:t xml:space="preserve"> Press, 1961), pp. 54-</w:t>
      </w:r>
      <w:proofErr w:type="gramStart"/>
      <w:r w:rsidRPr="0095188F">
        <w:rPr>
          <w:rFonts w:ascii="Times New Roman" w:hAnsi="Times New Roman" w:cs="Times New Roman"/>
          <w:sz w:val="24"/>
          <w:szCs w:val="24"/>
        </w:rPr>
        <w:t xml:space="preserve">67 </w:t>
      </w:r>
      <w:r w:rsidRPr="0095188F">
        <w:rPr>
          <w:rFonts w:ascii="David" w:hAnsi="David" w:cs="David" w:hint="cs"/>
          <w:sz w:val="24"/>
          <w:szCs w:val="24"/>
          <w:rtl/>
        </w:rPr>
        <w:t>;</w:t>
      </w:r>
      <w:proofErr w:type="gramEnd"/>
      <w:r w:rsidRPr="0095188F">
        <w:rPr>
          <w:rFonts w:ascii="David" w:hAnsi="David" w:cs="David" w:hint="cs"/>
          <w:sz w:val="24"/>
          <w:szCs w:val="24"/>
          <w:rtl/>
        </w:rPr>
        <w:t xml:space="preserve"> </w:t>
      </w:r>
      <w:r w:rsidRPr="0095188F">
        <w:rPr>
          <w:rFonts w:ascii="David" w:hAnsi="David" w:cs="David"/>
          <w:sz w:val="24"/>
          <w:szCs w:val="24"/>
          <w:rtl/>
        </w:rPr>
        <w:t>רגב, שם, עמ' 136.</w:t>
      </w:r>
    </w:p>
  </w:footnote>
  <w:footnote w:id="20">
    <w:p w14:paraId="712B0750" w14:textId="768D0A3C" w:rsidR="00797FEF" w:rsidRPr="0095188F" w:rsidRDefault="00797FEF" w:rsidP="00E468C1">
      <w:pPr>
        <w:pStyle w:val="a3"/>
        <w:spacing w:line="480" w:lineRule="auto"/>
        <w:rPr>
          <w:rFonts w:ascii="David" w:hAnsi="David" w:cs="David"/>
          <w:sz w:val="24"/>
          <w:szCs w:val="24"/>
          <w:rtl/>
        </w:rPr>
      </w:pPr>
      <w:r w:rsidRPr="0095188F">
        <w:rPr>
          <w:rStyle w:val="a5"/>
          <w:rFonts w:ascii="David" w:hAnsi="David" w:cs="David"/>
          <w:sz w:val="24"/>
          <w:szCs w:val="24"/>
        </w:rPr>
        <w:footnoteRef/>
      </w:r>
      <w:r w:rsidRPr="0095188F">
        <w:rPr>
          <w:rFonts w:ascii="David" w:hAnsi="David" w:cs="David"/>
          <w:sz w:val="24"/>
          <w:szCs w:val="24"/>
          <w:rtl/>
        </w:rPr>
        <w:t xml:space="preserve"> </w:t>
      </w:r>
      <w:r w:rsidRPr="0095188F">
        <w:rPr>
          <w:rFonts w:ascii="David" w:hAnsi="David" w:cs="David"/>
          <w:sz w:val="24"/>
          <w:szCs w:val="24"/>
          <w:rtl/>
        </w:rPr>
        <w:t xml:space="preserve">ראו רגב, </w:t>
      </w:r>
      <w:r>
        <w:rPr>
          <w:rFonts w:ascii="David" w:hAnsi="David" w:cs="David" w:hint="cs"/>
          <w:sz w:val="24"/>
          <w:szCs w:val="24"/>
          <w:rtl/>
        </w:rPr>
        <w:t>הצדוקים</w:t>
      </w:r>
      <w:r w:rsidRPr="0095188F">
        <w:rPr>
          <w:rFonts w:ascii="David" w:hAnsi="David" w:cs="David"/>
          <w:sz w:val="24"/>
          <w:szCs w:val="24"/>
          <w:rtl/>
        </w:rPr>
        <w:t>, הערה מס' 15.</w:t>
      </w:r>
    </w:p>
  </w:footnote>
  <w:footnote w:id="21">
    <w:p w14:paraId="357E7D5A" w14:textId="7987159A" w:rsidR="00797FEF" w:rsidRPr="0095188F" w:rsidRDefault="00797FEF" w:rsidP="00FC70B4">
      <w:pPr>
        <w:spacing w:line="480" w:lineRule="auto"/>
        <w:rPr>
          <w:rFonts w:ascii="David" w:hAnsi="David" w:cs="David"/>
          <w:sz w:val="24"/>
          <w:szCs w:val="24"/>
          <w:rtl/>
        </w:rPr>
      </w:pPr>
      <w:r w:rsidRPr="0095188F">
        <w:rPr>
          <w:rStyle w:val="a5"/>
          <w:rFonts w:ascii="David" w:hAnsi="David" w:cs="David"/>
          <w:sz w:val="24"/>
          <w:szCs w:val="24"/>
        </w:rPr>
        <w:footnoteRef/>
      </w:r>
      <w:r w:rsidRPr="0095188F">
        <w:rPr>
          <w:rFonts w:ascii="David" w:hAnsi="David" w:cs="David"/>
          <w:sz w:val="24"/>
          <w:szCs w:val="24"/>
          <w:rtl/>
        </w:rPr>
        <w:t xml:space="preserve"> </w:t>
      </w:r>
      <w:r w:rsidR="00057C90">
        <w:rPr>
          <w:rFonts w:ascii="David" w:hAnsi="David" w:cs="David" w:hint="cs"/>
          <w:sz w:val="24"/>
          <w:szCs w:val="24"/>
          <w:rtl/>
        </w:rPr>
        <w:t xml:space="preserve">גם </w:t>
      </w:r>
      <w:r w:rsidRPr="0095188F">
        <w:rPr>
          <w:rFonts w:ascii="David" w:hAnsi="David" w:cs="David"/>
          <w:sz w:val="24"/>
          <w:szCs w:val="24"/>
          <w:rtl/>
        </w:rPr>
        <w:t xml:space="preserve">כת מדבר יהודה התנגדה לתשלום </w:t>
      </w:r>
      <w:r w:rsidR="00612161">
        <w:rPr>
          <w:rFonts w:ascii="David" w:hAnsi="David" w:cs="David" w:hint="cs"/>
          <w:sz w:val="24"/>
          <w:szCs w:val="24"/>
          <w:rtl/>
        </w:rPr>
        <w:t>ה</w:t>
      </w:r>
      <w:r w:rsidRPr="0095188F">
        <w:rPr>
          <w:rFonts w:ascii="David" w:hAnsi="David" w:cs="David"/>
          <w:sz w:val="24"/>
          <w:szCs w:val="24"/>
          <w:rtl/>
        </w:rPr>
        <w:t xml:space="preserve">מס. ראו </w:t>
      </w:r>
      <w:r w:rsidRPr="0095188F">
        <w:rPr>
          <w:rFonts w:ascii="David" w:hAnsi="David" w:cs="David"/>
          <w:sz w:val="24"/>
          <w:szCs w:val="24"/>
        </w:rPr>
        <w:t>John M. Allegro, “Unpublished Fragment of Essene Halakha (4Q Ordinances)”,</w:t>
      </w:r>
      <w:r w:rsidRPr="0095188F">
        <w:rPr>
          <w:rFonts w:ascii="David" w:hAnsi="David" w:cs="David"/>
          <w:i/>
          <w:iCs/>
          <w:sz w:val="24"/>
          <w:szCs w:val="24"/>
        </w:rPr>
        <w:t xml:space="preserve"> Journal of Semitic Studies</w:t>
      </w:r>
      <w:r w:rsidRPr="0095188F">
        <w:rPr>
          <w:rFonts w:ascii="David" w:hAnsi="David" w:cs="David"/>
          <w:sz w:val="24"/>
          <w:szCs w:val="24"/>
        </w:rPr>
        <w:t xml:space="preserve"> 6 (1961), pp. 71-73; Idem, Qumran Cave 4, I, 4Q158-4q186 (Discoveries in the Judean Desert, V), Oxford 1968, pp. 6-9</w:t>
      </w:r>
      <w:r w:rsidR="00FC70B4">
        <w:rPr>
          <w:rFonts w:ascii="David" w:hAnsi="David" w:cs="David"/>
          <w:sz w:val="24"/>
          <w:szCs w:val="24"/>
        </w:rPr>
        <w:t xml:space="preserve">; </w:t>
      </w:r>
      <w:r w:rsidRPr="0095188F">
        <w:rPr>
          <w:rFonts w:ascii="David" w:hAnsi="David" w:cs="David"/>
          <w:sz w:val="24"/>
          <w:szCs w:val="24"/>
        </w:rPr>
        <w:t xml:space="preserve">Jacob Liver, "The Half-Shekel in the Scrolls of the Judean Desert Sect" [Heb.], </w:t>
      </w:r>
      <w:proofErr w:type="spellStart"/>
      <w:r w:rsidRPr="0095188F">
        <w:rPr>
          <w:rFonts w:ascii="David" w:hAnsi="David" w:cs="David"/>
          <w:i/>
          <w:iCs/>
          <w:sz w:val="24"/>
          <w:szCs w:val="24"/>
        </w:rPr>
        <w:t>Tarbiz</w:t>
      </w:r>
      <w:proofErr w:type="spellEnd"/>
      <w:r w:rsidRPr="0095188F">
        <w:rPr>
          <w:rFonts w:ascii="David" w:hAnsi="David" w:cs="David"/>
          <w:i/>
          <w:iCs/>
          <w:sz w:val="24"/>
          <w:szCs w:val="24"/>
        </w:rPr>
        <w:t xml:space="preserve"> 31 </w:t>
      </w:r>
      <w:r w:rsidRPr="0095188F">
        <w:rPr>
          <w:rFonts w:ascii="David" w:hAnsi="David" w:cs="David"/>
          <w:sz w:val="24"/>
          <w:szCs w:val="24"/>
        </w:rPr>
        <w:t xml:space="preserve">(1962), pp. 20-21  </w:t>
      </w:r>
    </w:p>
  </w:footnote>
  <w:footnote w:id="22">
    <w:p w14:paraId="32CE1EED" w14:textId="1E7BC26A" w:rsidR="00797FEF" w:rsidRPr="0095188F" w:rsidRDefault="00797FEF" w:rsidP="00C43E58">
      <w:pPr>
        <w:pStyle w:val="a3"/>
        <w:spacing w:line="480" w:lineRule="auto"/>
        <w:rPr>
          <w:sz w:val="24"/>
          <w:szCs w:val="24"/>
          <w:rtl/>
        </w:rPr>
      </w:pPr>
      <w:r w:rsidRPr="0095188F">
        <w:rPr>
          <w:rStyle w:val="a5"/>
          <w:sz w:val="24"/>
          <w:szCs w:val="24"/>
        </w:rPr>
        <w:footnoteRef/>
      </w:r>
      <w:r w:rsidRPr="0095188F">
        <w:rPr>
          <w:sz w:val="24"/>
          <w:szCs w:val="24"/>
          <w:rtl/>
        </w:rPr>
        <w:t xml:space="preserve"> </w:t>
      </w:r>
      <w:r w:rsidRPr="0095188F">
        <w:rPr>
          <w:rFonts w:ascii="Times New Roman" w:hAnsi="Times New Roman" w:cs="Times New Roman"/>
          <w:sz w:val="24"/>
          <w:szCs w:val="24"/>
        </w:rPr>
        <w:t xml:space="preserve">Mira </w:t>
      </w:r>
      <w:proofErr w:type="spellStart"/>
      <w:r w:rsidRPr="0095188F">
        <w:rPr>
          <w:rFonts w:ascii="Times New Roman" w:hAnsi="Times New Roman" w:cs="Times New Roman"/>
          <w:sz w:val="24"/>
          <w:szCs w:val="24"/>
        </w:rPr>
        <w:t>Balberg</w:t>
      </w:r>
      <w:proofErr w:type="spellEnd"/>
      <w:r w:rsidRPr="0095188F">
        <w:rPr>
          <w:rFonts w:ascii="Times New Roman" w:hAnsi="Times New Roman" w:cs="Times New Roman"/>
          <w:sz w:val="24"/>
          <w:szCs w:val="24"/>
        </w:rPr>
        <w:t xml:space="preserve">, </w:t>
      </w:r>
      <w:r w:rsidRPr="0095188F">
        <w:rPr>
          <w:rFonts w:ascii="Times New Roman" w:hAnsi="Times New Roman" w:cs="Times New Roman"/>
          <w:i/>
          <w:iCs/>
          <w:sz w:val="24"/>
          <w:szCs w:val="24"/>
        </w:rPr>
        <w:t>Blood for Thought: The Reinvention of Sacrifice in Early Rabbinic Literature</w:t>
      </w:r>
      <w:r w:rsidRPr="0095188F">
        <w:rPr>
          <w:rFonts w:ascii="Times New Roman" w:hAnsi="Times New Roman" w:cs="Times New Roman"/>
          <w:sz w:val="24"/>
          <w:szCs w:val="24"/>
        </w:rPr>
        <w:t>, (Oakland: University of California Press, 2017), p</w:t>
      </w:r>
      <w:r w:rsidR="004F152F">
        <w:rPr>
          <w:rFonts w:ascii="Times New Roman" w:hAnsi="Times New Roman" w:cs="Times New Roman"/>
          <w:sz w:val="24"/>
          <w:szCs w:val="24"/>
        </w:rPr>
        <w:t>p</w:t>
      </w:r>
      <w:r w:rsidRPr="0095188F">
        <w:rPr>
          <w:rFonts w:ascii="Times New Roman" w:hAnsi="Times New Roman" w:cs="Times New Roman"/>
          <w:sz w:val="24"/>
          <w:szCs w:val="24"/>
        </w:rPr>
        <w:t>.</w:t>
      </w:r>
      <w:r w:rsidRPr="0095188F">
        <w:rPr>
          <w:sz w:val="24"/>
          <w:szCs w:val="24"/>
        </w:rPr>
        <w:t xml:space="preserve"> 11</w:t>
      </w:r>
      <w:r w:rsidR="004F152F">
        <w:rPr>
          <w:sz w:val="24"/>
          <w:szCs w:val="24"/>
        </w:rPr>
        <w:t>4-121</w:t>
      </w:r>
      <w:r w:rsidRPr="0095188F">
        <w:rPr>
          <w:sz w:val="24"/>
          <w:szCs w:val="24"/>
        </w:rPr>
        <w:t>.</w:t>
      </w:r>
    </w:p>
  </w:footnote>
  <w:footnote w:id="23">
    <w:p w14:paraId="5BC95737" w14:textId="63255E15" w:rsidR="00797FEF" w:rsidRPr="0095188F" w:rsidRDefault="00797FEF" w:rsidP="00E468C1">
      <w:pPr>
        <w:pStyle w:val="a3"/>
        <w:spacing w:line="480" w:lineRule="auto"/>
        <w:jc w:val="both"/>
        <w:rPr>
          <w:sz w:val="24"/>
          <w:szCs w:val="24"/>
          <w:rtl/>
        </w:rPr>
      </w:pPr>
      <w:r w:rsidRPr="0095188F">
        <w:rPr>
          <w:rStyle w:val="a5"/>
          <w:sz w:val="24"/>
          <w:szCs w:val="24"/>
        </w:rPr>
        <w:footnoteRef/>
      </w:r>
      <w:r w:rsidRPr="0095188F">
        <w:rPr>
          <w:sz w:val="24"/>
          <w:szCs w:val="24"/>
          <w:rtl/>
        </w:rPr>
        <w:t xml:space="preserve"> </w:t>
      </w:r>
      <w:r w:rsidRPr="0095188F">
        <w:rPr>
          <w:rFonts w:ascii="Times New Roman" w:hAnsi="Times New Roman"/>
          <w:color w:val="000000"/>
          <w:sz w:val="24"/>
          <w:szCs w:val="24"/>
          <w:shd w:val="clear" w:color="auto" w:fill="FFFFFF"/>
        </w:rPr>
        <w:t>The Hebrew text of the Mishnah is taken from the Kaufman manuscript. English translations of the Mishnah and Babylonian Talmud are based on the Soncino Press Edition, (CD-ROM Judaica Press, N.Y.</w:t>
      </w:r>
      <w:r w:rsidRPr="0095188F" w:rsidDel="008D0952">
        <w:rPr>
          <w:rFonts w:ascii="Times New Roman" w:hAnsi="Times New Roman"/>
          <w:color w:val="000000"/>
          <w:sz w:val="24"/>
          <w:szCs w:val="24"/>
          <w:shd w:val="clear" w:color="auto" w:fill="FFFFFF"/>
        </w:rPr>
        <w:t xml:space="preserve"> </w:t>
      </w:r>
      <w:r w:rsidRPr="0095188F">
        <w:rPr>
          <w:rFonts w:ascii="Times New Roman" w:hAnsi="Times New Roman"/>
          <w:color w:val="000000"/>
          <w:sz w:val="24"/>
          <w:szCs w:val="24"/>
          <w:shd w:val="clear" w:color="auto" w:fill="FFFFFF"/>
        </w:rPr>
        <w:t xml:space="preserve">2001); and </w:t>
      </w:r>
      <w:r w:rsidRPr="0095188F">
        <w:rPr>
          <w:rFonts w:ascii="Times New Roman" w:hAnsi="Times New Roman"/>
          <w:i/>
          <w:iCs/>
          <w:color w:val="000000"/>
          <w:sz w:val="24"/>
          <w:szCs w:val="24"/>
          <w:shd w:val="clear" w:color="auto" w:fill="FFFFFF"/>
        </w:rPr>
        <w:t>The Mishnah</w:t>
      </w:r>
      <w:r w:rsidRPr="0095188F">
        <w:rPr>
          <w:rFonts w:ascii="Times New Roman" w:hAnsi="Times New Roman"/>
          <w:color w:val="000000"/>
          <w:sz w:val="24"/>
          <w:szCs w:val="24"/>
          <w:shd w:val="clear" w:color="auto" w:fill="FFFFFF"/>
        </w:rPr>
        <w:t xml:space="preserve">, trans. H. Danby (Oxford, 1933). </w:t>
      </w:r>
    </w:p>
  </w:footnote>
  <w:footnote w:id="24">
    <w:p w14:paraId="4BE7F700" w14:textId="2E6743AC" w:rsidR="00797FEF" w:rsidRPr="0095188F" w:rsidRDefault="00797FEF" w:rsidP="00E468C1">
      <w:pPr>
        <w:pStyle w:val="a3"/>
        <w:spacing w:line="480" w:lineRule="auto"/>
        <w:rPr>
          <w:rFonts w:cs="David"/>
          <w:sz w:val="24"/>
          <w:szCs w:val="24"/>
          <w:rtl/>
        </w:rPr>
      </w:pPr>
      <w:r w:rsidRPr="0095188F">
        <w:rPr>
          <w:rStyle w:val="a5"/>
          <w:rFonts w:ascii="David" w:hAnsi="David" w:cs="David"/>
          <w:sz w:val="24"/>
          <w:szCs w:val="24"/>
        </w:rPr>
        <w:footnoteRef/>
      </w:r>
      <w:r w:rsidRPr="0095188F">
        <w:rPr>
          <w:rFonts w:ascii="David" w:hAnsi="David" w:cs="David"/>
          <w:sz w:val="24"/>
          <w:szCs w:val="24"/>
          <w:rtl/>
        </w:rPr>
        <w:t xml:space="preserve"> </w:t>
      </w:r>
      <w:r w:rsidRPr="0095188F">
        <w:rPr>
          <w:rFonts w:ascii="David" w:hAnsi="David" w:cs="David" w:hint="cs"/>
          <w:sz w:val="24"/>
          <w:szCs w:val="24"/>
          <w:rtl/>
        </w:rPr>
        <w:t xml:space="preserve"> </w:t>
      </w:r>
      <w:proofErr w:type="spellStart"/>
      <w:r w:rsidRPr="0095188F">
        <w:rPr>
          <w:rFonts w:ascii="Times New Roman" w:hAnsi="Times New Roman" w:cs="Times New Roman"/>
          <w:sz w:val="24"/>
          <w:szCs w:val="24"/>
        </w:rPr>
        <w:t>Ze`ev</w:t>
      </w:r>
      <w:proofErr w:type="spellEnd"/>
      <w:r w:rsidRPr="0095188F">
        <w:rPr>
          <w:rFonts w:ascii="Times New Roman" w:hAnsi="Times New Roman" w:cs="Times New Roman"/>
          <w:sz w:val="24"/>
          <w:szCs w:val="24"/>
        </w:rPr>
        <w:t xml:space="preserve"> </w:t>
      </w:r>
      <w:proofErr w:type="spellStart"/>
      <w:r w:rsidRPr="0095188F">
        <w:rPr>
          <w:rFonts w:ascii="Times New Roman" w:hAnsi="Times New Roman" w:cs="Times New Roman"/>
          <w:sz w:val="24"/>
          <w:szCs w:val="24"/>
        </w:rPr>
        <w:t>Safrai</w:t>
      </w:r>
      <w:proofErr w:type="spellEnd"/>
      <w:r w:rsidRPr="0095188F">
        <w:rPr>
          <w:rFonts w:ascii="Times New Roman" w:hAnsi="Times New Roman" w:cs="Times New Roman"/>
          <w:sz w:val="24"/>
          <w:szCs w:val="24"/>
        </w:rPr>
        <w:t xml:space="preserve">, </w:t>
      </w:r>
      <w:proofErr w:type="spellStart"/>
      <w:r w:rsidRPr="004D760F">
        <w:rPr>
          <w:rFonts w:ascii="Times New Roman" w:hAnsi="Times New Roman" w:cs="Times New Roman"/>
          <w:i/>
          <w:iCs/>
          <w:sz w:val="24"/>
          <w:szCs w:val="24"/>
        </w:rPr>
        <w:t>Mishnat</w:t>
      </w:r>
      <w:proofErr w:type="spellEnd"/>
      <w:r w:rsidRPr="004D760F">
        <w:rPr>
          <w:rFonts w:ascii="Times New Roman" w:hAnsi="Times New Roman" w:cs="Times New Roman"/>
          <w:i/>
          <w:iCs/>
          <w:sz w:val="24"/>
          <w:szCs w:val="24"/>
        </w:rPr>
        <w:t xml:space="preserve"> Eretz Israel: Tractate </w:t>
      </w:r>
      <w:proofErr w:type="spellStart"/>
      <w:r w:rsidRPr="004D760F">
        <w:rPr>
          <w:rFonts w:ascii="Times New Roman" w:hAnsi="Times New Roman" w:cs="Times New Roman"/>
          <w:i/>
          <w:iCs/>
          <w:sz w:val="24"/>
          <w:szCs w:val="24"/>
        </w:rPr>
        <w:t>Shkalim</w:t>
      </w:r>
      <w:proofErr w:type="spellEnd"/>
      <w:r w:rsidRPr="0095188F">
        <w:rPr>
          <w:rFonts w:ascii="Times New Roman" w:hAnsi="Times New Roman" w:cs="Times New Roman"/>
          <w:sz w:val="24"/>
          <w:szCs w:val="24"/>
        </w:rPr>
        <w:t>,</w:t>
      </w:r>
      <w:r>
        <w:rPr>
          <w:rFonts w:ascii="Times New Roman" w:hAnsi="Times New Roman" w:cs="Times New Roman"/>
          <w:sz w:val="24"/>
          <w:szCs w:val="24"/>
        </w:rPr>
        <w:t xml:space="preserve"> Jerusalem: the E.M. </w:t>
      </w:r>
      <w:proofErr w:type="spellStart"/>
      <w:r>
        <w:rPr>
          <w:rFonts w:ascii="Times New Roman" w:hAnsi="Times New Roman" w:cs="Times New Roman"/>
          <w:sz w:val="24"/>
          <w:szCs w:val="24"/>
        </w:rPr>
        <w:t>Liphshitz</w:t>
      </w:r>
      <w:proofErr w:type="spellEnd"/>
      <w:r>
        <w:rPr>
          <w:rFonts w:ascii="Times New Roman" w:hAnsi="Times New Roman" w:cs="Times New Roman"/>
          <w:sz w:val="24"/>
          <w:szCs w:val="24"/>
        </w:rPr>
        <w:t xml:space="preserve"> Publishing House College</w:t>
      </w:r>
      <w:r w:rsidR="00A03BD1">
        <w:rPr>
          <w:rFonts w:ascii="Times New Roman" w:hAnsi="Times New Roman" w:cs="Times New Roman"/>
          <w:sz w:val="24"/>
          <w:szCs w:val="24"/>
        </w:rPr>
        <w:t>,</w:t>
      </w:r>
      <w:r>
        <w:rPr>
          <w:rFonts w:ascii="Times New Roman" w:hAnsi="Times New Roman" w:cs="Times New Roman"/>
          <w:sz w:val="24"/>
          <w:szCs w:val="24"/>
        </w:rPr>
        <w:t xml:space="preserve"> 2009</w:t>
      </w:r>
      <w:r w:rsidR="00A03BD1">
        <w:rPr>
          <w:rFonts w:ascii="Times New Roman" w:hAnsi="Times New Roman" w:cs="Times New Roman"/>
          <w:sz w:val="24"/>
          <w:szCs w:val="24"/>
        </w:rPr>
        <w:t>:</w:t>
      </w:r>
      <w:r w:rsidRPr="0095188F">
        <w:rPr>
          <w:rFonts w:ascii="Times New Roman" w:hAnsi="Times New Roman" w:cs="Times New Roman"/>
          <w:sz w:val="24"/>
          <w:szCs w:val="24"/>
        </w:rPr>
        <w:t xml:space="preserve"> 70-74</w:t>
      </w:r>
    </w:p>
  </w:footnote>
  <w:footnote w:id="25">
    <w:p w14:paraId="518C563D" w14:textId="0D0FE397" w:rsidR="00797FEF" w:rsidRPr="0095188F" w:rsidRDefault="00797FEF" w:rsidP="00E468C1">
      <w:pPr>
        <w:pStyle w:val="a3"/>
        <w:spacing w:line="480" w:lineRule="auto"/>
        <w:rPr>
          <w:sz w:val="24"/>
          <w:szCs w:val="24"/>
        </w:rPr>
      </w:pPr>
      <w:r w:rsidRPr="0095188F">
        <w:rPr>
          <w:rStyle w:val="a5"/>
          <w:rFonts w:ascii="David" w:hAnsi="David" w:cs="David"/>
          <w:sz w:val="24"/>
          <w:szCs w:val="24"/>
        </w:rPr>
        <w:footnoteRef/>
      </w:r>
      <w:r w:rsidRPr="0095188F">
        <w:rPr>
          <w:rFonts w:ascii="David" w:hAnsi="David" w:cs="David"/>
          <w:sz w:val="24"/>
          <w:szCs w:val="24"/>
          <w:rtl/>
        </w:rPr>
        <w:t xml:space="preserve">  </w:t>
      </w:r>
      <w:r>
        <w:rPr>
          <w:rFonts w:ascii="David" w:hAnsi="David" w:cs="David"/>
          <w:sz w:val="24"/>
          <w:szCs w:val="24"/>
        </w:rPr>
        <w:t xml:space="preserve">See: </w:t>
      </w:r>
      <w:proofErr w:type="spellStart"/>
      <w:r w:rsidRPr="0095188F">
        <w:rPr>
          <w:rFonts w:ascii="David" w:hAnsi="David" w:cs="David"/>
          <w:sz w:val="24"/>
          <w:szCs w:val="24"/>
        </w:rPr>
        <w:t>Balberg</w:t>
      </w:r>
      <w:proofErr w:type="spellEnd"/>
      <w:r w:rsidRPr="0095188F">
        <w:rPr>
          <w:rFonts w:ascii="David" w:hAnsi="David" w:cs="David"/>
          <w:sz w:val="24"/>
          <w:szCs w:val="24"/>
        </w:rPr>
        <w:t>,</w:t>
      </w:r>
      <w:r w:rsidR="00635E1E" w:rsidRPr="00635E1E">
        <w:t xml:space="preserve"> </w:t>
      </w:r>
      <w:r w:rsidR="00635E1E" w:rsidRPr="00635E1E">
        <w:rPr>
          <w:rFonts w:ascii="David" w:hAnsi="David" w:cs="David"/>
          <w:sz w:val="24"/>
          <w:szCs w:val="24"/>
        </w:rPr>
        <w:t>Blood for Thought</w:t>
      </w:r>
      <w:r w:rsidRPr="0095188F">
        <w:rPr>
          <w:rFonts w:ascii="David" w:hAnsi="David" w:cs="David"/>
          <w:sz w:val="24"/>
          <w:szCs w:val="24"/>
        </w:rPr>
        <w:t>, p. 120</w:t>
      </w:r>
    </w:p>
  </w:footnote>
  <w:footnote w:id="26">
    <w:p w14:paraId="77258344" w14:textId="67567273" w:rsidR="00B027B9" w:rsidRDefault="00797FEF" w:rsidP="00E468C1">
      <w:pPr>
        <w:pStyle w:val="a3"/>
        <w:spacing w:line="480" w:lineRule="auto"/>
        <w:rPr>
          <w:rFonts w:ascii="David" w:hAnsi="David" w:cs="David"/>
          <w:sz w:val="24"/>
          <w:szCs w:val="24"/>
          <w:rtl/>
        </w:rPr>
      </w:pPr>
      <w:r w:rsidRPr="0095188F">
        <w:rPr>
          <w:rStyle w:val="a5"/>
          <w:rFonts w:ascii="David" w:hAnsi="David" w:cs="David"/>
          <w:sz w:val="24"/>
          <w:szCs w:val="24"/>
        </w:rPr>
        <w:footnoteRef/>
      </w:r>
      <w:r w:rsidRPr="0095188F">
        <w:rPr>
          <w:rFonts w:ascii="David" w:hAnsi="David" w:cs="David"/>
          <w:sz w:val="24"/>
          <w:szCs w:val="24"/>
          <w:rtl/>
        </w:rPr>
        <w:t xml:space="preserve"> </w:t>
      </w:r>
      <w:r w:rsidRPr="0095188F">
        <w:rPr>
          <w:rFonts w:ascii="David" w:hAnsi="David" w:cs="David"/>
          <w:sz w:val="24"/>
          <w:szCs w:val="24"/>
          <w:rtl/>
        </w:rPr>
        <w:t xml:space="preserve">ראו חנוך </w:t>
      </w:r>
      <w:proofErr w:type="spellStart"/>
      <w:r w:rsidRPr="0095188F">
        <w:rPr>
          <w:rFonts w:ascii="David" w:hAnsi="David" w:cs="David"/>
          <w:sz w:val="24"/>
          <w:szCs w:val="24"/>
          <w:rtl/>
        </w:rPr>
        <w:t>אלבק</w:t>
      </w:r>
      <w:proofErr w:type="spellEnd"/>
      <w:r w:rsidRPr="0095188F">
        <w:rPr>
          <w:rFonts w:ascii="David" w:hAnsi="David" w:cs="David"/>
          <w:sz w:val="24"/>
          <w:szCs w:val="24"/>
          <w:rtl/>
        </w:rPr>
        <w:t xml:space="preserve">, ששה סדרי משנה (מועד), </w:t>
      </w:r>
      <w:r w:rsidR="006B7B3E">
        <w:rPr>
          <w:rFonts w:ascii="David" w:hAnsi="David" w:cs="David" w:hint="cs"/>
          <w:sz w:val="24"/>
          <w:szCs w:val="24"/>
          <w:rtl/>
        </w:rPr>
        <w:t xml:space="preserve">ירושלים/תל אביב: מוסד ביאליק והוצאת דביר,  1958, </w:t>
      </w:r>
      <w:r w:rsidR="006B7B3E" w:rsidRPr="006B7B3E">
        <w:rPr>
          <w:rFonts w:ascii="David" w:hAnsi="David" w:cs="David"/>
          <w:sz w:val="24"/>
          <w:szCs w:val="24"/>
          <w:rtl/>
        </w:rPr>
        <w:t>עמ' 188;</w:t>
      </w:r>
      <w:r w:rsidR="006B7B3E">
        <w:rPr>
          <w:rFonts w:ascii="David" w:hAnsi="David" w:cs="David" w:hint="cs"/>
          <w:sz w:val="24"/>
          <w:szCs w:val="24"/>
          <w:rtl/>
        </w:rPr>
        <w:t xml:space="preserve"> </w:t>
      </w:r>
      <w:r>
        <w:rPr>
          <w:rFonts w:ascii="David" w:hAnsi="David" w:cs="David" w:hint="cs"/>
          <w:sz w:val="24"/>
          <w:szCs w:val="24"/>
          <w:rtl/>
        </w:rPr>
        <w:t xml:space="preserve">משה עסיס </w:t>
      </w:r>
      <w:r w:rsidR="00C9193E">
        <w:rPr>
          <w:rFonts w:ascii="David" w:hAnsi="David" w:cs="David" w:hint="cs"/>
          <w:sz w:val="24"/>
          <w:szCs w:val="24"/>
          <w:rtl/>
        </w:rPr>
        <w:t xml:space="preserve">סובר </w:t>
      </w:r>
      <w:r>
        <w:rPr>
          <w:rFonts w:ascii="David" w:hAnsi="David" w:cs="David" w:hint="cs"/>
          <w:sz w:val="24"/>
          <w:szCs w:val="24"/>
          <w:rtl/>
        </w:rPr>
        <w:t>כי במשנה שלוש דעות: (1) בן בוכרי: הכהן אינו חייב לשקול אבל השוקל אינו חוטא</w:t>
      </w:r>
      <w:r w:rsidR="000F5275">
        <w:rPr>
          <w:rFonts w:ascii="David" w:hAnsi="David" w:cs="David" w:hint="cs"/>
          <w:sz w:val="24"/>
          <w:szCs w:val="24"/>
          <w:rtl/>
        </w:rPr>
        <w:t>;</w:t>
      </w:r>
      <w:r>
        <w:rPr>
          <w:rFonts w:ascii="David" w:hAnsi="David" w:cs="David" w:hint="cs"/>
          <w:sz w:val="24"/>
          <w:szCs w:val="24"/>
          <w:rtl/>
        </w:rPr>
        <w:t xml:space="preserve"> (</w:t>
      </w:r>
      <w:r w:rsidR="000F5275">
        <w:rPr>
          <w:rFonts w:ascii="David" w:hAnsi="David" w:cs="David" w:hint="cs"/>
          <w:sz w:val="24"/>
          <w:szCs w:val="24"/>
          <w:rtl/>
        </w:rPr>
        <w:t xml:space="preserve">2) </w:t>
      </w:r>
      <w:r>
        <w:rPr>
          <w:rFonts w:ascii="David" w:hAnsi="David" w:cs="David" w:hint="cs"/>
          <w:sz w:val="24"/>
          <w:szCs w:val="24"/>
          <w:rtl/>
        </w:rPr>
        <w:t xml:space="preserve">ר' יהודה </w:t>
      </w:r>
      <w:proofErr w:type="spellStart"/>
      <w:r>
        <w:rPr>
          <w:rFonts w:ascii="David" w:hAnsi="David" w:cs="David" w:hint="cs"/>
          <w:sz w:val="24"/>
          <w:szCs w:val="24"/>
          <w:rtl/>
        </w:rPr>
        <w:t>והכהנים</w:t>
      </w:r>
      <w:proofErr w:type="spellEnd"/>
      <w:r>
        <w:rPr>
          <w:rFonts w:ascii="David" w:hAnsi="David" w:cs="David" w:hint="cs"/>
          <w:sz w:val="24"/>
          <w:szCs w:val="24"/>
          <w:rtl/>
        </w:rPr>
        <w:t xml:space="preserve">: הכהן אינו חייב לשקול והשוקל חוטא. </w:t>
      </w:r>
      <w:r w:rsidR="000F5275" w:rsidRPr="000F5275">
        <w:rPr>
          <w:rFonts w:ascii="David" w:hAnsi="David" w:cs="David"/>
          <w:sz w:val="24"/>
          <w:szCs w:val="24"/>
          <w:rtl/>
        </w:rPr>
        <w:t>(</w:t>
      </w:r>
      <w:r w:rsidR="000F5275">
        <w:rPr>
          <w:rFonts w:ascii="David" w:hAnsi="David" w:cs="David" w:hint="cs"/>
          <w:sz w:val="24"/>
          <w:szCs w:val="24"/>
          <w:rtl/>
        </w:rPr>
        <w:t>3</w:t>
      </w:r>
      <w:r w:rsidR="000F5275" w:rsidRPr="000F5275">
        <w:rPr>
          <w:rFonts w:ascii="David" w:hAnsi="David" w:cs="David"/>
          <w:sz w:val="24"/>
          <w:szCs w:val="24"/>
          <w:rtl/>
        </w:rPr>
        <w:t xml:space="preserve">) </w:t>
      </w:r>
      <w:proofErr w:type="spellStart"/>
      <w:r w:rsidR="000F5275" w:rsidRPr="000F5275">
        <w:rPr>
          <w:rFonts w:ascii="David" w:hAnsi="David" w:cs="David"/>
          <w:sz w:val="24"/>
          <w:szCs w:val="24"/>
          <w:rtl/>
        </w:rPr>
        <w:t>ריב"ז</w:t>
      </w:r>
      <w:proofErr w:type="spellEnd"/>
      <w:r w:rsidR="000F5275">
        <w:rPr>
          <w:rFonts w:ascii="David" w:hAnsi="David" w:cs="David" w:hint="cs"/>
          <w:sz w:val="24"/>
          <w:szCs w:val="24"/>
          <w:rtl/>
        </w:rPr>
        <w:t xml:space="preserve"> איננו מסכים עם שתי השיטות האחרון וקובע במופגן</w:t>
      </w:r>
      <w:r w:rsidR="000F5275" w:rsidRPr="000F5275">
        <w:rPr>
          <w:rFonts w:ascii="David" w:hAnsi="David" w:cs="David"/>
          <w:sz w:val="24"/>
          <w:szCs w:val="24"/>
          <w:rtl/>
        </w:rPr>
        <w:t xml:space="preserve">: הכהן חייב לשקול ואם לא שקל חוטא, </w:t>
      </w:r>
      <w:r>
        <w:rPr>
          <w:rFonts w:ascii="David" w:hAnsi="David" w:cs="David" w:hint="cs"/>
          <w:sz w:val="24"/>
          <w:szCs w:val="24"/>
          <w:rtl/>
        </w:rPr>
        <w:t xml:space="preserve">ראו </w:t>
      </w:r>
    </w:p>
    <w:p w14:paraId="68D17994" w14:textId="5B52CDCB" w:rsidR="00797FEF" w:rsidRPr="0095188F" w:rsidRDefault="00B027B9" w:rsidP="00B027B9">
      <w:pPr>
        <w:pStyle w:val="a3"/>
        <w:spacing w:line="480" w:lineRule="auto"/>
        <w:rPr>
          <w:rFonts w:ascii="David" w:hAnsi="David" w:cs="David"/>
          <w:sz w:val="24"/>
          <w:szCs w:val="24"/>
          <w:rtl/>
        </w:rPr>
      </w:pPr>
      <w:r w:rsidRPr="001042D1">
        <w:rPr>
          <w:rFonts w:ascii="Times New Roman" w:hAnsi="Times New Roman" w:cs="Times New Roman"/>
          <w:sz w:val="24"/>
          <w:szCs w:val="24"/>
        </w:rPr>
        <w:t>Moshe Assis, “Le-</w:t>
      </w:r>
      <w:proofErr w:type="spellStart"/>
      <w:r w:rsidRPr="001042D1">
        <w:rPr>
          <w:rFonts w:ascii="Times New Roman" w:hAnsi="Times New Roman" w:cs="Times New Roman"/>
          <w:sz w:val="24"/>
          <w:szCs w:val="24"/>
        </w:rPr>
        <w:t>Ferusha</w:t>
      </w:r>
      <w:proofErr w:type="spellEnd"/>
      <w:r w:rsidRPr="001042D1">
        <w:rPr>
          <w:rFonts w:ascii="Times New Roman" w:hAnsi="Times New Roman" w:cs="Times New Roman"/>
          <w:sz w:val="24"/>
          <w:szCs w:val="24"/>
        </w:rPr>
        <w:t xml:space="preserve"> Shel </w:t>
      </w:r>
      <w:proofErr w:type="spellStart"/>
      <w:r w:rsidRPr="001042D1">
        <w:rPr>
          <w:rFonts w:ascii="Times New Roman" w:hAnsi="Times New Roman" w:cs="Times New Roman"/>
          <w:sz w:val="24"/>
          <w:szCs w:val="24"/>
        </w:rPr>
        <w:t>Sugiah</w:t>
      </w:r>
      <w:proofErr w:type="spellEnd"/>
      <w:r w:rsidRPr="001042D1">
        <w:rPr>
          <w:rFonts w:ascii="Times New Roman" w:hAnsi="Times New Roman" w:cs="Times New Roman"/>
          <w:sz w:val="24"/>
          <w:szCs w:val="24"/>
        </w:rPr>
        <w:t xml:space="preserve"> </w:t>
      </w:r>
      <w:proofErr w:type="spellStart"/>
      <w:r w:rsidRPr="001042D1">
        <w:rPr>
          <w:rFonts w:ascii="Times New Roman" w:hAnsi="Times New Roman" w:cs="Times New Roman"/>
          <w:sz w:val="24"/>
          <w:szCs w:val="24"/>
        </w:rPr>
        <w:t>Ehat</w:t>
      </w:r>
      <w:proofErr w:type="spellEnd"/>
      <w:r w:rsidRPr="001042D1">
        <w:rPr>
          <w:rFonts w:ascii="Times New Roman" w:hAnsi="Times New Roman" w:cs="Times New Roman"/>
          <w:sz w:val="24"/>
          <w:szCs w:val="24"/>
        </w:rPr>
        <w:t xml:space="preserve"> be-</w:t>
      </w:r>
      <w:proofErr w:type="spellStart"/>
      <w:r w:rsidRPr="001042D1">
        <w:rPr>
          <w:rFonts w:ascii="Times New Roman" w:hAnsi="Times New Roman" w:cs="Times New Roman"/>
          <w:sz w:val="24"/>
          <w:szCs w:val="24"/>
        </w:rPr>
        <w:t>Yerushalmi</w:t>
      </w:r>
      <w:proofErr w:type="spellEnd"/>
      <w:r w:rsidRPr="001042D1">
        <w:rPr>
          <w:rFonts w:ascii="Times New Roman" w:hAnsi="Times New Roman" w:cs="Times New Roman"/>
          <w:sz w:val="24"/>
          <w:szCs w:val="24"/>
        </w:rPr>
        <w:t xml:space="preserve"> </w:t>
      </w:r>
      <w:proofErr w:type="spellStart"/>
      <w:r w:rsidRPr="001042D1">
        <w:rPr>
          <w:rFonts w:ascii="Times New Roman" w:hAnsi="Times New Roman" w:cs="Times New Roman"/>
          <w:sz w:val="24"/>
          <w:szCs w:val="24"/>
        </w:rPr>
        <w:t>Shekalim</w:t>
      </w:r>
      <w:proofErr w:type="spellEnd"/>
      <w:r w:rsidRPr="001042D1">
        <w:rPr>
          <w:rFonts w:ascii="Times New Roman" w:hAnsi="Times New Roman" w:cs="Times New Roman"/>
          <w:sz w:val="24"/>
          <w:szCs w:val="24"/>
        </w:rPr>
        <w:t xml:space="preserve">” [Heb.], in: </w:t>
      </w:r>
      <w:proofErr w:type="spellStart"/>
      <w:r w:rsidRPr="001042D1">
        <w:rPr>
          <w:rFonts w:ascii="Times New Roman" w:hAnsi="Times New Roman" w:cs="Times New Roman"/>
          <w:i/>
          <w:iCs/>
          <w:sz w:val="24"/>
          <w:szCs w:val="24"/>
        </w:rPr>
        <w:t>Meh</w:t>
      </w:r>
      <w:r>
        <w:rPr>
          <w:rFonts w:ascii="Times New Roman" w:hAnsi="Times New Roman" w:cs="Times New Roman"/>
          <w:i/>
          <w:iCs/>
          <w:sz w:val="24"/>
          <w:szCs w:val="24"/>
        </w:rPr>
        <w:t>qe</w:t>
      </w:r>
      <w:r w:rsidRPr="001042D1">
        <w:rPr>
          <w:rFonts w:ascii="Times New Roman" w:hAnsi="Times New Roman" w:cs="Times New Roman"/>
          <w:i/>
          <w:iCs/>
          <w:sz w:val="24"/>
          <w:szCs w:val="24"/>
        </w:rPr>
        <w:t>re</w:t>
      </w:r>
      <w:r>
        <w:rPr>
          <w:rFonts w:ascii="Times New Roman" w:hAnsi="Times New Roman" w:cs="Times New Roman"/>
          <w:i/>
          <w:iCs/>
          <w:sz w:val="24"/>
          <w:szCs w:val="24"/>
        </w:rPr>
        <w:t>i</w:t>
      </w:r>
      <w:proofErr w:type="spellEnd"/>
      <w:r w:rsidRPr="001042D1">
        <w:rPr>
          <w:rFonts w:ascii="Times New Roman" w:hAnsi="Times New Roman" w:cs="Times New Roman"/>
          <w:i/>
          <w:iCs/>
          <w:sz w:val="24"/>
          <w:szCs w:val="24"/>
        </w:rPr>
        <w:t xml:space="preserve"> Talmud</w:t>
      </w:r>
      <w:r w:rsidRPr="007524BE">
        <w:rPr>
          <w:rFonts w:ascii="Times New Roman" w:hAnsi="Times New Roman" w:cs="Times New Roman"/>
          <w:i/>
          <w:iCs/>
          <w:sz w:val="24"/>
          <w:szCs w:val="24"/>
        </w:rPr>
        <w:t>: Talmudic Studies dedicated to the Memory of Professor Eliezer Shimshon Rosent</w:t>
      </w:r>
      <w:r>
        <w:rPr>
          <w:rFonts w:ascii="Times New Roman" w:hAnsi="Times New Roman" w:cs="Times New Roman"/>
          <w:i/>
          <w:iCs/>
          <w:sz w:val="24"/>
          <w:szCs w:val="24"/>
        </w:rPr>
        <w:t>h</w:t>
      </w:r>
      <w:r w:rsidRPr="007524BE">
        <w:rPr>
          <w:rFonts w:ascii="Times New Roman" w:hAnsi="Times New Roman" w:cs="Times New Roman"/>
          <w:i/>
          <w:iCs/>
          <w:sz w:val="24"/>
          <w:szCs w:val="24"/>
        </w:rPr>
        <w:t>al</w:t>
      </w:r>
      <w:r w:rsidRPr="001042D1">
        <w:rPr>
          <w:rFonts w:ascii="Times New Roman" w:hAnsi="Times New Roman" w:cs="Times New Roman"/>
          <w:sz w:val="24"/>
          <w:szCs w:val="24"/>
        </w:rPr>
        <w:t>, 2, ed. Moshe Bar Asher and David Rosent</w:t>
      </w:r>
      <w:r>
        <w:rPr>
          <w:rFonts w:ascii="Times New Roman" w:hAnsi="Times New Roman" w:cs="Times New Roman"/>
          <w:sz w:val="24"/>
          <w:szCs w:val="24"/>
        </w:rPr>
        <w:t>h</w:t>
      </w:r>
      <w:r w:rsidRPr="001042D1">
        <w:rPr>
          <w:rFonts w:ascii="Times New Roman" w:hAnsi="Times New Roman" w:cs="Times New Roman"/>
          <w:sz w:val="24"/>
          <w:szCs w:val="24"/>
        </w:rPr>
        <w:t xml:space="preserve">al, </w:t>
      </w:r>
      <w:r>
        <w:rPr>
          <w:rFonts w:ascii="Times New Roman" w:hAnsi="Times New Roman" w:cs="Times New Roman"/>
          <w:sz w:val="24"/>
          <w:szCs w:val="24"/>
        </w:rPr>
        <w:t>(</w:t>
      </w:r>
      <w:r w:rsidRPr="001042D1">
        <w:rPr>
          <w:rFonts w:ascii="Times New Roman" w:hAnsi="Times New Roman" w:cs="Times New Roman"/>
          <w:sz w:val="24"/>
          <w:szCs w:val="24"/>
        </w:rPr>
        <w:t xml:space="preserve">Jerusalem: </w:t>
      </w:r>
      <w:proofErr w:type="spellStart"/>
      <w:r w:rsidRPr="001042D1">
        <w:rPr>
          <w:rFonts w:ascii="Times New Roman" w:hAnsi="Times New Roman" w:cs="Times New Roman"/>
          <w:sz w:val="24"/>
          <w:szCs w:val="24"/>
        </w:rPr>
        <w:t>Magnes</w:t>
      </w:r>
      <w:proofErr w:type="spellEnd"/>
      <w:r>
        <w:rPr>
          <w:rFonts w:ascii="Times New Roman" w:hAnsi="Times New Roman" w:cs="Times New Roman"/>
          <w:sz w:val="24"/>
          <w:szCs w:val="24"/>
        </w:rPr>
        <w:t xml:space="preserve"> Press</w:t>
      </w:r>
      <w:r w:rsidRPr="001042D1">
        <w:rPr>
          <w:rFonts w:ascii="Times New Roman" w:hAnsi="Times New Roman" w:cs="Times New Roman"/>
          <w:sz w:val="24"/>
          <w:szCs w:val="24"/>
        </w:rPr>
        <w:t xml:space="preserve"> 199</w:t>
      </w:r>
      <w:r>
        <w:rPr>
          <w:rFonts w:ascii="Times New Roman" w:hAnsi="Times New Roman" w:cs="Times New Roman"/>
          <w:sz w:val="24"/>
          <w:szCs w:val="24"/>
        </w:rPr>
        <w:t>3)</w:t>
      </w:r>
      <w:r w:rsidRPr="001042D1">
        <w:rPr>
          <w:rFonts w:ascii="Times New Roman" w:hAnsi="Times New Roman" w:cs="Times New Roman"/>
          <w:sz w:val="24"/>
          <w:szCs w:val="24"/>
        </w:rPr>
        <w:t>,</w:t>
      </w:r>
      <w:r w:rsidR="00797FEF" w:rsidRPr="001042D1">
        <w:rPr>
          <w:rFonts w:ascii="Times New Roman" w:hAnsi="Times New Roman" w:cs="Times New Roman"/>
          <w:sz w:val="24"/>
          <w:szCs w:val="24"/>
        </w:rPr>
        <w:t xml:space="preserve"> pp. 397-</w:t>
      </w:r>
      <w:proofErr w:type="gramStart"/>
      <w:r w:rsidR="00797FEF">
        <w:rPr>
          <w:rFonts w:ascii="Times New Roman" w:hAnsi="Times New Roman" w:cs="Times New Roman"/>
          <w:sz w:val="24"/>
          <w:szCs w:val="24"/>
        </w:rPr>
        <w:t>3</w:t>
      </w:r>
      <w:r w:rsidR="00797FEF" w:rsidRPr="001042D1">
        <w:rPr>
          <w:rFonts w:ascii="Times New Roman" w:hAnsi="Times New Roman" w:cs="Times New Roman"/>
          <w:sz w:val="24"/>
          <w:szCs w:val="24"/>
        </w:rPr>
        <w:t xml:space="preserve">98 </w:t>
      </w:r>
      <w:r w:rsidR="00797FEF" w:rsidRPr="001042D1">
        <w:rPr>
          <w:rFonts w:ascii="Times New Roman" w:hAnsi="Times New Roman" w:cs="Times New Roman"/>
          <w:sz w:val="24"/>
          <w:szCs w:val="24"/>
          <w:rtl/>
        </w:rPr>
        <w:t xml:space="preserve"> </w:t>
      </w:r>
      <w:r w:rsidR="00797FEF">
        <w:rPr>
          <w:rFonts w:ascii="Times New Roman" w:hAnsi="Times New Roman" w:cs="Times New Roman" w:hint="cs"/>
          <w:sz w:val="24"/>
          <w:szCs w:val="24"/>
          <w:rtl/>
        </w:rPr>
        <w:t>.</w:t>
      </w:r>
      <w:proofErr w:type="gramEnd"/>
      <w:r w:rsidR="00797FEF">
        <w:rPr>
          <w:rFonts w:ascii="David" w:hAnsi="David" w:cs="David" w:hint="cs"/>
          <w:sz w:val="24"/>
          <w:szCs w:val="24"/>
          <w:rtl/>
        </w:rPr>
        <w:t xml:space="preserve"> </w:t>
      </w:r>
      <w:r w:rsidR="00B65E86">
        <w:rPr>
          <w:rFonts w:ascii="David" w:hAnsi="David" w:cs="David" w:hint="cs"/>
          <w:sz w:val="24"/>
          <w:szCs w:val="24"/>
          <w:rtl/>
        </w:rPr>
        <w:t xml:space="preserve"> </w:t>
      </w:r>
    </w:p>
  </w:footnote>
  <w:footnote w:id="27">
    <w:p w14:paraId="6CB1A97E" w14:textId="09F02DEC" w:rsidR="00C17FE0" w:rsidRPr="0095188F" w:rsidRDefault="00C17FE0" w:rsidP="00C17FE0">
      <w:pPr>
        <w:pStyle w:val="a3"/>
        <w:spacing w:line="480" w:lineRule="auto"/>
        <w:rPr>
          <w:rFonts w:asciiTheme="majorBidi" w:hAnsiTheme="majorBidi" w:cstheme="majorBidi"/>
          <w:sz w:val="24"/>
          <w:szCs w:val="24"/>
          <w:rtl/>
        </w:rPr>
      </w:pPr>
      <w:r>
        <w:rPr>
          <w:rStyle w:val="a5"/>
        </w:rPr>
        <w:footnoteRef/>
      </w:r>
      <w:r>
        <w:rPr>
          <w:rFonts w:ascii="David" w:hAnsi="David" w:cs="David" w:hint="cs"/>
          <w:sz w:val="24"/>
          <w:szCs w:val="24"/>
          <w:rtl/>
        </w:rPr>
        <w:t xml:space="preserve"> </w:t>
      </w:r>
      <w:r w:rsidRPr="0095188F">
        <w:rPr>
          <w:rFonts w:ascii="David" w:hAnsi="David" w:cs="David"/>
          <w:sz w:val="24"/>
          <w:szCs w:val="24"/>
          <w:rtl/>
        </w:rPr>
        <w:t xml:space="preserve">מחלוקות </w:t>
      </w:r>
      <w:r>
        <w:rPr>
          <w:rFonts w:ascii="David" w:hAnsi="David" w:cs="David" w:hint="cs"/>
          <w:sz w:val="24"/>
          <w:szCs w:val="24"/>
          <w:rtl/>
        </w:rPr>
        <w:t xml:space="preserve">נוספות שהתקיימו בזמן הבית </w:t>
      </w:r>
      <w:r w:rsidRPr="0095188F">
        <w:rPr>
          <w:rFonts w:ascii="David" w:hAnsi="David" w:cs="David"/>
          <w:sz w:val="24"/>
          <w:szCs w:val="24"/>
          <w:rtl/>
        </w:rPr>
        <w:t xml:space="preserve">בין חכמים </w:t>
      </w:r>
      <w:proofErr w:type="spellStart"/>
      <w:r w:rsidRPr="0095188F">
        <w:rPr>
          <w:rFonts w:ascii="David" w:hAnsi="David" w:cs="David"/>
          <w:sz w:val="24"/>
          <w:szCs w:val="24"/>
          <w:rtl/>
        </w:rPr>
        <w:t>לכהנים</w:t>
      </w:r>
      <w:proofErr w:type="spellEnd"/>
      <w:r>
        <w:rPr>
          <w:rFonts w:ascii="David" w:hAnsi="David" w:cs="David" w:hint="cs"/>
          <w:sz w:val="24"/>
          <w:szCs w:val="24"/>
          <w:rtl/>
        </w:rPr>
        <w:t>,</w:t>
      </w:r>
      <w:r w:rsidRPr="0095188F">
        <w:rPr>
          <w:rFonts w:ascii="David" w:hAnsi="David" w:cs="David"/>
          <w:sz w:val="24"/>
          <w:szCs w:val="24"/>
          <w:rtl/>
        </w:rPr>
        <w:t xml:space="preserve"> ראו</w:t>
      </w:r>
      <w:r w:rsidRPr="0095188F">
        <w:rPr>
          <w:rFonts w:hint="cs"/>
          <w:sz w:val="24"/>
          <w:szCs w:val="24"/>
          <w:rtl/>
        </w:rPr>
        <w:t xml:space="preserve"> </w:t>
      </w:r>
      <w:r w:rsidRPr="0095188F">
        <w:rPr>
          <w:rFonts w:asciiTheme="majorBidi" w:hAnsiTheme="majorBidi" w:cstheme="majorBidi"/>
          <w:sz w:val="24"/>
          <w:szCs w:val="24"/>
        </w:rPr>
        <w:t xml:space="preserve">Daniel </w:t>
      </w:r>
      <w:proofErr w:type="spellStart"/>
      <w:r w:rsidRPr="0095188F">
        <w:rPr>
          <w:rFonts w:asciiTheme="majorBidi" w:hAnsiTheme="majorBidi" w:cstheme="majorBidi"/>
          <w:sz w:val="24"/>
          <w:szCs w:val="24"/>
        </w:rPr>
        <w:t>Tropper</w:t>
      </w:r>
      <w:proofErr w:type="spellEnd"/>
      <w:r w:rsidRPr="0095188F">
        <w:rPr>
          <w:rFonts w:asciiTheme="majorBidi" w:hAnsiTheme="majorBidi" w:cstheme="majorBidi"/>
          <w:i/>
          <w:iCs/>
          <w:sz w:val="24"/>
          <w:szCs w:val="24"/>
        </w:rPr>
        <w:t>, The Internal Administration of the Second Temple at Jerusalem</w:t>
      </w:r>
      <w:r w:rsidRPr="0095188F">
        <w:rPr>
          <w:rFonts w:asciiTheme="majorBidi" w:hAnsiTheme="majorBidi" w:cstheme="majorBidi"/>
          <w:sz w:val="24"/>
          <w:szCs w:val="24"/>
        </w:rPr>
        <w:t xml:space="preserve">, Ph.D. dissertation, Yeshiva University, New York 1970; Idem, “Bet Din Shel Kohanim”, </w:t>
      </w:r>
      <w:r w:rsidRPr="0095188F">
        <w:rPr>
          <w:rFonts w:asciiTheme="majorBidi" w:hAnsiTheme="majorBidi" w:cstheme="majorBidi"/>
          <w:i/>
          <w:iCs/>
          <w:sz w:val="24"/>
          <w:szCs w:val="24"/>
        </w:rPr>
        <w:t>Jewish Quarterly Review</w:t>
      </w:r>
      <w:r w:rsidRPr="0095188F">
        <w:rPr>
          <w:rFonts w:asciiTheme="majorBidi" w:hAnsiTheme="majorBidi" w:cstheme="majorBidi"/>
          <w:sz w:val="24"/>
          <w:szCs w:val="24"/>
        </w:rPr>
        <w:t xml:space="preserve"> 68 (1973), pp. 204-221; Ellis Rivkin, A Hidden Revolution, Nashville: Abingdon 1978;</w:t>
      </w:r>
    </w:p>
    <w:p w14:paraId="76C02F12" w14:textId="77777777" w:rsidR="00C17FE0" w:rsidRPr="0095188F" w:rsidRDefault="00C17FE0" w:rsidP="00C17FE0">
      <w:pPr>
        <w:pStyle w:val="a3"/>
        <w:spacing w:line="480" w:lineRule="auto"/>
        <w:rPr>
          <w:rFonts w:ascii="David" w:hAnsi="David" w:cs="David"/>
          <w:sz w:val="24"/>
          <w:szCs w:val="24"/>
          <w:rtl/>
        </w:rPr>
      </w:pPr>
      <w:r w:rsidRPr="0095188F">
        <w:rPr>
          <w:rFonts w:ascii="David" w:hAnsi="David" w:cs="David"/>
          <w:sz w:val="24"/>
          <w:szCs w:val="24"/>
          <w:rtl/>
        </w:rPr>
        <w:t>לפולמוסים של חכמים עם כהנים ראו:</w:t>
      </w:r>
      <w:r w:rsidRPr="0095188F">
        <w:rPr>
          <w:rFonts w:asciiTheme="majorBidi" w:hAnsiTheme="majorBidi" w:cstheme="majorBidi"/>
          <w:sz w:val="24"/>
          <w:szCs w:val="24"/>
        </w:rPr>
        <w:t xml:space="preserve"> </w:t>
      </w:r>
      <w:proofErr w:type="spellStart"/>
      <w:r w:rsidRPr="0095188F">
        <w:rPr>
          <w:rFonts w:asciiTheme="majorBidi" w:hAnsiTheme="majorBidi" w:cstheme="majorBidi"/>
          <w:sz w:val="24"/>
          <w:szCs w:val="24"/>
        </w:rPr>
        <w:t>Stiven</w:t>
      </w:r>
      <w:proofErr w:type="spellEnd"/>
      <w:r w:rsidRPr="0095188F">
        <w:rPr>
          <w:rFonts w:asciiTheme="majorBidi" w:hAnsiTheme="majorBidi" w:cstheme="majorBidi"/>
          <w:sz w:val="24"/>
          <w:szCs w:val="24"/>
        </w:rPr>
        <w:t xml:space="preserve"> D. </w:t>
      </w:r>
      <w:proofErr w:type="spellStart"/>
      <w:r w:rsidRPr="0095188F">
        <w:rPr>
          <w:rFonts w:asciiTheme="majorBidi" w:hAnsiTheme="majorBidi" w:cstheme="majorBidi"/>
          <w:sz w:val="24"/>
          <w:szCs w:val="24"/>
        </w:rPr>
        <w:t>Fraade</w:t>
      </w:r>
      <w:proofErr w:type="spellEnd"/>
      <w:r w:rsidRPr="0095188F">
        <w:rPr>
          <w:rFonts w:asciiTheme="majorBidi" w:hAnsiTheme="majorBidi" w:cstheme="majorBidi"/>
          <w:sz w:val="24"/>
          <w:szCs w:val="24"/>
        </w:rPr>
        <w:t xml:space="preserve">, </w:t>
      </w:r>
      <w:r w:rsidRPr="0095188F">
        <w:rPr>
          <w:rFonts w:asciiTheme="majorBidi" w:hAnsiTheme="majorBidi" w:cstheme="majorBidi"/>
          <w:i/>
          <w:iCs/>
          <w:sz w:val="24"/>
          <w:szCs w:val="24"/>
        </w:rPr>
        <w:t xml:space="preserve">From Tradition to Commentary: Torah and Its Interpretation in the Midrash </w:t>
      </w:r>
      <w:proofErr w:type="spellStart"/>
      <w:r w:rsidRPr="0095188F">
        <w:rPr>
          <w:rFonts w:asciiTheme="majorBidi" w:hAnsiTheme="majorBidi" w:cstheme="majorBidi"/>
          <w:i/>
          <w:iCs/>
          <w:sz w:val="24"/>
          <w:szCs w:val="24"/>
        </w:rPr>
        <w:t>Sifre</w:t>
      </w:r>
      <w:proofErr w:type="spellEnd"/>
      <w:r w:rsidRPr="0095188F">
        <w:rPr>
          <w:rFonts w:asciiTheme="majorBidi" w:hAnsiTheme="majorBidi" w:cstheme="majorBidi"/>
          <w:i/>
          <w:iCs/>
          <w:sz w:val="24"/>
          <w:szCs w:val="24"/>
        </w:rPr>
        <w:t xml:space="preserve"> to Deuteronomy</w:t>
      </w:r>
      <w:r w:rsidRPr="0095188F">
        <w:rPr>
          <w:rFonts w:asciiTheme="majorBidi" w:hAnsiTheme="majorBidi" w:cstheme="majorBidi"/>
          <w:sz w:val="24"/>
          <w:szCs w:val="24"/>
        </w:rPr>
        <w:t>, Albany: State university of Ney York Press 1991, pp. 69-121; Meir Bar-</w:t>
      </w:r>
      <w:proofErr w:type="spellStart"/>
      <w:r w:rsidRPr="0095188F">
        <w:rPr>
          <w:rFonts w:asciiTheme="majorBidi" w:hAnsiTheme="majorBidi" w:cstheme="majorBidi"/>
          <w:sz w:val="24"/>
          <w:szCs w:val="24"/>
        </w:rPr>
        <w:t>Ilan</w:t>
      </w:r>
      <w:proofErr w:type="spellEnd"/>
      <w:r w:rsidRPr="0095188F">
        <w:rPr>
          <w:rFonts w:asciiTheme="majorBidi" w:hAnsiTheme="majorBidi" w:cstheme="majorBidi"/>
          <w:sz w:val="24"/>
          <w:szCs w:val="24"/>
        </w:rPr>
        <w:t xml:space="preserve">, dissertation; Idem, “Polemics between Sages and Priests Towards the End of the Days of the Second Temple”, </w:t>
      </w:r>
      <w:proofErr w:type="spellStart"/>
      <w:r w:rsidRPr="0095188F">
        <w:rPr>
          <w:rFonts w:asciiTheme="majorBidi" w:hAnsiTheme="majorBidi" w:cstheme="majorBidi"/>
          <w:i/>
          <w:iCs/>
          <w:sz w:val="24"/>
          <w:szCs w:val="24"/>
        </w:rPr>
        <w:t>Moreshet</w:t>
      </w:r>
      <w:proofErr w:type="spellEnd"/>
      <w:r w:rsidRPr="0095188F">
        <w:rPr>
          <w:rFonts w:asciiTheme="majorBidi" w:hAnsiTheme="majorBidi" w:cstheme="majorBidi"/>
          <w:i/>
          <w:iCs/>
          <w:sz w:val="24"/>
          <w:szCs w:val="24"/>
        </w:rPr>
        <w:t xml:space="preserve"> Israel</w:t>
      </w:r>
      <w:r w:rsidRPr="0095188F">
        <w:rPr>
          <w:rFonts w:asciiTheme="majorBidi" w:hAnsiTheme="majorBidi" w:cstheme="majorBidi"/>
          <w:sz w:val="24"/>
          <w:szCs w:val="24"/>
        </w:rPr>
        <w:t xml:space="preserve"> 8 (2011), pp. 37-53; Regev, “The Traditions”, pp. 24-27</w:t>
      </w:r>
    </w:p>
  </w:footnote>
  <w:footnote w:id="28">
    <w:p w14:paraId="09E4C1CD" w14:textId="13D9ACF2" w:rsidR="009132F2" w:rsidRDefault="009132F2" w:rsidP="009132F2">
      <w:pPr>
        <w:pStyle w:val="a3"/>
        <w:spacing w:line="480" w:lineRule="auto"/>
        <w:rPr>
          <w:rtl/>
        </w:rPr>
      </w:pPr>
      <w:r w:rsidRPr="00F96236">
        <w:rPr>
          <w:rStyle w:val="a5"/>
          <w:rFonts w:ascii="David" w:hAnsi="David" w:cs="David"/>
          <w:sz w:val="24"/>
          <w:szCs w:val="24"/>
        </w:rPr>
        <w:footnoteRef/>
      </w:r>
      <w:r w:rsidRPr="00F96236">
        <w:rPr>
          <w:rFonts w:ascii="David" w:hAnsi="David" w:cs="David"/>
          <w:sz w:val="24"/>
          <w:szCs w:val="24"/>
          <w:rtl/>
        </w:rPr>
        <w:t xml:space="preserve"> </w:t>
      </w:r>
      <w:r>
        <w:rPr>
          <w:rFonts w:ascii="David" w:hAnsi="David" w:cs="David" w:hint="cs"/>
          <w:sz w:val="24"/>
          <w:szCs w:val="24"/>
          <w:rtl/>
        </w:rPr>
        <w:t xml:space="preserve">המילה העברית היא 'למחות'. </w:t>
      </w:r>
      <w:r w:rsidRPr="00F96236">
        <w:rPr>
          <w:rFonts w:ascii="David" w:hAnsi="David" w:cs="David"/>
          <w:sz w:val="24"/>
          <w:szCs w:val="24"/>
          <w:rtl/>
        </w:rPr>
        <w:t xml:space="preserve">משמעו של השורש מח"י בהקשר זה הוא 'ערעור' או 'התנגדות'. ראו </w:t>
      </w:r>
      <w:proofErr w:type="spellStart"/>
      <w:r w:rsidRPr="00F96236">
        <w:rPr>
          <w:rFonts w:ascii="David" w:hAnsi="David" w:cs="David"/>
          <w:sz w:val="24"/>
          <w:szCs w:val="24"/>
          <w:rtl/>
        </w:rPr>
        <w:t>פרוייקט</w:t>
      </w:r>
      <w:proofErr w:type="spellEnd"/>
      <w:r w:rsidRPr="00F96236">
        <w:rPr>
          <w:rFonts w:ascii="David" w:hAnsi="David" w:cs="David"/>
          <w:sz w:val="24"/>
          <w:szCs w:val="24"/>
          <w:rtl/>
        </w:rPr>
        <w:t xml:space="preserve"> </w:t>
      </w:r>
      <w:r>
        <w:rPr>
          <w:rFonts w:ascii="David" w:hAnsi="David" w:cs="David" w:hint="cs"/>
          <w:sz w:val="24"/>
          <w:szCs w:val="24"/>
          <w:rtl/>
        </w:rPr>
        <w:t>'</w:t>
      </w:r>
      <w:r w:rsidRPr="00F96236">
        <w:rPr>
          <w:rFonts w:ascii="David" w:hAnsi="David" w:cs="David"/>
          <w:sz w:val="24"/>
          <w:szCs w:val="24"/>
          <w:rtl/>
        </w:rPr>
        <w:t>מאגרים</w:t>
      </w:r>
      <w:r>
        <w:rPr>
          <w:rFonts w:ascii="David" w:hAnsi="David" w:cs="David" w:hint="cs"/>
          <w:sz w:val="24"/>
          <w:szCs w:val="24"/>
          <w:rtl/>
        </w:rPr>
        <w:t>'</w:t>
      </w:r>
      <w:r w:rsidR="00646E08">
        <w:rPr>
          <w:rFonts w:ascii="David" w:hAnsi="David" w:cs="David" w:hint="cs"/>
          <w:sz w:val="24"/>
          <w:szCs w:val="24"/>
          <w:rtl/>
        </w:rPr>
        <w:t xml:space="preserve"> </w:t>
      </w:r>
      <w:r w:rsidR="00345655">
        <w:rPr>
          <w:rFonts w:ascii="David" w:hAnsi="David" w:cs="David" w:hint="cs"/>
          <w:sz w:val="24"/>
          <w:szCs w:val="24"/>
          <w:rtl/>
        </w:rPr>
        <w:t xml:space="preserve">- </w:t>
      </w:r>
      <w:r w:rsidRPr="00F96236">
        <w:rPr>
          <w:rFonts w:ascii="David" w:hAnsi="David" w:cs="David"/>
          <w:sz w:val="24"/>
          <w:szCs w:val="24"/>
          <w:rtl/>
        </w:rPr>
        <w:t>מפעל המילון ההיסטורי של האקדמיה ללשון עברית</w:t>
      </w:r>
      <w:r>
        <w:rPr>
          <w:rFonts w:ascii="David" w:hAnsi="David" w:cs="David" w:hint="cs"/>
          <w:sz w:val="24"/>
          <w:szCs w:val="24"/>
          <w:rtl/>
        </w:rPr>
        <w:t>.</w:t>
      </w:r>
      <w:r w:rsidRPr="00F96236">
        <w:rPr>
          <w:rFonts w:ascii="David" w:hAnsi="David" w:cs="David"/>
          <w:sz w:val="24"/>
          <w:szCs w:val="24"/>
          <w:rtl/>
        </w:rPr>
        <w:t xml:space="preserve"> מאוחזר מתוך: </w:t>
      </w:r>
      <w:hyperlink r:id="rId1" w:history="1">
        <w:r w:rsidRPr="00F96236">
          <w:rPr>
            <w:rStyle w:val="Hyperlink"/>
            <w:rFonts w:asciiTheme="majorBidi" w:hAnsiTheme="majorBidi" w:cstheme="majorBidi"/>
            <w:sz w:val="24"/>
            <w:szCs w:val="24"/>
          </w:rPr>
          <w:t>https://maagarim.hebrew-academy.org.il/Pages/PMain.aspx?mishibbur=28000&amp;mm15=000002003010%2000&amp;mismilla=[35,36]</w:t>
        </w:r>
      </w:hyperlink>
    </w:p>
  </w:footnote>
  <w:footnote w:id="29">
    <w:p w14:paraId="4B8BEE44" w14:textId="4439163F" w:rsidR="00797FEF" w:rsidRPr="00087F49" w:rsidRDefault="00797FEF" w:rsidP="007C6084">
      <w:pPr>
        <w:pStyle w:val="a3"/>
        <w:spacing w:line="480" w:lineRule="auto"/>
        <w:rPr>
          <w:rFonts w:ascii="David" w:hAnsi="David" w:cs="David"/>
          <w:sz w:val="24"/>
          <w:szCs w:val="24"/>
          <w:rtl/>
        </w:rPr>
      </w:pPr>
      <w:r w:rsidRPr="00087F49">
        <w:rPr>
          <w:rStyle w:val="a5"/>
          <w:rFonts w:ascii="David" w:hAnsi="David" w:cs="David"/>
          <w:sz w:val="24"/>
          <w:szCs w:val="24"/>
        </w:rPr>
        <w:footnoteRef/>
      </w:r>
      <w:r w:rsidRPr="00087F49">
        <w:rPr>
          <w:rFonts w:ascii="David" w:hAnsi="David" w:cs="David"/>
          <w:sz w:val="24"/>
          <w:szCs w:val="24"/>
          <w:rtl/>
        </w:rPr>
        <w:t xml:space="preserve"> </w:t>
      </w:r>
      <w:r w:rsidR="00771714" w:rsidRPr="00771714">
        <w:rPr>
          <w:rFonts w:asciiTheme="majorBidi" w:hAnsiTheme="majorBidi" w:cstheme="majorBidi"/>
          <w:sz w:val="24"/>
          <w:szCs w:val="24"/>
        </w:rPr>
        <w:t xml:space="preserve">Saul Lieberman, </w:t>
      </w:r>
      <w:proofErr w:type="spellStart"/>
      <w:r w:rsidR="00771714" w:rsidRPr="005C19D3">
        <w:rPr>
          <w:rFonts w:asciiTheme="majorBidi" w:hAnsiTheme="majorBidi" w:cstheme="majorBidi"/>
          <w:i/>
          <w:iCs/>
          <w:sz w:val="24"/>
          <w:szCs w:val="24"/>
        </w:rPr>
        <w:t>Tosefta</w:t>
      </w:r>
      <w:proofErr w:type="spellEnd"/>
      <w:r w:rsidR="00771714" w:rsidRPr="005C19D3">
        <w:rPr>
          <w:rFonts w:asciiTheme="majorBidi" w:hAnsiTheme="majorBidi" w:cstheme="majorBidi"/>
          <w:i/>
          <w:iCs/>
          <w:sz w:val="24"/>
          <w:szCs w:val="24"/>
        </w:rPr>
        <w:t xml:space="preserve"> Ki-</w:t>
      </w:r>
      <w:proofErr w:type="spellStart"/>
      <w:r w:rsidR="00771714" w:rsidRPr="005C19D3">
        <w:rPr>
          <w:rFonts w:asciiTheme="majorBidi" w:hAnsiTheme="majorBidi" w:cstheme="majorBidi"/>
          <w:i/>
          <w:iCs/>
          <w:sz w:val="24"/>
          <w:szCs w:val="24"/>
        </w:rPr>
        <w:t>Fsutha</w:t>
      </w:r>
      <w:proofErr w:type="spellEnd"/>
      <w:r w:rsidR="00771714" w:rsidRPr="005C19D3">
        <w:rPr>
          <w:rFonts w:asciiTheme="majorBidi" w:hAnsiTheme="majorBidi" w:cstheme="majorBidi"/>
          <w:i/>
          <w:iCs/>
          <w:sz w:val="24"/>
          <w:szCs w:val="24"/>
        </w:rPr>
        <w:t xml:space="preserve">: A Comprehensive Commentary on the </w:t>
      </w:r>
      <w:proofErr w:type="spellStart"/>
      <w:r w:rsidR="00771714" w:rsidRPr="005C19D3">
        <w:rPr>
          <w:rFonts w:asciiTheme="majorBidi" w:hAnsiTheme="majorBidi" w:cstheme="majorBidi"/>
          <w:i/>
          <w:iCs/>
          <w:sz w:val="24"/>
          <w:szCs w:val="24"/>
        </w:rPr>
        <w:t>Tosefta</w:t>
      </w:r>
      <w:proofErr w:type="spellEnd"/>
      <w:r w:rsidR="00771714" w:rsidRPr="00771714">
        <w:rPr>
          <w:rFonts w:asciiTheme="majorBidi" w:hAnsiTheme="majorBidi" w:cstheme="majorBidi"/>
          <w:sz w:val="24"/>
          <w:szCs w:val="24"/>
        </w:rPr>
        <w:t xml:space="preserve"> (order </w:t>
      </w:r>
      <w:proofErr w:type="spellStart"/>
      <w:r w:rsidR="00771714" w:rsidRPr="00771714">
        <w:rPr>
          <w:rFonts w:asciiTheme="majorBidi" w:hAnsiTheme="majorBidi" w:cstheme="majorBidi"/>
          <w:sz w:val="24"/>
          <w:szCs w:val="24"/>
        </w:rPr>
        <w:t>Zera‘im</w:t>
      </w:r>
      <w:proofErr w:type="spellEnd"/>
      <w:r w:rsidR="00771714" w:rsidRPr="00771714">
        <w:rPr>
          <w:rFonts w:asciiTheme="majorBidi" w:hAnsiTheme="majorBidi" w:cstheme="majorBidi"/>
          <w:sz w:val="24"/>
          <w:szCs w:val="24"/>
        </w:rPr>
        <w:t>, part I), New York: The Jewish Theological Seminary of America, 1955, p. 158</w:t>
      </w:r>
      <w:r>
        <w:rPr>
          <w:rFonts w:ascii="David" w:hAnsi="David" w:cs="David" w:hint="cs"/>
          <w:sz w:val="24"/>
          <w:szCs w:val="24"/>
          <w:rtl/>
        </w:rPr>
        <w:t xml:space="preserve">; </w:t>
      </w:r>
      <w:r>
        <w:rPr>
          <w:rFonts w:ascii="David" w:hAnsi="David" w:cs="David"/>
          <w:sz w:val="24"/>
          <w:szCs w:val="24"/>
        </w:rPr>
        <w:t xml:space="preserve">Shmuel &amp; </w:t>
      </w:r>
      <w:proofErr w:type="spellStart"/>
      <w:r w:rsidRPr="00350F51">
        <w:rPr>
          <w:rFonts w:ascii="David" w:hAnsi="David" w:cs="David"/>
          <w:sz w:val="24"/>
          <w:szCs w:val="24"/>
        </w:rPr>
        <w:t>Ze</w:t>
      </w:r>
      <w:r w:rsidRPr="00350F51">
        <w:rPr>
          <w:rFonts w:ascii="Arial" w:hAnsi="Arial" w:cs="Arial"/>
          <w:sz w:val="24"/>
          <w:szCs w:val="24"/>
        </w:rPr>
        <w:t>`</w:t>
      </w:r>
      <w:r w:rsidRPr="00350F51">
        <w:rPr>
          <w:rFonts w:ascii="David" w:hAnsi="David" w:cs="David"/>
          <w:sz w:val="24"/>
          <w:szCs w:val="24"/>
        </w:rPr>
        <w:t>ev</w:t>
      </w:r>
      <w:proofErr w:type="spellEnd"/>
      <w:r w:rsidRPr="00350F51">
        <w:rPr>
          <w:rFonts w:ascii="David" w:hAnsi="David" w:cs="David"/>
          <w:sz w:val="24"/>
          <w:szCs w:val="24"/>
        </w:rPr>
        <w:t xml:space="preserve"> </w:t>
      </w:r>
      <w:proofErr w:type="spellStart"/>
      <w:r w:rsidRPr="00350F51">
        <w:rPr>
          <w:rFonts w:ascii="David" w:hAnsi="David" w:cs="David"/>
          <w:sz w:val="24"/>
          <w:szCs w:val="24"/>
        </w:rPr>
        <w:t>Safrai</w:t>
      </w:r>
      <w:proofErr w:type="spellEnd"/>
      <w:r>
        <w:rPr>
          <w:rFonts w:ascii="David" w:hAnsi="David" w:cs="David"/>
          <w:sz w:val="24"/>
          <w:szCs w:val="24"/>
        </w:rPr>
        <w:t xml:space="preserve"> in cooperation with Chana </w:t>
      </w:r>
      <w:proofErr w:type="spellStart"/>
      <w:r>
        <w:rPr>
          <w:rFonts w:ascii="David" w:hAnsi="David" w:cs="David"/>
          <w:sz w:val="24"/>
          <w:szCs w:val="24"/>
        </w:rPr>
        <w:t>Safrai</w:t>
      </w:r>
      <w:proofErr w:type="spellEnd"/>
      <w:r w:rsidRPr="00350F51">
        <w:rPr>
          <w:rFonts w:ascii="David" w:hAnsi="David" w:cs="David"/>
          <w:sz w:val="24"/>
          <w:szCs w:val="24"/>
        </w:rPr>
        <w:t xml:space="preserve">, </w:t>
      </w:r>
      <w:proofErr w:type="spellStart"/>
      <w:r w:rsidRPr="00EE6A0A">
        <w:rPr>
          <w:rFonts w:ascii="David" w:hAnsi="David" w:cs="David"/>
          <w:i/>
          <w:iCs/>
          <w:sz w:val="24"/>
          <w:szCs w:val="24"/>
        </w:rPr>
        <w:t>Mishnat</w:t>
      </w:r>
      <w:proofErr w:type="spellEnd"/>
      <w:r w:rsidRPr="00EE6A0A">
        <w:rPr>
          <w:rFonts w:ascii="David" w:hAnsi="David" w:cs="David"/>
          <w:i/>
          <w:iCs/>
          <w:sz w:val="24"/>
          <w:szCs w:val="24"/>
        </w:rPr>
        <w:t xml:space="preserve"> Eretz Israel: Tractate </w:t>
      </w:r>
      <w:proofErr w:type="spellStart"/>
      <w:r w:rsidRPr="00EE6A0A">
        <w:rPr>
          <w:rFonts w:ascii="David" w:hAnsi="David" w:cs="David"/>
          <w:i/>
          <w:iCs/>
          <w:sz w:val="24"/>
          <w:szCs w:val="24"/>
        </w:rPr>
        <w:t>Pe</w:t>
      </w:r>
      <w:r w:rsidRPr="00EE6A0A">
        <w:rPr>
          <w:rFonts w:ascii="SBL Greek" w:hAnsi="SBL Greek" w:cs="David"/>
          <w:i/>
          <w:iCs/>
          <w:sz w:val="24"/>
          <w:szCs w:val="24"/>
        </w:rPr>
        <w:t>‘ah</w:t>
      </w:r>
      <w:proofErr w:type="spellEnd"/>
      <w:r w:rsidRPr="00350F51">
        <w:rPr>
          <w:rFonts w:ascii="David" w:hAnsi="David" w:cs="David"/>
          <w:sz w:val="24"/>
          <w:szCs w:val="24"/>
        </w:rPr>
        <w:t xml:space="preserve">, Jerusalem: the E.M. </w:t>
      </w:r>
      <w:proofErr w:type="spellStart"/>
      <w:r w:rsidRPr="00350F51">
        <w:rPr>
          <w:rFonts w:ascii="David" w:hAnsi="David" w:cs="David"/>
          <w:sz w:val="24"/>
          <w:szCs w:val="24"/>
        </w:rPr>
        <w:t>Liphshitz</w:t>
      </w:r>
      <w:proofErr w:type="spellEnd"/>
      <w:r w:rsidRPr="00350F51">
        <w:rPr>
          <w:rFonts w:ascii="David" w:hAnsi="David" w:cs="David"/>
          <w:sz w:val="24"/>
          <w:szCs w:val="24"/>
        </w:rPr>
        <w:t xml:space="preserve"> Publishing House College – Jerusalem (20</w:t>
      </w:r>
      <w:r>
        <w:rPr>
          <w:rFonts w:ascii="David" w:hAnsi="David" w:cs="David"/>
          <w:sz w:val="24"/>
          <w:szCs w:val="24"/>
        </w:rPr>
        <w:t>12</w:t>
      </w:r>
      <w:r w:rsidRPr="00350F51">
        <w:rPr>
          <w:rFonts w:ascii="David" w:hAnsi="David" w:cs="David"/>
          <w:sz w:val="24"/>
          <w:szCs w:val="24"/>
        </w:rPr>
        <w:t>), p</w:t>
      </w:r>
      <w:r>
        <w:rPr>
          <w:rFonts w:ascii="David" w:hAnsi="David" w:cs="David"/>
          <w:sz w:val="24"/>
          <w:szCs w:val="24"/>
        </w:rPr>
        <w:t>. 7</w:t>
      </w:r>
      <w:r w:rsidR="0013197C">
        <w:rPr>
          <w:rFonts w:ascii="David" w:hAnsi="David" w:cs="David"/>
          <w:sz w:val="24"/>
          <w:szCs w:val="24"/>
        </w:rPr>
        <w:t>.</w:t>
      </w:r>
    </w:p>
  </w:footnote>
  <w:footnote w:id="30">
    <w:p w14:paraId="7A09A4FC" w14:textId="4717D43F" w:rsidR="00797FEF" w:rsidRPr="00E77CA7" w:rsidRDefault="00797FEF" w:rsidP="00E468C1">
      <w:pPr>
        <w:pStyle w:val="a3"/>
        <w:spacing w:line="480" w:lineRule="auto"/>
        <w:rPr>
          <w:rtl/>
        </w:rPr>
      </w:pPr>
      <w:r w:rsidRPr="00E77CA7">
        <w:rPr>
          <w:rStyle w:val="a5"/>
          <w:rFonts w:ascii="David" w:hAnsi="David" w:cs="David"/>
          <w:sz w:val="24"/>
          <w:szCs w:val="24"/>
        </w:rPr>
        <w:footnoteRef/>
      </w:r>
      <w:r w:rsidRPr="00E77CA7">
        <w:rPr>
          <w:rFonts w:ascii="David" w:hAnsi="David" w:cs="David"/>
          <w:sz w:val="24"/>
          <w:szCs w:val="24"/>
          <w:rtl/>
        </w:rPr>
        <w:t xml:space="preserve"> </w:t>
      </w:r>
      <w:r w:rsidRPr="00E77CA7">
        <w:rPr>
          <w:rFonts w:ascii="David" w:hAnsi="David" w:cs="David"/>
          <w:sz w:val="24"/>
          <w:szCs w:val="24"/>
          <w:rtl/>
        </w:rPr>
        <w:t>על בדיקת זכאותם של עניים לקבל תמיכה</w:t>
      </w:r>
      <w:r>
        <w:rPr>
          <w:rFonts w:ascii="David" w:hAnsi="David" w:cs="David" w:hint="cs"/>
          <w:sz w:val="24"/>
          <w:szCs w:val="24"/>
          <w:rtl/>
        </w:rPr>
        <w:t xml:space="preserve"> </w:t>
      </w:r>
      <w:r w:rsidRPr="00E77CA7">
        <w:rPr>
          <w:rFonts w:ascii="David" w:hAnsi="David" w:cs="David"/>
          <w:sz w:val="24"/>
          <w:szCs w:val="24"/>
          <w:rtl/>
        </w:rPr>
        <w:t>ראו</w:t>
      </w:r>
      <w:r w:rsidRPr="00E77CA7">
        <w:rPr>
          <w:rFonts w:ascii="Times New Roman" w:hAnsi="Times New Roman" w:cs="Times New Roman"/>
          <w:sz w:val="24"/>
          <w:szCs w:val="24"/>
        </w:rPr>
        <w:t xml:space="preserve">Yael </w:t>
      </w:r>
      <w:proofErr w:type="spellStart"/>
      <w:r w:rsidRPr="00E77CA7">
        <w:rPr>
          <w:rFonts w:ascii="Times New Roman" w:hAnsi="Times New Roman" w:cs="Times New Roman"/>
          <w:sz w:val="24"/>
          <w:szCs w:val="24"/>
        </w:rPr>
        <w:t>Wilfand</w:t>
      </w:r>
      <w:proofErr w:type="spellEnd"/>
      <w:r w:rsidRPr="00E77CA7">
        <w:rPr>
          <w:rFonts w:ascii="Times New Roman" w:hAnsi="Times New Roman" w:cs="Times New Roman"/>
          <w:sz w:val="24"/>
          <w:szCs w:val="24"/>
        </w:rPr>
        <w:t xml:space="preserve"> Ben-Shalom, </w:t>
      </w:r>
      <w:r w:rsidRPr="005D737E">
        <w:rPr>
          <w:rFonts w:ascii="Times New Roman" w:hAnsi="Times New Roman" w:cs="Times New Roman"/>
          <w:i/>
          <w:iCs/>
          <w:sz w:val="24"/>
          <w:szCs w:val="24"/>
        </w:rPr>
        <w:t>The Wheel that Overtakes Everyone: Poverty and Charity in the Eyes of Sages in the Land of Israel</w:t>
      </w:r>
      <w:r w:rsidRPr="00E77CA7">
        <w:rPr>
          <w:rFonts w:ascii="Times New Roman" w:hAnsi="Times New Roman" w:cs="Times New Roman"/>
          <w:sz w:val="24"/>
          <w:szCs w:val="24"/>
        </w:rPr>
        <w:t xml:space="preserve">, Tel Aviv: </w:t>
      </w:r>
      <w:proofErr w:type="spellStart"/>
      <w:r w:rsidRPr="00E77CA7">
        <w:rPr>
          <w:rFonts w:ascii="Times New Roman" w:hAnsi="Times New Roman" w:cs="Times New Roman"/>
          <w:sz w:val="24"/>
          <w:szCs w:val="24"/>
        </w:rPr>
        <w:t>Hakibutz-Hameuhad</w:t>
      </w:r>
      <w:proofErr w:type="spellEnd"/>
      <w:r w:rsidRPr="00E77CA7">
        <w:rPr>
          <w:rFonts w:ascii="Times New Roman" w:hAnsi="Times New Roman" w:cs="Times New Roman"/>
          <w:sz w:val="24"/>
          <w:szCs w:val="24"/>
        </w:rPr>
        <w:t>, 2017, pp. 220-232</w:t>
      </w:r>
      <w:r>
        <w:rPr>
          <w:rFonts w:hint="cs"/>
          <w:rtl/>
        </w:rPr>
        <w:t xml:space="preserve"> </w:t>
      </w:r>
    </w:p>
  </w:footnote>
  <w:footnote w:id="31">
    <w:p w14:paraId="4DFBFCC1" w14:textId="783F60EB" w:rsidR="00797FEF" w:rsidRPr="00906F0A" w:rsidRDefault="00797FEF" w:rsidP="0E445079">
      <w:pPr>
        <w:pStyle w:val="a3"/>
        <w:spacing w:line="480" w:lineRule="auto"/>
        <w:rPr>
          <w:rFonts w:ascii="David" w:hAnsi="David" w:cs="David" w:hint="cs"/>
          <w:sz w:val="24"/>
          <w:szCs w:val="24"/>
          <w:rtl/>
        </w:rPr>
      </w:pPr>
      <w:r w:rsidRPr="0E445079">
        <w:rPr>
          <w:rStyle w:val="a5"/>
        </w:rPr>
        <w:footnoteRef/>
      </w:r>
      <w:r w:rsidRPr="0E445079">
        <w:t xml:space="preserve"> </w:t>
      </w:r>
      <w:r w:rsidRPr="0E445079">
        <w:rPr>
          <w:rFonts w:ascii="David" w:hAnsi="David" w:cs="David"/>
          <w:sz w:val="24"/>
          <w:szCs w:val="24"/>
          <w:rtl/>
        </w:rPr>
        <w:t>ראו</w:t>
      </w:r>
      <w:r w:rsidRPr="006F25EA">
        <w:rPr>
          <w:rFonts w:ascii="David" w:hAnsi="David" w:cs="David"/>
          <w:sz w:val="24"/>
          <w:szCs w:val="24"/>
        </w:rPr>
        <w:t xml:space="preserve">  Shay </w:t>
      </w:r>
      <w:proofErr w:type="spellStart"/>
      <w:r w:rsidRPr="006F25EA">
        <w:rPr>
          <w:rFonts w:ascii="David" w:hAnsi="David" w:cs="David"/>
          <w:sz w:val="24"/>
          <w:szCs w:val="24"/>
        </w:rPr>
        <w:t>Wozner</w:t>
      </w:r>
      <w:proofErr w:type="spellEnd"/>
      <w:r w:rsidRPr="006F25EA">
        <w:rPr>
          <w:rFonts w:ascii="David" w:hAnsi="David" w:cs="David"/>
          <w:sz w:val="24"/>
          <w:szCs w:val="24"/>
        </w:rPr>
        <w:t xml:space="preserve">, </w:t>
      </w:r>
      <w:r>
        <w:rPr>
          <w:rFonts w:cs="David" w:hint="cs"/>
          <w:sz w:val="24"/>
          <w:szCs w:val="24"/>
        </w:rPr>
        <w:t>“</w:t>
      </w:r>
      <w:proofErr w:type="spellStart"/>
      <w:r w:rsidRPr="006F25EA">
        <w:rPr>
          <w:rFonts w:ascii="David" w:hAnsi="David" w:cs="David"/>
          <w:sz w:val="24"/>
          <w:szCs w:val="24"/>
        </w:rPr>
        <w:t>Cosistency</w:t>
      </w:r>
      <w:proofErr w:type="spellEnd"/>
      <w:r w:rsidRPr="006F25EA">
        <w:rPr>
          <w:rFonts w:ascii="David" w:hAnsi="David" w:cs="David"/>
          <w:sz w:val="24"/>
          <w:szCs w:val="24"/>
        </w:rPr>
        <w:t xml:space="preserve"> and Effectiveness in the </w:t>
      </w:r>
      <w:proofErr w:type="spellStart"/>
      <w:r w:rsidRPr="006F25EA">
        <w:rPr>
          <w:rFonts w:ascii="David" w:hAnsi="David" w:cs="David"/>
          <w:sz w:val="24"/>
          <w:szCs w:val="24"/>
        </w:rPr>
        <w:t>Halakhah</w:t>
      </w:r>
      <w:proofErr w:type="spellEnd"/>
      <w:r w:rsidRPr="006F25EA">
        <w:rPr>
          <w:rFonts w:ascii="David" w:hAnsi="David" w:cs="David"/>
          <w:sz w:val="24"/>
          <w:szCs w:val="24"/>
        </w:rPr>
        <w:t xml:space="preserve">, as Reflected by the </w:t>
      </w:r>
      <w:proofErr w:type="spellStart"/>
      <w:r w:rsidRPr="0E445079">
        <w:rPr>
          <w:rFonts w:ascii="David" w:hAnsi="David" w:cs="David"/>
          <w:i/>
          <w:iCs/>
          <w:sz w:val="24"/>
          <w:szCs w:val="24"/>
        </w:rPr>
        <w:t>Lekhat'hila-Bede'abad</w:t>
      </w:r>
      <w:proofErr w:type="spellEnd"/>
      <w:r w:rsidRPr="006F25EA">
        <w:rPr>
          <w:rFonts w:ascii="David" w:hAnsi="David" w:cs="David"/>
          <w:sz w:val="24"/>
          <w:szCs w:val="24"/>
        </w:rPr>
        <w:t xml:space="preserve"> Distinction</w:t>
      </w:r>
      <w:r>
        <w:rPr>
          <w:rFonts w:ascii="David" w:hAnsi="David" w:cs="David" w:hint="cs"/>
          <w:sz w:val="24"/>
          <w:szCs w:val="24"/>
        </w:rPr>
        <w:t>”</w:t>
      </w:r>
      <w:r w:rsidRPr="006F25EA">
        <w:rPr>
          <w:rFonts w:ascii="David" w:hAnsi="David" w:cs="David"/>
          <w:sz w:val="24"/>
          <w:szCs w:val="24"/>
        </w:rPr>
        <w:t xml:space="preserve">, </w:t>
      </w:r>
      <w:r w:rsidRPr="0E445079">
        <w:rPr>
          <w:rFonts w:ascii="David" w:hAnsi="David" w:cs="David"/>
          <w:i/>
          <w:iCs/>
          <w:sz w:val="24"/>
          <w:szCs w:val="24"/>
        </w:rPr>
        <w:t>Dine Israel</w:t>
      </w:r>
      <w:r w:rsidRPr="006F25EA">
        <w:rPr>
          <w:rFonts w:ascii="David" w:hAnsi="David" w:cs="David"/>
          <w:sz w:val="24"/>
          <w:szCs w:val="24"/>
        </w:rPr>
        <w:t xml:space="preserve"> 20-21 (2000-2001): 43-100 </w:t>
      </w:r>
      <w:r>
        <w:rPr>
          <w:rFonts w:ascii="David" w:hAnsi="David" w:cs="David" w:hint="cs"/>
          <w:sz w:val="24"/>
          <w:szCs w:val="24"/>
          <w:rtl/>
        </w:rPr>
        <w:t xml:space="preserve"> </w:t>
      </w:r>
      <w:r w:rsidR="00505105">
        <w:rPr>
          <w:rFonts w:ascii="David" w:hAnsi="David" w:cs="David" w:hint="cs"/>
          <w:sz w:val="24"/>
          <w:szCs w:val="24"/>
          <w:rtl/>
        </w:rPr>
        <w:t xml:space="preserve">. </w:t>
      </w:r>
      <w:r w:rsidRPr="00906F0A">
        <w:rPr>
          <w:rFonts w:ascii="David" w:hAnsi="David" w:cs="David"/>
          <w:sz w:val="24"/>
          <w:szCs w:val="24"/>
          <w:rtl/>
        </w:rPr>
        <w:t>אני מודה ל</w:t>
      </w:r>
      <w:r w:rsidRPr="00906F0A">
        <w:rPr>
          <w:rFonts w:ascii="David" w:hAnsi="David" w:cs="David"/>
          <w:sz w:val="24"/>
          <w:szCs w:val="24"/>
        </w:rPr>
        <w:t xml:space="preserve"> </w:t>
      </w:r>
      <w:r w:rsidRPr="0E445079">
        <w:rPr>
          <w:rFonts w:asciiTheme="majorBidi" w:hAnsiTheme="majorBidi" w:cstheme="majorBidi"/>
          <w:sz w:val="24"/>
          <w:szCs w:val="24"/>
        </w:rPr>
        <w:t xml:space="preserve">Prof. </w:t>
      </w:r>
      <w:proofErr w:type="spellStart"/>
      <w:r w:rsidRPr="0E445079">
        <w:rPr>
          <w:rFonts w:asciiTheme="majorBidi" w:hAnsiTheme="majorBidi" w:cstheme="majorBidi"/>
          <w:sz w:val="24"/>
          <w:szCs w:val="24"/>
        </w:rPr>
        <w:t>Berachyahu</w:t>
      </w:r>
      <w:proofErr w:type="spellEnd"/>
      <w:r w:rsidRPr="0E445079">
        <w:rPr>
          <w:rFonts w:asciiTheme="majorBidi" w:hAnsiTheme="majorBidi" w:cstheme="majorBidi"/>
          <w:sz w:val="24"/>
          <w:szCs w:val="24"/>
        </w:rPr>
        <w:t xml:space="preserve"> </w:t>
      </w:r>
      <w:proofErr w:type="spellStart"/>
      <w:r w:rsidRPr="0E445079">
        <w:rPr>
          <w:rFonts w:asciiTheme="majorBidi" w:hAnsiTheme="majorBidi" w:cstheme="majorBidi"/>
          <w:sz w:val="24"/>
          <w:szCs w:val="24"/>
        </w:rPr>
        <w:t>Lifshitz</w:t>
      </w:r>
      <w:proofErr w:type="spellEnd"/>
      <w:r w:rsidRPr="00906F0A">
        <w:rPr>
          <w:rFonts w:ascii="David" w:hAnsi="David" w:cs="David"/>
          <w:sz w:val="24"/>
          <w:szCs w:val="24"/>
        </w:rPr>
        <w:t xml:space="preserve"> </w:t>
      </w:r>
      <w:r w:rsidRPr="00906F0A">
        <w:rPr>
          <w:rFonts w:ascii="David" w:hAnsi="David" w:cs="David"/>
          <w:sz w:val="24"/>
          <w:szCs w:val="24"/>
          <w:rtl/>
        </w:rPr>
        <w:t>על שהסב את תשומת ליבי לכך</w:t>
      </w:r>
      <w:r w:rsidRPr="00906F0A">
        <w:rPr>
          <w:rFonts w:ascii="David" w:hAnsi="David" w:cs="David"/>
          <w:sz w:val="24"/>
          <w:szCs w:val="24"/>
        </w:rPr>
        <w:t>.</w:t>
      </w:r>
    </w:p>
  </w:footnote>
  <w:footnote w:id="32">
    <w:p w14:paraId="5DE52758" w14:textId="140BE644" w:rsidR="00797FEF" w:rsidRDefault="00797FEF" w:rsidP="00FF3F5D">
      <w:pPr>
        <w:pStyle w:val="a3"/>
        <w:spacing w:line="480" w:lineRule="auto"/>
        <w:rPr>
          <w:rtl/>
        </w:rPr>
      </w:pPr>
      <w:r>
        <w:rPr>
          <w:rStyle w:val="a5"/>
        </w:rPr>
        <w:footnoteRef/>
      </w:r>
      <w:r>
        <w:t xml:space="preserve"> </w:t>
      </w:r>
      <w:proofErr w:type="spellStart"/>
      <w:r w:rsidRPr="006F25EA">
        <w:rPr>
          <w:rFonts w:ascii="David" w:hAnsi="David" w:cs="David"/>
          <w:sz w:val="24"/>
          <w:szCs w:val="24"/>
          <w:rtl/>
        </w:rPr>
        <w:t>ווזנר</w:t>
      </w:r>
      <w:proofErr w:type="spellEnd"/>
      <w:r w:rsidRPr="006F25EA">
        <w:rPr>
          <w:rFonts w:ascii="David" w:hAnsi="David" w:cs="David"/>
          <w:sz w:val="24"/>
          <w:szCs w:val="24"/>
          <w:rtl/>
        </w:rPr>
        <w:t>, שם, עמ' 46</w:t>
      </w:r>
      <w:r w:rsidRPr="006F25EA">
        <w:rPr>
          <w:rFonts w:ascii="David" w:hAnsi="David" w:cs="David"/>
          <w:sz w:val="24"/>
          <w:szCs w:val="24"/>
        </w:rPr>
        <w:t>.</w:t>
      </w:r>
      <w:r w:rsidRPr="5944DDA7">
        <w:t xml:space="preserve"> </w:t>
      </w:r>
    </w:p>
  </w:footnote>
  <w:footnote w:id="33">
    <w:p w14:paraId="4B373E8E" w14:textId="6B227435" w:rsidR="00797FEF" w:rsidRPr="00F43208" w:rsidRDefault="00797FEF" w:rsidP="00E468C1">
      <w:pPr>
        <w:pStyle w:val="a3"/>
        <w:spacing w:line="480" w:lineRule="auto"/>
        <w:rPr>
          <w:rFonts w:asciiTheme="majorBidi" w:hAnsiTheme="majorBidi" w:cstheme="majorBidi"/>
          <w:sz w:val="24"/>
          <w:szCs w:val="24"/>
          <w:rtl/>
        </w:rPr>
      </w:pPr>
      <w:r w:rsidRPr="00D4232E">
        <w:rPr>
          <w:rStyle w:val="a5"/>
          <w:rFonts w:ascii="David" w:hAnsi="David" w:cs="David"/>
          <w:sz w:val="24"/>
          <w:szCs w:val="24"/>
          <w:shd w:val="clear" w:color="auto" w:fill="FFFFFF" w:themeFill="background1"/>
        </w:rPr>
        <w:footnoteRef/>
      </w:r>
      <w:r w:rsidRPr="00D4232E">
        <w:rPr>
          <w:rFonts w:cs="Times New Roman"/>
          <w:sz w:val="24"/>
          <w:szCs w:val="24"/>
          <w:shd w:val="clear" w:color="auto" w:fill="FFFFFF" w:themeFill="background1"/>
        </w:rPr>
        <w:t xml:space="preserve">    </w:t>
      </w:r>
      <w:r w:rsidRPr="00D4232E">
        <w:rPr>
          <w:rFonts w:ascii="SBL Greek" w:hAnsi="SBL Greek" w:cstheme="majorBidi"/>
          <w:sz w:val="24"/>
          <w:szCs w:val="24"/>
          <w:shd w:val="clear" w:color="auto" w:fill="FFFFFF" w:themeFill="background1"/>
        </w:rPr>
        <w:t>“</w:t>
      </w:r>
      <w:r w:rsidRPr="00D4232E">
        <w:rPr>
          <w:rFonts w:asciiTheme="majorBidi" w:hAnsiTheme="majorBidi" w:cstheme="majorBidi"/>
          <w:sz w:val="24"/>
          <w:szCs w:val="24"/>
          <w:shd w:val="clear" w:color="auto" w:fill="FFFFFF" w:themeFill="background1"/>
        </w:rPr>
        <w:t>An ‘</w:t>
      </w:r>
      <w:proofErr w:type="spellStart"/>
      <w:r w:rsidRPr="00D4232E">
        <w:rPr>
          <w:rFonts w:asciiTheme="majorBidi" w:hAnsiTheme="majorBidi" w:cstheme="majorBidi"/>
          <w:i/>
          <w:iCs/>
          <w:sz w:val="24"/>
          <w:szCs w:val="24"/>
          <w:shd w:val="clear" w:color="auto" w:fill="FFFFFF" w:themeFill="background1"/>
        </w:rPr>
        <w:t>Erub</w:t>
      </w:r>
      <w:proofErr w:type="spellEnd"/>
      <w:r w:rsidRPr="00D4232E">
        <w:rPr>
          <w:rFonts w:asciiTheme="majorBidi" w:hAnsiTheme="majorBidi" w:cstheme="majorBidi"/>
          <w:sz w:val="24"/>
          <w:szCs w:val="24"/>
          <w:shd w:val="clear" w:color="auto" w:fill="FFFFFF" w:themeFill="background1"/>
        </w:rPr>
        <w:t xml:space="preserve"> is placed in the room where it has always been placed</w:t>
      </w:r>
      <w:r w:rsidRPr="00D4232E">
        <w:rPr>
          <w:rFonts w:ascii="SBL Greek" w:hAnsi="SBL Greek" w:cstheme="majorBidi"/>
          <w:sz w:val="24"/>
          <w:szCs w:val="24"/>
          <w:shd w:val="clear" w:color="auto" w:fill="FFFFFF" w:themeFill="background1"/>
        </w:rPr>
        <w:t>”</w:t>
      </w:r>
      <w:r w:rsidRPr="00D4232E">
        <w:rPr>
          <w:rFonts w:asciiTheme="majorBidi" w:hAnsiTheme="majorBidi" w:cstheme="majorBidi"/>
          <w:sz w:val="24"/>
          <w:szCs w:val="24"/>
          <w:shd w:val="clear" w:color="auto" w:fill="FFFFFF" w:themeFill="background1"/>
        </w:rPr>
        <w:t>;</w:t>
      </w:r>
      <w:r>
        <w:rPr>
          <w:rFonts w:asciiTheme="majorBidi" w:hAnsiTheme="majorBidi" w:cstheme="majorBidi"/>
          <w:sz w:val="24"/>
          <w:szCs w:val="24"/>
        </w:rPr>
        <w:t xml:space="preserve"> </w:t>
      </w:r>
    </w:p>
    <w:p w14:paraId="37F2CCB6" w14:textId="41DFE80E" w:rsidR="00797FEF" w:rsidRPr="004B5146" w:rsidRDefault="00797FEF" w:rsidP="00E468C1">
      <w:pPr>
        <w:pStyle w:val="a3"/>
        <w:spacing w:line="480" w:lineRule="auto"/>
        <w:rPr>
          <w:rFonts w:ascii="David" w:hAnsi="David" w:cs="David"/>
          <w:sz w:val="24"/>
          <w:szCs w:val="24"/>
        </w:rPr>
      </w:pPr>
      <w:r w:rsidRPr="00F43208">
        <w:rPr>
          <w:rFonts w:asciiTheme="majorBidi" w:hAnsiTheme="majorBidi" w:cstheme="majorBidi"/>
          <w:sz w:val="24"/>
          <w:szCs w:val="24"/>
          <w:rtl/>
        </w:rPr>
        <w:tab/>
      </w:r>
      <w:r>
        <w:rPr>
          <w:rFonts w:ascii="SBL Greek" w:hAnsi="SBL Greek" w:cstheme="majorBidi"/>
          <w:sz w:val="24"/>
          <w:szCs w:val="24"/>
        </w:rPr>
        <w:t>“</w:t>
      </w:r>
      <w:r w:rsidRPr="00F43208">
        <w:rPr>
          <w:rFonts w:asciiTheme="majorBidi" w:hAnsiTheme="majorBidi" w:cstheme="majorBidi"/>
          <w:sz w:val="24"/>
          <w:szCs w:val="24"/>
        </w:rPr>
        <w:t>The pit which is nearest the [head of the] watercourse is filled from it first</w:t>
      </w:r>
      <w:r>
        <w:rPr>
          <w:rFonts w:ascii="SBL Greek" w:hAnsi="SBL Greek" w:cs="Times New Roman"/>
          <w:sz w:val="24"/>
          <w:szCs w:val="24"/>
        </w:rPr>
        <w:t>”</w:t>
      </w:r>
      <w:r>
        <w:rPr>
          <w:rFonts w:cs="Times New Roman"/>
          <w:sz w:val="24"/>
          <w:szCs w:val="24"/>
        </w:rPr>
        <w:t xml:space="preserve"> </w:t>
      </w:r>
      <w:r w:rsidRPr="004B5146">
        <w:rPr>
          <w:rFonts w:ascii="David" w:hAnsi="David" w:cs="David"/>
          <w:sz w:val="24"/>
          <w:szCs w:val="24"/>
        </w:rPr>
        <w:t xml:space="preserve"> </w:t>
      </w:r>
      <w:r w:rsidRPr="004B5146">
        <w:rPr>
          <w:rFonts w:ascii="David" w:hAnsi="David" w:cs="David"/>
          <w:sz w:val="24"/>
          <w:szCs w:val="24"/>
          <w:rtl/>
        </w:rPr>
        <w:t xml:space="preserve"> </w:t>
      </w:r>
    </w:p>
  </w:footnote>
  <w:footnote w:id="34">
    <w:p w14:paraId="0DD6C91B" w14:textId="43A2CA2C" w:rsidR="00797FEF" w:rsidRPr="004B5146" w:rsidRDefault="00797FEF" w:rsidP="00E468C1">
      <w:pPr>
        <w:pStyle w:val="a3"/>
        <w:spacing w:line="480" w:lineRule="auto"/>
        <w:rPr>
          <w:rFonts w:ascii="David" w:hAnsi="David" w:cs="David" w:hint="cs"/>
          <w:sz w:val="24"/>
          <w:szCs w:val="24"/>
          <w:rtl/>
        </w:rPr>
      </w:pPr>
      <w:r w:rsidRPr="00D4232E">
        <w:rPr>
          <w:rStyle w:val="a5"/>
          <w:rFonts w:ascii="David" w:hAnsi="David" w:cs="David"/>
          <w:sz w:val="24"/>
          <w:szCs w:val="24"/>
          <w:shd w:val="clear" w:color="auto" w:fill="FFFFFF" w:themeFill="background1"/>
        </w:rPr>
        <w:footnoteRef/>
      </w:r>
      <w:r w:rsidRPr="003E34AB">
        <w:rPr>
          <w:rFonts w:ascii="David" w:hAnsi="David" w:cs="David"/>
          <w:sz w:val="24"/>
          <w:szCs w:val="24"/>
          <w:rtl/>
        </w:rPr>
        <w:tab/>
      </w:r>
      <w:r>
        <w:rPr>
          <w:rFonts w:ascii="SBL Greek" w:hAnsi="SBL Greek" w:cs="David"/>
          <w:sz w:val="24"/>
          <w:szCs w:val="24"/>
        </w:rPr>
        <w:t>“</w:t>
      </w:r>
      <w:r w:rsidRPr="003E34AB">
        <w:rPr>
          <w:rFonts w:ascii="David" w:hAnsi="David" w:cs="David"/>
          <w:sz w:val="24"/>
          <w:szCs w:val="24"/>
        </w:rPr>
        <w:t>A priest is called up first to read the law and after him a Levite and then a lay</w:t>
      </w:r>
      <w:r>
        <w:rPr>
          <w:rFonts w:ascii="David" w:hAnsi="David" w:cs="David"/>
          <w:sz w:val="24"/>
          <w:szCs w:val="24"/>
        </w:rPr>
        <w:t xml:space="preserve"> </w:t>
      </w:r>
      <w:r w:rsidRPr="003E34AB">
        <w:rPr>
          <w:rFonts w:ascii="David" w:hAnsi="David" w:cs="David"/>
          <w:sz w:val="24"/>
          <w:szCs w:val="24"/>
        </w:rPr>
        <w:t>Israelite</w:t>
      </w:r>
      <w:r>
        <w:rPr>
          <w:rFonts w:ascii="SBL Greek" w:hAnsi="SBL Greek" w:cs="David"/>
          <w:sz w:val="24"/>
          <w:szCs w:val="24"/>
        </w:rPr>
        <w:t>”</w:t>
      </w:r>
      <w:r w:rsidRPr="003E34AB">
        <w:rPr>
          <w:rFonts w:ascii="David" w:hAnsi="David" w:cs="David"/>
          <w:sz w:val="24"/>
          <w:szCs w:val="24"/>
          <w:rtl/>
        </w:rPr>
        <w:t>.</w:t>
      </w:r>
    </w:p>
  </w:footnote>
  <w:footnote w:id="35">
    <w:p w14:paraId="27B960A7" w14:textId="71656022" w:rsidR="00797FEF" w:rsidRPr="00027998" w:rsidRDefault="00797FEF" w:rsidP="00E468C1">
      <w:pPr>
        <w:pStyle w:val="a3"/>
        <w:spacing w:line="480" w:lineRule="auto"/>
        <w:rPr>
          <w:rFonts w:asciiTheme="majorBidi" w:hAnsiTheme="majorBidi" w:cstheme="majorBidi"/>
          <w:sz w:val="24"/>
          <w:szCs w:val="24"/>
          <w:rtl/>
        </w:rPr>
      </w:pPr>
      <w:r w:rsidRPr="005B41A1">
        <w:rPr>
          <w:rStyle w:val="a5"/>
          <w:rFonts w:ascii="David" w:hAnsi="David" w:cs="David"/>
          <w:sz w:val="24"/>
          <w:szCs w:val="24"/>
        </w:rPr>
        <w:footnoteRef/>
      </w:r>
      <w:r w:rsidRPr="004B5146">
        <w:rPr>
          <w:rFonts w:ascii="David" w:hAnsi="David" w:cs="David"/>
          <w:sz w:val="24"/>
          <w:szCs w:val="24"/>
          <w:rtl/>
        </w:rPr>
        <w:t xml:space="preserve"> </w:t>
      </w:r>
      <w:r w:rsidRPr="00027998">
        <w:rPr>
          <w:rFonts w:asciiTheme="majorBidi" w:hAnsiTheme="majorBidi" w:cstheme="majorBidi"/>
          <w:sz w:val="24"/>
          <w:szCs w:val="24"/>
        </w:rPr>
        <w:t xml:space="preserve">“A woman may lend to another who is suspected of not observing the Sabbatical year” </w:t>
      </w:r>
      <w:proofErr w:type="spellStart"/>
      <w:r w:rsidRPr="00027998">
        <w:rPr>
          <w:rFonts w:asciiTheme="majorBidi" w:hAnsiTheme="majorBidi" w:cstheme="majorBidi"/>
          <w:sz w:val="24"/>
          <w:szCs w:val="24"/>
        </w:rPr>
        <w:t>ec.</w:t>
      </w:r>
      <w:proofErr w:type="spellEnd"/>
      <w:r w:rsidRPr="00027998">
        <w:rPr>
          <w:rFonts w:asciiTheme="majorBidi" w:hAnsiTheme="majorBidi" w:cstheme="majorBidi"/>
          <w:sz w:val="24"/>
          <w:szCs w:val="24"/>
        </w:rPr>
        <w:t xml:space="preserve">  </w:t>
      </w:r>
      <w:r w:rsidRPr="00027998">
        <w:rPr>
          <w:rFonts w:asciiTheme="majorBidi" w:hAnsiTheme="majorBidi" w:cstheme="majorBidi"/>
          <w:sz w:val="24"/>
          <w:szCs w:val="24"/>
          <w:rtl/>
        </w:rPr>
        <w:t>;</w:t>
      </w:r>
      <w:r w:rsidRPr="00027998">
        <w:rPr>
          <w:rFonts w:asciiTheme="majorBidi" w:hAnsiTheme="majorBidi" w:cstheme="majorBidi"/>
          <w:sz w:val="24"/>
          <w:szCs w:val="24"/>
        </w:rPr>
        <w:t>“The wife of a Haber may lend to the wife of an ‘Am Ha-</w:t>
      </w:r>
      <w:proofErr w:type="spellStart"/>
      <w:r w:rsidRPr="00027998">
        <w:rPr>
          <w:rFonts w:asciiTheme="majorBidi" w:hAnsiTheme="majorBidi" w:cstheme="majorBidi"/>
          <w:sz w:val="24"/>
          <w:szCs w:val="24"/>
        </w:rPr>
        <w:t>Aretz</w:t>
      </w:r>
      <w:proofErr w:type="spellEnd"/>
      <w:r w:rsidRPr="00027998">
        <w:rPr>
          <w:rFonts w:asciiTheme="majorBidi" w:hAnsiTheme="majorBidi" w:cstheme="majorBidi"/>
          <w:sz w:val="24"/>
          <w:szCs w:val="24"/>
        </w:rPr>
        <w:t xml:space="preserve">” </w:t>
      </w:r>
      <w:proofErr w:type="spellStart"/>
      <w:r w:rsidRPr="00027998">
        <w:rPr>
          <w:rFonts w:asciiTheme="majorBidi" w:hAnsiTheme="majorBidi" w:cstheme="majorBidi"/>
          <w:sz w:val="24"/>
          <w:szCs w:val="24"/>
        </w:rPr>
        <w:t>ec.</w:t>
      </w:r>
      <w:proofErr w:type="spellEnd"/>
      <w:r w:rsidRPr="00027998">
        <w:rPr>
          <w:rFonts w:asciiTheme="majorBidi" w:hAnsiTheme="majorBidi" w:cstheme="majorBidi"/>
          <w:sz w:val="24"/>
          <w:szCs w:val="24"/>
        </w:rPr>
        <w:t xml:space="preserve"> </w:t>
      </w:r>
    </w:p>
  </w:footnote>
  <w:footnote w:id="36">
    <w:p w14:paraId="39F1C41C" w14:textId="4154E86C" w:rsidR="00797FEF" w:rsidRPr="00027998" w:rsidRDefault="00797FEF" w:rsidP="00E468C1">
      <w:pPr>
        <w:pStyle w:val="a3"/>
        <w:spacing w:line="480" w:lineRule="auto"/>
        <w:rPr>
          <w:rFonts w:asciiTheme="majorBidi" w:hAnsiTheme="majorBidi" w:cstheme="majorBidi" w:hint="cs"/>
          <w:sz w:val="24"/>
          <w:szCs w:val="24"/>
          <w:rtl/>
        </w:rPr>
      </w:pPr>
      <w:r w:rsidRPr="00027998">
        <w:rPr>
          <w:rStyle w:val="a5"/>
          <w:rFonts w:asciiTheme="majorBidi" w:hAnsiTheme="majorBidi" w:cstheme="majorBidi"/>
          <w:sz w:val="24"/>
          <w:szCs w:val="24"/>
        </w:rPr>
        <w:footnoteRef/>
      </w:r>
      <w:r w:rsidRPr="00027998">
        <w:rPr>
          <w:rFonts w:asciiTheme="majorBidi" w:hAnsiTheme="majorBidi" w:cstheme="majorBidi"/>
          <w:sz w:val="24"/>
          <w:szCs w:val="24"/>
          <w:rtl/>
        </w:rPr>
        <w:t xml:space="preserve">  </w:t>
      </w:r>
      <w:r w:rsidRPr="00027998">
        <w:rPr>
          <w:rFonts w:asciiTheme="majorBidi" w:hAnsiTheme="majorBidi" w:cstheme="majorBidi"/>
          <w:sz w:val="24"/>
          <w:szCs w:val="24"/>
        </w:rPr>
        <w:t xml:space="preserve">Heathens may be assisted in the Sabbatical year but not </w:t>
      </w:r>
      <w:proofErr w:type="gramStart"/>
      <w:r w:rsidRPr="00027998">
        <w:rPr>
          <w:rFonts w:asciiTheme="majorBidi" w:hAnsiTheme="majorBidi" w:cstheme="majorBidi"/>
          <w:sz w:val="24"/>
          <w:szCs w:val="24"/>
        </w:rPr>
        <w:t>Israelites;</w:t>
      </w:r>
      <w:r w:rsidRPr="00027998">
        <w:rPr>
          <w:rFonts w:asciiTheme="majorBidi" w:hAnsiTheme="majorBidi" w:cstheme="majorBidi"/>
          <w:sz w:val="24"/>
          <w:szCs w:val="24"/>
          <w:rtl/>
        </w:rPr>
        <w:t>.</w:t>
      </w:r>
      <w:proofErr w:type="gramEnd"/>
    </w:p>
    <w:p w14:paraId="068A0909" w14:textId="1CC2EB61" w:rsidR="00797FEF" w:rsidRDefault="00797FEF" w:rsidP="00E468C1">
      <w:pPr>
        <w:pStyle w:val="a3"/>
        <w:spacing w:line="480" w:lineRule="auto"/>
        <w:rPr>
          <w:sz w:val="24"/>
          <w:szCs w:val="24"/>
          <w:rtl/>
        </w:rPr>
      </w:pPr>
      <w:r w:rsidRPr="00027998">
        <w:rPr>
          <w:rFonts w:asciiTheme="majorBidi" w:hAnsiTheme="majorBidi" w:cstheme="majorBidi"/>
          <w:sz w:val="24"/>
          <w:szCs w:val="24"/>
        </w:rPr>
        <w:t>and greeting may be given to them in the interests of peace</w:t>
      </w:r>
      <w:r w:rsidRPr="00F165C1">
        <w:rPr>
          <w:rFonts w:cs="Arial"/>
          <w:sz w:val="24"/>
          <w:szCs w:val="24"/>
          <w:rtl/>
        </w:rPr>
        <w:t xml:space="preserve">.  </w:t>
      </w:r>
    </w:p>
    <w:p w14:paraId="7CCCB795" w14:textId="54ABDD0B" w:rsidR="005F629E" w:rsidRPr="005F629E" w:rsidRDefault="005F629E" w:rsidP="00E468C1">
      <w:pPr>
        <w:pStyle w:val="a3"/>
        <w:spacing w:line="480" w:lineRule="auto"/>
        <w:rPr>
          <w:sz w:val="24"/>
          <w:szCs w:val="24"/>
          <w:rtl/>
        </w:rPr>
      </w:pPr>
      <w:r>
        <w:rPr>
          <w:rFonts w:ascii="David" w:hAnsi="David" w:cs="David" w:hint="cs"/>
          <w:sz w:val="24"/>
          <w:szCs w:val="24"/>
          <w:rtl/>
        </w:rPr>
        <w:t>לתקנות אלו הוקדש מחקר רב</w:t>
      </w:r>
      <w:r w:rsidRPr="008C7A72">
        <w:rPr>
          <w:rFonts w:ascii="David" w:hAnsi="David" w:cs="David"/>
          <w:sz w:val="24"/>
          <w:szCs w:val="24"/>
          <w:rtl/>
        </w:rPr>
        <w:t xml:space="preserve"> </w:t>
      </w:r>
      <w:r>
        <w:rPr>
          <w:rFonts w:ascii="David" w:hAnsi="David" w:cs="David" w:hint="cs"/>
          <w:sz w:val="24"/>
          <w:szCs w:val="24"/>
          <w:rtl/>
        </w:rPr>
        <w:t xml:space="preserve">ולכן </w:t>
      </w:r>
      <w:r w:rsidRPr="008C7A72">
        <w:rPr>
          <w:rFonts w:ascii="David" w:hAnsi="David" w:cs="David"/>
          <w:sz w:val="24"/>
          <w:szCs w:val="24"/>
          <w:rtl/>
        </w:rPr>
        <w:t>לא אעסוק בהן. ראו</w:t>
      </w:r>
      <w:r>
        <w:rPr>
          <w:rFonts w:ascii="David" w:hAnsi="David" w:cs="David" w:hint="cs"/>
          <w:sz w:val="24"/>
          <w:szCs w:val="24"/>
          <w:rtl/>
        </w:rPr>
        <w:t xml:space="preserve"> לדוגמה</w:t>
      </w:r>
      <w:r w:rsidRPr="008C7A72">
        <w:rPr>
          <w:rFonts w:ascii="David" w:hAnsi="David" w:cs="David"/>
          <w:sz w:val="24"/>
          <w:szCs w:val="24"/>
          <w:rtl/>
        </w:rPr>
        <w:t>:</w:t>
      </w:r>
      <w:r>
        <w:rPr>
          <w:rFonts w:hint="cs"/>
          <w:rtl/>
        </w:rPr>
        <w:t xml:space="preserve"> </w:t>
      </w:r>
      <w:proofErr w:type="spellStart"/>
      <w:r w:rsidRPr="00FE2856">
        <w:rPr>
          <w:rFonts w:ascii="Times New Roman" w:hAnsi="Times New Roman" w:cs="Calibri"/>
          <w:sz w:val="24"/>
          <w:szCs w:val="24"/>
        </w:rPr>
        <w:t>Eliav</w:t>
      </w:r>
      <w:proofErr w:type="spellEnd"/>
      <w:r w:rsidRPr="00FE2856">
        <w:rPr>
          <w:rFonts w:ascii="Times New Roman" w:hAnsi="Times New Roman" w:cs="Calibri"/>
          <w:sz w:val="24"/>
          <w:szCs w:val="24"/>
        </w:rPr>
        <w:t xml:space="preserve"> </w:t>
      </w:r>
      <w:proofErr w:type="spellStart"/>
      <w:r w:rsidRPr="00FE2856">
        <w:rPr>
          <w:rFonts w:ascii="Times New Roman" w:hAnsi="Times New Roman" w:cs="Calibri"/>
          <w:sz w:val="24"/>
          <w:szCs w:val="24"/>
        </w:rPr>
        <w:t>Shochetman</w:t>
      </w:r>
      <w:proofErr w:type="spellEnd"/>
      <w:r w:rsidRPr="00FE2856">
        <w:rPr>
          <w:rFonts w:ascii="Times New Roman" w:hAnsi="Times New Roman" w:cs="Calibri"/>
          <w:sz w:val="24"/>
          <w:szCs w:val="24"/>
        </w:rPr>
        <w:t>, "</w:t>
      </w:r>
      <w:proofErr w:type="spellStart"/>
      <w:r w:rsidRPr="00FE2856">
        <w:rPr>
          <w:rFonts w:ascii="Times New Roman" w:hAnsi="Times New Roman" w:cs="Calibri"/>
          <w:sz w:val="24"/>
          <w:szCs w:val="24"/>
        </w:rPr>
        <w:t>Ya</w:t>
      </w:r>
      <w:r>
        <w:rPr>
          <w:rFonts w:ascii="Times New Roman" w:hAnsi="Times New Roman" w:cs="Calibri"/>
          <w:sz w:val="24"/>
          <w:szCs w:val="24"/>
        </w:rPr>
        <w:t>c</w:t>
      </w:r>
      <w:r w:rsidRPr="00FE2856">
        <w:rPr>
          <w:rFonts w:ascii="Times New Roman" w:hAnsi="Times New Roman" w:cs="Calibri"/>
          <w:sz w:val="24"/>
          <w:szCs w:val="24"/>
        </w:rPr>
        <w:t>hasei</w:t>
      </w:r>
      <w:proofErr w:type="spellEnd"/>
      <w:r w:rsidRPr="00FE2856">
        <w:rPr>
          <w:rFonts w:ascii="Times New Roman" w:hAnsi="Times New Roman" w:cs="Calibri"/>
          <w:sz w:val="24"/>
          <w:szCs w:val="24"/>
        </w:rPr>
        <w:t xml:space="preserve"> </w:t>
      </w:r>
      <w:proofErr w:type="spellStart"/>
      <w:r w:rsidRPr="00FE2856">
        <w:rPr>
          <w:rFonts w:ascii="Times New Roman" w:hAnsi="Times New Roman" w:cs="Calibri"/>
          <w:sz w:val="24"/>
          <w:szCs w:val="24"/>
        </w:rPr>
        <w:t>Yehudim</w:t>
      </w:r>
      <w:proofErr w:type="spellEnd"/>
      <w:r w:rsidRPr="00FE2856">
        <w:rPr>
          <w:rFonts w:ascii="Times New Roman" w:hAnsi="Times New Roman" w:cs="Calibri"/>
          <w:sz w:val="24"/>
          <w:szCs w:val="24"/>
        </w:rPr>
        <w:t xml:space="preserve"> ‘</w:t>
      </w:r>
      <w:proofErr w:type="spellStart"/>
      <w:r w:rsidRPr="00FE2856">
        <w:rPr>
          <w:rFonts w:ascii="Times New Roman" w:hAnsi="Times New Roman" w:cs="Calibri"/>
          <w:sz w:val="24"/>
          <w:szCs w:val="24"/>
        </w:rPr>
        <w:t>im</w:t>
      </w:r>
      <w:proofErr w:type="spellEnd"/>
      <w:r w:rsidRPr="00FE2856">
        <w:rPr>
          <w:rFonts w:ascii="Times New Roman" w:hAnsi="Times New Roman" w:cs="Calibri"/>
          <w:sz w:val="24"/>
          <w:szCs w:val="24"/>
        </w:rPr>
        <w:t xml:space="preserve"> </w:t>
      </w:r>
      <w:proofErr w:type="spellStart"/>
      <w:r w:rsidRPr="00FE2856">
        <w:rPr>
          <w:rFonts w:ascii="Times New Roman" w:hAnsi="Times New Roman" w:cs="Calibri"/>
          <w:sz w:val="24"/>
          <w:szCs w:val="24"/>
        </w:rPr>
        <w:t>nokhrim</w:t>
      </w:r>
      <w:proofErr w:type="spellEnd"/>
      <w:r w:rsidRPr="00FE2856">
        <w:rPr>
          <w:rFonts w:ascii="Times New Roman" w:hAnsi="Times New Roman" w:cs="Calibri"/>
          <w:sz w:val="24"/>
          <w:szCs w:val="24"/>
        </w:rPr>
        <w:t>,"</w:t>
      </w:r>
      <w:r>
        <w:rPr>
          <w:rFonts w:ascii="Times New Roman" w:hAnsi="Times New Roman" w:cs="Calibri"/>
          <w:sz w:val="24"/>
          <w:szCs w:val="24"/>
        </w:rPr>
        <w:t xml:space="preserve"> [Heb.]</w:t>
      </w:r>
      <w:r w:rsidRPr="00FE2856">
        <w:rPr>
          <w:rFonts w:ascii="Times New Roman" w:hAnsi="Times New Roman" w:cs="Calibri"/>
          <w:sz w:val="24"/>
          <w:szCs w:val="24"/>
        </w:rPr>
        <w:t xml:space="preserve"> </w:t>
      </w:r>
      <w:proofErr w:type="spellStart"/>
      <w:r w:rsidRPr="00FE2856">
        <w:rPr>
          <w:rFonts w:ascii="Times New Roman" w:hAnsi="Times New Roman" w:cs="Calibri"/>
          <w:i/>
          <w:iCs/>
          <w:sz w:val="24"/>
          <w:szCs w:val="24"/>
        </w:rPr>
        <w:t>Mekhanayim</w:t>
      </w:r>
      <w:proofErr w:type="spellEnd"/>
      <w:r w:rsidRPr="00FE2856">
        <w:rPr>
          <w:rFonts w:ascii="Times New Roman" w:hAnsi="Times New Roman" w:cs="Calibri"/>
          <w:sz w:val="24"/>
          <w:szCs w:val="24"/>
        </w:rPr>
        <w:t xml:space="preserve"> 1 (1992):</w:t>
      </w:r>
      <w:r>
        <w:rPr>
          <w:rFonts w:ascii="Times New Roman" w:hAnsi="Times New Roman" w:cs="Calibri"/>
          <w:sz w:val="24"/>
          <w:szCs w:val="24"/>
        </w:rPr>
        <w:t xml:space="preserve"> 52-73; Idem, </w:t>
      </w:r>
      <w:r w:rsidRPr="00FE2856">
        <w:rPr>
          <w:rFonts w:ascii="Times New Roman" w:hAnsi="Times New Roman" w:cs="Calibri"/>
          <w:sz w:val="24"/>
          <w:szCs w:val="24"/>
        </w:rPr>
        <w:t>"‘</w:t>
      </w:r>
      <w:r w:rsidRPr="00FE2856">
        <w:rPr>
          <w:rFonts w:ascii="Times New Roman" w:hAnsi="Times New Roman" w:cs="Tahoma"/>
          <w:sz w:val="24"/>
          <w:szCs w:val="24"/>
        </w:rPr>
        <w:t xml:space="preserve">Al minhag </w:t>
      </w:r>
      <w:proofErr w:type="spellStart"/>
      <w:r w:rsidRPr="00FE2856">
        <w:rPr>
          <w:rFonts w:ascii="Times New Roman" w:hAnsi="Times New Roman" w:cs="Tahoma"/>
          <w:sz w:val="24"/>
          <w:szCs w:val="24"/>
        </w:rPr>
        <w:t>liten</w:t>
      </w:r>
      <w:proofErr w:type="spellEnd"/>
      <w:r w:rsidRPr="00FE2856">
        <w:rPr>
          <w:rFonts w:ascii="Times New Roman" w:hAnsi="Times New Roman" w:cs="Tahoma"/>
          <w:sz w:val="24"/>
          <w:szCs w:val="24"/>
        </w:rPr>
        <w:t xml:space="preserve"> </w:t>
      </w:r>
      <w:proofErr w:type="spellStart"/>
      <w:r w:rsidRPr="00FE2856">
        <w:rPr>
          <w:rFonts w:ascii="Times New Roman" w:hAnsi="Times New Roman" w:cs="Tahoma"/>
          <w:sz w:val="24"/>
          <w:szCs w:val="24"/>
        </w:rPr>
        <w:t>matanot</w:t>
      </w:r>
      <w:proofErr w:type="spellEnd"/>
      <w:r w:rsidRPr="00FE2856">
        <w:rPr>
          <w:rFonts w:ascii="Times New Roman" w:hAnsi="Times New Roman" w:cs="Tahoma"/>
          <w:sz w:val="24"/>
          <w:szCs w:val="24"/>
        </w:rPr>
        <w:t xml:space="preserve"> le-’</w:t>
      </w:r>
      <w:proofErr w:type="spellStart"/>
      <w:r w:rsidRPr="00FE2856">
        <w:rPr>
          <w:rFonts w:ascii="Times New Roman" w:hAnsi="Times New Roman" w:cs="Tahoma"/>
          <w:sz w:val="24"/>
          <w:szCs w:val="24"/>
        </w:rPr>
        <w:t>evyonei</w:t>
      </w:r>
      <w:proofErr w:type="spellEnd"/>
      <w:r w:rsidRPr="00FE2856">
        <w:rPr>
          <w:rFonts w:ascii="Times New Roman" w:hAnsi="Times New Roman" w:cs="Tahoma"/>
          <w:sz w:val="24"/>
          <w:szCs w:val="24"/>
        </w:rPr>
        <w:t xml:space="preserve"> </w:t>
      </w:r>
      <w:proofErr w:type="spellStart"/>
      <w:r w:rsidRPr="00FE2856">
        <w:rPr>
          <w:rFonts w:ascii="Times New Roman" w:hAnsi="Times New Roman" w:cs="Tahoma"/>
          <w:sz w:val="24"/>
          <w:szCs w:val="24"/>
        </w:rPr>
        <w:t>nokhrim</w:t>
      </w:r>
      <w:proofErr w:type="spellEnd"/>
      <w:r w:rsidRPr="00FE2856">
        <w:rPr>
          <w:rFonts w:ascii="Times New Roman" w:hAnsi="Times New Roman" w:cs="Tahoma"/>
          <w:sz w:val="24"/>
          <w:szCs w:val="24"/>
        </w:rPr>
        <w:t xml:space="preserve"> </w:t>
      </w:r>
      <w:proofErr w:type="spellStart"/>
      <w:r w:rsidRPr="006D7AAF">
        <w:rPr>
          <w:rFonts w:ascii="Times New Roman" w:hAnsi="Times New Roman" w:cs="Tahoma"/>
          <w:sz w:val="24"/>
          <w:szCs w:val="24"/>
        </w:rPr>
        <w:t>ba</w:t>
      </w:r>
      <w:proofErr w:type="spellEnd"/>
      <w:r w:rsidRPr="006D7AAF">
        <w:rPr>
          <w:rFonts w:ascii="Times New Roman" w:hAnsi="Times New Roman" w:cs="Tahoma"/>
          <w:sz w:val="24"/>
          <w:szCs w:val="24"/>
        </w:rPr>
        <w:t>-Purim</w:t>
      </w:r>
      <w:r w:rsidRPr="006D7AAF">
        <w:rPr>
          <w:rFonts w:ascii="Times New Roman" w:hAnsi="Times New Roman" w:cs="Calibri"/>
          <w:sz w:val="24"/>
          <w:szCs w:val="24"/>
        </w:rPr>
        <w:t xml:space="preserve">," [Heb] </w:t>
      </w:r>
      <w:r w:rsidRPr="006D7AAF">
        <w:rPr>
          <w:rFonts w:ascii="Times New Roman" w:hAnsi="Times New Roman" w:cs="Calibri"/>
          <w:i/>
          <w:iCs/>
          <w:sz w:val="24"/>
          <w:szCs w:val="24"/>
        </w:rPr>
        <w:t>Sinai</w:t>
      </w:r>
      <w:r w:rsidRPr="006D7AAF">
        <w:rPr>
          <w:rFonts w:ascii="Times New Roman" w:hAnsi="Times New Roman" w:cs="Calibri"/>
          <w:sz w:val="24"/>
          <w:szCs w:val="24"/>
        </w:rPr>
        <w:t xml:space="preserve"> 100.2 (1987): 852-865;</w:t>
      </w:r>
      <w:r w:rsidRPr="006D7AAF">
        <w:rPr>
          <w:rFonts w:ascii="David" w:hAnsi="David" w:cs="David"/>
          <w:sz w:val="24"/>
          <w:szCs w:val="24"/>
        </w:rPr>
        <w:t xml:space="preserve"> Jonathan K. Crane, </w:t>
      </w:r>
      <w:r>
        <w:rPr>
          <w:rFonts w:ascii="David" w:hAnsi="David" w:cs="David"/>
          <w:sz w:val="24"/>
          <w:szCs w:val="24"/>
        </w:rPr>
        <w:t>Ibid note 4</w:t>
      </w:r>
      <w:r w:rsidRPr="006D7AAF">
        <w:rPr>
          <w:rFonts w:ascii="David" w:hAnsi="David" w:cs="David"/>
          <w:sz w:val="24"/>
          <w:szCs w:val="24"/>
        </w:rPr>
        <w:t xml:space="preserve">; Idem, "Jews Burying Gentiles," </w:t>
      </w:r>
      <w:r w:rsidRPr="004C79AB">
        <w:rPr>
          <w:rFonts w:ascii="David" w:hAnsi="David" w:cs="David"/>
          <w:i/>
          <w:iCs/>
          <w:sz w:val="24"/>
          <w:szCs w:val="24"/>
        </w:rPr>
        <w:t>Review of Rabbinic Judaism</w:t>
      </w:r>
      <w:r w:rsidRPr="006D7AAF">
        <w:rPr>
          <w:rFonts w:ascii="David" w:hAnsi="David" w:cs="David"/>
          <w:sz w:val="24"/>
          <w:szCs w:val="24"/>
        </w:rPr>
        <w:t xml:space="preserve"> 10 (2007): 151–154</w:t>
      </w:r>
      <w:r>
        <w:rPr>
          <w:rFonts w:ascii="David" w:hAnsi="David" w:cs="David"/>
        </w:rPr>
        <w:t>;</w:t>
      </w:r>
      <w:r w:rsidRPr="00D84E0A">
        <w:rPr>
          <w:rFonts w:asciiTheme="majorBidi" w:hAnsiTheme="majorBidi" w:cstheme="majorBidi"/>
          <w:sz w:val="24"/>
          <w:szCs w:val="24"/>
        </w:rPr>
        <w:t xml:space="preserve">Yael </w:t>
      </w:r>
      <w:proofErr w:type="spellStart"/>
      <w:r w:rsidRPr="00D84E0A">
        <w:rPr>
          <w:rFonts w:asciiTheme="majorBidi" w:hAnsiTheme="majorBidi" w:cstheme="majorBidi"/>
          <w:sz w:val="24"/>
          <w:szCs w:val="24"/>
        </w:rPr>
        <w:t>Wilfand</w:t>
      </w:r>
      <w:proofErr w:type="spellEnd"/>
      <w:r w:rsidRPr="00D84E0A">
        <w:rPr>
          <w:rFonts w:asciiTheme="majorBidi" w:hAnsiTheme="majorBidi" w:cstheme="majorBidi"/>
          <w:sz w:val="24"/>
          <w:szCs w:val="24"/>
        </w:rPr>
        <w:t>, “Supporting Non-Jewish Poor ‘</w:t>
      </w:r>
      <w:proofErr w:type="spellStart"/>
      <w:r w:rsidRPr="00D84E0A">
        <w:rPr>
          <w:rFonts w:asciiTheme="majorBidi" w:hAnsiTheme="majorBidi" w:cstheme="majorBidi"/>
          <w:sz w:val="24"/>
          <w:szCs w:val="24"/>
        </w:rPr>
        <w:t>Goym</w:t>
      </w:r>
      <w:proofErr w:type="spellEnd"/>
      <w:r w:rsidRPr="00D84E0A">
        <w:rPr>
          <w:rFonts w:asciiTheme="majorBidi" w:hAnsiTheme="majorBidi" w:cstheme="majorBidi"/>
          <w:sz w:val="24"/>
          <w:szCs w:val="24"/>
        </w:rPr>
        <w:t>’ (Gentiles), ‘Others’, and Those Who Do Not Belong to the Co</w:t>
      </w:r>
      <w:r>
        <w:rPr>
          <w:rFonts w:asciiTheme="majorBidi" w:hAnsiTheme="majorBidi" w:cstheme="majorBidi"/>
          <w:sz w:val="24"/>
          <w:szCs w:val="24"/>
        </w:rPr>
        <w:t>ve</w:t>
      </w:r>
      <w:r w:rsidRPr="00D84E0A">
        <w:rPr>
          <w:rFonts w:asciiTheme="majorBidi" w:hAnsiTheme="majorBidi" w:cstheme="majorBidi"/>
          <w:sz w:val="24"/>
          <w:szCs w:val="24"/>
        </w:rPr>
        <w:t>n</w:t>
      </w:r>
      <w:r>
        <w:rPr>
          <w:rFonts w:asciiTheme="majorBidi" w:hAnsiTheme="majorBidi" w:cstheme="majorBidi"/>
          <w:sz w:val="24"/>
          <w:szCs w:val="24"/>
        </w:rPr>
        <w:t>a</w:t>
      </w:r>
      <w:r w:rsidRPr="00D84E0A">
        <w:rPr>
          <w:rFonts w:asciiTheme="majorBidi" w:hAnsiTheme="majorBidi" w:cstheme="majorBidi"/>
          <w:sz w:val="24"/>
          <w:szCs w:val="24"/>
        </w:rPr>
        <w:t>nt” [Hebrew],</w:t>
      </w:r>
      <w:r w:rsidRPr="00D84E0A">
        <w:rPr>
          <w:rFonts w:asciiTheme="majorBidi" w:hAnsiTheme="majorBidi" w:cstheme="majorBidi"/>
          <w:i/>
          <w:iCs/>
          <w:sz w:val="24"/>
          <w:szCs w:val="24"/>
        </w:rPr>
        <w:t xml:space="preserve"> Sidra: A Journal for Rabbinic Literature</w:t>
      </w:r>
      <w:r w:rsidRPr="00D84E0A">
        <w:rPr>
          <w:rFonts w:asciiTheme="majorBidi" w:hAnsiTheme="majorBidi" w:cstheme="majorBidi"/>
          <w:sz w:val="24"/>
          <w:szCs w:val="24"/>
        </w:rPr>
        <w:t xml:space="preserve"> 46 (2015)pp. 37-40.</w:t>
      </w:r>
    </w:p>
  </w:footnote>
  <w:footnote w:id="37">
    <w:p w14:paraId="60D183D2" w14:textId="499DE95C" w:rsidR="00281566" w:rsidRPr="00281566" w:rsidRDefault="00281566" w:rsidP="00281566">
      <w:pPr>
        <w:pStyle w:val="a3"/>
        <w:spacing w:line="480" w:lineRule="auto"/>
        <w:rPr>
          <w:rFonts w:ascii="David" w:hAnsi="David" w:cs="David"/>
          <w:sz w:val="24"/>
          <w:szCs w:val="24"/>
          <w:rtl/>
        </w:rPr>
      </w:pPr>
      <w:r>
        <w:rPr>
          <w:rStyle w:val="a5"/>
        </w:rPr>
        <w:footnoteRef/>
      </w:r>
      <w:r>
        <w:rPr>
          <w:rtl/>
        </w:rPr>
        <w:t xml:space="preserve"> </w:t>
      </w:r>
      <w:r w:rsidRPr="00281566">
        <w:rPr>
          <w:rFonts w:ascii="David" w:hAnsi="David" w:cs="David"/>
          <w:sz w:val="24"/>
          <w:szCs w:val="24"/>
          <w:rtl/>
        </w:rPr>
        <w:t xml:space="preserve">ראו להלן, הערה 39. </w:t>
      </w:r>
    </w:p>
  </w:footnote>
  <w:footnote w:id="38">
    <w:p w14:paraId="7F19067C" w14:textId="0053A05E" w:rsidR="00CF450A" w:rsidRDefault="00CF450A" w:rsidP="00CF450A">
      <w:pPr>
        <w:pStyle w:val="a3"/>
        <w:spacing w:line="480" w:lineRule="auto"/>
        <w:rPr>
          <w:rtl/>
        </w:rPr>
      </w:pPr>
      <w:r>
        <w:rPr>
          <w:rStyle w:val="a5"/>
        </w:rPr>
        <w:footnoteRef/>
      </w:r>
      <w:r>
        <w:rPr>
          <w:rtl/>
        </w:rPr>
        <w:t xml:space="preserve"> </w:t>
      </w:r>
      <w:r w:rsidRPr="00CF450A">
        <w:rPr>
          <w:rFonts w:ascii="David" w:hAnsi="David" w:cs="David"/>
          <w:sz w:val="24"/>
          <w:szCs w:val="24"/>
          <w:rtl/>
        </w:rPr>
        <w:t>שביעית ה, ט; גיטין ה, ט.</w:t>
      </w:r>
      <w:r w:rsidR="00315C0C">
        <w:rPr>
          <w:rFonts w:ascii="David" w:hAnsi="David" w:cs="David" w:hint="cs"/>
          <w:sz w:val="24"/>
          <w:szCs w:val="24"/>
          <w:rtl/>
        </w:rPr>
        <w:t xml:space="preserve"> ראו להלן, בדיון</w:t>
      </w:r>
      <w:r w:rsidRPr="00CF450A">
        <w:rPr>
          <w:rFonts w:ascii="David" w:hAnsi="David" w:cs="David"/>
          <w:sz w:val="24"/>
          <w:szCs w:val="24"/>
          <w:rtl/>
        </w:rPr>
        <w:t>.</w:t>
      </w:r>
      <w:r w:rsidRPr="00CF450A">
        <w:rPr>
          <w:rFonts w:cs="Arial"/>
          <w:rtl/>
        </w:rPr>
        <w:t xml:space="preserve">  </w:t>
      </w:r>
    </w:p>
  </w:footnote>
  <w:footnote w:id="39">
    <w:p w14:paraId="1051A482" w14:textId="53095A69" w:rsidR="000858BD" w:rsidRPr="006B36D7" w:rsidRDefault="000858BD" w:rsidP="00C61D0A">
      <w:pPr>
        <w:pStyle w:val="a3"/>
        <w:spacing w:line="480" w:lineRule="auto"/>
        <w:rPr>
          <w:rFonts w:ascii="David" w:hAnsi="David" w:cs="David"/>
          <w:sz w:val="24"/>
          <w:szCs w:val="24"/>
          <w:rtl/>
        </w:rPr>
      </w:pPr>
      <w:r>
        <w:rPr>
          <w:rStyle w:val="a5"/>
        </w:rPr>
        <w:footnoteRef/>
      </w:r>
      <w:r>
        <w:rPr>
          <w:rtl/>
        </w:rPr>
        <w:t xml:space="preserve"> </w:t>
      </w:r>
      <w:r w:rsidRPr="006B36D7">
        <w:rPr>
          <w:rFonts w:ascii="David" w:hAnsi="David" w:cs="David"/>
          <w:sz w:val="24"/>
          <w:szCs w:val="24"/>
          <w:rtl/>
        </w:rPr>
        <w:t xml:space="preserve">דוגמה אחרת ניתן לראות </w:t>
      </w:r>
      <w:r w:rsidR="0021113F">
        <w:rPr>
          <w:rFonts w:ascii="David" w:hAnsi="David" w:cs="David" w:hint="cs"/>
          <w:sz w:val="24"/>
          <w:szCs w:val="24"/>
          <w:rtl/>
        </w:rPr>
        <w:t>ב</w:t>
      </w:r>
      <w:r w:rsidRPr="006B36D7">
        <w:rPr>
          <w:rFonts w:ascii="David" w:hAnsi="David" w:cs="David"/>
          <w:sz w:val="24"/>
          <w:szCs w:val="24"/>
          <w:rtl/>
        </w:rPr>
        <w:t>סוגיי</w:t>
      </w:r>
      <w:r w:rsidR="0021113F">
        <w:rPr>
          <w:rFonts w:hint="cs"/>
          <w:rtl/>
        </w:rPr>
        <w:t>ה</w:t>
      </w:r>
      <w:r>
        <w:rPr>
          <w:rFonts w:hint="cs"/>
          <w:rtl/>
        </w:rPr>
        <w:t xml:space="preserve"> </w:t>
      </w:r>
      <w:r w:rsidR="0021113F">
        <w:rPr>
          <w:rFonts w:asciiTheme="majorBidi" w:hAnsiTheme="majorBidi" w:cstheme="majorBidi" w:hint="cs"/>
          <w:sz w:val="24"/>
          <w:szCs w:val="24"/>
          <w:rtl/>
        </w:rPr>
        <w:t>שב</w:t>
      </w:r>
      <w:r w:rsidR="00DA3E26" w:rsidRPr="006B36D7">
        <w:rPr>
          <w:rFonts w:asciiTheme="majorBidi" w:hAnsiTheme="majorBidi" w:cstheme="majorBidi"/>
          <w:sz w:val="24"/>
          <w:szCs w:val="24"/>
        </w:rPr>
        <w:t xml:space="preserve">Palestinian Talmud, </w:t>
      </w:r>
      <w:proofErr w:type="spellStart"/>
      <w:r w:rsidR="00DA3E26" w:rsidRPr="006B36D7">
        <w:rPr>
          <w:rFonts w:asciiTheme="majorBidi" w:hAnsiTheme="majorBidi" w:cstheme="majorBidi"/>
          <w:sz w:val="24"/>
          <w:szCs w:val="24"/>
        </w:rPr>
        <w:t>Shebi’it</w:t>
      </w:r>
      <w:proofErr w:type="spellEnd"/>
      <w:r w:rsidR="00DA3E26" w:rsidRPr="006B36D7">
        <w:rPr>
          <w:rFonts w:asciiTheme="majorBidi" w:hAnsiTheme="majorBidi" w:cstheme="majorBidi"/>
          <w:sz w:val="24"/>
          <w:szCs w:val="24"/>
        </w:rPr>
        <w:t xml:space="preserve"> 5, 9, 36a</w:t>
      </w:r>
      <w:r w:rsidR="00DA3E26" w:rsidRPr="006B36D7">
        <w:rPr>
          <w:rFonts w:asciiTheme="majorBidi" w:hAnsiTheme="majorBidi" w:cstheme="majorBidi"/>
          <w:sz w:val="24"/>
          <w:szCs w:val="24"/>
          <w:rtl/>
        </w:rPr>
        <w:t xml:space="preserve"> </w:t>
      </w:r>
      <w:r w:rsidR="0021113F">
        <w:rPr>
          <w:rFonts w:ascii="David" w:hAnsi="David" w:cs="David" w:hint="cs"/>
          <w:sz w:val="24"/>
          <w:szCs w:val="24"/>
          <w:rtl/>
        </w:rPr>
        <w:t xml:space="preserve">, </w:t>
      </w:r>
      <w:r w:rsidRPr="006B36D7">
        <w:rPr>
          <w:rFonts w:ascii="David" w:hAnsi="David" w:cs="David"/>
          <w:sz w:val="24"/>
          <w:szCs w:val="24"/>
          <w:rtl/>
        </w:rPr>
        <w:t xml:space="preserve">על </w:t>
      </w:r>
      <w:r w:rsidR="0021113F">
        <w:rPr>
          <w:rFonts w:ascii="David" w:hAnsi="David" w:cs="David" w:hint="cs"/>
          <w:sz w:val="24"/>
          <w:szCs w:val="24"/>
          <w:rtl/>
        </w:rPr>
        <w:t xml:space="preserve">משנה, </w:t>
      </w:r>
      <w:r w:rsidR="00A750D7" w:rsidRPr="006B36D7">
        <w:rPr>
          <w:rFonts w:ascii="David" w:hAnsi="David" w:cs="David"/>
          <w:sz w:val="24"/>
          <w:szCs w:val="24"/>
          <w:rtl/>
        </w:rPr>
        <w:t>שביעית ה, ט:</w:t>
      </w:r>
      <w:r w:rsidR="00AB61D9">
        <w:rPr>
          <w:rFonts w:ascii="SBL Greek" w:hAnsi="SBL Greek" w:cs="David"/>
          <w:sz w:val="24"/>
          <w:szCs w:val="24"/>
        </w:rPr>
        <w:t>“</w:t>
      </w:r>
      <w:r w:rsidR="00A750D7" w:rsidRPr="006B36D7">
        <w:rPr>
          <w:rFonts w:ascii="David" w:hAnsi="David" w:cs="David"/>
          <w:sz w:val="24"/>
          <w:szCs w:val="24"/>
        </w:rPr>
        <w:t>A woman may lend to another who is suspected of not observing the Sabbatical year a fan or sieve or a hand mill or a stove, but she should not sift or grind with her</w:t>
      </w:r>
      <w:r w:rsidR="00AB61D9">
        <w:rPr>
          <w:rFonts w:ascii="SBL Greek" w:hAnsi="SBL Greek" w:cs="David"/>
          <w:sz w:val="24"/>
          <w:szCs w:val="24"/>
        </w:rPr>
        <w:t>”</w:t>
      </w:r>
      <w:r w:rsidR="00A750D7" w:rsidRPr="006B36D7">
        <w:rPr>
          <w:rFonts w:ascii="David" w:hAnsi="David" w:cs="David"/>
          <w:sz w:val="24"/>
          <w:szCs w:val="24"/>
          <w:rtl/>
        </w:rPr>
        <w:t>.</w:t>
      </w:r>
      <w:r w:rsidR="00AB61D9">
        <w:rPr>
          <w:rFonts w:hint="cs"/>
          <w:rtl/>
        </w:rPr>
        <w:t xml:space="preserve"> </w:t>
      </w:r>
      <w:r>
        <w:rPr>
          <w:rFonts w:hint="cs"/>
          <w:rtl/>
        </w:rPr>
        <w:t xml:space="preserve"> </w:t>
      </w:r>
      <w:r w:rsidRPr="006B36D7">
        <w:rPr>
          <w:rFonts w:ascii="David" w:hAnsi="David" w:cs="David"/>
          <w:sz w:val="24"/>
          <w:szCs w:val="24"/>
          <w:rtl/>
        </w:rPr>
        <w:t xml:space="preserve">ר' זעירא </w:t>
      </w:r>
      <w:r w:rsidR="00A750D7" w:rsidRPr="006B36D7">
        <w:rPr>
          <w:rFonts w:ascii="David" w:hAnsi="David" w:cs="David"/>
          <w:sz w:val="24"/>
          <w:szCs w:val="24"/>
          <w:rtl/>
        </w:rPr>
        <w:t xml:space="preserve">יוצר </w:t>
      </w:r>
      <w:r w:rsidRPr="006B36D7">
        <w:rPr>
          <w:rFonts w:ascii="David" w:hAnsi="David" w:cs="David"/>
          <w:sz w:val="24"/>
          <w:szCs w:val="24"/>
          <w:rtl/>
        </w:rPr>
        <w:t xml:space="preserve">הרמוניזציה בין הלכה זו לבין </w:t>
      </w:r>
      <w:r w:rsidR="005E1A40" w:rsidRPr="006B36D7">
        <w:rPr>
          <w:rFonts w:ascii="David" w:hAnsi="David" w:cs="David"/>
          <w:sz w:val="24"/>
          <w:szCs w:val="24"/>
          <w:rtl/>
        </w:rPr>
        <w:t>הכללים שמתנסחים קודם לה, כ</w:t>
      </w:r>
      <w:r w:rsidR="00AB61D9">
        <w:rPr>
          <w:rFonts w:ascii="David" w:hAnsi="David" w:cs="David" w:hint="cs"/>
          <w:sz w:val="24"/>
          <w:szCs w:val="24"/>
          <w:rtl/>
        </w:rPr>
        <w:t xml:space="preserve">שיטת </w:t>
      </w:r>
      <w:r w:rsidR="005E1A40" w:rsidRPr="006B36D7">
        <w:rPr>
          <w:rFonts w:ascii="David" w:hAnsi="David" w:cs="David"/>
          <w:sz w:val="24"/>
          <w:szCs w:val="24"/>
          <w:rtl/>
        </w:rPr>
        <w:t xml:space="preserve">בית הלל </w:t>
      </w:r>
      <w:r w:rsidR="00A750D7" w:rsidRPr="006B36D7">
        <w:rPr>
          <w:rFonts w:ascii="David" w:hAnsi="David" w:cs="David"/>
          <w:sz w:val="24"/>
          <w:szCs w:val="24"/>
          <w:rtl/>
        </w:rPr>
        <w:t>(ה,</w:t>
      </w:r>
      <w:r w:rsidR="005E1A40" w:rsidRPr="006B36D7">
        <w:rPr>
          <w:rFonts w:ascii="David" w:hAnsi="David" w:cs="David"/>
          <w:sz w:val="24"/>
          <w:szCs w:val="24"/>
          <w:rtl/>
        </w:rPr>
        <w:t xml:space="preserve"> ז-ח)</w:t>
      </w:r>
      <w:r w:rsidRPr="006B36D7">
        <w:rPr>
          <w:rFonts w:ascii="David" w:hAnsi="David" w:cs="David"/>
          <w:sz w:val="24"/>
          <w:szCs w:val="24"/>
          <w:rtl/>
        </w:rPr>
        <w:t>:</w:t>
      </w:r>
      <w:r w:rsidR="00A4614B">
        <w:rPr>
          <w:rFonts w:hint="cs"/>
          <w:rtl/>
        </w:rPr>
        <w:t xml:space="preserve"> </w:t>
      </w:r>
      <w:r w:rsidR="006B36D7" w:rsidRPr="006B36D7">
        <w:rPr>
          <w:rFonts w:ascii="Times New Roman" w:hAnsi="Times New Roman" w:cs="Times New Roman"/>
          <w:sz w:val="24"/>
          <w:szCs w:val="24"/>
        </w:rPr>
        <w:t>“</w:t>
      </w:r>
      <w:r w:rsidR="005E1A40" w:rsidRPr="006B36D7">
        <w:rPr>
          <w:rFonts w:ascii="Times New Roman" w:hAnsi="Times New Roman" w:cs="Times New Roman"/>
          <w:sz w:val="24"/>
          <w:szCs w:val="24"/>
        </w:rPr>
        <w:t>This is the general rule: any implement is forbidden whose sole use is one that transgresses, but it is allowed if its use may be either one forbidden or one permissible […</w:t>
      </w:r>
      <w:r w:rsidR="006B36D7" w:rsidRPr="006B36D7">
        <w:rPr>
          <w:rFonts w:ascii="Times New Roman" w:hAnsi="Times New Roman" w:cs="Times New Roman"/>
          <w:sz w:val="24"/>
          <w:szCs w:val="24"/>
        </w:rPr>
        <w:t>] One may sell him produce even in time of sowing […] But if [it is known that these are required] expressly [to transgress the law of the Seventh Year] they are forbidden.”</w:t>
      </w:r>
      <w:r w:rsidR="005E1A40" w:rsidRPr="006B36D7">
        <w:rPr>
          <w:rFonts w:ascii="Times New Roman" w:hAnsi="Times New Roman" w:cs="Times New Roman"/>
          <w:sz w:val="24"/>
          <w:szCs w:val="24"/>
        </w:rPr>
        <w:t xml:space="preserve"> </w:t>
      </w:r>
      <w:r w:rsidR="005E1A40" w:rsidRPr="006B36D7">
        <w:rPr>
          <w:rFonts w:ascii="Times New Roman" w:hAnsi="Times New Roman" w:cs="Times New Roman"/>
          <w:sz w:val="24"/>
          <w:szCs w:val="24"/>
          <w:rtl/>
        </w:rPr>
        <w:t>.</w:t>
      </w:r>
      <w:r w:rsidRPr="006B36D7">
        <w:rPr>
          <w:rFonts w:ascii="Times New Roman" w:hAnsi="Times New Roman" w:cs="Times New Roman"/>
          <w:sz w:val="24"/>
          <w:szCs w:val="24"/>
          <w:rtl/>
        </w:rPr>
        <w:t xml:space="preserve"> </w:t>
      </w:r>
      <w:r w:rsidR="00C61D0A">
        <w:rPr>
          <w:rFonts w:ascii="David" w:hAnsi="David" w:cs="David" w:hint="cs"/>
          <w:sz w:val="24"/>
          <w:szCs w:val="24"/>
          <w:rtl/>
        </w:rPr>
        <w:t xml:space="preserve">כך </w:t>
      </w:r>
      <w:r w:rsidRPr="006B36D7">
        <w:rPr>
          <w:rFonts w:ascii="David" w:hAnsi="David" w:cs="David"/>
          <w:sz w:val="24"/>
          <w:szCs w:val="24"/>
          <w:rtl/>
        </w:rPr>
        <w:t>משיג ר' זעירא שתי תוצאות. הוא מעמיד את ההלכה על כלל אינהרנטי ל</w:t>
      </w:r>
      <w:r w:rsidR="00EA1F02">
        <w:rPr>
          <w:rFonts w:ascii="David" w:hAnsi="David" w:cs="David" w:hint="cs"/>
          <w:sz w:val="24"/>
          <w:szCs w:val="24"/>
          <w:rtl/>
        </w:rPr>
        <w:t>קטגוריה המשפטית</w:t>
      </w:r>
      <w:r w:rsidRPr="006B36D7">
        <w:rPr>
          <w:rFonts w:ascii="David" w:hAnsi="David" w:cs="David"/>
          <w:sz w:val="24"/>
          <w:szCs w:val="24"/>
          <w:rtl/>
        </w:rPr>
        <w:t xml:space="preserve"> שב</w:t>
      </w:r>
      <w:r w:rsidR="00EA1F02">
        <w:rPr>
          <w:rFonts w:ascii="David" w:hAnsi="David" w:cs="David" w:hint="cs"/>
          <w:sz w:val="24"/>
          <w:szCs w:val="24"/>
          <w:rtl/>
        </w:rPr>
        <w:t>ה</w:t>
      </w:r>
      <w:r w:rsidRPr="006B36D7">
        <w:rPr>
          <w:rFonts w:ascii="David" w:hAnsi="David" w:cs="David"/>
          <w:sz w:val="24"/>
          <w:szCs w:val="24"/>
          <w:rtl/>
        </w:rPr>
        <w:t xml:space="preserve"> היא עוסקת </w:t>
      </w:r>
      <w:r w:rsidR="00243D35">
        <w:rPr>
          <w:rFonts w:ascii="David" w:hAnsi="David" w:cs="David" w:hint="cs"/>
          <w:sz w:val="24"/>
          <w:szCs w:val="24"/>
          <w:rtl/>
        </w:rPr>
        <w:t>ו</w:t>
      </w:r>
      <w:r w:rsidR="00243D35" w:rsidRPr="00243D35">
        <w:rPr>
          <w:rFonts w:ascii="David" w:hAnsi="David" w:cs="David"/>
          <w:sz w:val="24"/>
          <w:szCs w:val="24"/>
          <w:rtl/>
        </w:rPr>
        <w:t>מייתר את הצורך בהנמקת 'דרכי השלום'</w:t>
      </w:r>
      <w:r w:rsidR="008A6A41">
        <w:rPr>
          <w:rFonts w:ascii="David" w:hAnsi="David" w:cs="David" w:hint="cs"/>
          <w:sz w:val="24"/>
          <w:szCs w:val="24"/>
          <w:rtl/>
        </w:rPr>
        <w:t>;</w:t>
      </w:r>
      <w:r w:rsidRPr="006B36D7">
        <w:rPr>
          <w:rFonts w:ascii="David" w:hAnsi="David" w:cs="David"/>
          <w:sz w:val="24"/>
          <w:szCs w:val="24"/>
          <w:rtl/>
        </w:rPr>
        <w:t xml:space="preserve"> הוא מגביל את ה</w:t>
      </w:r>
      <w:r w:rsidR="00464564">
        <w:rPr>
          <w:rFonts w:ascii="David" w:hAnsi="David" w:cs="David" w:hint="cs"/>
          <w:sz w:val="24"/>
          <w:szCs w:val="24"/>
          <w:rtl/>
        </w:rPr>
        <w:t xml:space="preserve">יתר המשנה </w:t>
      </w:r>
      <w:r w:rsidRPr="006B36D7">
        <w:rPr>
          <w:rFonts w:ascii="David" w:hAnsi="David" w:cs="David"/>
          <w:sz w:val="24"/>
          <w:szCs w:val="24"/>
          <w:rtl/>
        </w:rPr>
        <w:t xml:space="preserve">להשאיל כלים לחשודה על השביעית. </w:t>
      </w:r>
      <w:r w:rsidR="00224535" w:rsidRPr="006B36D7">
        <w:rPr>
          <w:rFonts w:ascii="David" w:hAnsi="David" w:cs="David"/>
          <w:sz w:val="24"/>
          <w:szCs w:val="24"/>
          <w:rtl/>
        </w:rPr>
        <w:t xml:space="preserve">השגה </w:t>
      </w:r>
      <w:r w:rsidR="008E2FC6">
        <w:rPr>
          <w:rFonts w:ascii="David" w:hAnsi="David" w:cs="David" w:hint="cs"/>
          <w:sz w:val="24"/>
          <w:szCs w:val="24"/>
          <w:rtl/>
        </w:rPr>
        <w:t xml:space="preserve">זו </w:t>
      </w:r>
      <w:r w:rsidR="00224535" w:rsidRPr="006B36D7">
        <w:rPr>
          <w:rFonts w:ascii="David" w:hAnsi="David" w:cs="David"/>
          <w:sz w:val="24"/>
          <w:szCs w:val="24"/>
          <w:rtl/>
        </w:rPr>
        <w:t xml:space="preserve">מאוחרת לתקופת המשנה, ולכן לא אתייחס אליה במפורט כאן. אני מקווה לדון בה </w:t>
      </w:r>
      <w:r w:rsidR="002A2313">
        <w:rPr>
          <w:rFonts w:ascii="David" w:hAnsi="David" w:cs="David" w:hint="cs"/>
          <w:sz w:val="24"/>
          <w:szCs w:val="24"/>
          <w:rtl/>
        </w:rPr>
        <w:t xml:space="preserve">בעתיד, </w:t>
      </w:r>
      <w:r w:rsidR="00224535" w:rsidRPr="006B36D7">
        <w:rPr>
          <w:rFonts w:ascii="David" w:hAnsi="David" w:cs="David"/>
          <w:sz w:val="24"/>
          <w:szCs w:val="24"/>
          <w:rtl/>
        </w:rPr>
        <w:t>כחלק מ</w:t>
      </w:r>
      <w:r w:rsidR="002A2313">
        <w:rPr>
          <w:rFonts w:ascii="David" w:hAnsi="David" w:cs="David" w:hint="cs"/>
          <w:sz w:val="24"/>
          <w:szCs w:val="24"/>
          <w:rtl/>
        </w:rPr>
        <w:t>ן ה</w:t>
      </w:r>
      <w:r w:rsidR="00224535" w:rsidRPr="006B36D7">
        <w:rPr>
          <w:rFonts w:ascii="David" w:hAnsi="David" w:cs="David"/>
          <w:sz w:val="24"/>
          <w:szCs w:val="24"/>
          <w:rtl/>
        </w:rPr>
        <w:t>דיו</w:t>
      </w:r>
      <w:r w:rsidR="002A2313">
        <w:rPr>
          <w:rFonts w:ascii="David" w:hAnsi="David" w:cs="David" w:hint="cs"/>
          <w:sz w:val="24"/>
          <w:szCs w:val="24"/>
          <w:rtl/>
        </w:rPr>
        <w:t>ן</w:t>
      </w:r>
      <w:r w:rsidR="00224535" w:rsidRPr="006B36D7">
        <w:rPr>
          <w:rFonts w:ascii="David" w:hAnsi="David" w:cs="David"/>
          <w:sz w:val="24"/>
          <w:szCs w:val="24"/>
          <w:rtl/>
        </w:rPr>
        <w:t xml:space="preserve"> במשמעויות ובהשלכות </w:t>
      </w:r>
      <w:proofErr w:type="spellStart"/>
      <w:r w:rsidR="00224535" w:rsidRPr="006B36D7">
        <w:rPr>
          <w:rFonts w:ascii="David" w:hAnsi="David" w:cs="David"/>
          <w:sz w:val="24"/>
          <w:szCs w:val="24"/>
          <w:rtl/>
        </w:rPr>
        <w:t>היוריספורדנטיות</w:t>
      </w:r>
      <w:proofErr w:type="spellEnd"/>
      <w:r w:rsidR="00224535" w:rsidRPr="006B36D7">
        <w:rPr>
          <w:rFonts w:ascii="David" w:hAnsi="David" w:cs="David"/>
          <w:sz w:val="24"/>
          <w:szCs w:val="24"/>
          <w:rtl/>
        </w:rPr>
        <w:t xml:space="preserve"> </w:t>
      </w:r>
      <w:r w:rsidR="00B624C4" w:rsidRPr="006B36D7">
        <w:rPr>
          <w:rFonts w:ascii="David" w:hAnsi="David" w:cs="David"/>
          <w:sz w:val="24"/>
          <w:szCs w:val="24"/>
          <w:rtl/>
        </w:rPr>
        <w:t xml:space="preserve">שיש לעריכתו של </w:t>
      </w:r>
      <w:r w:rsidR="00224535" w:rsidRPr="006B36D7">
        <w:rPr>
          <w:rFonts w:ascii="David" w:hAnsi="David" w:cs="David"/>
          <w:sz w:val="24"/>
          <w:szCs w:val="24"/>
          <w:rtl/>
        </w:rPr>
        <w:t xml:space="preserve">קובץ תקנות </w:t>
      </w:r>
      <w:r w:rsidR="00E95D41" w:rsidRPr="006B36D7">
        <w:rPr>
          <w:rFonts w:ascii="David" w:hAnsi="David" w:cs="David"/>
          <w:sz w:val="24"/>
          <w:szCs w:val="24"/>
          <w:rtl/>
        </w:rPr>
        <w:t xml:space="preserve">'מפני </w:t>
      </w:r>
      <w:r w:rsidR="00224535" w:rsidRPr="006B36D7">
        <w:rPr>
          <w:rFonts w:ascii="David" w:hAnsi="David" w:cs="David"/>
          <w:sz w:val="24"/>
          <w:szCs w:val="24"/>
          <w:rtl/>
        </w:rPr>
        <w:t>דרכי השלום</w:t>
      </w:r>
      <w:r w:rsidR="00E95D41" w:rsidRPr="006B36D7">
        <w:rPr>
          <w:rFonts w:ascii="David" w:hAnsi="David" w:cs="David"/>
          <w:sz w:val="24"/>
          <w:szCs w:val="24"/>
          <w:rtl/>
        </w:rPr>
        <w:t>'</w:t>
      </w:r>
      <w:r w:rsidR="00224535" w:rsidRPr="006B36D7">
        <w:rPr>
          <w:rFonts w:ascii="David" w:hAnsi="David" w:cs="David"/>
          <w:sz w:val="24"/>
          <w:szCs w:val="24"/>
          <w:rtl/>
        </w:rPr>
        <w:t xml:space="preserve"> במשנה.</w:t>
      </w:r>
    </w:p>
  </w:footnote>
  <w:footnote w:id="40">
    <w:p w14:paraId="2E26DD43" w14:textId="77777777" w:rsidR="00797FEF" w:rsidRPr="0095188F" w:rsidRDefault="00797FEF" w:rsidP="00E468C1">
      <w:pPr>
        <w:pStyle w:val="a3"/>
        <w:spacing w:line="480" w:lineRule="auto"/>
        <w:contextualSpacing/>
        <w:rPr>
          <w:rFonts w:ascii="Times New Roman" w:hAnsi="Times New Roman" w:cs="Calibri"/>
          <w:sz w:val="24"/>
          <w:szCs w:val="24"/>
          <w:rtl/>
        </w:rPr>
      </w:pPr>
      <w:r w:rsidRPr="0095188F">
        <w:rPr>
          <w:rStyle w:val="a5"/>
          <w:rFonts w:ascii="Times New Roman" w:hAnsi="Times New Roman" w:cs="Calibri"/>
          <w:sz w:val="24"/>
          <w:szCs w:val="24"/>
        </w:rPr>
        <w:footnoteRef/>
      </w:r>
      <w:r w:rsidRPr="0095188F">
        <w:rPr>
          <w:rFonts w:ascii="Times New Roman" w:hAnsi="Times New Roman" w:cs="Calibri"/>
          <w:sz w:val="24"/>
          <w:szCs w:val="24"/>
        </w:rPr>
        <w:t xml:space="preserve"> The order of these </w:t>
      </w:r>
      <w:r w:rsidRPr="0095188F">
        <w:rPr>
          <w:rFonts w:ascii="Times New Roman" w:hAnsi="Times New Roman" w:cs="Calibri"/>
          <w:i/>
          <w:iCs/>
          <w:sz w:val="24"/>
          <w:szCs w:val="24"/>
        </w:rPr>
        <w:t xml:space="preserve">halakhot </w:t>
      </w:r>
      <w:r w:rsidRPr="0095188F">
        <w:rPr>
          <w:rFonts w:ascii="Times New Roman" w:hAnsi="Times New Roman" w:cs="Calibri"/>
          <w:sz w:val="24"/>
          <w:szCs w:val="24"/>
        </w:rPr>
        <w:t xml:space="preserve">varies in different manuscripts of the Mishnah; Similarly, the opinion of R. </w:t>
      </w:r>
      <w:proofErr w:type="spellStart"/>
      <w:r w:rsidRPr="0095188F">
        <w:rPr>
          <w:rFonts w:ascii="Times New Roman" w:hAnsi="Times New Roman" w:cs="Calibri"/>
          <w:sz w:val="24"/>
          <w:szCs w:val="24"/>
        </w:rPr>
        <w:t>Yose</w:t>
      </w:r>
      <w:proofErr w:type="spellEnd"/>
      <w:r w:rsidRPr="0095188F">
        <w:rPr>
          <w:rFonts w:ascii="Times New Roman" w:hAnsi="Times New Roman" w:cs="Calibri"/>
          <w:sz w:val="24"/>
          <w:szCs w:val="24"/>
        </w:rPr>
        <w:t xml:space="preserve"> is missing in </w:t>
      </w:r>
      <w:proofErr w:type="spellStart"/>
      <w:r w:rsidRPr="0095188F">
        <w:rPr>
          <w:rFonts w:ascii="Times New Roman" w:hAnsi="Times New Roman" w:cs="Calibri"/>
          <w:i/>
          <w:iCs/>
          <w:sz w:val="24"/>
          <w:szCs w:val="24"/>
        </w:rPr>
        <w:t>halakhah</w:t>
      </w:r>
      <w:proofErr w:type="spellEnd"/>
      <w:r w:rsidRPr="0095188F">
        <w:rPr>
          <w:rFonts w:ascii="Times New Roman" w:hAnsi="Times New Roman" w:cs="Calibri"/>
          <w:sz w:val="24"/>
          <w:szCs w:val="24"/>
        </w:rPr>
        <w:t xml:space="preserve"> </w:t>
      </w:r>
      <w:r>
        <w:rPr>
          <w:rFonts w:ascii="Times New Roman" w:hAnsi="Times New Roman" w:cs="Calibri"/>
          <w:sz w:val="24"/>
          <w:szCs w:val="24"/>
        </w:rPr>
        <w:t>1</w:t>
      </w:r>
      <w:r w:rsidRPr="0095188F">
        <w:rPr>
          <w:rFonts w:ascii="Times New Roman" w:hAnsi="Times New Roman" w:cs="Calibri"/>
          <w:sz w:val="24"/>
          <w:szCs w:val="24"/>
        </w:rPr>
        <w:t xml:space="preserve"> of the Kaufman manuscript, but it is found in other manuscripts. See David Weiss </w:t>
      </w:r>
      <w:proofErr w:type="spellStart"/>
      <w:r w:rsidRPr="0095188F">
        <w:rPr>
          <w:rFonts w:ascii="Times New Roman" w:hAnsi="Times New Roman" w:cs="Calibri"/>
          <w:sz w:val="24"/>
          <w:szCs w:val="24"/>
        </w:rPr>
        <w:t>Halivni</w:t>
      </w:r>
      <w:proofErr w:type="spellEnd"/>
      <w:r w:rsidRPr="0095188F">
        <w:rPr>
          <w:rFonts w:ascii="Times New Roman" w:hAnsi="Times New Roman" w:cs="Calibri"/>
          <w:sz w:val="24"/>
          <w:szCs w:val="24"/>
        </w:rPr>
        <w:t xml:space="preserve">, </w:t>
      </w:r>
      <w:r w:rsidRPr="0095188F">
        <w:rPr>
          <w:rFonts w:ascii="Times New Roman" w:hAnsi="Times New Roman" w:cs="Calibri"/>
          <w:i/>
          <w:iCs/>
          <w:sz w:val="24"/>
          <w:szCs w:val="24"/>
        </w:rPr>
        <w:t xml:space="preserve">Sources and Traditions: A Source Critical Commentary on Seder </w:t>
      </w:r>
      <w:proofErr w:type="spellStart"/>
      <w:r w:rsidRPr="0095188F">
        <w:rPr>
          <w:rFonts w:ascii="Times New Roman" w:hAnsi="Times New Roman" w:cs="Calibri"/>
          <w:i/>
          <w:iCs/>
          <w:sz w:val="24"/>
          <w:szCs w:val="24"/>
        </w:rPr>
        <w:t>Nashim</w:t>
      </w:r>
      <w:proofErr w:type="spellEnd"/>
      <w:r w:rsidRPr="0095188F">
        <w:rPr>
          <w:rFonts w:ascii="Times New Roman" w:hAnsi="Times New Roman" w:cs="Calibri"/>
          <w:sz w:val="24"/>
          <w:szCs w:val="24"/>
        </w:rPr>
        <w:t xml:space="preserve"> (Hebrew; Toronto: </w:t>
      </w:r>
      <w:proofErr w:type="spellStart"/>
      <w:r w:rsidRPr="0095188F">
        <w:rPr>
          <w:rFonts w:ascii="Times New Roman" w:hAnsi="Times New Roman" w:cs="Calibri"/>
          <w:sz w:val="24"/>
          <w:szCs w:val="24"/>
        </w:rPr>
        <w:t>Otsreinu</w:t>
      </w:r>
      <w:proofErr w:type="spellEnd"/>
      <w:r w:rsidRPr="0095188F">
        <w:rPr>
          <w:rFonts w:ascii="Times New Roman" w:hAnsi="Times New Roman" w:cs="Calibri"/>
          <w:sz w:val="24"/>
          <w:szCs w:val="24"/>
        </w:rPr>
        <w:t xml:space="preserve">, 1968), 678. </w:t>
      </w:r>
    </w:p>
  </w:footnote>
  <w:footnote w:id="41">
    <w:p w14:paraId="2D42EC81" w14:textId="77777777" w:rsidR="00797FEF" w:rsidRPr="0095188F" w:rsidRDefault="00797FEF" w:rsidP="00E468C1">
      <w:pPr>
        <w:pStyle w:val="a3"/>
        <w:spacing w:line="480" w:lineRule="auto"/>
        <w:rPr>
          <w:rFonts w:ascii="Times New Roman" w:hAnsi="Times New Roman" w:cs="Calibri"/>
          <w:sz w:val="24"/>
          <w:szCs w:val="24"/>
          <w:rtl/>
        </w:rPr>
      </w:pPr>
      <w:r w:rsidRPr="0095188F">
        <w:rPr>
          <w:rStyle w:val="a5"/>
          <w:rFonts w:ascii="Times New Roman" w:hAnsi="Times New Roman" w:cs="Calibri"/>
          <w:sz w:val="24"/>
          <w:szCs w:val="24"/>
        </w:rPr>
        <w:footnoteRef/>
      </w:r>
      <w:r w:rsidRPr="0095188F">
        <w:rPr>
          <w:rFonts w:ascii="Times New Roman" w:hAnsi="Times New Roman" w:cs="Calibri"/>
          <w:sz w:val="24"/>
          <w:szCs w:val="24"/>
        </w:rPr>
        <w:t xml:space="preserve"> Ibid. </w:t>
      </w:r>
    </w:p>
  </w:footnote>
  <w:footnote w:id="42">
    <w:p w14:paraId="4F002A74" w14:textId="77777777" w:rsidR="00797FEF" w:rsidRPr="0095188F" w:rsidRDefault="00797FEF" w:rsidP="00E468C1">
      <w:pPr>
        <w:pStyle w:val="a3"/>
        <w:spacing w:line="480" w:lineRule="auto"/>
        <w:rPr>
          <w:rFonts w:ascii="Times New Roman" w:hAnsi="Times New Roman" w:cs="Calibri"/>
          <w:sz w:val="24"/>
          <w:szCs w:val="24"/>
        </w:rPr>
      </w:pPr>
      <w:r w:rsidRPr="0095188F">
        <w:rPr>
          <w:rStyle w:val="a5"/>
          <w:rFonts w:ascii="Times New Roman" w:hAnsi="Times New Roman" w:cs="Calibri"/>
          <w:sz w:val="24"/>
          <w:szCs w:val="24"/>
        </w:rPr>
        <w:footnoteRef/>
      </w:r>
      <w:r w:rsidRPr="0095188F">
        <w:rPr>
          <w:rFonts w:ascii="Times New Roman" w:hAnsi="Times New Roman" w:cs="Calibri"/>
          <w:sz w:val="24"/>
          <w:szCs w:val="24"/>
        </w:rPr>
        <w:t xml:space="preserve"> </w:t>
      </w:r>
      <w:r w:rsidRPr="0095188F">
        <w:rPr>
          <w:rFonts w:ascii="Times New Roman" w:hAnsi="Times New Roman" w:cs="Calibri"/>
          <w:color w:val="000000"/>
          <w:sz w:val="24"/>
          <w:szCs w:val="24"/>
        </w:rPr>
        <w:t xml:space="preserve">For property ownership by deaf-mutes, idiots, and minors see </w:t>
      </w:r>
      <w:proofErr w:type="spellStart"/>
      <w:r w:rsidRPr="0095188F">
        <w:rPr>
          <w:rFonts w:ascii="Times New Roman" w:hAnsi="Times New Roman" w:cs="Calibri"/>
          <w:color w:val="000000"/>
          <w:sz w:val="24"/>
          <w:szCs w:val="24"/>
        </w:rPr>
        <w:t>m</w:t>
      </w:r>
      <w:r w:rsidRPr="0095188F">
        <w:rPr>
          <w:rFonts w:ascii="Times New Roman" w:hAnsi="Times New Roman" w:cs="Calibri"/>
          <w:sz w:val="24"/>
          <w:szCs w:val="24"/>
        </w:rPr>
        <w:t>B</w:t>
      </w:r>
      <w:proofErr w:type="spellEnd"/>
      <w:r w:rsidRPr="0095188F">
        <w:rPr>
          <w:rFonts w:ascii="Times New Roman" w:hAnsi="Times New Roman" w:cs="Calibri"/>
          <w:sz w:val="24"/>
          <w:szCs w:val="24"/>
        </w:rPr>
        <w:t xml:space="preserve">. </w:t>
      </w:r>
      <w:proofErr w:type="spellStart"/>
      <w:r w:rsidRPr="0095188F">
        <w:rPr>
          <w:rFonts w:ascii="Times New Roman" w:hAnsi="Times New Roman" w:cs="Calibri"/>
          <w:sz w:val="24"/>
          <w:szCs w:val="24"/>
        </w:rPr>
        <w:t>Qam</w:t>
      </w:r>
      <w:proofErr w:type="spellEnd"/>
      <w:r w:rsidRPr="0095188F">
        <w:rPr>
          <w:rFonts w:ascii="Times New Roman" w:hAnsi="Times New Roman" w:cs="Calibri"/>
          <w:sz w:val="24"/>
          <w:szCs w:val="24"/>
        </w:rPr>
        <w:t xml:space="preserve"> 4:4; 6:4. </w:t>
      </w:r>
    </w:p>
  </w:footnote>
  <w:footnote w:id="43">
    <w:p w14:paraId="57D660A4" w14:textId="77777777" w:rsidR="00797FEF" w:rsidRPr="0095188F" w:rsidRDefault="00797FEF" w:rsidP="00E468C1">
      <w:pPr>
        <w:pStyle w:val="a3"/>
        <w:spacing w:line="480" w:lineRule="auto"/>
        <w:rPr>
          <w:rFonts w:ascii="Times New Roman" w:hAnsi="Times New Roman" w:cs="Calibri"/>
          <w:sz w:val="24"/>
          <w:szCs w:val="24"/>
          <w:rtl/>
        </w:rPr>
      </w:pPr>
      <w:r w:rsidRPr="0095188F">
        <w:rPr>
          <w:rStyle w:val="a5"/>
          <w:rFonts w:ascii="Times New Roman" w:hAnsi="Times New Roman" w:cs="Calibri"/>
          <w:sz w:val="24"/>
          <w:szCs w:val="24"/>
        </w:rPr>
        <w:footnoteRef/>
      </w:r>
      <w:r w:rsidRPr="0095188F">
        <w:rPr>
          <w:rFonts w:ascii="Times New Roman" w:hAnsi="Times New Roman" w:cs="Calibri"/>
          <w:sz w:val="24"/>
          <w:szCs w:val="24"/>
        </w:rPr>
        <w:t xml:space="preserve"> For property laws that deal with obtaining ownership of various objects see </w:t>
      </w:r>
      <w:proofErr w:type="spellStart"/>
      <w:r w:rsidRPr="0095188F">
        <w:rPr>
          <w:rFonts w:ascii="Times New Roman" w:hAnsi="Times New Roman" w:cs="Calibri"/>
          <w:sz w:val="24"/>
          <w:szCs w:val="24"/>
        </w:rPr>
        <w:t>mQidd</w:t>
      </w:r>
      <w:proofErr w:type="spellEnd"/>
      <w:r w:rsidRPr="0095188F">
        <w:rPr>
          <w:rFonts w:ascii="Times New Roman" w:hAnsi="Times New Roman" w:cs="Calibri"/>
          <w:sz w:val="24"/>
          <w:szCs w:val="24"/>
        </w:rPr>
        <w:t xml:space="preserve"> 1:4-5. </w:t>
      </w:r>
    </w:p>
  </w:footnote>
  <w:footnote w:id="44">
    <w:p w14:paraId="140B3A90" w14:textId="77777777" w:rsidR="00797FEF" w:rsidRPr="00903C06" w:rsidRDefault="00797FEF" w:rsidP="00E468C1">
      <w:pPr>
        <w:autoSpaceDE w:val="0"/>
        <w:autoSpaceDN w:val="0"/>
        <w:adjustRightInd w:val="0"/>
        <w:spacing w:after="0" w:line="480" w:lineRule="auto"/>
        <w:rPr>
          <w:rFonts w:ascii="Times New Roman" w:hAnsi="Times New Roman" w:cs="Calibri"/>
          <w:sz w:val="24"/>
          <w:szCs w:val="24"/>
          <w:rtl/>
        </w:rPr>
      </w:pPr>
      <w:r w:rsidRPr="0095188F">
        <w:rPr>
          <w:rStyle w:val="a5"/>
          <w:rFonts w:ascii="Times New Roman" w:hAnsi="Times New Roman" w:cs="Calibri"/>
          <w:sz w:val="24"/>
          <w:szCs w:val="24"/>
        </w:rPr>
        <w:footnoteRef/>
      </w:r>
      <w:r w:rsidRPr="0095188F">
        <w:rPr>
          <w:rFonts w:ascii="Times New Roman" w:hAnsi="Times New Roman" w:cs="Calibri"/>
          <w:sz w:val="24"/>
          <w:szCs w:val="24"/>
        </w:rPr>
        <w:t xml:space="preserve"> For a similar law concerning finding, see </w:t>
      </w:r>
      <w:proofErr w:type="spellStart"/>
      <w:r w:rsidRPr="0095188F">
        <w:rPr>
          <w:rFonts w:ascii="Times New Roman" w:hAnsi="Times New Roman" w:cs="Calibri"/>
          <w:sz w:val="24"/>
          <w:szCs w:val="24"/>
        </w:rPr>
        <w:t>tHul</w:t>
      </w:r>
      <w:proofErr w:type="spellEnd"/>
      <w:r w:rsidRPr="0095188F">
        <w:rPr>
          <w:rFonts w:ascii="Times New Roman" w:hAnsi="Times New Roman" w:cs="Calibri"/>
          <w:sz w:val="24"/>
          <w:szCs w:val="24"/>
        </w:rPr>
        <w:t xml:space="preserve"> 10:13 (ed. </w:t>
      </w:r>
      <w:proofErr w:type="spellStart"/>
      <w:r w:rsidRPr="00903C06">
        <w:rPr>
          <w:rFonts w:ascii="Times New Roman" w:hAnsi="Times New Roman" w:cs="Calibri"/>
          <w:sz w:val="24"/>
          <w:szCs w:val="24"/>
        </w:rPr>
        <w:t>Zuckermandel</w:t>
      </w:r>
      <w:proofErr w:type="spellEnd"/>
      <w:r w:rsidRPr="00903C06">
        <w:rPr>
          <w:rFonts w:ascii="Times New Roman" w:hAnsi="Times New Roman" w:cs="Calibri"/>
          <w:sz w:val="24"/>
          <w:szCs w:val="24"/>
        </w:rPr>
        <w:t xml:space="preserve"> [Jerusalem: </w:t>
      </w:r>
      <w:proofErr w:type="spellStart"/>
      <w:r w:rsidRPr="00903C06">
        <w:rPr>
          <w:rFonts w:ascii="Times New Roman" w:hAnsi="Times New Roman" w:cs="Calibri"/>
          <w:sz w:val="24"/>
          <w:szCs w:val="24"/>
        </w:rPr>
        <w:t>Wahrmann</w:t>
      </w:r>
      <w:proofErr w:type="spellEnd"/>
      <w:r w:rsidRPr="00903C06">
        <w:rPr>
          <w:rFonts w:ascii="Times New Roman" w:hAnsi="Times New Roman" w:cs="Calibri"/>
          <w:sz w:val="24"/>
          <w:szCs w:val="24"/>
        </w:rPr>
        <w:t xml:space="preserve"> Books, 1970], 512.  </w:t>
      </w:r>
    </w:p>
  </w:footnote>
  <w:footnote w:id="45">
    <w:p w14:paraId="385D7F6A" w14:textId="2CB321E4" w:rsidR="00477353" w:rsidRPr="00A2635D" w:rsidRDefault="00477353" w:rsidP="00B1280F">
      <w:pPr>
        <w:pStyle w:val="a3"/>
        <w:spacing w:line="480" w:lineRule="auto"/>
        <w:rPr>
          <w:rtl/>
        </w:rPr>
      </w:pPr>
      <w:r w:rsidRPr="002A1295">
        <w:rPr>
          <w:rStyle w:val="a5"/>
          <w:rFonts w:ascii="David" w:hAnsi="David" w:cs="David"/>
          <w:sz w:val="24"/>
          <w:szCs w:val="24"/>
        </w:rPr>
        <w:footnoteRef/>
      </w:r>
      <w:r w:rsidRPr="002A1295">
        <w:rPr>
          <w:rFonts w:ascii="David" w:hAnsi="David" w:cs="David"/>
          <w:sz w:val="24"/>
          <w:szCs w:val="24"/>
          <w:rtl/>
        </w:rPr>
        <w:t xml:space="preserve"> </w:t>
      </w:r>
      <w:r w:rsidR="00D47337" w:rsidRPr="00D47337">
        <w:rPr>
          <w:rFonts w:ascii="David" w:hAnsi="David" w:cs="David"/>
          <w:sz w:val="24"/>
          <w:szCs w:val="24"/>
        </w:rPr>
        <w:t xml:space="preserve">Palestinian Talmud, </w:t>
      </w:r>
      <w:proofErr w:type="spellStart"/>
      <w:r w:rsidR="00D47337" w:rsidRPr="00D47337">
        <w:rPr>
          <w:rFonts w:ascii="David" w:hAnsi="David" w:cs="David"/>
          <w:sz w:val="24"/>
          <w:szCs w:val="24"/>
        </w:rPr>
        <w:t>Gittin</w:t>
      </w:r>
      <w:proofErr w:type="spellEnd"/>
      <w:r w:rsidR="00D47337" w:rsidRPr="00D47337">
        <w:rPr>
          <w:rFonts w:ascii="David" w:hAnsi="David" w:cs="David"/>
          <w:sz w:val="24"/>
          <w:szCs w:val="24"/>
        </w:rPr>
        <w:t xml:space="preserve"> 5:8, 47a-b (The Academy of the Hebrew Language edition</w:t>
      </w:r>
      <w:r w:rsidR="00710A96">
        <w:rPr>
          <w:rFonts w:ascii="David" w:hAnsi="David" w:cs="David"/>
          <w:sz w:val="24"/>
          <w:szCs w:val="24"/>
        </w:rPr>
        <w:t>,</w:t>
      </w:r>
      <w:r w:rsidR="00F9453F">
        <w:rPr>
          <w:rFonts w:ascii="David" w:hAnsi="David" w:cs="David"/>
          <w:sz w:val="24"/>
          <w:szCs w:val="24"/>
        </w:rPr>
        <w:t xml:space="preserve"> </w:t>
      </w:r>
      <w:r w:rsidR="00D47337" w:rsidRPr="00D47337">
        <w:rPr>
          <w:rFonts w:ascii="David" w:hAnsi="David" w:cs="David"/>
          <w:sz w:val="24"/>
          <w:szCs w:val="24"/>
        </w:rPr>
        <w:t xml:space="preserve">Jerusalem, 2001), 1078, </w:t>
      </w:r>
      <w:proofErr w:type="spellStart"/>
      <w:r w:rsidR="00D47337" w:rsidRPr="00D47337">
        <w:rPr>
          <w:rFonts w:ascii="David" w:hAnsi="David" w:cs="David"/>
          <w:sz w:val="24"/>
          <w:szCs w:val="24"/>
        </w:rPr>
        <w:t>Eruvin</w:t>
      </w:r>
      <w:proofErr w:type="spellEnd"/>
      <w:r w:rsidR="00D47337" w:rsidRPr="00D47337">
        <w:rPr>
          <w:rFonts w:ascii="David" w:hAnsi="David" w:cs="David"/>
          <w:sz w:val="24"/>
          <w:szCs w:val="24"/>
        </w:rPr>
        <w:t xml:space="preserve"> 7:6, 24c</w:t>
      </w:r>
      <w:r w:rsidR="00F9453F">
        <w:rPr>
          <w:rFonts w:ascii="David" w:hAnsi="David" w:cs="David"/>
          <w:sz w:val="24"/>
          <w:szCs w:val="24"/>
        </w:rPr>
        <w:t xml:space="preserve"> </w:t>
      </w:r>
      <w:r w:rsidR="00710A96">
        <w:rPr>
          <w:rFonts w:ascii="David" w:hAnsi="David" w:cs="David"/>
          <w:sz w:val="24"/>
          <w:szCs w:val="24"/>
        </w:rPr>
        <w:t>(</w:t>
      </w:r>
      <w:r w:rsidR="00D47337" w:rsidRPr="00D47337">
        <w:rPr>
          <w:rFonts w:ascii="David" w:hAnsi="David" w:cs="David"/>
          <w:sz w:val="24"/>
          <w:szCs w:val="24"/>
        </w:rPr>
        <w:t>idem, 485</w:t>
      </w:r>
      <w:r w:rsidR="00710A96">
        <w:rPr>
          <w:rFonts w:ascii="David" w:hAnsi="David" w:cs="David"/>
          <w:sz w:val="24"/>
          <w:szCs w:val="24"/>
        </w:rPr>
        <w:t>)</w:t>
      </w:r>
      <w:r w:rsidR="00D47337">
        <w:rPr>
          <w:rFonts w:ascii="David" w:hAnsi="David" w:cs="David" w:hint="cs"/>
          <w:sz w:val="24"/>
          <w:szCs w:val="24"/>
          <w:rtl/>
        </w:rPr>
        <w:t>; ב</w:t>
      </w:r>
      <w:r>
        <w:rPr>
          <w:rFonts w:ascii="David" w:hAnsi="David" w:cs="David" w:hint="cs"/>
          <w:sz w:val="24"/>
          <w:szCs w:val="24"/>
          <w:rtl/>
        </w:rPr>
        <w:t xml:space="preserve">תלמוד בבלי, גיטין </w:t>
      </w:r>
      <w:proofErr w:type="spellStart"/>
      <w:r>
        <w:rPr>
          <w:rFonts w:ascii="David" w:hAnsi="David" w:cs="David" w:hint="cs"/>
          <w:sz w:val="24"/>
          <w:szCs w:val="24"/>
          <w:rtl/>
        </w:rPr>
        <w:t>סא</w:t>
      </w:r>
      <w:proofErr w:type="spellEnd"/>
      <w:r>
        <w:rPr>
          <w:rFonts w:ascii="David" w:hAnsi="David" w:cs="David" w:hint="cs"/>
          <w:sz w:val="24"/>
          <w:szCs w:val="24"/>
          <w:rtl/>
        </w:rPr>
        <w:t xml:space="preserve"> ע"ע מפרש רב </w:t>
      </w:r>
      <w:proofErr w:type="spellStart"/>
      <w:r>
        <w:rPr>
          <w:rFonts w:ascii="David" w:hAnsi="David" w:cs="David" w:hint="cs"/>
          <w:sz w:val="24"/>
          <w:szCs w:val="24"/>
          <w:rtl/>
        </w:rPr>
        <w:t>חסדא</w:t>
      </w:r>
      <w:proofErr w:type="spellEnd"/>
      <w:r>
        <w:rPr>
          <w:rFonts w:ascii="David" w:hAnsi="David" w:cs="David" w:hint="cs"/>
          <w:sz w:val="24"/>
          <w:szCs w:val="24"/>
          <w:rtl/>
        </w:rPr>
        <w:t xml:space="preserve"> את ההבדל בין השיטות: "למאי נפקא </w:t>
      </w:r>
      <w:proofErr w:type="spellStart"/>
      <w:r>
        <w:rPr>
          <w:rFonts w:ascii="David" w:hAnsi="David" w:cs="David" w:hint="cs"/>
          <w:sz w:val="24"/>
          <w:szCs w:val="24"/>
          <w:rtl/>
        </w:rPr>
        <w:t>מינא</w:t>
      </w:r>
      <w:proofErr w:type="spellEnd"/>
      <w:r>
        <w:rPr>
          <w:rFonts w:ascii="David" w:hAnsi="David" w:cs="David" w:hint="cs"/>
          <w:sz w:val="24"/>
          <w:szCs w:val="24"/>
          <w:rtl/>
        </w:rPr>
        <w:t xml:space="preserve">? </w:t>
      </w:r>
      <w:r>
        <w:rPr>
          <w:rFonts w:ascii="David" w:hAnsi="David" w:cs="David" w:hint="cs"/>
          <w:sz w:val="24"/>
          <w:szCs w:val="24"/>
          <w:rtl/>
        </w:rPr>
        <w:t xml:space="preserve">להוציאו בדיינים". </w:t>
      </w:r>
      <w:bookmarkStart w:id="1" w:name="_Hlk15028611"/>
    </w:p>
    <w:bookmarkEnd w:id="1"/>
  </w:footnote>
  <w:footnote w:id="46">
    <w:p w14:paraId="1475FAB4" w14:textId="77777777" w:rsidR="00B1280F" w:rsidRPr="00B1280F" w:rsidRDefault="00B1280F" w:rsidP="00B1280F">
      <w:pPr>
        <w:pStyle w:val="a3"/>
        <w:spacing w:line="480" w:lineRule="auto"/>
        <w:rPr>
          <w:rFonts w:ascii="David" w:hAnsi="David" w:cs="David"/>
          <w:sz w:val="24"/>
          <w:szCs w:val="24"/>
          <w:rtl/>
        </w:rPr>
      </w:pPr>
      <w:r>
        <w:rPr>
          <w:rStyle w:val="a5"/>
        </w:rPr>
        <w:footnoteRef/>
      </w:r>
      <w:r>
        <w:rPr>
          <w:rtl/>
        </w:rPr>
        <w:t xml:space="preserve"> </w:t>
      </w:r>
      <w:r w:rsidRPr="00B1280F">
        <w:rPr>
          <w:rFonts w:ascii="David" w:hAnsi="David" w:cs="David"/>
          <w:sz w:val="24"/>
          <w:szCs w:val="24"/>
          <w:rtl/>
        </w:rPr>
        <w:t xml:space="preserve">מהאופן שבו ניסחו חכמים בדורות מאוחרים יותר את שיטתו של ר' יוסי - </w:t>
      </w:r>
    </w:p>
    <w:p w14:paraId="0D1F7C66" w14:textId="00AAB15E" w:rsidR="00B1280F" w:rsidRPr="00B1280F" w:rsidRDefault="00EA05D8" w:rsidP="00B1280F">
      <w:pPr>
        <w:pStyle w:val="a3"/>
        <w:spacing w:line="480" w:lineRule="auto"/>
        <w:rPr>
          <w:rFonts w:ascii="David" w:hAnsi="David" w:cs="David"/>
          <w:sz w:val="24"/>
          <w:szCs w:val="24"/>
          <w:rtl/>
        </w:rPr>
      </w:pPr>
      <w:r>
        <w:rPr>
          <w:rFonts w:ascii="SBL Greek" w:hAnsi="SBL Greek" w:cs="David"/>
          <w:sz w:val="24"/>
          <w:szCs w:val="24"/>
        </w:rPr>
        <w:t>‘</w:t>
      </w:r>
      <w:r w:rsidR="00B1280F" w:rsidRPr="00B1280F">
        <w:rPr>
          <w:rFonts w:ascii="David" w:hAnsi="David" w:cs="David"/>
          <w:sz w:val="24"/>
          <w:szCs w:val="24"/>
        </w:rPr>
        <w:t>The sages have made those who are not allowed - to be permitted</w:t>
      </w:r>
      <w:r>
        <w:rPr>
          <w:rFonts w:ascii="SBL Greek" w:hAnsi="SBL Greek" w:cs="David"/>
          <w:sz w:val="24"/>
          <w:szCs w:val="24"/>
        </w:rPr>
        <w:t>’</w:t>
      </w:r>
      <w:r w:rsidR="00B1280F" w:rsidRPr="00B1280F">
        <w:rPr>
          <w:rFonts w:ascii="David" w:hAnsi="David" w:cs="David"/>
          <w:sz w:val="24"/>
          <w:szCs w:val="24"/>
        </w:rPr>
        <w:t xml:space="preserve">. (see </w:t>
      </w:r>
      <w:proofErr w:type="spellStart"/>
      <w:r w:rsidR="00B1280F" w:rsidRPr="00B1280F">
        <w:rPr>
          <w:rFonts w:ascii="David" w:hAnsi="David" w:cs="David"/>
          <w:sz w:val="24"/>
          <w:szCs w:val="24"/>
        </w:rPr>
        <w:t>bGit</w:t>
      </w:r>
      <w:proofErr w:type="spellEnd"/>
      <w:r w:rsidR="00B1280F" w:rsidRPr="00B1280F">
        <w:rPr>
          <w:rFonts w:ascii="David" w:hAnsi="David" w:cs="David"/>
          <w:sz w:val="24"/>
          <w:szCs w:val="24"/>
        </w:rPr>
        <w:t xml:space="preserve">. 30a, </w:t>
      </w:r>
      <w:proofErr w:type="spellStart"/>
      <w:r w:rsidR="00B1280F" w:rsidRPr="00B1280F">
        <w:rPr>
          <w:rFonts w:ascii="David" w:hAnsi="David" w:cs="David"/>
          <w:sz w:val="24"/>
          <w:szCs w:val="24"/>
        </w:rPr>
        <w:t>bBek</w:t>
      </w:r>
      <w:proofErr w:type="spellEnd"/>
      <w:r w:rsidR="00B1280F" w:rsidRPr="00B1280F">
        <w:rPr>
          <w:rFonts w:ascii="David" w:hAnsi="David" w:cs="David"/>
          <w:sz w:val="24"/>
          <w:szCs w:val="24"/>
        </w:rPr>
        <w:t xml:space="preserve">. 18a, </w:t>
      </w:r>
      <w:proofErr w:type="spellStart"/>
      <w:r w:rsidR="00B1280F" w:rsidRPr="00B1280F">
        <w:rPr>
          <w:rFonts w:ascii="David" w:hAnsi="David" w:cs="David"/>
          <w:sz w:val="24"/>
          <w:szCs w:val="24"/>
        </w:rPr>
        <w:t>bB</w:t>
      </w:r>
      <w:proofErr w:type="spellEnd"/>
      <w:r w:rsidR="00B1280F" w:rsidRPr="00B1280F">
        <w:rPr>
          <w:rFonts w:ascii="David" w:hAnsi="David" w:cs="David"/>
          <w:sz w:val="24"/>
          <w:szCs w:val="24"/>
        </w:rPr>
        <w:t xml:space="preserve">. </w:t>
      </w:r>
      <w:proofErr w:type="spellStart"/>
      <w:r w:rsidR="00B1280F" w:rsidRPr="00B1280F">
        <w:rPr>
          <w:rFonts w:ascii="David" w:hAnsi="David" w:cs="David"/>
          <w:sz w:val="24"/>
          <w:szCs w:val="24"/>
        </w:rPr>
        <w:t>Metzi’a</w:t>
      </w:r>
      <w:proofErr w:type="spellEnd"/>
      <w:r w:rsidR="00B1280F" w:rsidRPr="00B1280F">
        <w:rPr>
          <w:rFonts w:ascii="David" w:hAnsi="David" w:cs="David"/>
          <w:sz w:val="24"/>
          <w:szCs w:val="24"/>
        </w:rPr>
        <w:t xml:space="preserve"> 12a-b</w:t>
      </w:r>
      <w:r w:rsidR="00B1280F" w:rsidRPr="00B1280F">
        <w:rPr>
          <w:rFonts w:ascii="David" w:hAnsi="David" w:cs="David"/>
          <w:sz w:val="24"/>
          <w:szCs w:val="24"/>
          <w:rtl/>
        </w:rPr>
        <w:t xml:space="preserve"> -  </w:t>
      </w:r>
    </w:p>
    <w:p w14:paraId="5815872E" w14:textId="0BF40097" w:rsidR="00B1280F" w:rsidRPr="00B1280F" w:rsidRDefault="00B1280F" w:rsidP="00B1280F">
      <w:pPr>
        <w:pStyle w:val="a3"/>
        <w:spacing w:line="480" w:lineRule="auto"/>
        <w:rPr>
          <w:rFonts w:ascii="David" w:hAnsi="David" w:cs="David"/>
          <w:sz w:val="24"/>
          <w:szCs w:val="24"/>
          <w:rtl/>
        </w:rPr>
      </w:pPr>
      <w:r w:rsidRPr="00B1280F">
        <w:rPr>
          <w:rFonts w:ascii="David" w:hAnsi="David" w:cs="David"/>
          <w:sz w:val="24"/>
          <w:szCs w:val="24"/>
          <w:rtl/>
        </w:rPr>
        <w:t>עולה כי לדעתם ר' יוסי אמנם מכופף את הדין הפורמאלי.</w:t>
      </w:r>
    </w:p>
  </w:footnote>
  <w:footnote w:id="47">
    <w:p w14:paraId="62BC45BD" w14:textId="4FCE49F1" w:rsidR="00797FEF" w:rsidRPr="00582487" w:rsidRDefault="00797FEF" w:rsidP="00E468C1">
      <w:pPr>
        <w:pStyle w:val="a3"/>
        <w:spacing w:line="480" w:lineRule="auto"/>
        <w:rPr>
          <w:rFonts w:ascii="David" w:hAnsi="David" w:cs="David"/>
          <w:sz w:val="24"/>
          <w:szCs w:val="24"/>
          <w:rtl/>
        </w:rPr>
      </w:pPr>
      <w:r>
        <w:rPr>
          <w:rStyle w:val="a5"/>
        </w:rPr>
        <w:footnoteRef/>
      </w:r>
      <w:r>
        <w:rPr>
          <w:rtl/>
        </w:rPr>
        <w:t xml:space="preserve"> </w:t>
      </w:r>
      <w:r w:rsidRPr="00242752">
        <w:rPr>
          <w:rFonts w:ascii="David" w:hAnsi="David" w:cs="David"/>
          <w:sz w:val="24"/>
          <w:szCs w:val="24"/>
          <w:rtl/>
        </w:rPr>
        <w:t>על מקומו של ה</w:t>
      </w:r>
      <w:r w:rsidR="00020770">
        <w:rPr>
          <w:rFonts w:ascii="David" w:hAnsi="David" w:cs="David" w:hint="cs"/>
          <w:sz w:val="24"/>
          <w:szCs w:val="24"/>
          <w:rtl/>
        </w:rPr>
        <w:t>"</w:t>
      </w:r>
      <w:r w:rsidRPr="00242752">
        <w:rPr>
          <w:rFonts w:ascii="David" w:hAnsi="David" w:cs="David"/>
          <w:sz w:val="24"/>
          <w:szCs w:val="24"/>
          <w:rtl/>
        </w:rPr>
        <w:t>צדק</w:t>
      </w:r>
      <w:r w:rsidR="00020770">
        <w:rPr>
          <w:rFonts w:ascii="David" w:hAnsi="David" w:cs="David" w:hint="cs"/>
          <w:sz w:val="24"/>
          <w:szCs w:val="24"/>
          <w:rtl/>
        </w:rPr>
        <w:t>"</w:t>
      </w:r>
      <w:r w:rsidRPr="00242752">
        <w:rPr>
          <w:rFonts w:ascii="David" w:hAnsi="David" w:cs="David"/>
          <w:sz w:val="24"/>
          <w:szCs w:val="24"/>
          <w:rtl/>
        </w:rPr>
        <w:t xml:space="preserve"> ב</w:t>
      </w:r>
      <w:r w:rsidR="00020770">
        <w:rPr>
          <w:rFonts w:ascii="David" w:hAnsi="David" w:cs="David" w:hint="cs"/>
          <w:sz w:val="24"/>
          <w:szCs w:val="24"/>
          <w:rtl/>
        </w:rPr>
        <w:t>תפיסת</w:t>
      </w:r>
      <w:r>
        <w:rPr>
          <w:rFonts w:ascii="David" w:hAnsi="David" w:cs="David" w:hint="cs"/>
          <w:sz w:val="24"/>
          <w:szCs w:val="24"/>
          <w:rtl/>
        </w:rPr>
        <w:t>ו ההלכתית של</w:t>
      </w:r>
      <w:r w:rsidRPr="00242752">
        <w:rPr>
          <w:rFonts w:ascii="David" w:hAnsi="David" w:cs="David"/>
          <w:sz w:val="24"/>
          <w:szCs w:val="24"/>
          <w:rtl/>
        </w:rPr>
        <w:t xml:space="preserve"> ר' יוסי ראו</w:t>
      </w:r>
      <w:r>
        <w:rPr>
          <w:rFonts w:hint="cs"/>
          <w:rtl/>
        </w:rPr>
        <w:t xml:space="preserve"> </w:t>
      </w:r>
      <w:r w:rsidRPr="00242752">
        <w:rPr>
          <w:rFonts w:asciiTheme="majorBidi" w:hAnsiTheme="majorBidi" w:cstheme="majorBidi"/>
          <w:sz w:val="24"/>
          <w:szCs w:val="24"/>
        </w:rPr>
        <w:t>Avigdor Unna</w:t>
      </w:r>
      <w:r w:rsidRPr="00F91FF9">
        <w:rPr>
          <w:rFonts w:asciiTheme="majorBidi" w:hAnsiTheme="majorBidi" w:cstheme="majorBidi"/>
          <w:i/>
          <w:iCs/>
          <w:sz w:val="24"/>
          <w:szCs w:val="24"/>
        </w:rPr>
        <w:t xml:space="preserve">, </w:t>
      </w:r>
      <w:proofErr w:type="spellStart"/>
      <w:r w:rsidRPr="00F91FF9">
        <w:rPr>
          <w:rFonts w:asciiTheme="majorBidi" w:hAnsiTheme="majorBidi" w:cstheme="majorBidi"/>
          <w:i/>
          <w:iCs/>
          <w:sz w:val="24"/>
          <w:szCs w:val="24"/>
        </w:rPr>
        <w:t>Itim</w:t>
      </w:r>
      <w:proofErr w:type="spellEnd"/>
      <w:r w:rsidRPr="00F91FF9">
        <w:rPr>
          <w:rFonts w:asciiTheme="majorBidi" w:hAnsiTheme="majorBidi" w:cstheme="majorBidi"/>
          <w:i/>
          <w:iCs/>
          <w:sz w:val="24"/>
          <w:szCs w:val="24"/>
        </w:rPr>
        <w:t xml:space="preserve"> </w:t>
      </w:r>
      <w:proofErr w:type="spellStart"/>
      <w:r w:rsidRPr="00F91FF9">
        <w:rPr>
          <w:rFonts w:asciiTheme="majorBidi" w:hAnsiTheme="majorBidi" w:cstheme="majorBidi"/>
          <w:i/>
          <w:iCs/>
          <w:sz w:val="24"/>
          <w:szCs w:val="24"/>
        </w:rPr>
        <w:t>Lamishnah</w:t>
      </w:r>
      <w:proofErr w:type="spellEnd"/>
      <w:r w:rsidRPr="00F91FF9">
        <w:rPr>
          <w:rFonts w:asciiTheme="majorBidi" w:hAnsiTheme="majorBidi" w:cstheme="majorBidi"/>
          <w:i/>
          <w:iCs/>
          <w:sz w:val="24"/>
          <w:szCs w:val="24"/>
        </w:rPr>
        <w:t>: Studies in the Six Orders of the Mishnah</w:t>
      </w:r>
      <w:r w:rsidRPr="00242752">
        <w:rPr>
          <w:rFonts w:asciiTheme="majorBidi" w:hAnsiTheme="majorBidi" w:cstheme="majorBidi"/>
          <w:sz w:val="24"/>
          <w:szCs w:val="24"/>
        </w:rPr>
        <w:t>, Jerusa</w:t>
      </w:r>
      <w:r>
        <w:rPr>
          <w:rFonts w:asciiTheme="majorBidi" w:hAnsiTheme="majorBidi" w:cstheme="majorBidi"/>
          <w:sz w:val="24"/>
          <w:szCs w:val="24"/>
        </w:rPr>
        <w:t>l</w:t>
      </w:r>
      <w:r w:rsidRPr="00242752">
        <w:rPr>
          <w:rFonts w:asciiTheme="majorBidi" w:hAnsiTheme="majorBidi" w:cstheme="majorBidi"/>
          <w:sz w:val="24"/>
          <w:szCs w:val="24"/>
        </w:rPr>
        <w:t>em: Rubin Mass Publishers Ltd. 1982, pp. 106-110</w:t>
      </w:r>
      <w:r w:rsidRPr="00242752">
        <w:rPr>
          <w:rFonts w:ascii="David" w:hAnsi="David" w:cs="David"/>
          <w:sz w:val="24"/>
          <w:szCs w:val="24"/>
        </w:rPr>
        <w:t>.</w:t>
      </w:r>
      <w:r>
        <w:rPr>
          <w:rFonts w:ascii="David" w:hAnsi="David" w:cs="David" w:hint="cs"/>
          <w:sz w:val="24"/>
          <w:szCs w:val="24"/>
          <w:rtl/>
        </w:rPr>
        <w:t xml:space="preserve">; ניתוח של </w:t>
      </w:r>
      <w:r w:rsidR="008E658C">
        <w:rPr>
          <w:rFonts w:ascii="David" w:hAnsi="David" w:cs="David" w:hint="cs"/>
          <w:sz w:val="24"/>
          <w:szCs w:val="24"/>
          <w:rtl/>
        </w:rPr>
        <w:t>עמדות דומות</w:t>
      </w:r>
      <w:r w:rsidR="009477B1">
        <w:rPr>
          <w:rFonts w:ascii="David" w:hAnsi="David" w:cs="David" w:hint="cs"/>
          <w:sz w:val="24"/>
          <w:szCs w:val="24"/>
          <w:rtl/>
        </w:rPr>
        <w:t>,</w:t>
      </w:r>
      <w:r w:rsidR="008E658C">
        <w:rPr>
          <w:rFonts w:ascii="David" w:hAnsi="David" w:cs="David" w:hint="cs"/>
          <w:sz w:val="24"/>
          <w:szCs w:val="24"/>
          <w:rtl/>
        </w:rPr>
        <w:t xml:space="preserve"> </w:t>
      </w:r>
      <w:r w:rsidR="003B370D">
        <w:rPr>
          <w:rFonts w:ascii="David" w:hAnsi="David" w:cs="David" w:hint="cs"/>
          <w:sz w:val="24"/>
          <w:szCs w:val="24"/>
          <w:rtl/>
        </w:rPr>
        <w:t xml:space="preserve">במחלוקת </w:t>
      </w:r>
      <w:r w:rsidR="008E658C">
        <w:rPr>
          <w:rFonts w:ascii="David" w:hAnsi="David" w:cs="David" w:hint="cs"/>
          <w:sz w:val="24"/>
          <w:szCs w:val="24"/>
          <w:rtl/>
        </w:rPr>
        <w:t xml:space="preserve">אחרת </w:t>
      </w:r>
      <w:r>
        <w:rPr>
          <w:rFonts w:ascii="David" w:hAnsi="David" w:cs="David" w:hint="cs"/>
          <w:sz w:val="24"/>
          <w:szCs w:val="24"/>
          <w:rtl/>
        </w:rPr>
        <w:t xml:space="preserve">בין ר' יוסי לתנא קמא, </w:t>
      </w:r>
      <w:r w:rsidR="009E13EF">
        <w:rPr>
          <w:rFonts w:ascii="David" w:hAnsi="David" w:cs="David" w:hint="cs"/>
          <w:sz w:val="24"/>
          <w:szCs w:val="24"/>
          <w:rtl/>
        </w:rPr>
        <w:t xml:space="preserve">ראו </w:t>
      </w:r>
      <w:r>
        <w:rPr>
          <w:rFonts w:ascii="David" w:hAnsi="David" w:cs="David" w:hint="cs"/>
          <w:sz w:val="24"/>
          <w:szCs w:val="24"/>
          <w:rtl/>
        </w:rPr>
        <w:t xml:space="preserve">אצל </w:t>
      </w:r>
      <w:r>
        <w:rPr>
          <w:rFonts w:ascii="SBL Greek" w:hAnsi="SBL Greek" w:cs="David"/>
          <w:sz w:val="24"/>
          <w:szCs w:val="24"/>
        </w:rPr>
        <w:t xml:space="preserve">Yair </w:t>
      </w:r>
      <w:proofErr w:type="spellStart"/>
      <w:r>
        <w:rPr>
          <w:rFonts w:ascii="SBL Greek" w:hAnsi="SBL Greek" w:cs="David"/>
          <w:sz w:val="24"/>
          <w:szCs w:val="24"/>
        </w:rPr>
        <w:t>Lorberbum</w:t>
      </w:r>
      <w:proofErr w:type="spellEnd"/>
      <w:r>
        <w:rPr>
          <w:rFonts w:ascii="SBL Greek" w:hAnsi="SBL Greek" w:cs="David"/>
          <w:sz w:val="24"/>
          <w:szCs w:val="24"/>
        </w:rPr>
        <w:t>, “</w:t>
      </w:r>
      <w:r w:rsidRPr="00582487">
        <w:rPr>
          <w:rFonts w:ascii="David" w:hAnsi="David" w:cs="David"/>
          <w:sz w:val="24"/>
          <w:szCs w:val="24"/>
        </w:rPr>
        <w:t>Rules and reasons: A new conceptual framework for examining the reasons for the mitzvot and Halakhot</w:t>
      </w:r>
      <w:r>
        <w:rPr>
          <w:rFonts w:ascii="SBL Greek" w:hAnsi="SBL Greek" w:cs="David"/>
          <w:sz w:val="24"/>
          <w:szCs w:val="24"/>
        </w:rPr>
        <w:t>”</w:t>
      </w:r>
      <w:r>
        <w:rPr>
          <w:rFonts w:ascii="David" w:hAnsi="David" w:cs="David"/>
          <w:sz w:val="24"/>
          <w:szCs w:val="24"/>
        </w:rPr>
        <w:t>, pp. 22-26.</w:t>
      </w:r>
    </w:p>
  </w:footnote>
  <w:footnote w:id="48">
    <w:p w14:paraId="47FB3A37" w14:textId="01E91BBD" w:rsidR="00EF7936" w:rsidRPr="00967D42" w:rsidRDefault="00EF7936" w:rsidP="00B563FB">
      <w:pPr>
        <w:spacing w:line="480" w:lineRule="auto"/>
        <w:rPr>
          <w:rFonts w:ascii="David" w:hAnsi="David" w:cs="David" w:hint="cs"/>
          <w:sz w:val="24"/>
          <w:szCs w:val="24"/>
          <w:rtl/>
        </w:rPr>
      </w:pPr>
      <w:r w:rsidRPr="00967D42">
        <w:rPr>
          <w:rStyle w:val="a5"/>
          <w:rFonts w:ascii="David" w:hAnsi="David" w:cs="David"/>
          <w:sz w:val="24"/>
          <w:szCs w:val="24"/>
        </w:rPr>
        <w:footnoteRef/>
      </w:r>
      <w:r>
        <w:rPr>
          <w:rFonts w:ascii="David" w:hAnsi="David" w:cs="David" w:hint="cs"/>
          <w:sz w:val="24"/>
          <w:szCs w:val="24"/>
          <w:rtl/>
        </w:rPr>
        <w:t xml:space="preserve"> </w:t>
      </w:r>
      <w:r>
        <w:rPr>
          <w:rFonts w:ascii="David" w:hAnsi="David" w:cs="David"/>
          <w:sz w:val="24"/>
          <w:szCs w:val="24"/>
        </w:rPr>
        <w:t>S</w:t>
      </w:r>
      <w:r w:rsidRPr="00FF56D6">
        <w:rPr>
          <w:rFonts w:ascii="David" w:hAnsi="David" w:cs="David"/>
          <w:sz w:val="24"/>
          <w:szCs w:val="24"/>
        </w:rPr>
        <w:t>ee Sagit Mor,"'</w:t>
      </w:r>
      <w:proofErr w:type="spellStart"/>
      <w:r w:rsidRPr="00FF56D6">
        <w:rPr>
          <w:rFonts w:ascii="David" w:hAnsi="David" w:cs="David"/>
          <w:sz w:val="24"/>
          <w:szCs w:val="24"/>
        </w:rPr>
        <w:t>Tiqqun</w:t>
      </w:r>
      <w:proofErr w:type="spellEnd"/>
      <w:r w:rsidRPr="00FF56D6">
        <w:rPr>
          <w:rFonts w:ascii="David" w:hAnsi="David" w:cs="David"/>
          <w:sz w:val="24"/>
          <w:szCs w:val="24"/>
        </w:rPr>
        <w:t xml:space="preserve"> ‘Olam' (Repairing the World) in the Mishnah: From Populating the World to Building a Community," </w:t>
      </w:r>
      <w:r w:rsidRPr="00C209A9">
        <w:rPr>
          <w:rFonts w:ascii="David" w:hAnsi="David" w:cs="David"/>
          <w:i/>
          <w:iCs/>
          <w:sz w:val="24"/>
          <w:szCs w:val="24"/>
        </w:rPr>
        <w:t>Journal of Jewish Studies</w:t>
      </w:r>
      <w:r w:rsidRPr="00FF56D6">
        <w:rPr>
          <w:rFonts w:ascii="David" w:hAnsi="David" w:cs="David"/>
          <w:sz w:val="24"/>
          <w:szCs w:val="24"/>
        </w:rPr>
        <w:t xml:space="preserve"> 62 (2011): 262–283</w:t>
      </w:r>
      <w:r w:rsidR="00E3357F">
        <w:rPr>
          <w:rFonts w:ascii="David" w:hAnsi="David" w:cs="David"/>
          <w:sz w:val="24"/>
          <w:szCs w:val="24"/>
        </w:rPr>
        <w:t xml:space="preserve">. </w:t>
      </w:r>
      <w:r w:rsidR="00DB3A66">
        <w:rPr>
          <w:rFonts w:ascii="Times New Roman" w:eastAsia="Calibri" w:hAnsi="Times New Roman" w:cs="Times New Roman"/>
          <w:sz w:val="24"/>
          <w:szCs w:val="24"/>
          <w:shd w:val="clear" w:color="auto" w:fill="FFFFFF"/>
        </w:rPr>
        <w:t>In briefly, o</w:t>
      </w:r>
      <w:r w:rsidR="00E3357F" w:rsidRPr="005D6FFC">
        <w:rPr>
          <w:rFonts w:ascii="Times New Roman" w:eastAsia="Calibri" w:hAnsi="Times New Roman" w:cs="Times New Roman"/>
          <w:sz w:val="24"/>
          <w:szCs w:val="24"/>
          <w:shd w:val="clear" w:color="auto" w:fill="FFFFFF"/>
        </w:rPr>
        <w:t xml:space="preserve">ne can see that </w:t>
      </w:r>
      <w:r w:rsidR="00E3357F">
        <w:rPr>
          <w:rFonts w:ascii="Times New Roman" w:eastAsia="Calibri" w:hAnsi="Times New Roman" w:cs="Times New Roman"/>
          <w:sz w:val="24"/>
          <w:szCs w:val="24"/>
          <w:shd w:val="clear" w:color="auto" w:fill="FFFFFF"/>
        </w:rPr>
        <w:t>t</w:t>
      </w:r>
      <w:r w:rsidR="00E3357F" w:rsidRPr="005D6FFC">
        <w:rPr>
          <w:rFonts w:ascii="Times New Roman" w:eastAsia="Calibri" w:hAnsi="Times New Roman" w:cs="Times New Roman"/>
          <w:sz w:val="24"/>
          <w:szCs w:val="24"/>
          <w:shd w:val="clear" w:color="auto" w:fill="FFFFFF"/>
        </w:rPr>
        <w:t xml:space="preserve">he editors of the corpus saw interpersonal conflicts as disruptive events that could bring about the social dissolution of the community and plunge it into a primitive state of chaos. The "ways of peace" rules therefore create an additional buttress to strengthen the community (i.e., </w:t>
      </w:r>
      <w:proofErr w:type="spellStart"/>
      <w:r w:rsidR="00E3357F" w:rsidRPr="005D6FFC">
        <w:rPr>
          <w:rFonts w:ascii="Times New Roman" w:eastAsia="Calibri" w:hAnsi="Times New Roman" w:cs="Times New Roman"/>
          <w:sz w:val="24"/>
          <w:szCs w:val="24"/>
          <w:shd w:val="clear" w:color="auto" w:fill="FFFFFF"/>
        </w:rPr>
        <w:t>tikun</w:t>
      </w:r>
      <w:proofErr w:type="spellEnd"/>
      <w:r w:rsidR="00E3357F" w:rsidRPr="005D6FFC">
        <w:rPr>
          <w:rFonts w:ascii="Times New Roman" w:eastAsia="Calibri" w:hAnsi="Times New Roman" w:cs="Times New Roman"/>
          <w:sz w:val="24"/>
          <w:szCs w:val="24"/>
          <w:shd w:val="clear" w:color="auto" w:fill="FFFFFF"/>
        </w:rPr>
        <w:t xml:space="preserve"> ha-‛</w:t>
      </w:r>
      <w:proofErr w:type="spellStart"/>
      <w:r w:rsidR="00E3357F" w:rsidRPr="005D6FFC">
        <w:rPr>
          <w:rFonts w:ascii="Times New Roman" w:eastAsia="Calibri" w:hAnsi="Times New Roman" w:cs="Times New Roman"/>
          <w:sz w:val="24"/>
          <w:szCs w:val="24"/>
          <w:shd w:val="clear" w:color="auto" w:fill="FFFFFF"/>
        </w:rPr>
        <w:t>olam</w:t>
      </w:r>
      <w:proofErr w:type="spellEnd"/>
      <w:r w:rsidR="00E3357F" w:rsidRPr="005D6FFC">
        <w:rPr>
          <w:rFonts w:ascii="Times New Roman" w:eastAsia="Calibri" w:hAnsi="Times New Roman" w:cs="Times New Roman"/>
          <w:sz w:val="24"/>
          <w:szCs w:val="24"/>
          <w:shd w:val="clear" w:color="auto" w:fill="FFFFFF"/>
        </w:rPr>
        <w:t xml:space="preserve">). </w:t>
      </w:r>
    </w:p>
  </w:footnote>
  <w:footnote w:id="49">
    <w:p w14:paraId="4FEDFE6D" w14:textId="680A8B0B" w:rsidR="00B563FB" w:rsidRDefault="00B563FB" w:rsidP="00B563FB">
      <w:pPr>
        <w:pStyle w:val="a3"/>
        <w:spacing w:line="480" w:lineRule="auto"/>
        <w:rPr>
          <w:rFonts w:hint="cs"/>
        </w:rPr>
      </w:pPr>
      <w:r>
        <w:rPr>
          <w:rStyle w:val="a5"/>
        </w:rPr>
        <w:footnoteRef/>
      </w:r>
      <w:r>
        <w:rPr>
          <w:rtl/>
        </w:rPr>
        <w:t xml:space="preserve"> </w:t>
      </w:r>
      <w:r w:rsidRPr="00B563FB">
        <w:rPr>
          <w:rFonts w:ascii="David" w:hAnsi="David" w:cs="David"/>
          <w:sz w:val="24"/>
          <w:szCs w:val="24"/>
          <w:rtl/>
        </w:rPr>
        <w:t xml:space="preserve">אבל ראו את </w:t>
      </w:r>
      <w:r w:rsidR="00D820E6">
        <w:rPr>
          <w:rFonts w:ascii="David" w:hAnsi="David" w:cs="David" w:hint="cs"/>
          <w:sz w:val="24"/>
          <w:szCs w:val="24"/>
          <w:rtl/>
        </w:rPr>
        <w:t xml:space="preserve">דברי </w:t>
      </w:r>
      <w:r w:rsidRPr="00B563FB">
        <w:rPr>
          <w:rFonts w:ascii="David" w:hAnsi="David" w:cs="David"/>
          <w:sz w:val="24"/>
          <w:szCs w:val="24"/>
          <w:rtl/>
        </w:rPr>
        <w:t>בדיון, וכן את השאלות שבהן אני מתכוונת לעסוק בהמשך בסופו של המאמר.</w:t>
      </w:r>
      <w:r>
        <w:rPr>
          <w:rFonts w:hint="cs"/>
          <w:rtl/>
        </w:rPr>
        <w:t xml:space="preserve"> </w:t>
      </w:r>
    </w:p>
  </w:footnote>
  <w:footnote w:id="50">
    <w:p w14:paraId="637805D2" w14:textId="52C9AD34" w:rsidR="00797FEF" w:rsidRPr="00544F7B" w:rsidRDefault="00797FEF" w:rsidP="007E6974">
      <w:pPr>
        <w:spacing w:line="480" w:lineRule="auto"/>
        <w:rPr>
          <w:rFonts w:ascii="David" w:hAnsi="David" w:cs="David"/>
          <w:sz w:val="24"/>
          <w:szCs w:val="24"/>
        </w:rPr>
      </w:pPr>
      <w:r w:rsidRPr="00E21E02">
        <w:rPr>
          <w:rStyle w:val="a5"/>
          <w:rFonts w:ascii="David" w:hAnsi="David" w:cs="David"/>
          <w:sz w:val="24"/>
          <w:szCs w:val="24"/>
        </w:rPr>
        <w:footnoteRef/>
      </w:r>
      <w:r w:rsidRPr="00E21E02">
        <w:rPr>
          <w:rFonts w:ascii="David" w:hAnsi="David" w:cs="David"/>
          <w:sz w:val="24"/>
          <w:szCs w:val="24"/>
          <w:rtl/>
        </w:rPr>
        <w:t xml:space="preserve"> </w:t>
      </w:r>
      <w:r w:rsidRPr="00E21E02">
        <w:rPr>
          <w:rFonts w:ascii="David" w:hAnsi="David" w:cs="David"/>
          <w:sz w:val="24"/>
          <w:szCs w:val="24"/>
          <w:rtl/>
        </w:rPr>
        <w:t xml:space="preserve">ראו </w:t>
      </w:r>
      <w:r>
        <w:rPr>
          <w:rFonts w:ascii="David" w:hAnsi="David" w:cs="David" w:hint="cs"/>
          <w:sz w:val="24"/>
          <w:szCs w:val="24"/>
          <w:rtl/>
        </w:rPr>
        <w:t xml:space="preserve">לעיל, </w:t>
      </w:r>
      <w:r w:rsidRPr="00E21E02">
        <w:rPr>
          <w:rFonts w:ascii="David" w:hAnsi="David" w:cs="David"/>
          <w:sz w:val="24"/>
          <w:szCs w:val="24"/>
          <w:rtl/>
        </w:rPr>
        <w:t>הערה</w:t>
      </w:r>
      <w:r>
        <w:rPr>
          <w:rFonts w:ascii="David" w:hAnsi="David" w:cs="David" w:hint="cs"/>
          <w:sz w:val="24"/>
          <w:szCs w:val="24"/>
          <w:rtl/>
        </w:rPr>
        <w:t xml:space="preserve"> מס' 3</w:t>
      </w:r>
      <w:r w:rsidRPr="00E21E02">
        <w:rPr>
          <w:rFonts w:ascii="David" w:hAnsi="David" w:cs="David"/>
          <w:sz w:val="24"/>
          <w:szCs w:val="24"/>
          <w:rtl/>
        </w:rPr>
        <w:t xml:space="preserve">. </w:t>
      </w:r>
      <w:proofErr w:type="spellStart"/>
      <w:r>
        <w:rPr>
          <w:rFonts w:ascii="David" w:hAnsi="David" w:cs="David" w:hint="cs"/>
          <w:sz w:val="24"/>
          <w:szCs w:val="24"/>
          <w:rtl/>
        </w:rPr>
        <w:t>בתוספתא</w:t>
      </w:r>
      <w:proofErr w:type="spellEnd"/>
      <w:r>
        <w:rPr>
          <w:rFonts w:ascii="David" w:hAnsi="David" w:cs="David" w:hint="cs"/>
          <w:sz w:val="24"/>
          <w:szCs w:val="24"/>
          <w:rtl/>
        </w:rPr>
        <w:t xml:space="preserve"> פסחים ח, </w:t>
      </w:r>
      <w:proofErr w:type="spellStart"/>
      <w:r>
        <w:rPr>
          <w:rFonts w:ascii="David" w:hAnsi="David" w:cs="David" w:hint="cs"/>
          <w:sz w:val="24"/>
          <w:szCs w:val="24"/>
          <w:rtl/>
        </w:rPr>
        <w:t>יג</w:t>
      </w:r>
      <w:proofErr w:type="spellEnd"/>
      <w:r>
        <w:rPr>
          <w:rFonts w:ascii="David" w:hAnsi="David" w:cs="David" w:hint="cs"/>
          <w:sz w:val="24"/>
          <w:szCs w:val="24"/>
          <w:rtl/>
        </w:rPr>
        <w:t xml:space="preserve"> נמצאת דרשתו של רשב"י ללא ההנמקה </w:t>
      </w:r>
      <w:r>
        <w:rPr>
          <w:rFonts w:ascii="Times New Roman" w:hAnsi="Times New Roman" w:cs="Times New Roman"/>
          <w:sz w:val="24"/>
          <w:szCs w:val="24"/>
        </w:rPr>
        <w:t>“</w:t>
      </w:r>
      <w:r w:rsidRPr="00D53DC8">
        <w:rPr>
          <w:rFonts w:ascii="David" w:hAnsi="David" w:cs="David"/>
          <w:sz w:val="24"/>
          <w:szCs w:val="24"/>
        </w:rPr>
        <w:t>For above all, the Torah spoke only because of the ways of peace</w:t>
      </w:r>
      <w:r>
        <w:rPr>
          <w:rFonts w:ascii="Times New Roman" w:hAnsi="Times New Roman" w:cs="Times New Roman"/>
          <w:sz w:val="24"/>
          <w:szCs w:val="24"/>
        </w:rPr>
        <w:t>”</w:t>
      </w:r>
      <w:r>
        <w:rPr>
          <w:rFonts w:ascii="David" w:hAnsi="David" w:cs="David" w:hint="cs"/>
          <w:sz w:val="24"/>
          <w:szCs w:val="24"/>
          <w:rtl/>
        </w:rPr>
        <w:t xml:space="preserve">. במקום זאת מובא הנוסח: וכל כך למה? כדי שלא יניח אדם שכנו וכו' </w:t>
      </w:r>
      <w:r w:rsidRPr="00340E2E">
        <w:rPr>
          <w:rFonts w:ascii="Times New Roman" w:hAnsi="Times New Roman" w:cs="Times New Roman"/>
          <w:sz w:val="24"/>
          <w:szCs w:val="24"/>
          <w:rtl/>
        </w:rPr>
        <w:t xml:space="preserve">[= </w:t>
      </w:r>
      <w:r w:rsidRPr="00340E2E">
        <w:rPr>
          <w:rFonts w:ascii="Times New Roman" w:hAnsi="Times New Roman" w:cs="Times New Roman"/>
          <w:sz w:val="24"/>
          <w:szCs w:val="24"/>
        </w:rPr>
        <w:t>and so why</w:t>
      </w:r>
      <w:r w:rsidRPr="00340E2E">
        <w:rPr>
          <w:rFonts w:ascii="Times New Roman" w:hAnsi="Times New Roman" w:cs="Times New Roman"/>
          <w:sz w:val="24"/>
          <w:szCs w:val="24"/>
          <w:rtl/>
        </w:rPr>
        <w:t>].</w:t>
      </w:r>
      <w:r>
        <w:rPr>
          <w:rFonts w:ascii="David" w:hAnsi="David" w:cs="David" w:hint="cs"/>
          <w:sz w:val="24"/>
          <w:szCs w:val="24"/>
          <w:rtl/>
        </w:rPr>
        <w:t xml:space="preserve"> ראו </w:t>
      </w:r>
      <w:r w:rsidRPr="00FE2856">
        <w:rPr>
          <w:rFonts w:ascii="Times New Roman" w:hAnsi="Times New Roman" w:cs="Estrangelo Edessa"/>
          <w:sz w:val="24"/>
          <w:szCs w:val="24"/>
          <w:lang w:bidi="syr-SY"/>
        </w:rPr>
        <w:t>Saul Liberman</w:t>
      </w:r>
      <w:r w:rsidRPr="00864E20">
        <w:rPr>
          <w:rFonts w:ascii="David" w:hAnsi="David" w:cs="David"/>
          <w:i/>
          <w:iCs/>
          <w:sz w:val="24"/>
          <w:szCs w:val="24"/>
        </w:rPr>
        <w:t xml:space="preserve">, The </w:t>
      </w:r>
      <w:proofErr w:type="spellStart"/>
      <w:r w:rsidRPr="00864E20">
        <w:rPr>
          <w:rFonts w:ascii="David" w:hAnsi="David" w:cs="David"/>
          <w:i/>
          <w:iCs/>
          <w:sz w:val="24"/>
          <w:szCs w:val="24"/>
        </w:rPr>
        <w:t>Tosefta</w:t>
      </w:r>
      <w:proofErr w:type="spellEnd"/>
      <w:r w:rsidRPr="00864E20">
        <w:rPr>
          <w:rFonts w:ascii="David" w:hAnsi="David" w:cs="David"/>
          <w:i/>
          <w:iCs/>
          <w:sz w:val="24"/>
          <w:szCs w:val="24"/>
        </w:rPr>
        <w:t>: According to codex Vienna, With Variants From Codices Erfurt, London, Genizah Mss. And Edition Princeps (Venice 1521)</w:t>
      </w:r>
      <w:r>
        <w:rPr>
          <w:rFonts w:ascii="David" w:hAnsi="David" w:cs="David"/>
          <w:sz w:val="24"/>
          <w:szCs w:val="24"/>
        </w:rPr>
        <w:t xml:space="preserve">, New York: The Jewish theological Seminary of America, 1962, </w:t>
      </w:r>
      <w:proofErr w:type="gramStart"/>
      <w:r>
        <w:rPr>
          <w:rFonts w:ascii="David" w:hAnsi="David" w:cs="David"/>
          <w:sz w:val="24"/>
          <w:szCs w:val="24"/>
        </w:rPr>
        <w:t>187.</w:t>
      </w:r>
      <w:r>
        <w:rPr>
          <w:rFonts w:ascii="David" w:hAnsi="David" w:cs="David" w:hint="cs"/>
          <w:sz w:val="24"/>
          <w:szCs w:val="24"/>
          <w:rtl/>
        </w:rPr>
        <w:t>.</w:t>
      </w:r>
      <w:proofErr w:type="gramEnd"/>
      <w:r>
        <w:rPr>
          <w:rFonts w:ascii="David" w:hAnsi="David" w:cs="David" w:hint="cs"/>
          <w:sz w:val="24"/>
          <w:szCs w:val="24"/>
          <w:rtl/>
        </w:rPr>
        <w:t xml:space="preserve"> </w:t>
      </w:r>
      <w:r w:rsidRPr="00AA6E68">
        <w:rPr>
          <w:rFonts w:ascii="David" w:hAnsi="David" w:cs="David"/>
          <w:sz w:val="24"/>
          <w:szCs w:val="24"/>
          <w:rtl/>
        </w:rPr>
        <w:t xml:space="preserve">בשיחה </w:t>
      </w:r>
      <w:r>
        <w:rPr>
          <w:rFonts w:ascii="David" w:hAnsi="David" w:cs="David" w:hint="cs"/>
          <w:sz w:val="24"/>
          <w:szCs w:val="24"/>
          <w:rtl/>
        </w:rPr>
        <w:t xml:space="preserve">שהתקיימה ביננו </w:t>
      </w:r>
      <w:r w:rsidRPr="00AA6E68">
        <w:rPr>
          <w:rFonts w:ascii="David" w:hAnsi="David" w:cs="David"/>
          <w:sz w:val="24"/>
          <w:szCs w:val="24"/>
          <w:rtl/>
        </w:rPr>
        <w:t xml:space="preserve">טען פרופסור מנחם כהנא שלפנינו שתי מסורות סגנוניות של דברי ר' שמעון, כפי שנפוץ מאוד במקורות </w:t>
      </w:r>
      <w:proofErr w:type="spellStart"/>
      <w:r w:rsidRPr="00AA6E68">
        <w:rPr>
          <w:rFonts w:ascii="David" w:hAnsi="David" w:cs="David"/>
          <w:sz w:val="24"/>
          <w:szCs w:val="24"/>
          <w:rtl/>
        </w:rPr>
        <w:t>התנאיים</w:t>
      </w:r>
      <w:proofErr w:type="spellEnd"/>
      <w:r w:rsidRPr="00AA6E68">
        <w:rPr>
          <w:rFonts w:ascii="David" w:hAnsi="David" w:cs="David"/>
          <w:sz w:val="24"/>
          <w:szCs w:val="24"/>
          <w:rtl/>
        </w:rPr>
        <w:t>. לדבריו</w:t>
      </w:r>
      <w:r>
        <w:rPr>
          <w:rFonts w:ascii="David" w:hAnsi="David" w:cs="David" w:hint="cs"/>
          <w:sz w:val="24"/>
          <w:szCs w:val="24"/>
          <w:rtl/>
        </w:rPr>
        <w:t>,</w:t>
      </w:r>
      <w:r w:rsidRPr="00AA6E68">
        <w:rPr>
          <w:rFonts w:ascii="David" w:hAnsi="David" w:cs="David"/>
          <w:sz w:val="24"/>
          <w:szCs w:val="24"/>
          <w:rtl/>
        </w:rPr>
        <w:t xml:space="preserve"> אין לחשוד </w:t>
      </w:r>
      <w:r w:rsidR="00811354">
        <w:rPr>
          <w:rFonts w:ascii="David" w:hAnsi="David" w:cs="David" w:hint="cs"/>
          <w:sz w:val="24"/>
          <w:szCs w:val="24"/>
          <w:rtl/>
        </w:rPr>
        <w:t xml:space="preserve">כי </w:t>
      </w:r>
      <w:r w:rsidRPr="00AA6E68">
        <w:rPr>
          <w:rFonts w:ascii="David" w:hAnsi="David" w:cs="David"/>
          <w:sz w:val="24"/>
          <w:szCs w:val="24"/>
          <w:rtl/>
        </w:rPr>
        <w:t xml:space="preserve">הטענה המטה-הלכתית </w:t>
      </w:r>
      <w:r w:rsidR="00665CE0" w:rsidRPr="00665CE0">
        <w:rPr>
          <w:rFonts w:ascii="David" w:hAnsi="David" w:cs="David"/>
          <w:sz w:val="24"/>
          <w:szCs w:val="24"/>
          <w:rtl/>
        </w:rPr>
        <w:t xml:space="preserve">במסורת המכילתא </w:t>
      </w:r>
      <w:r w:rsidRPr="00AA6E68">
        <w:rPr>
          <w:rFonts w:ascii="David" w:hAnsi="David" w:cs="David"/>
          <w:sz w:val="24"/>
          <w:szCs w:val="24"/>
          <w:rtl/>
        </w:rPr>
        <w:t>אינה מדברי ר' שמעון עצמו (אלא פרשנות מאוחרת לדבריו).</w:t>
      </w:r>
    </w:p>
  </w:footnote>
  <w:footnote w:id="51">
    <w:p w14:paraId="5405CFB1" w14:textId="0CB3D318" w:rsidR="001B25B6" w:rsidRPr="001B25B6" w:rsidRDefault="001B25B6" w:rsidP="005C4223">
      <w:pPr>
        <w:pStyle w:val="a3"/>
        <w:spacing w:line="480" w:lineRule="auto"/>
        <w:rPr>
          <w:rtl/>
        </w:rPr>
      </w:pPr>
      <w:r>
        <w:rPr>
          <w:rStyle w:val="a5"/>
        </w:rPr>
        <w:footnoteRef/>
      </w:r>
      <w:r>
        <w:rPr>
          <w:rtl/>
        </w:rPr>
        <w:t xml:space="preserve"> </w:t>
      </w:r>
      <w:r w:rsidRPr="005C4223">
        <w:rPr>
          <w:rFonts w:ascii="David" w:hAnsi="David" w:cs="David"/>
          <w:sz w:val="24"/>
          <w:szCs w:val="24"/>
          <w:rtl/>
        </w:rPr>
        <w:t>בעברית הנוסח הוא "שכנו". אני סוטה כאן מן התרגום של המקרא, ומעדיפה את תרגום המכילתא</w:t>
      </w:r>
      <w:r w:rsidR="001B1DBB">
        <w:rPr>
          <w:rFonts w:ascii="David" w:hAnsi="David" w:cs="David" w:hint="cs"/>
          <w:sz w:val="24"/>
          <w:szCs w:val="24"/>
          <w:rtl/>
        </w:rPr>
        <w:t>,</w:t>
      </w:r>
      <w:r w:rsidRPr="005C4223">
        <w:rPr>
          <w:rFonts w:ascii="David" w:hAnsi="David" w:cs="David"/>
          <w:sz w:val="24"/>
          <w:szCs w:val="24"/>
          <w:rtl/>
        </w:rPr>
        <w:t xml:space="preserve"> שהוא מדויק יותר ביחס למילות הפסוק החשובות לעניינו.</w:t>
      </w:r>
    </w:p>
  </w:footnote>
  <w:footnote w:id="52">
    <w:p w14:paraId="661B7B6E" w14:textId="77777777" w:rsidR="00797FEF" w:rsidRPr="008040DC" w:rsidRDefault="00797FEF" w:rsidP="00E468C1">
      <w:pPr>
        <w:pStyle w:val="a3"/>
        <w:spacing w:line="480" w:lineRule="auto"/>
        <w:rPr>
          <w:rFonts w:ascii="David" w:hAnsi="David" w:cs="David"/>
          <w:sz w:val="24"/>
          <w:szCs w:val="24"/>
          <w:rtl/>
        </w:rPr>
      </w:pPr>
      <w:r>
        <w:rPr>
          <w:rStyle w:val="a5"/>
        </w:rPr>
        <w:footnoteRef/>
      </w:r>
      <w:r>
        <w:rPr>
          <w:rtl/>
        </w:rPr>
        <w:t xml:space="preserve"> </w:t>
      </w:r>
      <w:r w:rsidRPr="008040DC">
        <w:rPr>
          <w:rFonts w:ascii="David" w:hAnsi="David" w:cs="David"/>
          <w:sz w:val="24"/>
          <w:szCs w:val="24"/>
          <w:rtl/>
        </w:rPr>
        <w:t xml:space="preserve">התרגום מתבסס על </w:t>
      </w:r>
      <w:r w:rsidRPr="008040DC">
        <w:rPr>
          <w:rFonts w:ascii="David" w:hAnsi="David" w:cs="David"/>
          <w:sz w:val="24"/>
          <w:szCs w:val="24"/>
        </w:rPr>
        <w:t>W</w:t>
      </w:r>
      <w:r>
        <w:rPr>
          <w:rFonts w:ascii="David" w:hAnsi="David" w:cs="David"/>
          <w:sz w:val="24"/>
          <w:szCs w:val="24"/>
        </w:rPr>
        <w:t>.</w:t>
      </w:r>
      <w:r w:rsidRPr="008040DC">
        <w:rPr>
          <w:rFonts w:ascii="David" w:hAnsi="David" w:cs="David"/>
          <w:sz w:val="24"/>
          <w:szCs w:val="24"/>
        </w:rPr>
        <w:t xml:space="preserve"> David Nelson, </w:t>
      </w:r>
      <w:proofErr w:type="spellStart"/>
      <w:r w:rsidRPr="00845A98">
        <w:rPr>
          <w:rFonts w:ascii="David" w:hAnsi="David" w:cs="David"/>
          <w:i/>
          <w:iCs/>
          <w:sz w:val="24"/>
          <w:szCs w:val="24"/>
        </w:rPr>
        <w:t>Mekhilta</w:t>
      </w:r>
      <w:proofErr w:type="spellEnd"/>
      <w:r w:rsidRPr="00845A98">
        <w:rPr>
          <w:rFonts w:ascii="David" w:hAnsi="David" w:cs="David"/>
          <w:i/>
          <w:iCs/>
          <w:sz w:val="24"/>
          <w:szCs w:val="24"/>
        </w:rPr>
        <w:t xml:space="preserve"> De-Rabbi Shimon Bar </w:t>
      </w:r>
      <w:proofErr w:type="spellStart"/>
      <w:r w:rsidRPr="00845A98">
        <w:rPr>
          <w:rFonts w:ascii="David" w:hAnsi="David" w:cs="David"/>
          <w:i/>
          <w:iCs/>
          <w:sz w:val="24"/>
          <w:szCs w:val="24"/>
        </w:rPr>
        <w:t>Yohai</w:t>
      </w:r>
      <w:proofErr w:type="spellEnd"/>
      <w:r w:rsidRPr="00845A98">
        <w:rPr>
          <w:rFonts w:ascii="David" w:hAnsi="David" w:cs="David"/>
          <w:i/>
          <w:iCs/>
          <w:sz w:val="24"/>
          <w:szCs w:val="24"/>
        </w:rPr>
        <w:t>: Translated into English, With Critical Introduction and Annotation</w:t>
      </w:r>
      <w:r w:rsidRPr="008040DC">
        <w:rPr>
          <w:rFonts w:ascii="David" w:hAnsi="David" w:cs="David"/>
          <w:sz w:val="24"/>
          <w:szCs w:val="24"/>
        </w:rPr>
        <w:t>, Philadelphia:  The Jewish Publication Society, 2006</w:t>
      </w:r>
      <w:r>
        <w:rPr>
          <w:rFonts w:ascii="David" w:hAnsi="David" w:cs="David"/>
          <w:sz w:val="24"/>
          <w:szCs w:val="24"/>
        </w:rPr>
        <w:t>, p.</w:t>
      </w:r>
      <w:r w:rsidRPr="008040DC">
        <w:rPr>
          <w:rFonts w:ascii="David" w:hAnsi="David" w:cs="David"/>
          <w:sz w:val="24"/>
          <w:szCs w:val="24"/>
        </w:rPr>
        <w:t>16.</w:t>
      </w:r>
    </w:p>
    <w:p w14:paraId="475B0879" w14:textId="6549F757" w:rsidR="00797FEF" w:rsidRPr="00152712" w:rsidRDefault="00797FEF" w:rsidP="00E468C1">
      <w:pPr>
        <w:pStyle w:val="a3"/>
        <w:spacing w:line="480" w:lineRule="auto"/>
      </w:pPr>
      <w:r w:rsidRPr="008040DC">
        <w:rPr>
          <w:rFonts w:ascii="David" w:hAnsi="David" w:cs="David"/>
          <w:sz w:val="24"/>
          <w:szCs w:val="24"/>
          <w:rtl/>
        </w:rPr>
        <w:t xml:space="preserve">התרגום מבוסס בחלקו על קטע הגניזה </w:t>
      </w:r>
      <w:r w:rsidRPr="008040DC">
        <w:rPr>
          <w:rFonts w:ascii="Times New Roman" w:hAnsi="Times New Roman" w:cs="Times New Roman"/>
          <w:sz w:val="24"/>
          <w:szCs w:val="24"/>
        </w:rPr>
        <w:t>Manuscript Antonin  236.1</w:t>
      </w:r>
      <w:r w:rsidRPr="008040DC">
        <w:rPr>
          <w:rFonts w:ascii="David" w:hAnsi="David" w:cs="David"/>
          <w:sz w:val="24"/>
          <w:szCs w:val="24"/>
          <w:rtl/>
        </w:rPr>
        <w:t>. שינויים קלים תורגמו על ידי בהתאמה לאמור בעברית בקטע הגניזה</w:t>
      </w:r>
      <w:r>
        <w:rPr>
          <w:rFonts w:hint="cs"/>
          <w:rtl/>
        </w:rPr>
        <w:t xml:space="preserve"> </w:t>
      </w:r>
      <w:r w:rsidRPr="008040DC">
        <w:rPr>
          <w:rFonts w:ascii="Times New Roman" w:hAnsi="Times New Roman" w:cs="Times New Roman"/>
          <w:sz w:val="24"/>
          <w:szCs w:val="24"/>
        </w:rPr>
        <w:t xml:space="preserve"> New York JTS ENA 1340.4</w:t>
      </w:r>
    </w:p>
  </w:footnote>
  <w:footnote w:id="53">
    <w:p w14:paraId="43F5DE7E" w14:textId="2134EB7F" w:rsidR="00797FEF" w:rsidRPr="00376B0F" w:rsidRDefault="00797FEF" w:rsidP="00E468C1">
      <w:pPr>
        <w:pStyle w:val="a3"/>
        <w:spacing w:line="480" w:lineRule="auto"/>
        <w:rPr>
          <w:rFonts w:ascii="David" w:hAnsi="David" w:cs="David"/>
          <w:sz w:val="24"/>
          <w:szCs w:val="24"/>
          <w:rtl/>
        </w:rPr>
      </w:pPr>
      <w:r w:rsidRPr="00376B0F">
        <w:rPr>
          <w:rStyle w:val="a5"/>
          <w:rFonts w:ascii="David" w:hAnsi="David" w:cs="David"/>
          <w:sz w:val="24"/>
          <w:szCs w:val="24"/>
        </w:rPr>
        <w:footnoteRef/>
      </w:r>
      <w:r w:rsidRPr="00376B0F">
        <w:rPr>
          <w:rFonts w:ascii="David" w:hAnsi="David" w:cs="David"/>
          <w:sz w:val="24"/>
          <w:szCs w:val="24"/>
          <w:rtl/>
        </w:rPr>
        <w:t xml:space="preserve"> </w:t>
      </w:r>
      <w:r w:rsidR="00505E1C">
        <w:rPr>
          <w:rFonts w:ascii="David" w:hAnsi="David" w:cs="David" w:hint="cs"/>
          <w:sz w:val="24"/>
          <w:szCs w:val="24"/>
          <w:rtl/>
        </w:rPr>
        <w:t>מ</w:t>
      </w:r>
      <w:r>
        <w:rPr>
          <w:rFonts w:ascii="David" w:hAnsi="David" w:cs="David" w:hint="cs"/>
          <w:sz w:val="24"/>
          <w:szCs w:val="24"/>
          <w:rtl/>
        </w:rPr>
        <w:t xml:space="preserve">מיקומו של הפסוק </w:t>
      </w:r>
      <w:r w:rsidR="00DF4640">
        <w:rPr>
          <w:rFonts w:ascii="David" w:hAnsi="David" w:cs="David" w:hint="cs"/>
          <w:sz w:val="24"/>
          <w:szCs w:val="24"/>
          <w:rtl/>
        </w:rPr>
        <w:t>במקרא</w:t>
      </w:r>
      <w:r w:rsidR="00505E1C">
        <w:rPr>
          <w:rFonts w:ascii="David" w:hAnsi="David" w:cs="David" w:hint="cs"/>
          <w:sz w:val="24"/>
          <w:szCs w:val="24"/>
          <w:rtl/>
        </w:rPr>
        <w:t xml:space="preserve"> נראה שהוא מדבר </w:t>
      </w:r>
      <w:r>
        <w:rPr>
          <w:rFonts w:ascii="David" w:hAnsi="David" w:cs="David" w:hint="cs"/>
          <w:sz w:val="24"/>
          <w:szCs w:val="24"/>
          <w:rtl/>
        </w:rPr>
        <w:t>ב</w:t>
      </w:r>
      <w:r w:rsidR="00505E1C">
        <w:rPr>
          <w:rFonts w:ascii="David" w:hAnsi="David" w:cs="David" w:hint="cs"/>
          <w:sz w:val="24"/>
          <w:szCs w:val="24"/>
          <w:rtl/>
        </w:rPr>
        <w:t>'</w:t>
      </w:r>
      <w:r>
        <w:rPr>
          <w:rFonts w:ascii="David" w:hAnsi="David" w:cs="David" w:hint="cs"/>
          <w:sz w:val="24"/>
          <w:szCs w:val="24"/>
          <w:rtl/>
        </w:rPr>
        <w:t>פסח מצרים</w:t>
      </w:r>
      <w:r w:rsidR="00505E1C">
        <w:rPr>
          <w:rFonts w:ascii="David" w:hAnsi="David" w:cs="David" w:hint="cs"/>
          <w:sz w:val="24"/>
          <w:szCs w:val="24"/>
          <w:rtl/>
        </w:rPr>
        <w:t>'</w:t>
      </w:r>
      <w:r>
        <w:rPr>
          <w:rFonts w:ascii="David" w:hAnsi="David" w:cs="David" w:hint="cs"/>
          <w:sz w:val="24"/>
          <w:szCs w:val="24"/>
          <w:rtl/>
        </w:rPr>
        <w:t xml:space="preserve">. בכל זאת ר' יהודה הנשיא חש צורך להדגיש כי </w:t>
      </w:r>
      <w:r w:rsidR="00674581">
        <w:rPr>
          <w:rFonts w:ascii="David" w:hAnsi="David" w:cs="David" w:hint="cs"/>
          <w:sz w:val="24"/>
          <w:szCs w:val="24"/>
          <w:rtl/>
        </w:rPr>
        <w:t xml:space="preserve">בכך </w:t>
      </w:r>
      <w:r>
        <w:rPr>
          <w:rFonts w:ascii="David" w:hAnsi="David" w:cs="David" w:hint="cs"/>
          <w:sz w:val="24"/>
          <w:szCs w:val="24"/>
          <w:rtl/>
        </w:rPr>
        <w:t xml:space="preserve">מדובר. בן בג </w:t>
      </w:r>
      <w:proofErr w:type="spellStart"/>
      <w:r>
        <w:rPr>
          <w:rFonts w:ascii="David" w:hAnsi="David" w:cs="David" w:hint="cs"/>
          <w:sz w:val="24"/>
          <w:szCs w:val="24"/>
          <w:rtl/>
        </w:rPr>
        <w:t>בג</w:t>
      </w:r>
      <w:proofErr w:type="spellEnd"/>
      <w:r>
        <w:rPr>
          <w:rFonts w:ascii="David" w:hAnsi="David" w:cs="David" w:hint="cs"/>
          <w:sz w:val="24"/>
          <w:szCs w:val="24"/>
          <w:rtl/>
        </w:rPr>
        <w:t xml:space="preserve"> לא מתייחס לשאלה באיזה פסח מדובר</w:t>
      </w:r>
      <w:r w:rsidR="00674581">
        <w:rPr>
          <w:rFonts w:ascii="David" w:hAnsi="David" w:cs="David" w:hint="cs"/>
          <w:sz w:val="24"/>
          <w:szCs w:val="24"/>
          <w:rtl/>
        </w:rPr>
        <w:t>.</w:t>
      </w:r>
      <w:r>
        <w:rPr>
          <w:rFonts w:ascii="David" w:hAnsi="David" w:cs="David" w:hint="cs"/>
          <w:sz w:val="24"/>
          <w:szCs w:val="24"/>
          <w:rtl/>
        </w:rPr>
        <w:t xml:space="preserve"> מעריכת דבריו </w:t>
      </w:r>
      <w:r w:rsidR="006C1FAD">
        <w:rPr>
          <w:rFonts w:ascii="David" w:hAnsi="David" w:cs="David" w:hint="cs"/>
          <w:sz w:val="24"/>
          <w:szCs w:val="24"/>
          <w:rtl/>
        </w:rPr>
        <w:t xml:space="preserve">במכילתא </w:t>
      </w:r>
      <w:r>
        <w:rPr>
          <w:rFonts w:ascii="David" w:hAnsi="David" w:cs="David" w:hint="cs"/>
          <w:sz w:val="24"/>
          <w:szCs w:val="24"/>
          <w:rtl/>
        </w:rPr>
        <w:t xml:space="preserve">לפני דברי ר' יהודה הנשיא </w:t>
      </w:r>
      <w:r w:rsidR="00180B37">
        <w:rPr>
          <w:rFonts w:ascii="David" w:hAnsi="David" w:cs="David" w:hint="cs"/>
          <w:sz w:val="24"/>
          <w:szCs w:val="24"/>
          <w:rtl/>
        </w:rPr>
        <w:t>נוצר</w:t>
      </w:r>
      <w:r w:rsidR="00674581">
        <w:rPr>
          <w:rFonts w:ascii="David" w:hAnsi="David" w:cs="David" w:hint="cs"/>
          <w:sz w:val="24"/>
          <w:szCs w:val="24"/>
          <w:rtl/>
        </w:rPr>
        <w:t>,</w:t>
      </w:r>
      <w:r w:rsidR="00180B37">
        <w:rPr>
          <w:rFonts w:ascii="David" w:hAnsi="David" w:cs="David" w:hint="cs"/>
          <w:sz w:val="24"/>
          <w:szCs w:val="24"/>
          <w:rtl/>
        </w:rPr>
        <w:t xml:space="preserve"> </w:t>
      </w:r>
      <w:r w:rsidR="00953142">
        <w:rPr>
          <w:rFonts w:ascii="David" w:hAnsi="David" w:cs="David" w:hint="cs"/>
          <w:sz w:val="24"/>
          <w:szCs w:val="24"/>
          <w:rtl/>
        </w:rPr>
        <w:t>לכאורה</w:t>
      </w:r>
      <w:r w:rsidR="00674581">
        <w:rPr>
          <w:rFonts w:ascii="David" w:hAnsi="David" w:cs="David" w:hint="cs"/>
          <w:sz w:val="24"/>
          <w:szCs w:val="24"/>
          <w:rtl/>
        </w:rPr>
        <w:t>,</w:t>
      </w:r>
      <w:r w:rsidR="00953142">
        <w:rPr>
          <w:rFonts w:ascii="David" w:hAnsi="David" w:cs="David" w:hint="cs"/>
          <w:sz w:val="24"/>
          <w:szCs w:val="24"/>
          <w:rtl/>
        </w:rPr>
        <w:t xml:space="preserve"> </w:t>
      </w:r>
      <w:r w:rsidR="006C3255">
        <w:rPr>
          <w:rFonts w:ascii="David" w:hAnsi="David" w:cs="David" w:hint="cs"/>
          <w:sz w:val="24"/>
          <w:szCs w:val="24"/>
          <w:rtl/>
        </w:rPr>
        <w:t>הרושם ש</w:t>
      </w:r>
      <w:r>
        <w:rPr>
          <w:rFonts w:ascii="David" w:hAnsi="David" w:cs="David" w:hint="cs"/>
          <w:sz w:val="24"/>
          <w:szCs w:val="24"/>
          <w:rtl/>
        </w:rPr>
        <w:t xml:space="preserve">הוא </w:t>
      </w:r>
      <w:r w:rsidR="00AE65B3">
        <w:rPr>
          <w:rFonts w:ascii="David" w:hAnsi="David" w:cs="David" w:hint="cs"/>
          <w:sz w:val="24"/>
          <w:szCs w:val="24"/>
          <w:rtl/>
        </w:rPr>
        <w:t>מדבר ב</w:t>
      </w:r>
      <w:r>
        <w:rPr>
          <w:rFonts w:ascii="David" w:hAnsi="David" w:cs="David" w:hint="cs"/>
          <w:sz w:val="24"/>
          <w:szCs w:val="24"/>
          <w:rtl/>
        </w:rPr>
        <w:t xml:space="preserve">פסח מצרים. </w:t>
      </w:r>
      <w:r w:rsidRPr="00376B0F">
        <w:rPr>
          <w:rFonts w:ascii="David" w:hAnsi="David" w:cs="David"/>
          <w:sz w:val="24"/>
          <w:szCs w:val="24"/>
          <w:rtl/>
        </w:rPr>
        <w:t xml:space="preserve">וראו גם </w:t>
      </w:r>
      <w:proofErr w:type="spellStart"/>
      <w:r w:rsidRPr="00376B0F">
        <w:rPr>
          <w:rFonts w:ascii="David" w:hAnsi="David" w:cs="David"/>
          <w:sz w:val="24"/>
          <w:szCs w:val="24"/>
          <w:rtl/>
        </w:rPr>
        <w:t>תוספתא</w:t>
      </w:r>
      <w:proofErr w:type="spellEnd"/>
      <w:r w:rsidRPr="00376B0F">
        <w:rPr>
          <w:rFonts w:ascii="David" w:hAnsi="David" w:cs="David"/>
          <w:sz w:val="24"/>
          <w:szCs w:val="24"/>
          <w:rtl/>
        </w:rPr>
        <w:t xml:space="preserve"> מסכת פסחים  ח, </w:t>
      </w:r>
      <w:proofErr w:type="spellStart"/>
      <w:r w:rsidRPr="00376B0F">
        <w:rPr>
          <w:rFonts w:ascii="David" w:hAnsi="David" w:cs="David"/>
          <w:sz w:val="24"/>
          <w:szCs w:val="24"/>
          <w:rtl/>
        </w:rPr>
        <w:t>יב</w:t>
      </w:r>
      <w:proofErr w:type="spellEnd"/>
      <w:r w:rsidRPr="00376B0F">
        <w:rPr>
          <w:rFonts w:ascii="David" w:hAnsi="David" w:cs="David"/>
          <w:sz w:val="24"/>
          <w:szCs w:val="24"/>
          <w:rtl/>
        </w:rPr>
        <w:t xml:space="preserve">: "פסח מצרים </w:t>
      </w:r>
      <w:proofErr w:type="spellStart"/>
      <w:r w:rsidRPr="00376B0F">
        <w:rPr>
          <w:rFonts w:ascii="David" w:hAnsi="David" w:cs="David"/>
          <w:sz w:val="24"/>
          <w:szCs w:val="24"/>
          <w:rtl/>
        </w:rPr>
        <w:t>נאמ</w:t>
      </w:r>
      <w:proofErr w:type="spellEnd"/>
      <w:r w:rsidRPr="00376B0F">
        <w:rPr>
          <w:rFonts w:ascii="David" w:hAnsi="David" w:cs="David"/>
          <w:sz w:val="24"/>
          <w:szCs w:val="24"/>
          <w:rtl/>
        </w:rPr>
        <w:t xml:space="preserve">' בו ולקח הוא ושכנו וגו' מה שאין כן בפסח דורות". </w:t>
      </w:r>
    </w:p>
    <w:p w14:paraId="7AA5F75D" w14:textId="0EB83E73" w:rsidR="00797FEF" w:rsidRDefault="00797FEF" w:rsidP="00E468C1">
      <w:pPr>
        <w:pStyle w:val="a3"/>
        <w:spacing w:line="480" w:lineRule="auto"/>
        <w:rPr>
          <w:rtl/>
        </w:rPr>
      </w:pPr>
    </w:p>
  </w:footnote>
  <w:footnote w:id="54">
    <w:p w14:paraId="5109C8F8" w14:textId="4C9384C7" w:rsidR="00797FEF" w:rsidRDefault="00797FEF" w:rsidP="00176677">
      <w:pPr>
        <w:pStyle w:val="a3"/>
        <w:spacing w:line="480" w:lineRule="auto"/>
        <w:rPr>
          <w:rtl/>
        </w:rPr>
      </w:pPr>
      <w:r>
        <w:rPr>
          <w:rStyle w:val="a5"/>
        </w:rPr>
        <w:footnoteRef/>
      </w:r>
      <w:r w:rsidR="001B5378">
        <w:rPr>
          <w:rFonts w:hint="cs"/>
          <w:rtl/>
        </w:rPr>
        <w:t xml:space="preserve"> </w:t>
      </w:r>
      <w:r w:rsidR="001B5378" w:rsidRPr="001B5378">
        <w:rPr>
          <w:rFonts w:ascii="David" w:hAnsi="David" w:cs="David"/>
          <w:sz w:val="24"/>
          <w:szCs w:val="24"/>
          <w:rtl/>
        </w:rPr>
        <w:t>כפי שהראה</w:t>
      </w:r>
      <w:r>
        <w:rPr>
          <w:rtl/>
        </w:rPr>
        <w:t xml:space="preserve"> </w:t>
      </w:r>
      <w:r w:rsidRPr="00176677">
        <w:rPr>
          <w:rFonts w:asciiTheme="majorBidi" w:hAnsiTheme="majorBidi" w:cstheme="majorBidi"/>
          <w:sz w:val="24"/>
          <w:szCs w:val="24"/>
        </w:rPr>
        <w:t>Yair Furstenberg, "Am Ha-</w:t>
      </w:r>
      <w:proofErr w:type="spellStart"/>
      <w:r w:rsidRPr="00176677">
        <w:rPr>
          <w:rFonts w:asciiTheme="majorBidi" w:hAnsiTheme="majorBidi" w:cstheme="majorBidi"/>
          <w:sz w:val="24"/>
          <w:szCs w:val="24"/>
        </w:rPr>
        <w:t>Aretz</w:t>
      </w:r>
      <w:proofErr w:type="spellEnd"/>
      <w:r w:rsidRPr="00176677">
        <w:rPr>
          <w:rFonts w:asciiTheme="majorBidi" w:hAnsiTheme="majorBidi" w:cstheme="majorBidi"/>
          <w:sz w:val="24"/>
          <w:szCs w:val="24"/>
        </w:rPr>
        <w:t xml:space="preserve"> in Tannaitic Literature and Its Social Context" (Hebrew), </w:t>
      </w:r>
      <w:r w:rsidRPr="003466D4">
        <w:rPr>
          <w:rFonts w:asciiTheme="majorBidi" w:hAnsiTheme="majorBidi" w:cstheme="majorBidi"/>
          <w:i/>
          <w:iCs/>
          <w:sz w:val="24"/>
          <w:szCs w:val="24"/>
        </w:rPr>
        <w:t>Zion</w:t>
      </w:r>
      <w:r w:rsidRPr="00176677">
        <w:rPr>
          <w:rFonts w:asciiTheme="majorBidi" w:hAnsiTheme="majorBidi" w:cstheme="majorBidi"/>
          <w:sz w:val="24"/>
          <w:szCs w:val="24"/>
        </w:rPr>
        <w:t xml:space="preserve"> 78 (2013): 287–319.; Idem, </w:t>
      </w:r>
      <w:r w:rsidRPr="003466D4">
        <w:rPr>
          <w:rFonts w:asciiTheme="majorBidi" w:hAnsiTheme="majorBidi" w:cstheme="majorBidi"/>
          <w:i/>
          <w:iCs/>
          <w:sz w:val="24"/>
          <w:szCs w:val="24"/>
        </w:rPr>
        <w:t>Purity and Community in Antiquity: Traditions of the Law from Second Temple Judaism to the Mishnah</w:t>
      </w:r>
      <w:r w:rsidRPr="00176677">
        <w:rPr>
          <w:rFonts w:asciiTheme="majorBidi" w:hAnsiTheme="majorBidi" w:cstheme="majorBidi"/>
          <w:sz w:val="24"/>
          <w:szCs w:val="24"/>
        </w:rPr>
        <w:t xml:space="preserve"> (Hebrew; Jerusalem: </w:t>
      </w:r>
      <w:proofErr w:type="spellStart"/>
      <w:r w:rsidRPr="00176677">
        <w:rPr>
          <w:rFonts w:asciiTheme="majorBidi" w:hAnsiTheme="majorBidi" w:cstheme="majorBidi"/>
          <w:sz w:val="24"/>
          <w:szCs w:val="24"/>
        </w:rPr>
        <w:t>Magnes</w:t>
      </w:r>
      <w:proofErr w:type="spellEnd"/>
      <w:r w:rsidRPr="00176677">
        <w:rPr>
          <w:rFonts w:asciiTheme="majorBidi" w:hAnsiTheme="majorBidi" w:cstheme="majorBidi"/>
          <w:sz w:val="24"/>
          <w:szCs w:val="24"/>
        </w:rPr>
        <w:t xml:space="preserve"> Press, 2016): 208-255, 313-359.</w:t>
      </w:r>
      <w:r w:rsidRPr="00176677">
        <w:rPr>
          <w:rFonts w:cs="Arial"/>
          <w:rtl/>
        </w:rPr>
        <w:t xml:space="preserve">    </w:t>
      </w:r>
    </w:p>
  </w:footnote>
  <w:footnote w:id="55">
    <w:p w14:paraId="7BAEE118" w14:textId="61A5B728" w:rsidR="00797FEF" w:rsidRPr="006002B1" w:rsidRDefault="00797FEF" w:rsidP="00462964">
      <w:pPr>
        <w:pStyle w:val="a3"/>
        <w:spacing w:line="480" w:lineRule="auto"/>
        <w:rPr>
          <w:rFonts w:ascii="David" w:hAnsi="David" w:cs="David"/>
          <w:sz w:val="24"/>
          <w:szCs w:val="24"/>
          <w:rtl/>
        </w:rPr>
      </w:pPr>
      <w:r>
        <w:rPr>
          <w:rStyle w:val="a5"/>
        </w:rPr>
        <w:footnoteRef/>
      </w:r>
      <w:r>
        <w:rPr>
          <w:rtl/>
        </w:rPr>
        <w:t xml:space="preserve"> </w:t>
      </w:r>
      <w:r w:rsidRPr="00871410">
        <w:rPr>
          <w:rFonts w:ascii="David" w:hAnsi="David" w:cs="David"/>
          <w:sz w:val="24"/>
          <w:szCs w:val="24"/>
          <w:rtl/>
        </w:rPr>
        <w:t xml:space="preserve">בפילוסופיה של המשפט יש לציין את </w:t>
      </w:r>
      <w:proofErr w:type="spellStart"/>
      <w:r w:rsidRPr="00871410">
        <w:rPr>
          <w:rFonts w:ascii="David" w:hAnsi="David" w:cs="David"/>
          <w:sz w:val="24"/>
          <w:szCs w:val="24"/>
          <w:rtl/>
        </w:rPr>
        <w:t>רונלד</w:t>
      </w:r>
      <w:proofErr w:type="spellEnd"/>
      <w:r w:rsidRPr="00871410">
        <w:rPr>
          <w:rFonts w:ascii="David" w:hAnsi="David" w:cs="David"/>
          <w:sz w:val="24"/>
          <w:szCs w:val="24"/>
          <w:rtl/>
        </w:rPr>
        <w:t xml:space="preserve"> </w:t>
      </w:r>
      <w:proofErr w:type="spellStart"/>
      <w:r>
        <w:rPr>
          <w:rFonts w:ascii="David" w:hAnsi="David" w:cs="David"/>
          <w:sz w:val="24"/>
          <w:szCs w:val="24"/>
          <w:rtl/>
        </w:rPr>
        <w:t>דוורקין</w:t>
      </w:r>
      <w:proofErr w:type="spellEnd"/>
      <w:r w:rsidRPr="00871410">
        <w:rPr>
          <w:rFonts w:ascii="David" w:hAnsi="David" w:cs="David"/>
          <w:sz w:val="24"/>
          <w:szCs w:val="24"/>
          <w:rtl/>
        </w:rPr>
        <w:t xml:space="preserve"> כמעורר </w:t>
      </w:r>
      <w:r>
        <w:rPr>
          <w:rFonts w:ascii="David" w:hAnsi="David" w:cs="David" w:hint="cs"/>
          <w:sz w:val="24"/>
          <w:szCs w:val="24"/>
          <w:rtl/>
        </w:rPr>
        <w:t>דיון בקונסטרו</w:t>
      </w:r>
      <w:r w:rsidR="0050016E">
        <w:rPr>
          <w:rFonts w:ascii="David" w:hAnsi="David" w:cs="David" w:hint="cs"/>
          <w:sz w:val="24"/>
          <w:szCs w:val="24"/>
          <w:rtl/>
        </w:rPr>
        <w:t>ק</w:t>
      </w:r>
      <w:r>
        <w:rPr>
          <w:rFonts w:ascii="David" w:hAnsi="David" w:cs="David" w:hint="cs"/>
          <w:sz w:val="24"/>
          <w:szCs w:val="24"/>
          <w:rtl/>
        </w:rPr>
        <w:t xml:space="preserve">ציות משפטיות שבנויות מכללים ועקרונות </w:t>
      </w:r>
      <w:r w:rsidR="00D47974">
        <w:rPr>
          <w:rFonts w:ascii="David" w:hAnsi="David" w:cs="David" w:hint="cs"/>
          <w:sz w:val="24"/>
          <w:szCs w:val="24"/>
          <w:rtl/>
        </w:rPr>
        <w:t xml:space="preserve">משפטיים </w:t>
      </w:r>
      <w:r w:rsidRPr="00871410">
        <w:rPr>
          <w:rFonts w:ascii="David" w:hAnsi="David" w:cs="David"/>
          <w:sz w:val="24"/>
          <w:szCs w:val="24"/>
          <w:rtl/>
        </w:rPr>
        <w:t>באופן</w:t>
      </w:r>
      <w:r>
        <w:rPr>
          <w:rFonts w:ascii="David" w:hAnsi="David" w:cs="David" w:hint="cs"/>
          <w:sz w:val="24"/>
          <w:szCs w:val="24"/>
          <w:rtl/>
        </w:rPr>
        <w:t xml:space="preserve"> פורה,</w:t>
      </w:r>
      <w:r w:rsidRPr="00871410">
        <w:rPr>
          <w:rFonts w:ascii="David" w:hAnsi="David" w:cs="David"/>
          <w:sz w:val="24"/>
          <w:szCs w:val="24"/>
          <w:rtl/>
        </w:rPr>
        <w:t xml:space="preserve"> מתוך ביקורת </w:t>
      </w:r>
      <w:r w:rsidRPr="006002B1">
        <w:rPr>
          <w:rFonts w:ascii="David" w:hAnsi="David" w:cs="David"/>
          <w:sz w:val="24"/>
          <w:szCs w:val="24"/>
        </w:rPr>
        <w:t xml:space="preserve">against the dominant philosophy of Anglo-American legal positivism as presented by H. L. A. Hart in </w:t>
      </w:r>
      <w:r w:rsidRPr="000F70C5">
        <w:rPr>
          <w:rFonts w:ascii="David" w:hAnsi="David" w:cs="David"/>
          <w:i/>
          <w:iCs/>
          <w:sz w:val="24"/>
          <w:szCs w:val="24"/>
        </w:rPr>
        <w:t>The Concept of Law</w:t>
      </w:r>
      <w:r w:rsidR="005B3187">
        <w:rPr>
          <w:rFonts w:ascii="David" w:hAnsi="David" w:cs="David"/>
          <w:sz w:val="24"/>
          <w:szCs w:val="24"/>
        </w:rPr>
        <w:t>, Oxford: Oxford University Press</w:t>
      </w:r>
      <w:r>
        <w:rPr>
          <w:rFonts w:ascii="David" w:hAnsi="David" w:cs="David"/>
          <w:sz w:val="24"/>
          <w:szCs w:val="24"/>
        </w:rPr>
        <w:t xml:space="preserve"> (1961).</w:t>
      </w:r>
    </w:p>
    <w:p w14:paraId="7EFE48A8" w14:textId="03197FB7" w:rsidR="00797FEF" w:rsidRDefault="00F940A1" w:rsidP="00462964">
      <w:pPr>
        <w:pStyle w:val="a3"/>
        <w:spacing w:line="480" w:lineRule="auto"/>
        <w:rPr>
          <w:rFonts w:ascii="David" w:hAnsi="David" w:cs="David"/>
          <w:sz w:val="24"/>
          <w:szCs w:val="24"/>
          <w:rtl/>
        </w:rPr>
      </w:pPr>
      <w:r>
        <w:rPr>
          <w:rFonts w:ascii="David" w:hAnsi="David" w:cs="David"/>
          <w:sz w:val="24"/>
          <w:szCs w:val="24"/>
        </w:rPr>
        <w:t xml:space="preserve"> See </w:t>
      </w:r>
      <w:r w:rsidR="00797FEF" w:rsidRPr="00A92215">
        <w:rPr>
          <w:rFonts w:ascii="David" w:hAnsi="David" w:cs="David"/>
          <w:sz w:val="24"/>
          <w:szCs w:val="24"/>
        </w:rPr>
        <w:t>R</w:t>
      </w:r>
      <w:r w:rsidR="00797FEF">
        <w:rPr>
          <w:rFonts w:ascii="David" w:hAnsi="David" w:cs="David"/>
          <w:sz w:val="24"/>
          <w:szCs w:val="24"/>
        </w:rPr>
        <w:t>onald</w:t>
      </w:r>
      <w:r w:rsidR="00797FEF" w:rsidRPr="00A92215">
        <w:rPr>
          <w:rFonts w:ascii="David" w:hAnsi="David" w:cs="David"/>
          <w:sz w:val="24"/>
          <w:szCs w:val="24"/>
        </w:rPr>
        <w:t xml:space="preserve"> Dworkin</w:t>
      </w:r>
      <w:r w:rsidR="00797FEF" w:rsidRPr="00BA0CF4">
        <w:rPr>
          <w:rFonts w:ascii="David" w:hAnsi="David" w:cs="David"/>
          <w:i/>
          <w:iCs/>
          <w:sz w:val="24"/>
          <w:szCs w:val="24"/>
        </w:rPr>
        <w:t>, Taking Rights Seriously</w:t>
      </w:r>
      <w:r w:rsidR="00797FEF" w:rsidRPr="00A92215">
        <w:rPr>
          <w:rFonts w:ascii="David" w:hAnsi="David" w:cs="David"/>
          <w:sz w:val="24"/>
          <w:szCs w:val="24"/>
        </w:rPr>
        <w:t xml:space="preserve">, </w:t>
      </w:r>
      <w:proofErr w:type="spellStart"/>
      <w:r w:rsidR="00797FEF" w:rsidRPr="00A92215">
        <w:rPr>
          <w:rFonts w:ascii="David" w:hAnsi="David" w:cs="David"/>
          <w:sz w:val="24"/>
          <w:szCs w:val="24"/>
        </w:rPr>
        <w:t>Massachusttes</w:t>
      </w:r>
      <w:proofErr w:type="spellEnd"/>
      <w:r w:rsidR="00797FEF" w:rsidRPr="00A92215">
        <w:rPr>
          <w:rFonts w:ascii="David" w:hAnsi="David" w:cs="David"/>
          <w:sz w:val="24"/>
          <w:szCs w:val="24"/>
        </w:rPr>
        <w:t xml:space="preserve">: Harvard University </w:t>
      </w:r>
      <w:r w:rsidR="005B3187">
        <w:rPr>
          <w:rFonts w:ascii="David" w:hAnsi="David" w:cs="David"/>
          <w:sz w:val="24"/>
          <w:szCs w:val="24"/>
        </w:rPr>
        <w:t>P</w:t>
      </w:r>
      <w:r w:rsidR="00797FEF" w:rsidRPr="00A92215">
        <w:rPr>
          <w:rFonts w:ascii="David" w:hAnsi="David" w:cs="David"/>
          <w:sz w:val="24"/>
          <w:szCs w:val="24"/>
        </w:rPr>
        <w:t xml:space="preserve">ress </w:t>
      </w:r>
      <w:r w:rsidR="00797FEF">
        <w:rPr>
          <w:rFonts w:ascii="David" w:hAnsi="David" w:cs="David"/>
          <w:sz w:val="24"/>
          <w:szCs w:val="24"/>
        </w:rPr>
        <w:t>[</w:t>
      </w:r>
      <w:r w:rsidR="00797FEF" w:rsidRPr="00A92215">
        <w:rPr>
          <w:rFonts w:ascii="David" w:hAnsi="David" w:cs="David"/>
          <w:sz w:val="24"/>
          <w:szCs w:val="24"/>
        </w:rPr>
        <w:t>197</w:t>
      </w:r>
      <w:r w:rsidR="00797FEF">
        <w:rPr>
          <w:rFonts w:ascii="David" w:hAnsi="David" w:cs="David"/>
          <w:sz w:val="24"/>
          <w:szCs w:val="24"/>
        </w:rPr>
        <w:t xml:space="preserve">8]. </w:t>
      </w:r>
      <w:r w:rsidR="00797FEF" w:rsidRPr="00CB1CB4">
        <w:rPr>
          <w:rFonts w:ascii="Times New Roman" w:hAnsi="Times New Roman" w:cs="Times New Roman"/>
          <w:sz w:val="24"/>
          <w:szCs w:val="24"/>
        </w:rPr>
        <w:t>(The first edition of the book was published in 1977</w:t>
      </w:r>
      <w:proofErr w:type="gramStart"/>
      <w:r w:rsidR="00797FEF" w:rsidRPr="00CB1CB4">
        <w:rPr>
          <w:rFonts w:ascii="Times New Roman" w:hAnsi="Times New Roman" w:cs="Times New Roman"/>
          <w:sz w:val="24"/>
          <w:szCs w:val="24"/>
        </w:rPr>
        <w:t xml:space="preserve">).  </w:t>
      </w:r>
      <w:r w:rsidR="00797FEF">
        <w:rPr>
          <w:rFonts w:ascii="David" w:hAnsi="David" w:cs="David" w:hint="cs"/>
          <w:sz w:val="24"/>
          <w:szCs w:val="24"/>
          <w:rtl/>
        </w:rPr>
        <w:t>.</w:t>
      </w:r>
      <w:proofErr w:type="gramEnd"/>
      <w:r w:rsidR="00797FEF" w:rsidRPr="00871410">
        <w:rPr>
          <w:rFonts w:ascii="David" w:hAnsi="David" w:cs="David"/>
          <w:sz w:val="24"/>
          <w:szCs w:val="24"/>
          <w:rtl/>
        </w:rPr>
        <w:t xml:space="preserve"> </w:t>
      </w:r>
      <w:r w:rsidR="00797FEF">
        <w:rPr>
          <w:rFonts w:ascii="David" w:hAnsi="David" w:cs="David" w:hint="cs"/>
          <w:sz w:val="24"/>
          <w:szCs w:val="24"/>
          <w:rtl/>
        </w:rPr>
        <w:t xml:space="preserve">בהמשך לכך </w:t>
      </w:r>
      <w:r w:rsidR="00797FEF" w:rsidRPr="00871410">
        <w:rPr>
          <w:rFonts w:asciiTheme="majorBidi" w:hAnsiTheme="majorBidi" w:cstheme="majorBidi"/>
          <w:sz w:val="24"/>
          <w:szCs w:val="24"/>
        </w:rPr>
        <w:t>J</w:t>
      </w:r>
      <w:r w:rsidR="00797FEF">
        <w:rPr>
          <w:rFonts w:asciiTheme="majorBidi" w:hAnsiTheme="majorBidi" w:cstheme="majorBidi"/>
          <w:sz w:val="24"/>
          <w:szCs w:val="24"/>
        </w:rPr>
        <w:t>oseph</w:t>
      </w:r>
      <w:r w:rsidR="00797FEF" w:rsidRPr="00871410">
        <w:rPr>
          <w:rFonts w:asciiTheme="majorBidi" w:hAnsiTheme="majorBidi" w:cstheme="majorBidi"/>
          <w:sz w:val="24"/>
          <w:szCs w:val="24"/>
        </w:rPr>
        <w:t xml:space="preserve"> Raz, "Legal Principles and the Limits of Law," </w:t>
      </w:r>
      <w:r w:rsidR="00797FEF" w:rsidRPr="00BA0CF4">
        <w:rPr>
          <w:rFonts w:asciiTheme="majorBidi" w:hAnsiTheme="majorBidi" w:cstheme="majorBidi"/>
          <w:i/>
          <w:iCs/>
          <w:sz w:val="24"/>
          <w:szCs w:val="24"/>
        </w:rPr>
        <w:t xml:space="preserve">Yale Law Journal </w:t>
      </w:r>
      <w:r w:rsidR="00797FEF" w:rsidRPr="00871410">
        <w:rPr>
          <w:rFonts w:asciiTheme="majorBidi" w:hAnsiTheme="majorBidi" w:cstheme="majorBidi"/>
          <w:sz w:val="24"/>
          <w:szCs w:val="24"/>
        </w:rPr>
        <w:t>81 (1972</w:t>
      </w:r>
      <w:r w:rsidR="00797FEF">
        <w:rPr>
          <w:rFonts w:asciiTheme="majorBidi" w:hAnsiTheme="majorBidi" w:cstheme="majorBidi"/>
          <w:sz w:val="24"/>
          <w:szCs w:val="24"/>
        </w:rPr>
        <w:t xml:space="preserve">): 823-854; Kathleen Sullivan, </w:t>
      </w:r>
      <w:r w:rsidR="00797FEF">
        <w:rPr>
          <w:rFonts w:ascii="SBL Greek" w:hAnsi="SBL Greek" w:cstheme="majorBidi"/>
          <w:sz w:val="24"/>
          <w:szCs w:val="24"/>
        </w:rPr>
        <w:t>“</w:t>
      </w:r>
      <w:r w:rsidR="00797FEF">
        <w:rPr>
          <w:rFonts w:asciiTheme="majorBidi" w:hAnsiTheme="majorBidi" w:cstheme="majorBidi"/>
          <w:sz w:val="24"/>
          <w:szCs w:val="24"/>
        </w:rPr>
        <w:t xml:space="preserve">The Supreme Court, 1991 Term – Foreword: The Justice of Rules and </w:t>
      </w:r>
      <w:proofErr w:type="spellStart"/>
      <w:r w:rsidR="00797FEF">
        <w:rPr>
          <w:rFonts w:asciiTheme="majorBidi" w:hAnsiTheme="majorBidi" w:cstheme="majorBidi"/>
          <w:sz w:val="24"/>
          <w:szCs w:val="24"/>
        </w:rPr>
        <w:t>Sandards</w:t>
      </w:r>
      <w:proofErr w:type="spellEnd"/>
      <w:r w:rsidR="00797FEF">
        <w:rPr>
          <w:rFonts w:asciiTheme="majorBidi" w:hAnsiTheme="majorBidi" w:cstheme="majorBidi"/>
          <w:sz w:val="24"/>
          <w:szCs w:val="24"/>
        </w:rPr>
        <w:t>,</w:t>
      </w:r>
      <w:r w:rsidR="00797FEF">
        <w:rPr>
          <w:rFonts w:ascii="SBL Greek" w:hAnsi="SBL Greek" w:cstheme="majorBidi"/>
          <w:sz w:val="24"/>
          <w:szCs w:val="24"/>
        </w:rPr>
        <w:t xml:space="preserve">” </w:t>
      </w:r>
      <w:r w:rsidR="00797FEF" w:rsidRPr="00BA0CF4">
        <w:rPr>
          <w:rFonts w:asciiTheme="majorBidi" w:hAnsiTheme="majorBidi" w:cstheme="majorBidi"/>
          <w:i/>
          <w:iCs/>
          <w:sz w:val="24"/>
          <w:szCs w:val="24"/>
        </w:rPr>
        <w:t xml:space="preserve">Harvard Law Review </w:t>
      </w:r>
      <w:r w:rsidR="00797FEF">
        <w:rPr>
          <w:rFonts w:asciiTheme="majorBidi" w:hAnsiTheme="majorBidi" w:cstheme="majorBidi"/>
          <w:sz w:val="24"/>
          <w:szCs w:val="24"/>
        </w:rPr>
        <w:t xml:space="preserve">106 (1992): 22-123; J. W. </w:t>
      </w:r>
      <w:proofErr w:type="gramStart"/>
      <w:r w:rsidR="00797FEF">
        <w:rPr>
          <w:rFonts w:asciiTheme="majorBidi" w:hAnsiTheme="majorBidi" w:cstheme="majorBidi"/>
          <w:sz w:val="24"/>
          <w:szCs w:val="24"/>
        </w:rPr>
        <w:t xml:space="preserve">Harris </w:t>
      </w:r>
      <w:r w:rsidR="00797FEF" w:rsidRPr="00BA0CF4">
        <w:rPr>
          <w:rFonts w:asciiTheme="majorBidi" w:hAnsiTheme="majorBidi" w:cstheme="majorBidi"/>
          <w:i/>
          <w:iCs/>
          <w:sz w:val="24"/>
          <w:szCs w:val="24"/>
        </w:rPr>
        <w:t>,</w:t>
      </w:r>
      <w:proofErr w:type="gramEnd"/>
      <w:r w:rsidR="00797FEF" w:rsidRPr="00BA0CF4">
        <w:rPr>
          <w:rFonts w:asciiTheme="majorBidi" w:hAnsiTheme="majorBidi" w:cstheme="majorBidi"/>
          <w:i/>
          <w:iCs/>
          <w:sz w:val="24"/>
          <w:szCs w:val="24"/>
        </w:rPr>
        <w:t xml:space="preserve"> Law and Legal Science</w:t>
      </w:r>
      <w:r w:rsidR="00797FEF">
        <w:rPr>
          <w:rFonts w:asciiTheme="majorBidi" w:hAnsiTheme="majorBidi" w:cstheme="majorBidi"/>
          <w:sz w:val="24"/>
          <w:szCs w:val="24"/>
        </w:rPr>
        <w:t xml:space="preserve">, Oxford: Clarendon, 1979. </w:t>
      </w:r>
      <w:r w:rsidR="00797FEF" w:rsidRPr="00DC4CE5">
        <w:rPr>
          <w:rFonts w:asciiTheme="majorBidi" w:hAnsiTheme="majorBidi" w:cstheme="majorBidi"/>
          <w:sz w:val="24"/>
          <w:szCs w:val="24"/>
        </w:rPr>
        <w:t xml:space="preserve">A revised edition of book was published in 1978 and includes a lengthy reply by Dworkin to his </w:t>
      </w:r>
      <w:proofErr w:type="gramStart"/>
      <w:r w:rsidR="00797FEF" w:rsidRPr="00DC4CE5">
        <w:rPr>
          <w:rFonts w:asciiTheme="majorBidi" w:hAnsiTheme="majorBidi" w:cstheme="majorBidi"/>
          <w:sz w:val="24"/>
          <w:szCs w:val="24"/>
        </w:rPr>
        <w:t>critics</w:t>
      </w:r>
      <w:r w:rsidR="00797FEF">
        <w:rPr>
          <w:rFonts w:asciiTheme="majorBidi" w:hAnsiTheme="majorBidi" w:cstheme="majorBidi"/>
          <w:sz w:val="24"/>
          <w:szCs w:val="24"/>
        </w:rPr>
        <w:t xml:space="preserve"> </w:t>
      </w:r>
      <w:r w:rsidR="00797FEF">
        <w:rPr>
          <w:rFonts w:ascii="David" w:hAnsi="David" w:cs="David" w:hint="cs"/>
          <w:sz w:val="24"/>
          <w:szCs w:val="24"/>
          <w:rtl/>
        </w:rPr>
        <w:t>.</w:t>
      </w:r>
      <w:proofErr w:type="gramEnd"/>
      <w:r w:rsidR="00797FEF">
        <w:rPr>
          <w:rFonts w:ascii="David" w:hAnsi="David" w:cs="David" w:hint="cs"/>
          <w:sz w:val="24"/>
          <w:szCs w:val="24"/>
          <w:rtl/>
        </w:rPr>
        <w:t xml:space="preserve"> ראו במיוחד עמ' </w:t>
      </w:r>
      <w:r w:rsidR="00797FEF" w:rsidRPr="00AE6990">
        <w:rPr>
          <w:rFonts w:ascii="David" w:hAnsi="David" w:cs="David"/>
          <w:sz w:val="24"/>
          <w:szCs w:val="24"/>
        </w:rPr>
        <w:t>14-45</w:t>
      </w:r>
      <w:r w:rsidR="00797FEF">
        <w:rPr>
          <w:rFonts w:ascii="David" w:hAnsi="David" w:cs="David" w:hint="cs"/>
          <w:sz w:val="24"/>
          <w:szCs w:val="24"/>
          <w:rtl/>
        </w:rPr>
        <w:t xml:space="preserve">; </w:t>
      </w:r>
      <w:r w:rsidR="00797FEF" w:rsidRPr="00BD6255">
        <w:rPr>
          <w:rFonts w:ascii="David" w:hAnsi="David" w:cs="David"/>
          <w:sz w:val="24"/>
          <w:szCs w:val="24"/>
          <w:rtl/>
        </w:rPr>
        <w:t xml:space="preserve">לסקירת ספרות פילוסופית </w:t>
      </w:r>
      <w:proofErr w:type="spellStart"/>
      <w:r w:rsidR="00797FEF" w:rsidRPr="00BD6255">
        <w:rPr>
          <w:rFonts w:ascii="David" w:hAnsi="David" w:cs="David"/>
          <w:sz w:val="24"/>
          <w:szCs w:val="24"/>
          <w:rtl/>
        </w:rPr>
        <w:t>ויוריספרודנטית</w:t>
      </w:r>
      <w:proofErr w:type="spellEnd"/>
      <w:r w:rsidR="00797FEF" w:rsidRPr="00BD6255">
        <w:rPr>
          <w:rFonts w:ascii="David" w:hAnsi="David" w:cs="David"/>
          <w:sz w:val="24"/>
          <w:szCs w:val="24"/>
          <w:rtl/>
        </w:rPr>
        <w:t xml:space="preserve"> על כללים וטעמים לכללים, עיינו </w:t>
      </w:r>
      <w:r w:rsidR="00797FEF" w:rsidRPr="00BD6255">
        <w:rPr>
          <w:rFonts w:ascii="David" w:hAnsi="David" w:cs="David"/>
          <w:sz w:val="24"/>
          <w:szCs w:val="24"/>
        </w:rPr>
        <w:t xml:space="preserve">W. Twinning &amp; D. </w:t>
      </w:r>
      <w:proofErr w:type="spellStart"/>
      <w:r w:rsidR="00797FEF" w:rsidRPr="00BD6255">
        <w:rPr>
          <w:rFonts w:ascii="David" w:hAnsi="David" w:cs="David"/>
          <w:sz w:val="24"/>
          <w:szCs w:val="24"/>
        </w:rPr>
        <w:t>Miers</w:t>
      </w:r>
      <w:proofErr w:type="spellEnd"/>
      <w:r w:rsidR="00797FEF" w:rsidRPr="00A93437">
        <w:rPr>
          <w:rFonts w:ascii="David" w:hAnsi="David" w:cs="David"/>
          <w:i/>
          <w:iCs/>
          <w:sz w:val="24"/>
          <w:szCs w:val="24"/>
        </w:rPr>
        <w:t>, How to do Things with Rules</w:t>
      </w:r>
      <w:r w:rsidR="00797FEF" w:rsidRPr="00BD6255">
        <w:rPr>
          <w:rFonts w:ascii="David" w:hAnsi="David" w:cs="David"/>
          <w:sz w:val="24"/>
          <w:szCs w:val="24"/>
        </w:rPr>
        <w:t xml:space="preserve"> (5th Edition) </w:t>
      </w:r>
      <w:proofErr w:type="spellStart"/>
      <w:proofErr w:type="gramStart"/>
      <w:r w:rsidR="00797FEF" w:rsidRPr="00BD6255">
        <w:rPr>
          <w:rFonts w:ascii="David" w:hAnsi="David" w:cs="David"/>
          <w:sz w:val="24"/>
          <w:szCs w:val="24"/>
        </w:rPr>
        <w:t>Cambridge</w:t>
      </w:r>
      <w:r w:rsidR="00A93437">
        <w:rPr>
          <w:rFonts w:ascii="David" w:hAnsi="David" w:cs="David"/>
          <w:sz w:val="24"/>
          <w:szCs w:val="24"/>
        </w:rPr>
        <w:t>:Cambrigde</w:t>
      </w:r>
      <w:proofErr w:type="spellEnd"/>
      <w:proofErr w:type="gramEnd"/>
      <w:r w:rsidR="00797FEF" w:rsidRPr="00BD6255">
        <w:rPr>
          <w:rFonts w:ascii="David" w:hAnsi="David" w:cs="David"/>
          <w:sz w:val="24"/>
          <w:szCs w:val="24"/>
        </w:rPr>
        <w:t xml:space="preserve"> University Press 2010</w:t>
      </w:r>
      <w:r w:rsidR="005C7C3E">
        <w:rPr>
          <w:rFonts w:ascii="David" w:hAnsi="David" w:cs="David" w:hint="cs"/>
          <w:sz w:val="24"/>
          <w:szCs w:val="24"/>
          <w:rtl/>
        </w:rPr>
        <w:t>;</w:t>
      </w:r>
      <w:r w:rsidR="00797FEF" w:rsidRPr="00BD6255">
        <w:rPr>
          <w:rFonts w:ascii="David" w:hAnsi="David" w:cs="David"/>
          <w:sz w:val="24"/>
          <w:szCs w:val="24"/>
          <w:rtl/>
        </w:rPr>
        <w:t xml:space="preserve"> וכן: </w:t>
      </w:r>
      <w:r w:rsidR="00797FEF" w:rsidRPr="00BD6255">
        <w:rPr>
          <w:rFonts w:ascii="David" w:hAnsi="David" w:cs="David"/>
          <w:sz w:val="24"/>
          <w:szCs w:val="24"/>
        </w:rPr>
        <w:t xml:space="preserve">F. Schauer, </w:t>
      </w:r>
      <w:r w:rsidR="00797FEF" w:rsidRPr="005C7C3E">
        <w:rPr>
          <w:rFonts w:ascii="David" w:hAnsi="David" w:cs="David"/>
          <w:i/>
          <w:iCs/>
          <w:sz w:val="24"/>
          <w:szCs w:val="24"/>
        </w:rPr>
        <w:t>Playing by the Rules, A Philosophical Examination of Rule-Based Decision-Making in Law and in Life</w:t>
      </w:r>
      <w:r w:rsidR="00797FEF" w:rsidRPr="00BD6255">
        <w:rPr>
          <w:rFonts w:ascii="David" w:hAnsi="David" w:cs="David"/>
          <w:sz w:val="24"/>
          <w:szCs w:val="24"/>
        </w:rPr>
        <w:t>, Oxford</w:t>
      </w:r>
      <w:r w:rsidR="005C7C3E">
        <w:rPr>
          <w:rFonts w:ascii="David" w:hAnsi="David" w:cs="David"/>
          <w:sz w:val="24"/>
          <w:szCs w:val="24"/>
        </w:rPr>
        <w:t>: Clarendon Press</w:t>
      </w:r>
      <w:r w:rsidR="00797FEF" w:rsidRPr="00BD6255">
        <w:rPr>
          <w:rFonts w:ascii="David" w:hAnsi="David" w:cs="David"/>
          <w:sz w:val="24"/>
          <w:szCs w:val="24"/>
        </w:rPr>
        <w:t xml:space="preserve"> 1991</w:t>
      </w:r>
      <w:r w:rsidR="00797FEF">
        <w:rPr>
          <w:rFonts w:ascii="David" w:hAnsi="David" w:cs="David" w:hint="cs"/>
          <w:sz w:val="24"/>
          <w:szCs w:val="24"/>
          <w:rtl/>
        </w:rPr>
        <w:t>.</w:t>
      </w:r>
    </w:p>
    <w:p w14:paraId="083F06AD" w14:textId="1B2208B6" w:rsidR="00797FEF" w:rsidRPr="005A0A46" w:rsidRDefault="00797FEF" w:rsidP="005A0A46">
      <w:pPr>
        <w:pStyle w:val="a3"/>
        <w:spacing w:line="480" w:lineRule="auto"/>
        <w:rPr>
          <w:rFonts w:ascii="David" w:hAnsi="David" w:cs="David"/>
          <w:sz w:val="24"/>
          <w:szCs w:val="24"/>
          <w:rtl/>
        </w:rPr>
      </w:pPr>
      <w:r w:rsidRPr="005A0A46">
        <w:rPr>
          <w:rFonts w:ascii="David" w:hAnsi="David" w:cs="David"/>
          <w:sz w:val="24"/>
          <w:szCs w:val="24"/>
          <w:rtl/>
        </w:rPr>
        <w:t xml:space="preserve">בחקר </w:t>
      </w:r>
      <w:r w:rsidR="00F001CC">
        <w:rPr>
          <w:rFonts w:ascii="David" w:hAnsi="David" w:cs="David" w:hint="cs"/>
          <w:sz w:val="24"/>
          <w:szCs w:val="24"/>
          <w:rtl/>
        </w:rPr>
        <w:t>נושאים אלו בתחום ה</w:t>
      </w:r>
      <w:r w:rsidRPr="005A0A46">
        <w:rPr>
          <w:rFonts w:ascii="David" w:hAnsi="David" w:cs="David"/>
          <w:sz w:val="24"/>
          <w:szCs w:val="24"/>
          <w:rtl/>
        </w:rPr>
        <w:t xml:space="preserve">הלכה ראו </w:t>
      </w:r>
      <w:r w:rsidRPr="005A0A46">
        <w:rPr>
          <w:rFonts w:ascii="David" w:hAnsi="David" w:cs="David"/>
          <w:sz w:val="24"/>
          <w:szCs w:val="24"/>
        </w:rPr>
        <w:t xml:space="preserve">Yair </w:t>
      </w:r>
      <w:proofErr w:type="spellStart"/>
      <w:r w:rsidRPr="005A0A46">
        <w:rPr>
          <w:rFonts w:ascii="David" w:hAnsi="David" w:cs="David"/>
          <w:sz w:val="24"/>
          <w:szCs w:val="24"/>
        </w:rPr>
        <w:t>Lorberbaum</w:t>
      </w:r>
      <w:proofErr w:type="spellEnd"/>
      <w:r w:rsidRPr="00D953DA">
        <w:rPr>
          <w:rFonts w:ascii="David" w:hAnsi="David" w:cs="David"/>
          <w:i/>
          <w:iCs/>
          <w:sz w:val="24"/>
          <w:szCs w:val="24"/>
        </w:rPr>
        <w:t>, In God's Image: Myth, Theology, and Law in Classical Judaism,</w:t>
      </w:r>
      <w:r w:rsidRPr="005A0A46">
        <w:rPr>
          <w:rFonts w:ascii="David" w:hAnsi="David" w:cs="David"/>
          <w:sz w:val="24"/>
          <w:szCs w:val="24"/>
        </w:rPr>
        <w:t xml:space="preserve"> New York 2015</w:t>
      </w:r>
      <w:r w:rsidRPr="005A0A46">
        <w:rPr>
          <w:rFonts w:ascii="David" w:hAnsi="David" w:cs="David"/>
          <w:sz w:val="24"/>
          <w:szCs w:val="24"/>
          <w:rtl/>
        </w:rPr>
        <w:t>;</w:t>
      </w:r>
    </w:p>
    <w:p w14:paraId="74EFC182" w14:textId="77777777" w:rsidR="00797FEF" w:rsidRPr="005A0A46" w:rsidRDefault="00797FEF" w:rsidP="005A0A46">
      <w:pPr>
        <w:pStyle w:val="a3"/>
        <w:spacing w:line="480" w:lineRule="auto"/>
        <w:rPr>
          <w:rFonts w:ascii="David" w:hAnsi="David" w:cs="David"/>
          <w:sz w:val="24"/>
          <w:szCs w:val="24"/>
        </w:rPr>
      </w:pPr>
      <w:r w:rsidRPr="005A0A46">
        <w:rPr>
          <w:rFonts w:ascii="David" w:hAnsi="David" w:cs="David"/>
          <w:sz w:val="24"/>
          <w:szCs w:val="24"/>
          <w:rtl/>
        </w:rPr>
        <w:t xml:space="preserve">  </w:t>
      </w:r>
      <w:r w:rsidRPr="005A0A46">
        <w:rPr>
          <w:rFonts w:ascii="David" w:hAnsi="David" w:cs="David"/>
          <w:sz w:val="24"/>
          <w:szCs w:val="24"/>
        </w:rPr>
        <w:t xml:space="preserve">Idem, “‘What Would Please Them Most is that the Intellect Would Not Find a Meaning for the Commandments and the Prohibitions’: On Transcending the Rationales of the Commandments — A Close Reading of ‘The Guide of the Perplexed’ III 31” [Hebrew], </w:t>
      </w:r>
      <w:proofErr w:type="spellStart"/>
      <w:r w:rsidRPr="00030C84">
        <w:rPr>
          <w:rFonts w:ascii="David" w:hAnsi="David" w:cs="David"/>
          <w:i/>
          <w:iCs/>
          <w:sz w:val="24"/>
          <w:szCs w:val="24"/>
        </w:rPr>
        <w:t>Daat</w:t>
      </w:r>
      <w:proofErr w:type="spellEnd"/>
      <w:r w:rsidRPr="00030C84">
        <w:rPr>
          <w:rFonts w:ascii="David" w:hAnsi="David" w:cs="David"/>
          <w:i/>
          <w:iCs/>
          <w:sz w:val="24"/>
          <w:szCs w:val="24"/>
        </w:rPr>
        <w:t xml:space="preserve">: A Journal of Jewish Philosophy &amp; Kabbalah </w:t>
      </w:r>
      <w:r w:rsidRPr="005A0A46">
        <w:rPr>
          <w:rFonts w:ascii="David" w:hAnsi="David" w:cs="David"/>
          <w:sz w:val="24"/>
          <w:szCs w:val="24"/>
        </w:rPr>
        <w:t>77 (2014): 17-50</w:t>
      </w:r>
      <w:r w:rsidRPr="005A0A46">
        <w:rPr>
          <w:rFonts w:ascii="David" w:hAnsi="David" w:cs="David"/>
          <w:sz w:val="24"/>
          <w:szCs w:val="24"/>
          <w:rtl/>
        </w:rPr>
        <w:t xml:space="preserve">; </w:t>
      </w:r>
    </w:p>
    <w:p w14:paraId="7F5A8C85" w14:textId="2E69E532" w:rsidR="00797FEF" w:rsidRPr="00E44CFC" w:rsidRDefault="00797FEF" w:rsidP="001843B4">
      <w:pPr>
        <w:pStyle w:val="a3"/>
        <w:spacing w:line="480" w:lineRule="auto"/>
        <w:rPr>
          <w:rFonts w:ascii="David" w:hAnsi="David" w:cs="David"/>
          <w:sz w:val="24"/>
          <w:szCs w:val="24"/>
          <w:rtl/>
        </w:rPr>
      </w:pPr>
      <w:r w:rsidRPr="005A0A46">
        <w:rPr>
          <w:rFonts w:ascii="David" w:hAnsi="David" w:cs="David"/>
          <w:sz w:val="24"/>
          <w:szCs w:val="24"/>
          <w:rtl/>
        </w:rPr>
        <w:t>בנוסף עיינו במאמרו</w:t>
      </w:r>
      <w:r w:rsidR="0069196A">
        <w:rPr>
          <w:rFonts w:ascii="David" w:hAnsi="David" w:cs="David" w:hint="cs"/>
          <w:sz w:val="24"/>
          <w:szCs w:val="24"/>
          <w:rtl/>
        </w:rPr>
        <w:t xml:space="preserve"> הקונספטואלי</w:t>
      </w:r>
      <w:r w:rsidRPr="005A0A46">
        <w:rPr>
          <w:rFonts w:ascii="David" w:hAnsi="David" w:cs="David"/>
          <w:sz w:val="24"/>
          <w:szCs w:val="24"/>
          <w:rtl/>
        </w:rPr>
        <w:t xml:space="preserve">: </w:t>
      </w:r>
      <w:r w:rsidR="0014432C">
        <w:rPr>
          <w:rFonts w:ascii="SBL Greek" w:hAnsi="SBL Greek" w:cs="David"/>
          <w:sz w:val="24"/>
          <w:szCs w:val="24"/>
        </w:rPr>
        <w:t>“</w:t>
      </w:r>
      <w:r w:rsidRPr="005A0A46">
        <w:rPr>
          <w:rFonts w:ascii="David" w:hAnsi="David" w:cs="David"/>
          <w:sz w:val="24"/>
          <w:szCs w:val="24"/>
        </w:rPr>
        <w:t>Rules and reasons: A new conceptual framework for examining the reasons for the mitzvot and Halakhot</w:t>
      </w:r>
      <w:r w:rsidR="0014432C">
        <w:rPr>
          <w:rFonts w:ascii="SBL Greek" w:hAnsi="SBL Greek"/>
          <w:sz w:val="24"/>
          <w:szCs w:val="24"/>
        </w:rPr>
        <w:t>)</w:t>
      </w:r>
      <w:r w:rsidR="0014432C">
        <w:rPr>
          <w:rFonts w:ascii="David" w:hAnsi="David" w:cs="David" w:hint="cs"/>
          <w:sz w:val="24"/>
          <w:szCs w:val="24"/>
          <w:rtl/>
        </w:rPr>
        <w:t xml:space="preserve"> (תרגום שלי).</w:t>
      </w:r>
      <w:r w:rsidRPr="005A0A46">
        <w:rPr>
          <w:rFonts w:ascii="David" w:hAnsi="David" w:cs="David"/>
          <w:sz w:val="24"/>
          <w:szCs w:val="24"/>
          <w:rtl/>
        </w:rPr>
        <w:t xml:space="preserve"> מאמר זה טרם ראה אור</w:t>
      </w:r>
      <w:r w:rsidR="007B73CE">
        <w:rPr>
          <w:rFonts w:ascii="David" w:hAnsi="David" w:cs="David" w:hint="cs"/>
          <w:sz w:val="24"/>
          <w:szCs w:val="24"/>
          <w:rtl/>
        </w:rPr>
        <w:t>,</w:t>
      </w:r>
      <w:r w:rsidRPr="005A0A46">
        <w:rPr>
          <w:rFonts w:ascii="David" w:hAnsi="David" w:cs="David"/>
          <w:sz w:val="24"/>
          <w:szCs w:val="24"/>
          <w:rtl/>
        </w:rPr>
        <w:t xml:space="preserve"> </w:t>
      </w:r>
      <w:r w:rsidR="007B73CE">
        <w:rPr>
          <w:rFonts w:ascii="David" w:hAnsi="David" w:cs="David" w:hint="cs"/>
          <w:sz w:val="24"/>
          <w:szCs w:val="24"/>
          <w:rtl/>
        </w:rPr>
        <w:t>ו</w:t>
      </w:r>
      <w:r w:rsidRPr="005A0A46">
        <w:rPr>
          <w:rFonts w:ascii="David" w:hAnsi="David" w:cs="David"/>
          <w:sz w:val="24"/>
          <w:szCs w:val="24"/>
          <w:rtl/>
        </w:rPr>
        <w:t xml:space="preserve">אני מודה לפרופסור </w:t>
      </w:r>
      <w:proofErr w:type="spellStart"/>
      <w:r w:rsidRPr="005A0A46">
        <w:rPr>
          <w:rFonts w:ascii="David" w:hAnsi="David" w:cs="David"/>
          <w:sz w:val="24"/>
          <w:szCs w:val="24"/>
          <w:rtl/>
        </w:rPr>
        <w:t>לורברבוים</w:t>
      </w:r>
      <w:proofErr w:type="spellEnd"/>
      <w:r w:rsidRPr="005A0A46">
        <w:rPr>
          <w:rFonts w:ascii="David" w:hAnsi="David" w:cs="David"/>
          <w:sz w:val="24"/>
          <w:szCs w:val="24"/>
          <w:rtl/>
        </w:rPr>
        <w:t xml:space="preserve"> על שזיכני בקריאתו</w:t>
      </w:r>
      <w:r w:rsidR="006E5A67">
        <w:rPr>
          <w:rFonts w:ascii="David" w:hAnsi="David" w:cs="David" w:hint="cs"/>
          <w:sz w:val="24"/>
          <w:szCs w:val="24"/>
          <w:rtl/>
        </w:rPr>
        <w:t>.</w:t>
      </w:r>
      <w:r w:rsidR="001843B4">
        <w:rPr>
          <w:rFonts w:ascii="David" w:hAnsi="David" w:cs="David" w:hint="cs"/>
          <w:sz w:val="24"/>
          <w:szCs w:val="24"/>
          <w:rtl/>
        </w:rPr>
        <w:t xml:space="preserve"> </w:t>
      </w:r>
      <w:r w:rsidRPr="005A0A46">
        <w:rPr>
          <w:rFonts w:ascii="David" w:hAnsi="David" w:cs="David"/>
          <w:sz w:val="24"/>
          <w:szCs w:val="24"/>
          <w:rtl/>
        </w:rPr>
        <w:t xml:space="preserve">בהקשר זה חשוב לציין </w:t>
      </w:r>
      <w:r w:rsidR="00D1358D">
        <w:rPr>
          <w:rFonts w:ascii="David" w:hAnsi="David" w:cs="David" w:hint="cs"/>
          <w:sz w:val="24"/>
          <w:szCs w:val="24"/>
          <w:rtl/>
        </w:rPr>
        <w:t xml:space="preserve">גם </w:t>
      </w:r>
      <w:r w:rsidRPr="005A0A46">
        <w:rPr>
          <w:rFonts w:ascii="David" w:hAnsi="David" w:cs="David"/>
          <w:sz w:val="24"/>
          <w:szCs w:val="24"/>
          <w:rtl/>
        </w:rPr>
        <w:t xml:space="preserve">את חיבורו של </w:t>
      </w:r>
      <w:proofErr w:type="spellStart"/>
      <w:r w:rsidRPr="005A0A46">
        <w:rPr>
          <w:rFonts w:ascii="David" w:hAnsi="David" w:cs="David"/>
          <w:sz w:val="24"/>
          <w:szCs w:val="24"/>
        </w:rPr>
        <w:t>Leib</w:t>
      </w:r>
      <w:proofErr w:type="spellEnd"/>
      <w:r w:rsidRPr="005A0A46">
        <w:rPr>
          <w:rFonts w:ascii="David" w:hAnsi="David" w:cs="David"/>
          <w:sz w:val="24"/>
          <w:szCs w:val="24"/>
        </w:rPr>
        <w:t xml:space="preserve"> </w:t>
      </w:r>
      <w:proofErr w:type="spellStart"/>
      <w:r w:rsidRPr="005A0A46">
        <w:rPr>
          <w:rFonts w:ascii="David" w:hAnsi="David" w:cs="David"/>
          <w:sz w:val="24"/>
          <w:szCs w:val="24"/>
        </w:rPr>
        <w:t>Moscovitz</w:t>
      </w:r>
      <w:proofErr w:type="spellEnd"/>
      <w:r w:rsidRPr="009A146A">
        <w:rPr>
          <w:rFonts w:ascii="David" w:hAnsi="David" w:cs="David"/>
          <w:i/>
          <w:iCs/>
          <w:sz w:val="24"/>
          <w:szCs w:val="24"/>
        </w:rPr>
        <w:t>, Talmudic Reasoning: from</w:t>
      </w:r>
      <w:r w:rsidR="0063314E" w:rsidRPr="009A146A">
        <w:rPr>
          <w:rFonts w:ascii="David" w:hAnsi="David" w:cs="David"/>
          <w:i/>
          <w:iCs/>
          <w:sz w:val="24"/>
          <w:szCs w:val="24"/>
        </w:rPr>
        <w:t xml:space="preserve"> </w:t>
      </w:r>
      <w:r w:rsidRPr="009A146A">
        <w:rPr>
          <w:rFonts w:ascii="David" w:hAnsi="David" w:cs="David"/>
          <w:i/>
          <w:iCs/>
          <w:sz w:val="24"/>
          <w:szCs w:val="24"/>
        </w:rPr>
        <w:t>casuistic to conceptualization</w:t>
      </w:r>
      <w:r w:rsidRPr="005A0A46">
        <w:rPr>
          <w:rFonts w:ascii="David" w:hAnsi="David" w:cs="David"/>
          <w:sz w:val="24"/>
          <w:szCs w:val="24"/>
        </w:rPr>
        <w:t xml:space="preserve">, Tubingen: Mohr </w:t>
      </w:r>
      <w:proofErr w:type="spellStart"/>
      <w:r w:rsidRPr="005A0A46">
        <w:rPr>
          <w:rFonts w:ascii="David" w:hAnsi="David" w:cs="David"/>
          <w:sz w:val="24"/>
          <w:szCs w:val="24"/>
        </w:rPr>
        <w:t>Siebeck</w:t>
      </w:r>
      <w:proofErr w:type="spellEnd"/>
      <w:r w:rsidRPr="005A0A46">
        <w:rPr>
          <w:rFonts w:ascii="David" w:hAnsi="David" w:cs="David"/>
          <w:sz w:val="24"/>
          <w:szCs w:val="24"/>
        </w:rPr>
        <w:t>, 2002</w:t>
      </w:r>
      <w:r w:rsidR="0063314E">
        <w:rPr>
          <w:rFonts w:ascii="David" w:hAnsi="David" w:cs="David" w:hint="cs"/>
          <w:sz w:val="24"/>
          <w:szCs w:val="24"/>
          <w:rtl/>
        </w:rPr>
        <w:t>,</w:t>
      </w:r>
      <w:r w:rsidRPr="005A0A46">
        <w:rPr>
          <w:rFonts w:ascii="David" w:hAnsi="David" w:cs="David"/>
          <w:sz w:val="24"/>
          <w:szCs w:val="24"/>
          <w:rtl/>
        </w:rPr>
        <w:t xml:space="preserve"> שעוסק בתהליכי ההמשגה בשיח ההלכתי של חז"ל. בהקדמה לספרו מצביע </w:t>
      </w:r>
      <w:proofErr w:type="spellStart"/>
      <w:r w:rsidRPr="005A0A46">
        <w:rPr>
          <w:rFonts w:ascii="David" w:hAnsi="David" w:cs="David"/>
          <w:sz w:val="24"/>
          <w:szCs w:val="24"/>
          <w:rtl/>
        </w:rPr>
        <w:t>מוסקוביץ</w:t>
      </w:r>
      <w:proofErr w:type="spellEnd"/>
      <w:r w:rsidRPr="005A0A46">
        <w:rPr>
          <w:rFonts w:ascii="David" w:hAnsi="David" w:cs="David"/>
          <w:sz w:val="24"/>
          <w:szCs w:val="24"/>
          <w:rtl/>
        </w:rPr>
        <w:t xml:space="preserve"> על קווי דמיון והבדלים בין </w:t>
      </w:r>
      <w:r w:rsidR="001843B4">
        <w:rPr>
          <w:rFonts w:ascii="David" w:hAnsi="David" w:cs="David" w:hint="cs"/>
          <w:sz w:val="24"/>
          <w:szCs w:val="24"/>
          <w:rtl/>
        </w:rPr>
        <w:t>מ</w:t>
      </w:r>
      <w:r w:rsidRPr="005A0A46">
        <w:rPr>
          <w:rFonts w:ascii="David" w:hAnsi="David" w:cs="David"/>
          <w:sz w:val="24"/>
          <w:szCs w:val="24"/>
          <w:rtl/>
        </w:rPr>
        <w:t xml:space="preserve">ושגים בפילוסופיה של המשפט ('כללים ועקרונות משפטיים' של </w:t>
      </w:r>
      <w:proofErr w:type="spellStart"/>
      <w:r w:rsidRPr="005A0A46">
        <w:rPr>
          <w:rFonts w:ascii="David" w:hAnsi="David" w:cs="David"/>
          <w:sz w:val="24"/>
          <w:szCs w:val="24"/>
          <w:rtl/>
        </w:rPr>
        <w:t>דוורקין</w:t>
      </w:r>
      <w:proofErr w:type="spellEnd"/>
      <w:r w:rsidRPr="005A0A46">
        <w:rPr>
          <w:rFonts w:ascii="David" w:hAnsi="David" w:cs="David"/>
          <w:sz w:val="24"/>
          <w:szCs w:val="24"/>
          <w:rtl/>
        </w:rPr>
        <w:t>), לבין המושגים שהוא יעסוק בהם בחקר ההלכה. ראו עמ' 3</w:t>
      </w:r>
      <w:r w:rsidR="00C4295C">
        <w:rPr>
          <w:rFonts w:ascii="David" w:hAnsi="David" w:cs="David" w:hint="cs"/>
          <w:sz w:val="24"/>
          <w:szCs w:val="24"/>
          <w:rtl/>
        </w:rPr>
        <w:t>4</w:t>
      </w:r>
      <w:r w:rsidRPr="005A0A46">
        <w:rPr>
          <w:rFonts w:ascii="David" w:hAnsi="David" w:cs="David"/>
          <w:sz w:val="24"/>
          <w:szCs w:val="24"/>
          <w:rtl/>
        </w:rPr>
        <w:t>-3</w:t>
      </w:r>
      <w:r w:rsidR="00C4295C">
        <w:rPr>
          <w:rFonts w:ascii="David" w:hAnsi="David" w:cs="David" w:hint="cs"/>
          <w:sz w:val="24"/>
          <w:szCs w:val="24"/>
          <w:rtl/>
        </w:rPr>
        <w:t>5</w:t>
      </w:r>
      <w:r w:rsidRPr="005A0A46">
        <w:rPr>
          <w:rFonts w:ascii="David" w:hAnsi="David" w:cs="David"/>
          <w:sz w:val="24"/>
          <w:szCs w:val="24"/>
          <w:rtl/>
        </w:rPr>
        <w:t xml:space="preserve">, 43-41. </w:t>
      </w:r>
      <w:proofErr w:type="spellStart"/>
      <w:r w:rsidRPr="005A0A46">
        <w:rPr>
          <w:rFonts w:ascii="David" w:hAnsi="David" w:cs="David"/>
          <w:sz w:val="24"/>
          <w:szCs w:val="24"/>
          <w:rtl/>
        </w:rPr>
        <w:t>מוסקוביץ</w:t>
      </w:r>
      <w:proofErr w:type="spellEnd"/>
      <w:r w:rsidRPr="005A0A46">
        <w:rPr>
          <w:rFonts w:ascii="David" w:hAnsi="David" w:cs="David"/>
          <w:sz w:val="24"/>
          <w:szCs w:val="24"/>
          <w:rtl/>
        </w:rPr>
        <w:t xml:space="preserve"> בחר </w:t>
      </w:r>
      <w:r w:rsidR="00502749">
        <w:rPr>
          <w:rFonts w:ascii="David" w:hAnsi="David" w:cs="David" w:hint="cs"/>
          <w:sz w:val="24"/>
          <w:szCs w:val="24"/>
          <w:rtl/>
        </w:rPr>
        <w:t>שלא לדון ב</w:t>
      </w:r>
      <w:r w:rsidRPr="005A0A46">
        <w:rPr>
          <w:rFonts w:ascii="David" w:hAnsi="David" w:cs="David"/>
          <w:sz w:val="24"/>
          <w:szCs w:val="24"/>
          <w:rtl/>
        </w:rPr>
        <w:t xml:space="preserve">מה שהוא מכנה </w:t>
      </w:r>
      <w:r w:rsidR="00FD579B">
        <w:rPr>
          <w:rFonts w:ascii="SBL Greek" w:hAnsi="SBL Greek" w:cs="David"/>
          <w:sz w:val="24"/>
          <w:szCs w:val="24"/>
        </w:rPr>
        <w:t>‘</w:t>
      </w:r>
      <w:r w:rsidRPr="005A0A46">
        <w:rPr>
          <w:rFonts w:ascii="David" w:hAnsi="David" w:cs="David"/>
          <w:sz w:val="24"/>
          <w:szCs w:val="24"/>
        </w:rPr>
        <w:t>Broad ,discretionary principles</w:t>
      </w:r>
      <w:r w:rsidR="00FD579B">
        <w:rPr>
          <w:rFonts w:ascii="SBL Greek" w:hAnsi="SBL Greek" w:cs="David"/>
          <w:sz w:val="24"/>
          <w:szCs w:val="24"/>
        </w:rPr>
        <w:t>’</w:t>
      </w:r>
      <w:r w:rsidR="003C115B">
        <w:rPr>
          <w:rFonts w:ascii="David" w:hAnsi="David" w:cs="David" w:hint="cs"/>
          <w:sz w:val="24"/>
          <w:szCs w:val="24"/>
          <w:rtl/>
        </w:rPr>
        <w:t>,</w:t>
      </w:r>
      <w:r w:rsidRPr="005A0A46">
        <w:rPr>
          <w:rFonts w:ascii="David" w:hAnsi="David" w:cs="David"/>
          <w:sz w:val="24"/>
          <w:szCs w:val="24"/>
          <w:rtl/>
        </w:rPr>
        <w:t xml:space="preserve"> </w:t>
      </w:r>
      <w:r w:rsidR="00E831B0">
        <w:rPr>
          <w:rFonts w:ascii="David" w:hAnsi="David" w:cs="David" w:hint="cs"/>
          <w:sz w:val="24"/>
          <w:szCs w:val="24"/>
          <w:rtl/>
        </w:rPr>
        <w:t xml:space="preserve">ובהם </w:t>
      </w:r>
      <w:r w:rsidRPr="005A0A46">
        <w:rPr>
          <w:rFonts w:ascii="David" w:hAnsi="David" w:cs="David"/>
          <w:sz w:val="24"/>
          <w:szCs w:val="24"/>
          <w:rtl/>
        </w:rPr>
        <w:t>גם תקנות 'מפני דרכי שלום' (ראו במיוחד</w:t>
      </w:r>
      <w:r w:rsidR="00F70B32">
        <w:rPr>
          <w:rFonts w:ascii="David" w:hAnsi="David" w:cs="David" w:hint="cs"/>
          <w:sz w:val="24"/>
          <w:szCs w:val="24"/>
          <w:rtl/>
        </w:rPr>
        <w:t xml:space="preserve"> עמ' 42</w:t>
      </w:r>
      <w:r w:rsidRPr="005A0A46">
        <w:rPr>
          <w:rFonts w:ascii="David" w:hAnsi="David" w:cs="David"/>
          <w:sz w:val="24"/>
          <w:szCs w:val="24"/>
          <w:rtl/>
        </w:rPr>
        <w:t xml:space="preserve"> הערות 166-163). בחירה זו מותירה את האפשרות להידרש לסוגיות שבהן אעסוק כאן ברזולוציה עדינה יותר, שתניב, כך אני סבורה, תובנות נוספות, ואולי מדויקות יותר.</w:t>
      </w:r>
    </w:p>
  </w:footnote>
  <w:footnote w:id="56">
    <w:p w14:paraId="32B1029A" w14:textId="76C8834B" w:rsidR="00797FEF" w:rsidRPr="0007545C" w:rsidRDefault="00797FEF" w:rsidP="005E6E0F">
      <w:pPr>
        <w:pStyle w:val="a3"/>
        <w:spacing w:line="480" w:lineRule="auto"/>
        <w:jc w:val="both"/>
        <w:rPr>
          <w:rFonts w:cs="David"/>
          <w:sz w:val="24"/>
          <w:szCs w:val="24"/>
        </w:rPr>
      </w:pPr>
      <w:r>
        <w:rPr>
          <w:rStyle w:val="a5"/>
        </w:rPr>
        <w:footnoteRef/>
      </w:r>
      <w:r>
        <w:rPr>
          <w:rFonts w:hint="cs"/>
          <w:rtl/>
        </w:rPr>
        <w:t xml:space="preserve"> </w:t>
      </w:r>
      <w:bookmarkStart w:id="8" w:name="_Hlk6924712"/>
      <w:r w:rsidRPr="00936E70">
        <w:rPr>
          <w:rFonts w:ascii="Times New Roman" w:hAnsi="Times New Roman" w:cs="Times New Roman"/>
          <w:sz w:val="24"/>
          <w:szCs w:val="24"/>
        </w:rPr>
        <w:t>Frederick Schauer</w:t>
      </w:r>
      <w:bookmarkEnd w:id="8"/>
      <w:r w:rsidRPr="00936E70">
        <w:rPr>
          <w:rFonts w:ascii="Times New Roman" w:hAnsi="Times New Roman" w:cs="Times New Roman"/>
          <w:sz w:val="24"/>
          <w:szCs w:val="24"/>
        </w:rPr>
        <w:t xml:space="preserve">, </w:t>
      </w:r>
      <w:bookmarkStart w:id="9" w:name="_Hlk13041477"/>
      <w:r>
        <w:rPr>
          <w:rFonts w:ascii="SBL Greek" w:hAnsi="SBL Greek" w:cs="Times New Roman"/>
          <w:sz w:val="24"/>
          <w:szCs w:val="24"/>
        </w:rPr>
        <w:t>“</w:t>
      </w:r>
      <w:r w:rsidRPr="00936E70">
        <w:rPr>
          <w:rFonts w:ascii="Times New Roman" w:hAnsi="Times New Roman" w:cs="Times New Roman"/>
          <w:sz w:val="24"/>
          <w:szCs w:val="24"/>
        </w:rPr>
        <w:t>Giving Reasons</w:t>
      </w:r>
      <w:r>
        <w:rPr>
          <w:rFonts w:ascii="SBL Greek" w:hAnsi="SBL Greek" w:cs="Times New Roman"/>
          <w:sz w:val="24"/>
          <w:szCs w:val="24"/>
        </w:rPr>
        <w:t>”</w:t>
      </w:r>
      <w:bookmarkEnd w:id="9"/>
      <w:r w:rsidRPr="00936E70">
        <w:rPr>
          <w:rFonts w:ascii="Times New Roman" w:hAnsi="Times New Roman" w:cs="Times New Roman"/>
          <w:sz w:val="24"/>
          <w:szCs w:val="24"/>
        </w:rPr>
        <w:t xml:space="preserve">, </w:t>
      </w:r>
      <w:r w:rsidRPr="001F1D77">
        <w:rPr>
          <w:rFonts w:ascii="Times New Roman" w:hAnsi="Times New Roman" w:cs="Times New Roman"/>
          <w:i/>
          <w:iCs/>
          <w:sz w:val="24"/>
          <w:szCs w:val="24"/>
        </w:rPr>
        <w:t>Stanford Law Review</w:t>
      </w:r>
      <w:r w:rsidRPr="00936E70">
        <w:rPr>
          <w:rFonts w:ascii="Times New Roman" w:hAnsi="Times New Roman" w:cs="Times New Roman"/>
          <w:sz w:val="24"/>
          <w:szCs w:val="24"/>
        </w:rPr>
        <w:t xml:space="preserve"> 47 (1995):</w:t>
      </w:r>
      <w:r>
        <w:rPr>
          <w:rFonts w:ascii="Times New Roman" w:hAnsi="Times New Roman" w:cs="Times New Roman"/>
          <w:sz w:val="24"/>
          <w:szCs w:val="24"/>
        </w:rPr>
        <w:t xml:space="preserve"> 633-659;  </w:t>
      </w:r>
      <w:bookmarkStart w:id="10" w:name="_Hlk13046728"/>
      <w:r w:rsidRPr="005E6E0F">
        <w:rPr>
          <w:rFonts w:ascii="Times New Roman" w:hAnsi="Times New Roman" w:cs="Times New Roman"/>
          <w:sz w:val="24"/>
          <w:szCs w:val="24"/>
        </w:rPr>
        <w:t>“The Jurisprudence of Reasons”</w:t>
      </w:r>
      <w:bookmarkEnd w:id="10"/>
      <w:r w:rsidRPr="005E6E0F">
        <w:rPr>
          <w:rFonts w:ascii="Times New Roman" w:hAnsi="Times New Roman" w:cs="Times New Roman"/>
          <w:sz w:val="24"/>
          <w:szCs w:val="24"/>
        </w:rPr>
        <w:t>,</w:t>
      </w:r>
      <w:r w:rsidRPr="006A3BDB">
        <w:rPr>
          <w:rFonts w:ascii="Times New Roman" w:hAnsi="Times New Roman" w:cs="Times New Roman"/>
          <w:i/>
          <w:iCs/>
          <w:sz w:val="24"/>
          <w:szCs w:val="24"/>
        </w:rPr>
        <w:t xml:space="preserve"> Michigan Law Review</w:t>
      </w:r>
      <w:r w:rsidRPr="005E6E0F">
        <w:rPr>
          <w:rFonts w:ascii="Times New Roman" w:hAnsi="Times New Roman" w:cs="Times New Roman"/>
          <w:sz w:val="24"/>
          <w:szCs w:val="24"/>
        </w:rPr>
        <w:t xml:space="preserve"> 85 (1987):847-870</w:t>
      </w:r>
      <w:r>
        <w:rPr>
          <w:rFonts w:cs="David"/>
          <w:sz w:val="24"/>
          <w:szCs w:val="24"/>
        </w:rPr>
        <w:t xml:space="preserve">; </w:t>
      </w:r>
      <w:r w:rsidRPr="00AA2735">
        <w:rPr>
          <w:rFonts w:asciiTheme="majorBidi" w:hAnsiTheme="majorBidi" w:cstheme="majorBidi"/>
          <w:i/>
          <w:iCs/>
          <w:sz w:val="24"/>
          <w:szCs w:val="24"/>
        </w:rPr>
        <w:t xml:space="preserve">Playing </w:t>
      </w:r>
      <w:r>
        <w:rPr>
          <w:rFonts w:asciiTheme="majorBidi" w:hAnsiTheme="majorBidi" w:cstheme="majorBidi"/>
          <w:i/>
          <w:iCs/>
          <w:sz w:val="24"/>
          <w:szCs w:val="24"/>
        </w:rPr>
        <w:t>b</w:t>
      </w:r>
      <w:r w:rsidRPr="00AA2735">
        <w:rPr>
          <w:rFonts w:asciiTheme="majorBidi" w:hAnsiTheme="majorBidi" w:cstheme="majorBidi"/>
          <w:i/>
          <w:iCs/>
          <w:sz w:val="24"/>
          <w:szCs w:val="24"/>
        </w:rPr>
        <w:t>y the Rules: A Philosophical Examination of Rule-Based Decision-Making in Law and in Life</w:t>
      </w:r>
      <w:r w:rsidRPr="00AA2735">
        <w:rPr>
          <w:rFonts w:asciiTheme="majorBidi" w:hAnsiTheme="majorBidi" w:cstheme="majorBidi"/>
          <w:sz w:val="24"/>
          <w:szCs w:val="24"/>
        </w:rPr>
        <w:t xml:space="preserve"> (Clarendon/Oxford, 1991); </w:t>
      </w:r>
      <w:r w:rsidRPr="009A216D">
        <w:rPr>
          <w:rFonts w:asciiTheme="majorBidi" w:hAnsiTheme="majorBidi" w:cstheme="majorBidi"/>
          <w:i/>
          <w:iCs/>
          <w:sz w:val="24"/>
          <w:szCs w:val="24"/>
        </w:rPr>
        <w:t>Thinking Like a Lawyer: A New Introduction to Legal Reasoning</w:t>
      </w:r>
      <w:r w:rsidRPr="00AA2735">
        <w:rPr>
          <w:rFonts w:asciiTheme="majorBidi" w:hAnsiTheme="majorBidi" w:cstheme="majorBidi"/>
          <w:sz w:val="24"/>
          <w:szCs w:val="24"/>
        </w:rPr>
        <w:t xml:space="preserve"> (Harvard, 2009)</w:t>
      </w:r>
      <w:r>
        <w:rPr>
          <w:rFonts w:asciiTheme="majorBidi" w:hAnsiTheme="majorBidi" w:cstheme="majorBidi"/>
          <w:sz w:val="24"/>
          <w:szCs w:val="24"/>
        </w:rPr>
        <w:t>.</w:t>
      </w:r>
    </w:p>
  </w:footnote>
  <w:footnote w:id="57">
    <w:p w14:paraId="74BF588D" w14:textId="77777777" w:rsidR="00797FEF" w:rsidRDefault="00797FEF" w:rsidP="008E7F04">
      <w:pPr>
        <w:pStyle w:val="a3"/>
        <w:spacing w:line="480" w:lineRule="auto"/>
        <w:rPr>
          <w:rFonts w:ascii="Times New Roman" w:hAnsi="Times New Roman" w:cs="Times New Roman"/>
          <w:sz w:val="24"/>
          <w:szCs w:val="24"/>
          <w:rtl/>
        </w:rPr>
      </w:pPr>
      <w:r>
        <w:rPr>
          <w:rStyle w:val="a5"/>
        </w:rPr>
        <w:footnoteRef/>
      </w:r>
      <w:r>
        <w:rPr>
          <w:rtl/>
        </w:rPr>
        <w:t xml:space="preserve"> </w:t>
      </w:r>
      <w:r w:rsidRPr="008E7F04">
        <w:rPr>
          <w:rFonts w:ascii="David" w:hAnsi="David" w:cs="David"/>
          <w:sz w:val="24"/>
          <w:szCs w:val="24"/>
          <w:rtl/>
        </w:rPr>
        <w:t xml:space="preserve">ראו את הגדרה שנותן </w:t>
      </w:r>
      <w:r w:rsidRPr="00AD21B5">
        <w:rPr>
          <w:rFonts w:ascii="David" w:hAnsi="David" w:cs="David"/>
          <w:sz w:val="24"/>
          <w:szCs w:val="24"/>
        </w:rPr>
        <w:t>Schauer</w:t>
      </w:r>
      <w:r w:rsidRPr="00AD21B5">
        <w:rPr>
          <w:rFonts w:ascii="David" w:hAnsi="David" w:cs="David"/>
          <w:sz w:val="24"/>
          <w:szCs w:val="24"/>
          <w:rtl/>
        </w:rPr>
        <w:t xml:space="preserve"> </w:t>
      </w:r>
      <w:r w:rsidRPr="008E7F04">
        <w:rPr>
          <w:rFonts w:ascii="David" w:hAnsi="David" w:cs="David"/>
          <w:sz w:val="24"/>
          <w:szCs w:val="24"/>
          <w:rtl/>
        </w:rPr>
        <w:t>ל</w:t>
      </w:r>
      <w:r>
        <w:rPr>
          <w:rFonts w:ascii="David" w:hAnsi="David" w:cs="David" w:hint="cs"/>
          <w:sz w:val="24"/>
          <w:szCs w:val="24"/>
          <w:rtl/>
        </w:rPr>
        <w:t>מונח</w:t>
      </w:r>
      <w:r>
        <w:rPr>
          <w:rFonts w:hint="cs"/>
          <w:rtl/>
        </w:rPr>
        <w:t xml:space="preserve"> </w:t>
      </w:r>
      <w:r>
        <w:rPr>
          <w:rFonts w:ascii="SBL Greek" w:hAnsi="SBL Greek" w:cs="Times New Roman"/>
          <w:sz w:val="24"/>
          <w:szCs w:val="24"/>
        </w:rPr>
        <w:t>“</w:t>
      </w:r>
      <w:r w:rsidRPr="008E7F04">
        <w:rPr>
          <w:rFonts w:ascii="Times New Roman" w:hAnsi="Times New Roman" w:cs="Times New Roman"/>
          <w:sz w:val="24"/>
          <w:szCs w:val="24"/>
        </w:rPr>
        <w:t>Reason</w:t>
      </w:r>
      <w:r>
        <w:rPr>
          <w:rFonts w:ascii="SBL Greek" w:hAnsi="SBL Greek" w:cs="Times New Roman"/>
          <w:sz w:val="24"/>
          <w:szCs w:val="24"/>
        </w:rPr>
        <w:t>”</w:t>
      </w:r>
      <w:r>
        <w:rPr>
          <w:rFonts w:hint="cs"/>
          <w:rtl/>
        </w:rPr>
        <w:t xml:space="preserve"> </w:t>
      </w:r>
      <w:r w:rsidRPr="008E7F04">
        <w:rPr>
          <w:rFonts w:ascii="David" w:hAnsi="David" w:cs="David"/>
          <w:sz w:val="24"/>
          <w:szCs w:val="24"/>
          <w:rtl/>
        </w:rPr>
        <w:t>במאמרו</w:t>
      </w:r>
      <w:r>
        <w:rPr>
          <w:rFonts w:hint="cs"/>
          <w:rtl/>
        </w:rPr>
        <w:t xml:space="preserve"> </w:t>
      </w:r>
      <w:r w:rsidRPr="008E7F04">
        <w:rPr>
          <w:rFonts w:ascii="Times New Roman" w:hAnsi="Times New Roman" w:cs="Times New Roman"/>
          <w:sz w:val="24"/>
          <w:szCs w:val="24"/>
        </w:rPr>
        <w:t>:“Giving Reasons”, p. 636</w:t>
      </w:r>
      <w:r w:rsidRPr="008E7F04">
        <w:rPr>
          <w:rFonts w:ascii="Times New Roman" w:hAnsi="Times New Roman" w:cs="Times New Roman"/>
          <w:sz w:val="24"/>
          <w:szCs w:val="24"/>
          <w:rtl/>
        </w:rPr>
        <w:t xml:space="preserve"> </w:t>
      </w:r>
    </w:p>
    <w:p w14:paraId="0CAB618F" w14:textId="210E7B92" w:rsidR="00797FEF" w:rsidRPr="00227BC5" w:rsidRDefault="00797FEF" w:rsidP="008E7F04">
      <w:pPr>
        <w:pStyle w:val="a3"/>
        <w:spacing w:line="480" w:lineRule="auto"/>
        <w:rPr>
          <w:rtl/>
        </w:rPr>
      </w:pPr>
      <w:r w:rsidRPr="008E7F04">
        <w:rPr>
          <w:rFonts w:ascii="Times New Roman" w:hAnsi="Times New Roman" w:cs="Times New Roman"/>
          <w:sz w:val="24"/>
          <w:szCs w:val="24"/>
        </w:rPr>
        <w:t xml:space="preserve">“For my purposes, therefore, </w:t>
      </w:r>
      <w:r w:rsidR="008679B1">
        <w:rPr>
          <w:rFonts w:ascii="SBL Greek" w:hAnsi="SBL Greek" w:cs="Times New Roman"/>
          <w:sz w:val="24"/>
          <w:szCs w:val="24"/>
        </w:rPr>
        <w:t>‘</w:t>
      </w:r>
      <w:r w:rsidRPr="008E7F04">
        <w:rPr>
          <w:rFonts w:ascii="Times New Roman" w:hAnsi="Times New Roman" w:cs="Times New Roman"/>
          <w:sz w:val="24"/>
          <w:szCs w:val="24"/>
        </w:rPr>
        <w:t>reason</w:t>
      </w:r>
      <w:r w:rsidR="008679B1">
        <w:rPr>
          <w:rFonts w:ascii="SBL Greek" w:hAnsi="SBL Greek" w:cs="Times New Roman"/>
          <w:sz w:val="24"/>
          <w:szCs w:val="24"/>
        </w:rPr>
        <w:t>’</w:t>
      </w:r>
      <w:r w:rsidRPr="008E7F04">
        <w:rPr>
          <w:rFonts w:ascii="Times New Roman" w:hAnsi="Times New Roman" w:cs="Times New Roman"/>
          <w:sz w:val="24"/>
          <w:szCs w:val="24"/>
        </w:rPr>
        <w:t xml:space="preserve"> labels what follows the word </w:t>
      </w:r>
      <w:r w:rsidR="008679B1">
        <w:rPr>
          <w:rFonts w:ascii="SBL Greek" w:hAnsi="SBL Greek" w:cs="Times New Roman"/>
          <w:sz w:val="24"/>
          <w:szCs w:val="24"/>
        </w:rPr>
        <w:t>‘</w:t>
      </w:r>
      <w:r w:rsidRPr="008E7F04">
        <w:rPr>
          <w:rFonts w:ascii="Times New Roman" w:hAnsi="Times New Roman" w:cs="Times New Roman"/>
          <w:sz w:val="24"/>
          <w:szCs w:val="24"/>
        </w:rPr>
        <w:t>because</w:t>
      </w:r>
      <w:r w:rsidR="008679B1">
        <w:rPr>
          <w:rFonts w:ascii="SBL Greek" w:hAnsi="SBL Greek" w:cs="Times New Roman"/>
          <w:sz w:val="24"/>
          <w:szCs w:val="24"/>
        </w:rPr>
        <w:t>’</w:t>
      </w:r>
      <w:r w:rsidRPr="008E7F04">
        <w:rPr>
          <w:rFonts w:ascii="Times New Roman" w:hAnsi="Times New Roman" w:cs="Times New Roman"/>
          <w:sz w:val="24"/>
          <w:szCs w:val="24"/>
        </w:rPr>
        <w:t xml:space="preserve"> in, "We reach this result because..." or, "I find for the plaintiff because</w:t>
      </w:r>
      <w:r w:rsidR="00AB0950">
        <w:rPr>
          <w:rFonts w:ascii="Times New Roman" w:hAnsi="Times New Roman" w:cs="Times New Roman"/>
          <w:sz w:val="24"/>
          <w:szCs w:val="24"/>
        </w:rPr>
        <w:t>..</w:t>
      </w:r>
      <w:r w:rsidRPr="008E7F04">
        <w:rPr>
          <w:rFonts w:ascii="Times New Roman" w:hAnsi="Times New Roman" w:cs="Times New Roman"/>
          <w:sz w:val="24"/>
          <w:szCs w:val="24"/>
        </w:rPr>
        <w:t xml:space="preserve">." or, "You should come to this conclusion because..." </w:t>
      </w:r>
      <w:r>
        <w:rPr>
          <w:rFonts w:ascii="Times New Roman" w:hAnsi="Times New Roman" w:cs="Times New Roman"/>
          <w:sz w:val="24"/>
          <w:szCs w:val="24"/>
        </w:rPr>
        <w:t xml:space="preserve">[…] </w:t>
      </w:r>
      <w:r w:rsidRPr="008E7F04">
        <w:rPr>
          <w:rFonts w:ascii="Times New Roman" w:hAnsi="Times New Roman" w:cs="Times New Roman"/>
          <w:sz w:val="24"/>
          <w:szCs w:val="24"/>
        </w:rPr>
        <w:t>it still exhibits the feature of legal practice that I seek to analyze</w:t>
      </w:r>
      <w:r>
        <w:rPr>
          <w:rFonts w:ascii="Times New Roman" w:hAnsi="Times New Roman" w:cs="Times New Roman"/>
          <w:sz w:val="24"/>
          <w:szCs w:val="24"/>
        </w:rPr>
        <w:t xml:space="preserve">, </w:t>
      </w:r>
      <w:r w:rsidRPr="008E7F04">
        <w:rPr>
          <w:rFonts w:ascii="Times New Roman" w:hAnsi="Times New Roman" w:cs="Times New Roman"/>
          <w:sz w:val="24"/>
          <w:szCs w:val="24"/>
        </w:rPr>
        <w:t>the explicit act of offering a justification or explanation for the result reached”.</w:t>
      </w:r>
      <w:r w:rsidRPr="00227BC5">
        <w:rPr>
          <w:rFonts w:cs="Arial"/>
          <w:rtl/>
        </w:rPr>
        <w:t>.</w:t>
      </w:r>
    </w:p>
  </w:footnote>
  <w:footnote w:id="58">
    <w:p w14:paraId="6A51DDDD" w14:textId="53982C33" w:rsidR="00797FEF" w:rsidRPr="00255FD9" w:rsidRDefault="00797FEF" w:rsidP="00B73D1C">
      <w:pPr>
        <w:pStyle w:val="a3"/>
        <w:spacing w:line="480" w:lineRule="auto"/>
        <w:rPr>
          <w:rFonts w:ascii="David" w:hAnsi="David" w:cs="David"/>
          <w:sz w:val="24"/>
          <w:szCs w:val="24"/>
          <w:rtl/>
        </w:rPr>
      </w:pPr>
      <w:r>
        <w:rPr>
          <w:rStyle w:val="a5"/>
        </w:rPr>
        <w:footnoteRef/>
      </w:r>
      <w:r>
        <w:rPr>
          <w:rtl/>
        </w:rPr>
        <w:t xml:space="preserve"> </w:t>
      </w:r>
      <w:r w:rsidRPr="00B73D1C">
        <w:rPr>
          <w:rFonts w:ascii="Times New Roman" w:hAnsi="Times New Roman" w:cs="Times New Roman"/>
          <w:sz w:val="24"/>
          <w:szCs w:val="24"/>
        </w:rPr>
        <w:t xml:space="preserve">Duncan Kennedy, “Toward </w:t>
      </w:r>
      <w:r>
        <w:rPr>
          <w:rFonts w:ascii="Times New Roman" w:hAnsi="Times New Roman" w:cs="Times New Roman"/>
          <w:sz w:val="24"/>
          <w:szCs w:val="24"/>
        </w:rPr>
        <w:t>a</w:t>
      </w:r>
      <w:r w:rsidRPr="00B73D1C">
        <w:rPr>
          <w:rFonts w:ascii="Times New Roman" w:hAnsi="Times New Roman" w:cs="Times New Roman"/>
          <w:sz w:val="24"/>
          <w:szCs w:val="24"/>
        </w:rPr>
        <w:t xml:space="preserve">n Historical Understanding of Legal Consciousness: The Case of Classical Legal Thought in America, 1850-1940”, </w:t>
      </w:r>
      <w:r w:rsidRPr="00255FD9">
        <w:rPr>
          <w:rFonts w:ascii="Times New Roman" w:hAnsi="Times New Roman" w:cs="Times New Roman"/>
          <w:i/>
          <w:iCs/>
          <w:sz w:val="24"/>
          <w:szCs w:val="24"/>
        </w:rPr>
        <w:t>Research in Law and Sociology</w:t>
      </w:r>
      <w:r w:rsidRPr="00B73D1C">
        <w:rPr>
          <w:rFonts w:ascii="Times New Roman" w:hAnsi="Times New Roman" w:cs="Times New Roman"/>
          <w:sz w:val="24"/>
          <w:szCs w:val="24"/>
        </w:rPr>
        <w:t xml:space="preserve"> 3 (1980), pp. 3-24</w:t>
      </w:r>
      <w:r>
        <w:rPr>
          <w:rFonts w:hint="cs"/>
          <w:rtl/>
        </w:rPr>
        <w:t xml:space="preserve">. </w:t>
      </w:r>
      <w:r w:rsidRPr="00255FD9">
        <w:rPr>
          <w:rFonts w:ascii="David" w:hAnsi="David" w:cs="David"/>
          <w:sz w:val="24"/>
          <w:szCs w:val="24"/>
          <w:rtl/>
        </w:rPr>
        <w:t>אני מודה ל</w:t>
      </w:r>
      <w:r w:rsidRPr="00255FD9">
        <w:rPr>
          <w:rFonts w:cs="Arial"/>
          <w:rtl/>
        </w:rPr>
        <w:t xml:space="preserve"> </w:t>
      </w:r>
      <w:r w:rsidRPr="00255FD9">
        <w:rPr>
          <w:rFonts w:ascii="Times New Roman" w:hAnsi="Times New Roman" w:cs="Times New Roman"/>
          <w:sz w:val="24"/>
          <w:szCs w:val="24"/>
        </w:rPr>
        <w:t>Prof. Suzanne Last Stone</w:t>
      </w:r>
      <w:r w:rsidRPr="00255FD9">
        <w:rPr>
          <w:rFonts w:ascii="Times New Roman" w:hAnsi="Times New Roman" w:cs="Times New Roman"/>
          <w:sz w:val="24"/>
          <w:szCs w:val="24"/>
          <w:rtl/>
        </w:rPr>
        <w:t xml:space="preserve"> </w:t>
      </w:r>
      <w:r w:rsidRPr="00255FD9">
        <w:rPr>
          <w:rFonts w:ascii="David" w:hAnsi="David" w:cs="David"/>
          <w:sz w:val="24"/>
          <w:szCs w:val="24"/>
          <w:rtl/>
        </w:rPr>
        <w:t>על שהפנתה אותי למאמר מעניין זה.</w:t>
      </w:r>
    </w:p>
  </w:footnote>
  <w:footnote w:id="59">
    <w:p w14:paraId="1BD665D4" w14:textId="5B3C67AB" w:rsidR="00797FEF" w:rsidRPr="003E5EEB" w:rsidRDefault="00797FEF" w:rsidP="00D734F0">
      <w:pPr>
        <w:pStyle w:val="a3"/>
        <w:spacing w:line="480" w:lineRule="auto"/>
        <w:rPr>
          <w:rFonts w:ascii="David" w:hAnsi="David" w:cs="David"/>
          <w:sz w:val="24"/>
          <w:szCs w:val="24"/>
          <w:rtl/>
        </w:rPr>
      </w:pPr>
      <w:r>
        <w:rPr>
          <w:rStyle w:val="a5"/>
        </w:rPr>
        <w:footnoteRef/>
      </w:r>
      <w:r>
        <w:rPr>
          <w:rtl/>
        </w:rPr>
        <w:t xml:space="preserve"> </w:t>
      </w:r>
      <w:r>
        <w:rPr>
          <w:rFonts w:ascii="SBL Greek" w:hAnsi="SBL Greek" w:cs="Times New Roman"/>
          <w:sz w:val="24"/>
          <w:szCs w:val="24"/>
        </w:rPr>
        <w:t>“</w:t>
      </w:r>
      <w:r w:rsidRPr="00D021B6">
        <w:rPr>
          <w:rFonts w:ascii="Times New Roman" w:hAnsi="Times New Roman" w:cs="Times New Roman"/>
          <w:sz w:val="24"/>
          <w:szCs w:val="24"/>
        </w:rPr>
        <w:t>Giving Reasons”</w:t>
      </w:r>
      <w:r>
        <w:rPr>
          <w:rFonts w:ascii="Times New Roman" w:hAnsi="Times New Roman" w:cs="Times New Roman"/>
          <w:sz w:val="24"/>
          <w:szCs w:val="24"/>
        </w:rPr>
        <w:t xml:space="preserve">, pp. 636-637. </w:t>
      </w:r>
      <w:r w:rsidRPr="005E1517">
        <w:rPr>
          <w:rFonts w:ascii="Times New Roman" w:hAnsi="Times New Roman" w:cs="Times New Roman"/>
          <w:sz w:val="24"/>
          <w:szCs w:val="24"/>
        </w:rPr>
        <w:t>Schauer explores the logic of giving reasons</w:t>
      </w:r>
      <w:r>
        <w:rPr>
          <w:rFonts w:ascii="Times New Roman" w:hAnsi="Times New Roman" w:cs="Times New Roman"/>
          <w:sz w:val="24"/>
          <w:szCs w:val="24"/>
        </w:rPr>
        <w:t>:</w:t>
      </w:r>
      <w:r w:rsidRPr="005E1517">
        <w:rPr>
          <w:rFonts w:ascii="Times New Roman" w:hAnsi="Times New Roman" w:cs="Times New Roman"/>
          <w:sz w:val="24"/>
          <w:szCs w:val="24"/>
        </w:rPr>
        <w:t xml:space="preserve"> What is the structural relationship between a reason and the result that it is a reason for</w:t>
      </w:r>
      <w:r>
        <w:rPr>
          <w:rFonts w:ascii="Times New Roman" w:hAnsi="Times New Roman" w:cs="Times New Roman"/>
          <w:sz w:val="24"/>
          <w:szCs w:val="24"/>
        </w:rPr>
        <w:t>;</w:t>
      </w:r>
      <w:r w:rsidRPr="005E1517">
        <w:rPr>
          <w:rFonts w:ascii="Times New Roman" w:hAnsi="Times New Roman" w:cs="Times New Roman"/>
          <w:sz w:val="24"/>
          <w:szCs w:val="24"/>
        </w:rPr>
        <w:t xml:space="preserve"> What commitments, if any, attach to giving a reason</w:t>
      </w:r>
      <w:r>
        <w:rPr>
          <w:rFonts w:ascii="Times New Roman" w:hAnsi="Times New Roman" w:cs="Times New Roman"/>
          <w:sz w:val="24"/>
          <w:szCs w:val="24"/>
        </w:rPr>
        <w:t>.</w:t>
      </w:r>
      <w:r w:rsidR="004557D9">
        <w:rPr>
          <w:rFonts w:cs="David" w:hint="cs"/>
          <w:sz w:val="24"/>
          <w:szCs w:val="24"/>
          <w:rtl/>
        </w:rPr>
        <w:t xml:space="preserve">; </w:t>
      </w:r>
      <w:r>
        <w:rPr>
          <w:rFonts w:cs="David" w:hint="cs"/>
          <w:sz w:val="24"/>
          <w:szCs w:val="24"/>
          <w:rtl/>
        </w:rPr>
        <w:t>למתן טע</w:t>
      </w:r>
      <w:r w:rsidR="0045201B">
        <w:rPr>
          <w:rFonts w:cs="David" w:hint="cs"/>
          <w:sz w:val="24"/>
          <w:szCs w:val="24"/>
          <w:rtl/>
        </w:rPr>
        <w:t>מים</w:t>
      </w:r>
      <w:r>
        <w:rPr>
          <w:rFonts w:cs="David" w:hint="cs"/>
          <w:sz w:val="24"/>
          <w:szCs w:val="24"/>
          <w:rtl/>
        </w:rPr>
        <w:t xml:space="preserve"> מפורש</w:t>
      </w:r>
      <w:r w:rsidR="0045201B">
        <w:rPr>
          <w:rFonts w:cs="David" w:hint="cs"/>
          <w:sz w:val="24"/>
          <w:szCs w:val="24"/>
          <w:rtl/>
        </w:rPr>
        <w:t>ים</w:t>
      </w:r>
      <w:r>
        <w:rPr>
          <w:rFonts w:cs="David" w:hint="cs"/>
          <w:sz w:val="24"/>
          <w:szCs w:val="24"/>
          <w:rtl/>
        </w:rPr>
        <w:t xml:space="preserve"> ברובד התנאי ראו</w:t>
      </w:r>
      <w:r w:rsidR="008D0C31">
        <w:rPr>
          <w:rFonts w:cs="David" w:hint="cs"/>
          <w:sz w:val="24"/>
          <w:szCs w:val="24"/>
          <w:rtl/>
        </w:rPr>
        <w:t xml:space="preserve"> </w:t>
      </w:r>
      <w:proofErr w:type="spellStart"/>
      <w:r w:rsidR="008D0C31" w:rsidRPr="008D0C31">
        <w:rPr>
          <w:rFonts w:ascii="Times New Roman" w:hAnsi="Times New Roman" w:cs="Times New Roman"/>
          <w:sz w:val="24"/>
          <w:szCs w:val="24"/>
        </w:rPr>
        <w:t>Moscovitz</w:t>
      </w:r>
      <w:proofErr w:type="spellEnd"/>
      <w:r w:rsidR="008D0C31" w:rsidRPr="008D0C31">
        <w:rPr>
          <w:rFonts w:ascii="Times New Roman" w:hAnsi="Times New Roman" w:cs="Times New Roman"/>
          <w:sz w:val="24"/>
          <w:szCs w:val="24"/>
        </w:rPr>
        <w:t>, ‘Talmudic Reasoning’, pp. 52-60</w:t>
      </w:r>
      <w:r>
        <w:rPr>
          <w:rFonts w:cs="David" w:hint="cs"/>
          <w:sz w:val="24"/>
          <w:szCs w:val="24"/>
          <w:rtl/>
        </w:rPr>
        <w:t xml:space="preserve">; </w:t>
      </w:r>
      <w:r w:rsidRPr="00B32FB4">
        <w:rPr>
          <w:rFonts w:ascii="SBL Greek" w:hAnsi="SBL Greek" w:cs="Times New Roman"/>
          <w:sz w:val="24"/>
          <w:szCs w:val="24"/>
        </w:rPr>
        <w:t xml:space="preserve">Rocco </w:t>
      </w:r>
      <w:proofErr w:type="spellStart"/>
      <w:r w:rsidRPr="00B32FB4">
        <w:rPr>
          <w:rFonts w:ascii="SBL Greek" w:hAnsi="SBL Greek" w:cs="Times New Roman"/>
          <w:sz w:val="24"/>
          <w:szCs w:val="24"/>
        </w:rPr>
        <w:t>Bernasconi</w:t>
      </w:r>
      <w:proofErr w:type="spellEnd"/>
      <w:r>
        <w:rPr>
          <w:rFonts w:ascii="SBL Greek" w:hAnsi="SBL Greek" w:cs="Times New Roman"/>
          <w:sz w:val="24"/>
          <w:szCs w:val="24"/>
        </w:rPr>
        <w:t>,</w:t>
      </w:r>
      <w:r w:rsidRPr="00B32FB4">
        <w:rPr>
          <w:rFonts w:ascii="SBL Greek" w:hAnsi="SBL Greek" w:cs="Times New Roman"/>
          <w:sz w:val="24"/>
          <w:szCs w:val="24"/>
        </w:rPr>
        <w:t xml:space="preserve"> </w:t>
      </w:r>
      <w:r>
        <w:rPr>
          <w:rFonts w:ascii="SBL Greek" w:hAnsi="SBL Greek" w:cs="Times New Roman"/>
          <w:sz w:val="24"/>
          <w:szCs w:val="24"/>
        </w:rPr>
        <w:t>“</w:t>
      </w:r>
      <w:r w:rsidRPr="00D03C03">
        <w:rPr>
          <w:rFonts w:ascii="Times New Roman" w:hAnsi="Times New Roman" w:cs="Times New Roman"/>
          <w:sz w:val="24"/>
          <w:szCs w:val="24"/>
        </w:rPr>
        <w:t xml:space="preserve">Reasons for Norms in Mishnaic </w:t>
      </w:r>
      <w:proofErr w:type="spellStart"/>
      <w:r w:rsidRPr="00D03C03">
        <w:rPr>
          <w:rFonts w:ascii="Times New Roman" w:hAnsi="Times New Roman" w:cs="Times New Roman"/>
          <w:sz w:val="24"/>
          <w:szCs w:val="24"/>
        </w:rPr>
        <w:t>Discoures</w:t>
      </w:r>
      <w:proofErr w:type="spellEnd"/>
      <w:r w:rsidRPr="00D03C03">
        <w:rPr>
          <w:rFonts w:ascii="Times New Roman" w:hAnsi="Times New Roman" w:cs="Times New Roman"/>
          <w:sz w:val="24"/>
          <w:szCs w:val="24"/>
        </w:rPr>
        <w:t>: Some Formal, Functional, and Observation,</w:t>
      </w:r>
      <w:r>
        <w:rPr>
          <w:rFonts w:ascii="SBL Greek" w:hAnsi="SBL Greek" w:cs="Times New Roman"/>
          <w:sz w:val="24"/>
          <w:szCs w:val="24"/>
        </w:rPr>
        <w:t>”</w:t>
      </w:r>
      <w:r w:rsidRPr="00D03C03">
        <w:rPr>
          <w:rFonts w:ascii="Times New Roman" w:hAnsi="Times New Roman" w:cs="Times New Roman"/>
          <w:sz w:val="24"/>
          <w:szCs w:val="24"/>
        </w:rPr>
        <w:t xml:space="preserve"> </w:t>
      </w:r>
      <w:proofErr w:type="spellStart"/>
      <w:r w:rsidRPr="00BC07A6">
        <w:rPr>
          <w:rFonts w:ascii="Times New Roman" w:hAnsi="Times New Roman" w:cs="Times New Roman"/>
          <w:i/>
          <w:iCs/>
          <w:sz w:val="24"/>
          <w:szCs w:val="24"/>
        </w:rPr>
        <w:t>Melilah</w:t>
      </w:r>
      <w:proofErr w:type="spellEnd"/>
      <w:r w:rsidRPr="00D03C03">
        <w:rPr>
          <w:rFonts w:ascii="Times New Roman" w:hAnsi="Times New Roman" w:cs="Times New Roman"/>
          <w:sz w:val="24"/>
          <w:szCs w:val="24"/>
        </w:rPr>
        <w:t xml:space="preserve"> 1 (2004): 1-61.</w:t>
      </w:r>
      <w:r>
        <w:rPr>
          <w:rFonts w:ascii="Times New Roman" w:hAnsi="Times New Roman" w:cs="Times New Roman" w:hint="cs"/>
          <w:sz w:val="24"/>
          <w:szCs w:val="24"/>
          <w:rtl/>
        </w:rPr>
        <w:t xml:space="preserve"> </w:t>
      </w:r>
      <w:proofErr w:type="spellStart"/>
      <w:r w:rsidRPr="003E5EEB">
        <w:rPr>
          <w:rFonts w:ascii="David" w:hAnsi="David" w:cs="David"/>
          <w:sz w:val="24"/>
          <w:szCs w:val="24"/>
          <w:rtl/>
        </w:rPr>
        <w:t>ברנסקוני</w:t>
      </w:r>
      <w:proofErr w:type="spellEnd"/>
      <w:r w:rsidRPr="003E5EEB">
        <w:rPr>
          <w:rFonts w:ascii="David" w:hAnsi="David" w:cs="David"/>
          <w:sz w:val="24"/>
          <w:szCs w:val="24"/>
          <w:rtl/>
        </w:rPr>
        <w:t xml:space="preserve"> אינו </w:t>
      </w:r>
      <w:r w:rsidR="00610983">
        <w:rPr>
          <w:rFonts w:ascii="David" w:hAnsi="David" w:cs="David" w:hint="cs"/>
          <w:sz w:val="24"/>
          <w:szCs w:val="24"/>
          <w:rtl/>
        </w:rPr>
        <w:t>עוסק ב</w:t>
      </w:r>
      <w:r w:rsidRPr="003E5EEB">
        <w:rPr>
          <w:rFonts w:ascii="David" w:hAnsi="David" w:cs="David"/>
          <w:sz w:val="24"/>
          <w:szCs w:val="24"/>
          <w:rtl/>
        </w:rPr>
        <w:t xml:space="preserve">הנמקת 'דרכי </w:t>
      </w:r>
      <w:r w:rsidR="007F2D1C">
        <w:rPr>
          <w:rFonts w:ascii="David" w:hAnsi="David" w:cs="David" w:hint="cs"/>
          <w:sz w:val="24"/>
          <w:szCs w:val="24"/>
          <w:rtl/>
        </w:rPr>
        <w:t>ה</w:t>
      </w:r>
      <w:r w:rsidRPr="003E5EEB">
        <w:rPr>
          <w:rFonts w:ascii="David" w:hAnsi="David" w:cs="David"/>
          <w:sz w:val="24"/>
          <w:szCs w:val="24"/>
          <w:rtl/>
        </w:rPr>
        <w:t xml:space="preserve">שלום'. </w:t>
      </w:r>
    </w:p>
  </w:footnote>
  <w:footnote w:id="60">
    <w:p w14:paraId="0C7508B7" w14:textId="77777777" w:rsidR="00396911" w:rsidRDefault="00396911" w:rsidP="00396911">
      <w:pPr>
        <w:pStyle w:val="a3"/>
        <w:spacing w:line="480" w:lineRule="auto"/>
        <w:rPr>
          <w:rtl/>
        </w:rPr>
      </w:pPr>
      <w:r>
        <w:rPr>
          <w:rStyle w:val="a5"/>
        </w:rPr>
        <w:footnoteRef/>
      </w:r>
      <w:r>
        <w:rPr>
          <w:rtl/>
        </w:rPr>
        <w:t xml:space="preserve"> </w:t>
      </w:r>
      <w:r w:rsidRPr="0042777C">
        <w:rPr>
          <w:rFonts w:ascii="David" w:hAnsi="David" w:cs="David"/>
          <w:sz w:val="24"/>
          <w:szCs w:val="24"/>
          <w:rtl/>
        </w:rPr>
        <w:t>בניגוד לדעתו של</w:t>
      </w:r>
      <w:r>
        <w:rPr>
          <w:rFonts w:hint="cs"/>
          <w:rtl/>
        </w:rPr>
        <w:t xml:space="preserve"> </w:t>
      </w:r>
      <w:proofErr w:type="spellStart"/>
      <w:r w:rsidRPr="002C7595">
        <w:rPr>
          <w:rFonts w:ascii="Times New Roman" w:hAnsi="Times New Roman" w:cs="Times New Roman"/>
          <w:sz w:val="24"/>
          <w:szCs w:val="24"/>
        </w:rPr>
        <w:t>Moscovitz</w:t>
      </w:r>
      <w:proofErr w:type="spellEnd"/>
      <w:r w:rsidRPr="002C7595">
        <w:rPr>
          <w:rFonts w:ascii="Times New Roman" w:hAnsi="Times New Roman" w:cs="Times New Roman"/>
          <w:sz w:val="24"/>
          <w:szCs w:val="24"/>
        </w:rPr>
        <w:t xml:space="preserve">, Ibid, p.42 n. </w:t>
      </w:r>
      <w:proofErr w:type="gramStart"/>
      <w:r w:rsidRPr="002C7595">
        <w:rPr>
          <w:rFonts w:ascii="Times New Roman" w:hAnsi="Times New Roman" w:cs="Times New Roman"/>
          <w:sz w:val="24"/>
          <w:szCs w:val="24"/>
        </w:rPr>
        <w:t xml:space="preserve">164 </w:t>
      </w:r>
      <w:r>
        <w:rPr>
          <w:rFonts w:ascii="David" w:hAnsi="David" w:cs="David" w:hint="cs"/>
          <w:sz w:val="24"/>
          <w:szCs w:val="24"/>
          <w:rtl/>
        </w:rPr>
        <w:t>.</w:t>
      </w:r>
      <w:proofErr w:type="gramEnd"/>
      <w:r>
        <w:rPr>
          <w:rFonts w:ascii="David" w:hAnsi="David" w:cs="David" w:hint="cs"/>
          <w:sz w:val="24"/>
          <w:szCs w:val="24"/>
          <w:rtl/>
        </w:rPr>
        <w:t xml:space="preserve"> </w:t>
      </w:r>
      <w:r w:rsidRPr="007D55D1">
        <w:rPr>
          <w:rFonts w:ascii="David" w:hAnsi="David" w:cs="David"/>
          <w:sz w:val="24"/>
          <w:szCs w:val="24"/>
          <w:rtl/>
        </w:rPr>
        <w:t>כפי שאנו רואים, הצורך בהנמקה עולה לפחות בחלק מן המקרים בדיוק</w:t>
      </w:r>
      <w:r>
        <w:rPr>
          <w:rFonts w:hint="cs"/>
          <w:rtl/>
        </w:rPr>
        <w:t xml:space="preserve"> </w:t>
      </w:r>
      <w:r w:rsidRPr="007D55D1">
        <w:rPr>
          <w:rFonts w:asciiTheme="majorBidi" w:hAnsiTheme="majorBidi" w:cstheme="majorBidi"/>
          <w:sz w:val="24"/>
          <w:szCs w:val="24"/>
        </w:rPr>
        <w:t>from a lack of authority associated with such notions</w:t>
      </w:r>
      <w:r>
        <w:rPr>
          <w:rFonts w:hint="cs"/>
          <w:rtl/>
        </w:rPr>
        <w:t>.</w:t>
      </w:r>
    </w:p>
  </w:footnote>
  <w:footnote w:id="61">
    <w:p w14:paraId="099049F9" w14:textId="193D33BC" w:rsidR="007E14CD" w:rsidRPr="007E14CD" w:rsidRDefault="007E14CD" w:rsidP="007E14CD">
      <w:pPr>
        <w:pStyle w:val="a3"/>
        <w:spacing w:line="480" w:lineRule="auto"/>
        <w:rPr>
          <w:rFonts w:ascii="David" w:hAnsi="David" w:cs="David"/>
          <w:sz w:val="24"/>
          <w:szCs w:val="24"/>
          <w:rtl/>
        </w:rPr>
      </w:pPr>
      <w:r>
        <w:rPr>
          <w:rStyle w:val="a5"/>
        </w:rPr>
        <w:footnoteRef/>
      </w:r>
      <w:r>
        <w:rPr>
          <w:rtl/>
        </w:rPr>
        <w:t xml:space="preserve"> </w:t>
      </w:r>
      <w:r w:rsidRPr="007E14CD">
        <w:rPr>
          <w:rFonts w:ascii="David" w:hAnsi="David" w:cs="David"/>
          <w:sz w:val="24"/>
          <w:szCs w:val="24"/>
          <w:rtl/>
        </w:rPr>
        <w:t>כוונתי לתקנות שמסדירות התנהלות עם שכנות שאינן מקפידות בהלכות טהרה ושביעית, ולתקנות הגזל שסוטות מדיני קניין.</w:t>
      </w:r>
      <w:r w:rsidR="00BE091A">
        <w:rPr>
          <w:rFonts w:ascii="David" w:hAnsi="David" w:cs="David" w:hint="cs"/>
          <w:sz w:val="24"/>
          <w:szCs w:val="24"/>
          <w:rtl/>
        </w:rPr>
        <w:t xml:space="preserve"> נראה שדפוס פעולה כזה יש לראות גם בהנמקתן של לפחות חלק מן התקנות שנוגעות ליחסים עם נוכרים. </w:t>
      </w:r>
    </w:p>
  </w:footnote>
  <w:footnote w:id="62">
    <w:p w14:paraId="64B94848" w14:textId="4FAD4C81" w:rsidR="00797FEF" w:rsidRDefault="00797FEF" w:rsidP="00B21858">
      <w:pPr>
        <w:pStyle w:val="a3"/>
        <w:spacing w:line="480" w:lineRule="auto"/>
        <w:rPr>
          <w:rtl/>
        </w:rPr>
      </w:pPr>
      <w:r>
        <w:rPr>
          <w:rStyle w:val="a5"/>
        </w:rPr>
        <w:footnoteRef/>
      </w:r>
      <w:r>
        <w:rPr>
          <w:rtl/>
        </w:rPr>
        <w:t xml:space="preserve"> </w:t>
      </w:r>
      <w:r w:rsidRPr="00B21858">
        <w:rPr>
          <w:rFonts w:ascii="David" w:hAnsi="David" w:cs="David"/>
          <w:sz w:val="24"/>
          <w:szCs w:val="24"/>
          <w:rtl/>
        </w:rPr>
        <w:t xml:space="preserve">למשל: מותר להשאיל לחשודה על השביעית כלי כל עוד היא לא מייעדת אותו לשימוש אסור; מותר לעבוד עם אשת עם הארץ כל עוד לא נמזגו מים אל הקמח, משום שבשלב זה אין חשש לעבירה על איסור מן התורה; </w:t>
      </w:r>
      <w:proofErr w:type="spellStart"/>
      <w:r w:rsidRPr="00B21858">
        <w:rPr>
          <w:rFonts w:ascii="David" w:hAnsi="David" w:cs="David"/>
          <w:sz w:val="24"/>
          <w:szCs w:val="24"/>
          <w:rtl/>
        </w:rPr>
        <w:t>המנקף</w:t>
      </w:r>
      <w:proofErr w:type="spellEnd"/>
      <w:r w:rsidRPr="00B21858">
        <w:rPr>
          <w:rFonts w:ascii="David" w:hAnsi="David" w:cs="David"/>
          <w:sz w:val="24"/>
          <w:szCs w:val="24"/>
          <w:rtl/>
        </w:rPr>
        <w:t xml:space="preserve"> בראש הזית [וכיו"ב] "גילה דעתו"</w:t>
      </w:r>
      <w:r w:rsidR="00E26272">
        <w:rPr>
          <w:rFonts w:ascii="David" w:hAnsi="David" w:cs="David" w:hint="cs"/>
          <w:sz w:val="24"/>
          <w:szCs w:val="24"/>
          <w:rtl/>
        </w:rPr>
        <w:t>,</w:t>
      </w:r>
      <w:r w:rsidRPr="00B21858">
        <w:rPr>
          <w:rFonts w:ascii="David" w:hAnsi="David" w:cs="David"/>
          <w:sz w:val="24"/>
          <w:szCs w:val="24"/>
          <w:rtl/>
        </w:rPr>
        <w:t xml:space="preserve"> במעשיו</w:t>
      </w:r>
      <w:r w:rsidR="00E26272">
        <w:rPr>
          <w:rFonts w:ascii="David" w:hAnsi="David" w:cs="David" w:hint="cs"/>
          <w:sz w:val="24"/>
          <w:szCs w:val="24"/>
          <w:rtl/>
        </w:rPr>
        <w:t>,</w:t>
      </w:r>
      <w:r w:rsidRPr="00B21858">
        <w:rPr>
          <w:rFonts w:ascii="David" w:hAnsi="David" w:cs="David"/>
          <w:sz w:val="24"/>
          <w:szCs w:val="24"/>
          <w:rtl/>
        </w:rPr>
        <w:t xml:space="preserve"> שבכוונתו לקנות את האובייקט, ועל כן יש לו עדיפות חוקית על מי שלא גילה דעתו ולא טרח בהשגת האובייקט.</w:t>
      </w:r>
    </w:p>
  </w:footnote>
  <w:footnote w:id="63">
    <w:p w14:paraId="4BD5F3FE" w14:textId="7F8DE0DF" w:rsidR="00797FEF" w:rsidRPr="009376C3" w:rsidRDefault="00797FEF" w:rsidP="0005689D">
      <w:pPr>
        <w:pStyle w:val="a3"/>
        <w:spacing w:line="480" w:lineRule="auto"/>
      </w:pPr>
      <w:r>
        <w:rPr>
          <w:rStyle w:val="a5"/>
        </w:rPr>
        <w:footnoteRef/>
      </w:r>
      <w:r>
        <w:rPr>
          <w:rtl/>
        </w:rPr>
        <w:t xml:space="preserve"> </w:t>
      </w:r>
      <w:r w:rsidRPr="00773773">
        <w:rPr>
          <w:rFonts w:ascii="Times New Roman" w:hAnsi="Times New Roman" w:cs="Times New Roman"/>
          <w:sz w:val="24"/>
          <w:szCs w:val="24"/>
        </w:rPr>
        <w:t xml:space="preserve">“Giving Reasons”, p. 638; also see “The Jurisprudence of Reasons”, p. 864  </w:t>
      </w:r>
    </w:p>
  </w:footnote>
  <w:footnote w:id="64">
    <w:p w14:paraId="0B0D2500" w14:textId="3BBF1F40" w:rsidR="00797FEF" w:rsidRPr="003A1352" w:rsidRDefault="00797FEF" w:rsidP="0005689D">
      <w:pPr>
        <w:pStyle w:val="a3"/>
        <w:spacing w:line="480" w:lineRule="auto"/>
        <w:rPr>
          <w:rFonts w:ascii="David" w:hAnsi="David" w:cs="David" w:hint="cs"/>
          <w:sz w:val="24"/>
          <w:szCs w:val="24"/>
          <w:rtl/>
        </w:rPr>
      </w:pPr>
      <w:r>
        <w:rPr>
          <w:rStyle w:val="a5"/>
        </w:rPr>
        <w:footnoteRef/>
      </w:r>
      <w:r>
        <w:rPr>
          <w:rtl/>
        </w:rPr>
        <w:t xml:space="preserve"> </w:t>
      </w:r>
      <w:r w:rsidRPr="00936E70">
        <w:rPr>
          <w:rFonts w:ascii="Times New Roman" w:hAnsi="Times New Roman" w:cs="Times New Roman"/>
          <w:sz w:val="24"/>
          <w:szCs w:val="24"/>
        </w:rPr>
        <w:t xml:space="preserve">Schauer, </w:t>
      </w:r>
      <w:r>
        <w:rPr>
          <w:rFonts w:ascii="SBL Greek" w:hAnsi="SBL Greek" w:cs="Times New Roman"/>
          <w:sz w:val="24"/>
          <w:szCs w:val="24"/>
        </w:rPr>
        <w:t>“</w:t>
      </w:r>
      <w:r w:rsidRPr="00936E70">
        <w:rPr>
          <w:rFonts w:ascii="Times New Roman" w:hAnsi="Times New Roman" w:cs="Times New Roman"/>
          <w:sz w:val="24"/>
          <w:szCs w:val="24"/>
        </w:rPr>
        <w:t>Giving Reasons</w:t>
      </w:r>
      <w:r>
        <w:rPr>
          <w:rFonts w:ascii="SBL Greek" w:hAnsi="SBL Greek" w:cs="Times New Roman"/>
          <w:sz w:val="24"/>
          <w:szCs w:val="24"/>
        </w:rPr>
        <w:t>”</w:t>
      </w:r>
      <w:r>
        <w:rPr>
          <w:rFonts w:ascii="Times New Roman" w:hAnsi="Times New Roman" w:cs="Times New Roman"/>
          <w:sz w:val="24"/>
          <w:szCs w:val="24"/>
        </w:rPr>
        <w:t>, pp.636-642</w:t>
      </w:r>
      <w:r>
        <w:t xml:space="preserve">, </w:t>
      </w:r>
      <w:r w:rsidRPr="00505B98">
        <w:rPr>
          <w:rFonts w:ascii="David" w:hAnsi="David" w:cs="David"/>
          <w:sz w:val="24"/>
          <w:szCs w:val="24"/>
        </w:rPr>
        <w:t>658-659</w:t>
      </w:r>
      <w:r>
        <w:rPr>
          <w:rFonts w:hint="cs"/>
          <w:rtl/>
        </w:rPr>
        <w:t xml:space="preserve">. </w:t>
      </w:r>
      <w:r w:rsidRPr="003A1352">
        <w:rPr>
          <w:rFonts w:ascii="David" w:hAnsi="David" w:cs="David"/>
          <w:sz w:val="24"/>
          <w:szCs w:val="24"/>
          <w:rtl/>
        </w:rPr>
        <w:t>הדברים המצוטטים לקוחים מעמ' 641-642.</w:t>
      </w:r>
      <w:r>
        <w:rPr>
          <w:rFonts w:ascii="David" w:hAnsi="David" w:cs="David" w:hint="cs"/>
          <w:sz w:val="24"/>
          <w:szCs w:val="24"/>
          <w:rtl/>
        </w:rPr>
        <w:t xml:space="preserve"> ראו גם </w:t>
      </w:r>
      <w:r w:rsidRPr="003A1352">
        <w:rPr>
          <w:rFonts w:ascii="David" w:hAnsi="David" w:cs="David"/>
          <w:sz w:val="24"/>
          <w:szCs w:val="24"/>
        </w:rPr>
        <w:t>Schauer</w:t>
      </w:r>
      <w:r>
        <w:rPr>
          <w:rFonts w:ascii="David" w:hAnsi="David" w:cs="David"/>
          <w:sz w:val="24"/>
          <w:szCs w:val="24"/>
        </w:rPr>
        <w:t>,</w:t>
      </w:r>
      <w:r w:rsidRPr="00A769FE">
        <w:t xml:space="preserve"> </w:t>
      </w:r>
      <w:r>
        <w:rPr>
          <w:rFonts w:ascii="SBL Greek" w:hAnsi="SBL Greek" w:cs="David"/>
          <w:sz w:val="24"/>
          <w:szCs w:val="24"/>
        </w:rPr>
        <w:t>“</w:t>
      </w:r>
      <w:r w:rsidRPr="00A769FE">
        <w:rPr>
          <w:rFonts w:ascii="David" w:hAnsi="David" w:cs="David"/>
          <w:sz w:val="24"/>
          <w:szCs w:val="24"/>
        </w:rPr>
        <w:t>The Jurisprudence of Reasons</w:t>
      </w:r>
      <w:r>
        <w:rPr>
          <w:rFonts w:ascii="SBL Greek" w:hAnsi="SBL Greek" w:cs="David"/>
          <w:sz w:val="24"/>
          <w:szCs w:val="24"/>
        </w:rPr>
        <w:t>”</w:t>
      </w:r>
      <w:r>
        <w:rPr>
          <w:rFonts w:ascii="David" w:hAnsi="David" w:cs="David"/>
          <w:sz w:val="24"/>
          <w:szCs w:val="24"/>
        </w:rPr>
        <w:t>, pp. 864-865</w:t>
      </w:r>
      <w:r>
        <w:rPr>
          <w:rFonts w:ascii="David" w:hAnsi="David" w:cs="David" w:hint="cs"/>
          <w:sz w:val="24"/>
          <w:szCs w:val="24"/>
          <w:rtl/>
        </w:rPr>
        <w:t xml:space="preserve">. </w:t>
      </w:r>
      <w:r w:rsidR="00A82766">
        <w:rPr>
          <w:rFonts w:ascii="David" w:hAnsi="David" w:cs="David" w:hint="cs"/>
          <w:sz w:val="24"/>
          <w:szCs w:val="24"/>
          <w:rtl/>
        </w:rPr>
        <w:t xml:space="preserve">זוהי </w:t>
      </w:r>
      <w:r w:rsidRPr="00617981">
        <w:rPr>
          <w:rFonts w:ascii="David" w:hAnsi="David" w:cs="David"/>
          <w:sz w:val="24"/>
          <w:szCs w:val="24"/>
          <w:rtl/>
        </w:rPr>
        <w:t xml:space="preserve">תמצית </w:t>
      </w:r>
      <w:r>
        <w:rPr>
          <w:rFonts w:ascii="David" w:hAnsi="David" w:cs="David" w:hint="cs"/>
          <w:sz w:val="24"/>
          <w:szCs w:val="24"/>
          <w:rtl/>
        </w:rPr>
        <w:t>מדבריו.</w:t>
      </w:r>
      <w:r w:rsidRPr="00617981">
        <w:rPr>
          <w:rFonts w:ascii="David" w:hAnsi="David" w:cs="David"/>
          <w:sz w:val="24"/>
          <w:szCs w:val="24"/>
          <w:rtl/>
        </w:rPr>
        <w:t xml:space="preserve"> שני </w:t>
      </w:r>
      <w:r w:rsidR="00C82541">
        <w:rPr>
          <w:rFonts w:ascii="David" w:hAnsi="David" w:cs="David" w:hint="cs"/>
          <w:sz w:val="24"/>
          <w:szCs w:val="24"/>
          <w:rtl/>
        </w:rPr>
        <w:t xml:space="preserve">המאמרים </w:t>
      </w:r>
      <w:r>
        <w:rPr>
          <w:rFonts w:ascii="David" w:hAnsi="David" w:cs="David" w:hint="cs"/>
          <w:sz w:val="24"/>
          <w:szCs w:val="24"/>
          <w:rtl/>
        </w:rPr>
        <w:t xml:space="preserve">במלואם </w:t>
      </w:r>
      <w:r w:rsidRPr="00617981">
        <w:rPr>
          <w:rFonts w:ascii="David" w:hAnsi="David" w:cs="David"/>
          <w:sz w:val="24"/>
          <w:szCs w:val="24"/>
          <w:rtl/>
        </w:rPr>
        <w:t xml:space="preserve">מאירים </w:t>
      </w:r>
      <w:proofErr w:type="spellStart"/>
      <w:r w:rsidRPr="00617981">
        <w:rPr>
          <w:rFonts w:ascii="David" w:hAnsi="David" w:cs="David"/>
          <w:sz w:val="24"/>
          <w:szCs w:val="24"/>
          <w:rtl/>
        </w:rPr>
        <w:t>ניכוחה</w:t>
      </w:r>
      <w:proofErr w:type="spellEnd"/>
      <w:r w:rsidRPr="00617981">
        <w:rPr>
          <w:rFonts w:ascii="David" w:hAnsi="David" w:cs="David"/>
          <w:sz w:val="24"/>
          <w:szCs w:val="24"/>
          <w:rtl/>
        </w:rPr>
        <w:t xml:space="preserve"> סוגיות אלו</w:t>
      </w:r>
      <w:r>
        <w:rPr>
          <w:rFonts w:ascii="David" w:hAnsi="David" w:cs="David" w:hint="cs"/>
          <w:sz w:val="24"/>
          <w:szCs w:val="24"/>
          <w:rtl/>
        </w:rPr>
        <w:t>.</w:t>
      </w:r>
    </w:p>
  </w:footnote>
  <w:footnote w:id="65">
    <w:p w14:paraId="21FCEACD" w14:textId="7576F626" w:rsidR="00797FEF" w:rsidRPr="00B66593" w:rsidRDefault="00797FEF" w:rsidP="00B66593">
      <w:pPr>
        <w:pStyle w:val="a3"/>
        <w:spacing w:line="480" w:lineRule="auto"/>
        <w:rPr>
          <w:rFonts w:ascii="David" w:hAnsi="David" w:cs="David"/>
          <w:sz w:val="24"/>
          <w:szCs w:val="24"/>
          <w:rtl/>
        </w:rPr>
      </w:pPr>
      <w:r>
        <w:rPr>
          <w:rStyle w:val="a5"/>
        </w:rPr>
        <w:footnoteRef/>
      </w:r>
      <w:r>
        <w:rPr>
          <w:rtl/>
        </w:rPr>
        <w:t xml:space="preserve"> </w:t>
      </w:r>
      <w:r w:rsidRPr="00B66593">
        <w:rPr>
          <w:rFonts w:ascii="David" w:hAnsi="David" w:cs="David"/>
          <w:sz w:val="24"/>
          <w:szCs w:val="24"/>
          <w:rtl/>
        </w:rPr>
        <w:t xml:space="preserve">כפי שראינו </w:t>
      </w:r>
      <w:r w:rsidR="00921133">
        <w:rPr>
          <w:rFonts w:ascii="David" w:hAnsi="David" w:cs="David" w:hint="cs"/>
          <w:sz w:val="24"/>
          <w:szCs w:val="24"/>
          <w:rtl/>
        </w:rPr>
        <w:t xml:space="preserve">בשלב הראשון </w:t>
      </w:r>
      <w:r w:rsidRPr="00B66593">
        <w:rPr>
          <w:rFonts w:ascii="David" w:hAnsi="David" w:cs="David"/>
          <w:sz w:val="24"/>
          <w:szCs w:val="24"/>
          <w:rtl/>
        </w:rPr>
        <w:t>של השימוש בהנמקה.</w:t>
      </w:r>
    </w:p>
  </w:footnote>
  <w:footnote w:id="66">
    <w:p w14:paraId="760F0CDF" w14:textId="03163591" w:rsidR="00797FEF" w:rsidRPr="00DC2B50" w:rsidRDefault="00797FEF" w:rsidP="00DC2B50">
      <w:pPr>
        <w:pStyle w:val="a3"/>
        <w:spacing w:line="480" w:lineRule="auto"/>
        <w:rPr>
          <w:rFonts w:ascii="David" w:hAnsi="David" w:cs="David"/>
          <w:sz w:val="24"/>
          <w:szCs w:val="24"/>
        </w:rPr>
      </w:pPr>
      <w:r>
        <w:rPr>
          <w:rStyle w:val="a5"/>
        </w:rPr>
        <w:footnoteRef/>
      </w:r>
      <w:r>
        <w:rPr>
          <w:rtl/>
        </w:rPr>
        <w:t xml:space="preserve"> </w:t>
      </w:r>
      <w:r w:rsidRPr="00114FCA">
        <w:rPr>
          <w:rFonts w:ascii="David" w:hAnsi="David" w:cs="David"/>
          <w:sz w:val="24"/>
          <w:szCs w:val="24"/>
        </w:rPr>
        <w:t>Kennedy</w:t>
      </w:r>
      <w:r w:rsidRPr="00114FCA">
        <w:rPr>
          <w:rFonts w:ascii="David" w:hAnsi="David" w:cs="David"/>
          <w:sz w:val="24"/>
          <w:szCs w:val="24"/>
          <w:rtl/>
        </w:rPr>
        <w:t xml:space="preserve"> </w:t>
      </w:r>
      <w:r w:rsidRPr="00DC2B50">
        <w:rPr>
          <w:rFonts w:ascii="David" w:hAnsi="David" w:cs="David"/>
          <w:sz w:val="24"/>
          <w:szCs w:val="24"/>
          <w:rtl/>
        </w:rPr>
        <w:t>לא כופר בכך שמערכת ה</w:t>
      </w:r>
      <w:r>
        <w:rPr>
          <w:rFonts w:ascii="David" w:hAnsi="David" w:cs="David" w:hint="cs"/>
          <w:sz w:val="24"/>
          <w:szCs w:val="24"/>
          <w:rtl/>
        </w:rPr>
        <w:t>חוק</w:t>
      </w:r>
      <w:r w:rsidRPr="00DC2B50">
        <w:rPr>
          <w:rFonts w:ascii="David" w:hAnsi="David" w:cs="David"/>
          <w:sz w:val="24"/>
          <w:szCs w:val="24"/>
          <w:rtl/>
        </w:rPr>
        <w:t xml:space="preserve"> מגיבה גם להשפעות ולכוחות חיצוניים, ראו</w:t>
      </w:r>
      <w:r w:rsidRPr="00DC2B50">
        <w:rPr>
          <w:rFonts w:ascii="Times New Roman" w:hAnsi="Times New Roman" w:cs="Times New Roman"/>
          <w:sz w:val="24"/>
          <w:szCs w:val="24"/>
        </w:rPr>
        <w:t>Duncan Kennedy, “Toward an Historical Understanding”, p. 22</w:t>
      </w:r>
      <w:r>
        <w:rPr>
          <w:rFonts w:ascii="David" w:hAnsi="David" w:cs="David" w:hint="cs"/>
          <w:sz w:val="24"/>
          <w:szCs w:val="24"/>
          <w:rtl/>
        </w:rPr>
        <w:t xml:space="preserve">. </w:t>
      </w:r>
      <w:r w:rsidR="00086307">
        <w:rPr>
          <w:rFonts w:ascii="David" w:hAnsi="David" w:cs="David" w:hint="cs"/>
          <w:sz w:val="24"/>
          <w:szCs w:val="24"/>
          <w:rtl/>
        </w:rPr>
        <w:t xml:space="preserve">אולם הוא מתמקד בחשיפתם וניתוחם של </w:t>
      </w:r>
      <w:r w:rsidRPr="00DC2B50">
        <w:rPr>
          <w:rFonts w:ascii="David" w:hAnsi="David" w:cs="David"/>
          <w:sz w:val="24"/>
          <w:szCs w:val="24"/>
          <w:rtl/>
        </w:rPr>
        <w:t xml:space="preserve">אותם מנגנונים שאפשרו ויצרו, לפחות בתקופה מסוימת, שינויים פנימיים </w:t>
      </w:r>
      <w:r>
        <w:rPr>
          <w:rFonts w:ascii="David" w:hAnsi="David" w:cs="David" w:hint="cs"/>
          <w:sz w:val="24"/>
          <w:szCs w:val="24"/>
          <w:rtl/>
        </w:rPr>
        <w:t>בתוך המערכת שניתח</w:t>
      </w:r>
      <w:r w:rsidRPr="00DC2B50">
        <w:rPr>
          <w:rFonts w:ascii="David" w:hAnsi="David" w:cs="David"/>
          <w:sz w:val="24"/>
          <w:szCs w:val="24"/>
          <w:rtl/>
        </w:rPr>
        <w:t xml:space="preserve">. </w:t>
      </w:r>
    </w:p>
  </w:footnote>
  <w:footnote w:id="67">
    <w:p w14:paraId="3DBF27F0" w14:textId="1D31009A" w:rsidR="00797FEF" w:rsidRPr="004603F9" w:rsidRDefault="00797FEF" w:rsidP="004603F9">
      <w:pPr>
        <w:pStyle w:val="a3"/>
        <w:spacing w:line="480" w:lineRule="auto"/>
        <w:rPr>
          <w:rtl/>
        </w:rPr>
      </w:pPr>
      <w:r>
        <w:rPr>
          <w:rStyle w:val="a5"/>
        </w:rPr>
        <w:footnoteRef/>
      </w:r>
      <w:r>
        <w:rPr>
          <w:rFonts w:ascii="Times New Roman" w:hAnsi="Times New Roman" w:cs="Times New Roman"/>
          <w:sz w:val="24"/>
          <w:szCs w:val="24"/>
        </w:rPr>
        <w:t xml:space="preserve"> Ibid</w:t>
      </w:r>
      <w:r w:rsidRPr="004603F9">
        <w:rPr>
          <w:rFonts w:ascii="Times New Roman" w:hAnsi="Times New Roman" w:cs="Times New Roman"/>
          <w:sz w:val="24"/>
          <w:szCs w:val="24"/>
        </w:rPr>
        <w:t>, pp. 14-15.</w:t>
      </w:r>
    </w:p>
  </w:footnote>
  <w:footnote w:id="68">
    <w:p w14:paraId="42767CA4" w14:textId="41D03F8D" w:rsidR="00797FEF" w:rsidRPr="00E57AFA" w:rsidRDefault="00797FEF" w:rsidP="008F05B1">
      <w:pPr>
        <w:pStyle w:val="a3"/>
        <w:spacing w:line="480" w:lineRule="auto"/>
        <w:rPr>
          <w:rFonts w:ascii="David" w:hAnsi="David" w:cs="David"/>
          <w:sz w:val="24"/>
          <w:szCs w:val="24"/>
          <w:rtl/>
        </w:rPr>
      </w:pPr>
      <w:r>
        <w:rPr>
          <w:rStyle w:val="a5"/>
        </w:rPr>
        <w:footnoteRef/>
      </w:r>
      <w:r>
        <w:rPr>
          <w:rtl/>
        </w:rPr>
        <w:t xml:space="preserve"> </w:t>
      </w:r>
      <w:r w:rsidRPr="00E57AFA">
        <w:rPr>
          <w:rFonts w:ascii="David" w:hAnsi="David" w:cs="David"/>
          <w:sz w:val="24"/>
          <w:szCs w:val="24"/>
          <w:rtl/>
        </w:rPr>
        <w:t xml:space="preserve">דוגמה חריפה במיוחד </w:t>
      </w:r>
      <w:r w:rsidR="00077E50">
        <w:rPr>
          <w:rFonts w:ascii="David" w:hAnsi="David" w:cs="David" w:hint="cs"/>
          <w:sz w:val="24"/>
          <w:szCs w:val="24"/>
          <w:rtl/>
        </w:rPr>
        <w:t>ל</w:t>
      </w:r>
      <w:r w:rsidR="00077E50">
        <w:rPr>
          <w:rFonts w:ascii="SBL Greek" w:hAnsi="SBL Greek" w:cs="David"/>
          <w:sz w:val="24"/>
          <w:szCs w:val="24"/>
        </w:rPr>
        <w:t>‘</w:t>
      </w:r>
      <w:r w:rsidR="00077E50" w:rsidRPr="00077E50">
        <w:rPr>
          <w:rFonts w:ascii="David" w:hAnsi="David" w:cs="David"/>
          <w:sz w:val="24"/>
          <w:szCs w:val="24"/>
        </w:rPr>
        <w:t>would never come to mind</w:t>
      </w:r>
      <w:r w:rsidR="00077E50">
        <w:rPr>
          <w:rFonts w:ascii="SBL Greek" w:hAnsi="SBL Greek" w:cs="David"/>
          <w:sz w:val="24"/>
          <w:szCs w:val="24"/>
        </w:rPr>
        <w:t>’</w:t>
      </w:r>
      <w:r w:rsidR="00077E50" w:rsidRPr="00077E50">
        <w:rPr>
          <w:rFonts w:ascii="David" w:hAnsi="David" w:cs="David"/>
          <w:sz w:val="24"/>
          <w:szCs w:val="24"/>
          <w:rtl/>
        </w:rPr>
        <w:t xml:space="preserve"> </w:t>
      </w:r>
      <w:r w:rsidRPr="00E57AFA">
        <w:rPr>
          <w:rFonts w:ascii="David" w:hAnsi="David" w:cs="David"/>
          <w:sz w:val="24"/>
          <w:szCs w:val="24"/>
          <w:rtl/>
        </w:rPr>
        <w:t>ניתן לראות בניסוח האמוראים את שיטתו של ר' יוסי</w:t>
      </w:r>
      <w:r w:rsidR="008F05B1">
        <w:rPr>
          <w:rFonts w:ascii="David" w:hAnsi="David" w:cs="David" w:hint="cs"/>
          <w:sz w:val="24"/>
          <w:szCs w:val="24"/>
          <w:rtl/>
        </w:rPr>
        <w:t>. ראו לעיל, הערה מס' 4</w:t>
      </w:r>
      <w:r w:rsidR="0048154E">
        <w:rPr>
          <w:rFonts w:ascii="David" w:hAnsi="David" w:cs="David" w:hint="cs"/>
          <w:sz w:val="24"/>
          <w:szCs w:val="24"/>
          <w:rtl/>
        </w:rPr>
        <w:t>6</w:t>
      </w:r>
      <w:r w:rsidR="006D763F">
        <w:rPr>
          <w:rFonts w:ascii="David" w:hAnsi="David" w:cs="David" w:hint="cs"/>
          <w:sz w:val="24"/>
          <w:szCs w:val="24"/>
          <w:rtl/>
        </w:rPr>
        <w:t>.</w:t>
      </w:r>
      <w:r>
        <w:rPr>
          <w:rFonts w:ascii="David" w:hAnsi="David" w:cs="David" w:hint="cs"/>
          <w:sz w:val="24"/>
          <w:szCs w:val="24"/>
          <w:rtl/>
        </w:rPr>
        <w:t xml:space="preserve"> </w:t>
      </w:r>
    </w:p>
  </w:footnote>
  <w:footnote w:id="69">
    <w:p w14:paraId="171529A4" w14:textId="320EC23E" w:rsidR="00797FEF" w:rsidRPr="00F17EB5" w:rsidRDefault="00797FEF" w:rsidP="00F07CE1">
      <w:pPr>
        <w:pStyle w:val="a3"/>
        <w:spacing w:line="480" w:lineRule="auto"/>
      </w:pPr>
      <w:r>
        <w:rPr>
          <w:rStyle w:val="a5"/>
        </w:rPr>
        <w:footnoteRef/>
      </w:r>
      <w:r w:rsidR="002869F0" w:rsidRPr="002869F0">
        <w:rPr>
          <w:rFonts w:ascii="David" w:hAnsi="David" w:cs="David"/>
          <w:sz w:val="24"/>
          <w:szCs w:val="24"/>
        </w:rPr>
        <w:t>Kennedy, “Toward an Historical Understanding”,</w:t>
      </w:r>
      <w:r w:rsidRPr="00F07CE1">
        <w:rPr>
          <w:rFonts w:ascii="David" w:hAnsi="David" w:cs="David"/>
          <w:sz w:val="24"/>
          <w:szCs w:val="24"/>
        </w:rPr>
        <w:t xml:space="preserve"> pp. 18-</w:t>
      </w:r>
      <w:proofErr w:type="gramStart"/>
      <w:r w:rsidRPr="00F07CE1">
        <w:rPr>
          <w:rFonts w:ascii="David" w:hAnsi="David" w:cs="David"/>
          <w:sz w:val="24"/>
          <w:szCs w:val="24"/>
        </w:rPr>
        <w:t>19</w:t>
      </w:r>
      <w:r w:rsidR="00F56552">
        <w:rPr>
          <w:rFonts w:ascii="David" w:hAnsi="David" w:cs="David"/>
          <w:sz w:val="24"/>
          <w:szCs w:val="24"/>
        </w:rPr>
        <w:t xml:space="preserve"> </w:t>
      </w:r>
      <w:r>
        <w:rPr>
          <w:rFonts w:ascii="David" w:hAnsi="David" w:cs="David" w:hint="cs"/>
          <w:sz w:val="24"/>
          <w:szCs w:val="24"/>
          <w:rtl/>
        </w:rPr>
        <w:t>.</w:t>
      </w:r>
      <w:proofErr w:type="gramEnd"/>
      <w:r>
        <w:rPr>
          <w:rFonts w:ascii="David" w:hAnsi="David" w:cs="David" w:hint="cs"/>
          <w:sz w:val="24"/>
          <w:szCs w:val="24"/>
          <w:rtl/>
        </w:rPr>
        <w:t xml:space="preserve"> </w:t>
      </w:r>
      <w:r w:rsidRPr="008E1A01">
        <w:rPr>
          <w:rFonts w:ascii="David" w:hAnsi="David" w:cs="David"/>
          <w:sz w:val="24"/>
          <w:szCs w:val="24"/>
          <w:rtl/>
        </w:rPr>
        <w:t xml:space="preserve">כאן אולי ניתן לראות השקה מסוימת בין ניתוחיו של קנדי, לבין טענתו של </w:t>
      </w:r>
      <w:proofErr w:type="spellStart"/>
      <w:r w:rsidRPr="008E1A01">
        <w:rPr>
          <w:rFonts w:ascii="David" w:hAnsi="David" w:cs="David"/>
          <w:sz w:val="24"/>
          <w:szCs w:val="24"/>
          <w:rtl/>
        </w:rPr>
        <w:t>מוסקוביץ</w:t>
      </w:r>
      <w:proofErr w:type="spellEnd"/>
      <w:r w:rsidRPr="008E1A01">
        <w:rPr>
          <w:rFonts w:ascii="David" w:hAnsi="David" w:cs="David"/>
          <w:sz w:val="24"/>
          <w:szCs w:val="24"/>
          <w:rtl/>
        </w:rPr>
        <w:t xml:space="preserve"> כנגד החלה של המודל </w:t>
      </w:r>
      <w:proofErr w:type="spellStart"/>
      <w:r w:rsidRPr="008E1A01">
        <w:rPr>
          <w:rFonts w:ascii="David" w:hAnsi="David" w:cs="David"/>
          <w:sz w:val="24"/>
          <w:szCs w:val="24"/>
          <w:rtl/>
        </w:rPr>
        <w:t>הד</w:t>
      </w:r>
      <w:r w:rsidR="007E54C2">
        <w:rPr>
          <w:rFonts w:ascii="David" w:hAnsi="David" w:cs="David" w:hint="cs"/>
          <w:sz w:val="24"/>
          <w:szCs w:val="24"/>
          <w:rtl/>
        </w:rPr>
        <w:t>וו</w:t>
      </w:r>
      <w:r w:rsidRPr="008E1A01">
        <w:rPr>
          <w:rFonts w:ascii="David" w:hAnsi="David" w:cs="David"/>
          <w:sz w:val="24"/>
          <w:szCs w:val="24"/>
          <w:rtl/>
        </w:rPr>
        <w:t>רקיניאני</w:t>
      </w:r>
      <w:proofErr w:type="spellEnd"/>
      <w:r w:rsidRPr="008E1A01">
        <w:rPr>
          <w:rFonts w:ascii="David" w:hAnsi="David" w:cs="David"/>
          <w:sz w:val="24"/>
          <w:szCs w:val="24"/>
          <w:rtl/>
        </w:rPr>
        <w:t xml:space="preserve">, </w:t>
      </w:r>
      <w:r>
        <w:rPr>
          <w:rFonts w:ascii="David" w:hAnsi="David" w:cs="David" w:hint="cs"/>
          <w:sz w:val="24"/>
          <w:szCs w:val="24"/>
          <w:rtl/>
        </w:rPr>
        <w:t>ש</w:t>
      </w:r>
      <w:r w:rsidR="003F1763">
        <w:rPr>
          <w:rFonts w:ascii="David" w:hAnsi="David" w:cs="David" w:hint="cs"/>
          <w:sz w:val="24"/>
          <w:szCs w:val="24"/>
          <w:rtl/>
        </w:rPr>
        <w:t>על פיו יש</w:t>
      </w:r>
      <w:r>
        <w:rPr>
          <w:rFonts w:ascii="David" w:hAnsi="David" w:cs="David" w:hint="cs"/>
          <w:sz w:val="24"/>
          <w:szCs w:val="24"/>
          <w:rtl/>
        </w:rPr>
        <w:t xml:space="preserve"> לראות </w:t>
      </w:r>
      <w:r w:rsidRPr="008E1A01">
        <w:rPr>
          <w:rFonts w:ascii="David" w:hAnsi="David" w:cs="David"/>
          <w:sz w:val="24"/>
          <w:szCs w:val="24"/>
          <w:rtl/>
        </w:rPr>
        <w:t xml:space="preserve">בתקנות 'דרכי השלום' </w:t>
      </w:r>
      <w:r w:rsidRPr="008E1A01">
        <w:rPr>
          <w:rFonts w:ascii="David" w:hAnsi="David" w:cs="David"/>
          <w:sz w:val="24"/>
          <w:szCs w:val="24"/>
        </w:rPr>
        <w:t xml:space="preserve">legal </w:t>
      </w:r>
      <w:proofErr w:type="spellStart"/>
      <w:r w:rsidRPr="008E1A01">
        <w:rPr>
          <w:rFonts w:ascii="David" w:hAnsi="David" w:cs="David"/>
          <w:sz w:val="24"/>
          <w:szCs w:val="24"/>
        </w:rPr>
        <w:t>principales</w:t>
      </w:r>
      <w:proofErr w:type="spellEnd"/>
      <w:r>
        <w:rPr>
          <w:rFonts w:ascii="David" w:hAnsi="David" w:cs="David" w:hint="cs"/>
          <w:sz w:val="24"/>
          <w:szCs w:val="24"/>
          <w:rtl/>
        </w:rPr>
        <w:t xml:space="preserve">, </w:t>
      </w:r>
      <w:r w:rsidRPr="008E1A01">
        <w:rPr>
          <w:rFonts w:ascii="David" w:hAnsi="David" w:cs="David"/>
          <w:sz w:val="24"/>
          <w:szCs w:val="24"/>
          <w:rtl/>
        </w:rPr>
        <w:t>שמבטאים מדיניות חיצונית שנכפת על ההלכה.</w:t>
      </w:r>
    </w:p>
  </w:footnote>
  <w:footnote w:id="70">
    <w:p w14:paraId="308EFE4A" w14:textId="5C3088FF" w:rsidR="00797FEF" w:rsidRDefault="00797FEF" w:rsidP="00A97A3A">
      <w:pPr>
        <w:pStyle w:val="a3"/>
        <w:spacing w:line="480" w:lineRule="auto"/>
        <w:rPr>
          <w:rtl/>
        </w:rPr>
      </w:pPr>
      <w:r>
        <w:rPr>
          <w:rStyle w:val="a5"/>
        </w:rPr>
        <w:footnoteRef/>
      </w:r>
      <w:r>
        <w:rPr>
          <w:rtl/>
        </w:rPr>
        <w:t xml:space="preserve"> </w:t>
      </w:r>
      <w:r w:rsidRPr="00A97A3A">
        <w:rPr>
          <w:rFonts w:ascii="David" w:hAnsi="David" w:cs="David"/>
          <w:sz w:val="24"/>
          <w:szCs w:val="24"/>
          <w:rtl/>
        </w:rPr>
        <w:t xml:space="preserve">ראו </w:t>
      </w:r>
      <w:proofErr w:type="spellStart"/>
      <w:r w:rsidRPr="00A97A3A">
        <w:rPr>
          <w:rFonts w:ascii="David" w:hAnsi="David" w:cs="David"/>
          <w:sz w:val="24"/>
          <w:szCs w:val="24"/>
          <w:rtl/>
        </w:rPr>
        <w:t>פיטקובסקי</w:t>
      </w:r>
      <w:proofErr w:type="spellEnd"/>
      <w:r w:rsidRPr="00A97A3A">
        <w:rPr>
          <w:rFonts w:ascii="David" w:hAnsi="David" w:cs="David"/>
          <w:sz w:val="24"/>
          <w:szCs w:val="24"/>
          <w:rtl/>
        </w:rPr>
        <w:t xml:space="preserve"> </w:t>
      </w:r>
      <w:proofErr w:type="spellStart"/>
      <w:r w:rsidRPr="00A97A3A">
        <w:rPr>
          <w:rFonts w:ascii="David" w:hAnsi="David" w:cs="David"/>
          <w:sz w:val="24"/>
          <w:szCs w:val="24"/>
          <w:rtl/>
        </w:rPr>
        <w:t>ומוסקוביץ</w:t>
      </w:r>
      <w:proofErr w:type="spellEnd"/>
      <w:r w:rsidRPr="00A97A3A">
        <w:rPr>
          <w:rFonts w:ascii="David" w:hAnsi="David" w:cs="David"/>
          <w:sz w:val="24"/>
          <w:szCs w:val="24"/>
          <w:rtl/>
        </w:rPr>
        <w:t>, כל אחד בדרכו.</w:t>
      </w:r>
      <w:r>
        <w:rPr>
          <w:rFonts w:hint="cs"/>
          <w:rtl/>
        </w:rPr>
        <w:t xml:space="preserve"> </w:t>
      </w:r>
    </w:p>
  </w:footnote>
  <w:footnote w:id="71">
    <w:p w14:paraId="316D4121" w14:textId="0F94F66E" w:rsidR="00797FEF" w:rsidRPr="005057DA" w:rsidRDefault="00797FEF" w:rsidP="00CB3FB1">
      <w:pPr>
        <w:pStyle w:val="a3"/>
        <w:spacing w:line="480" w:lineRule="auto"/>
        <w:rPr>
          <w:rtl/>
        </w:rPr>
      </w:pPr>
      <w:r>
        <w:rPr>
          <w:rStyle w:val="a5"/>
        </w:rPr>
        <w:footnoteRef/>
      </w:r>
      <w:r>
        <w:rPr>
          <w:rtl/>
        </w:rPr>
        <w:t xml:space="preserve"> </w:t>
      </w:r>
      <w:r w:rsidR="00F41FFF">
        <w:rPr>
          <w:rFonts w:ascii="David" w:hAnsi="David" w:cs="David" w:hint="cs"/>
          <w:sz w:val="24"/>
          <w:szCs w:val="24"/>
          <w:rtl/>
        </w:rPr>
        <w:t xml:space="preserve">כפי </w:t>
      </w:r>
      <w:proofErr w:type="spellStart"/>
      <w:r w:rsidR="00F41FFF">
        <w:rPr>
          <w:rFonts w:ascii="David" w:hAnsi="David" w:cs="David" w:hint="cs"/>
          <w:sz w:val="24"/>
          <w:szCs w:val="24"/>
          <w:rtl/>
        </w:rPr>
        <w:t>שתארתי</w:t>
      </w:r>
      <w:proofErr w:type="spellEnd"/>
      <w:r w:rsidR="00F41FFF">
        <w:rPr>
          <w:rFonts w:ascii="David" w:hAnsi="David" w:cs="David" w:hint="cs"/>
          <w:sz w:val="24"/>
          <w:szCs w:val="24"/>
          <w:rtl/>
        </w:rPr>
        <w:t xml:space="preserve"> בקצרה ביחס לעריכת תקנות 'דרכי השלום' כתוספת להלכות 'תיקון העולם'. </w:t>
      </w:r>
      <w:r w:rsidR="00BE008F">
        <w:rPr>
          <w:rFonts w:ascii="David" w:hAnsi="David" w:cs="David" w:hint="cs"/>
          <w:sz w:val="24"/>
          <w:szCs w:val="24"/>
          <w:rtl/>
        </w:rPr>
        <w:t xml:space="preserve">עוד </w:t>
      </w:r>
      <w:r w:rsidR="00F41FFF">
        <w:rPr>
          <w:rFonts w:ascii="David" w:hAnsi="David" w:cs="David" w:hint="cs"/>
          <w:sz w:val="24"/>
          <w:szCs w:val="24"/>
          <w:rtl/>
        </w:rPr>
        <w:t xml:space="preserve">ראו </w:t>
      </w:r>
      <w:r w:rsidR="00BE008F">
        <w:rPr>
          <w:rFonts w:ascii="David" w:hAnsi="David" w:cs="David" w:hint="cs"/>
          <w:sz w:val="24"/>
          <w:szCs w:val="24"/>
          <w:rtl/>
        </w:rPr>
        <w:t>המחקרים שהוצגו ב</w:t>
      </w:r>
      <w:r w:rsidR="00F41FFF">
        <w:rPr>
          <w:rFonts w:ascii="David" w:hAnsi="David" w:cs="David" w:hint="cs"/>
          <w:sz w:val="24"/>
          <w:szCs w:val="24"/>
          <w:rtl/>
        </w:rPr>
        <w:t xml:space="preserve">הערה </w:t>
      </w:r>
      <w:r w:rsidR="0025373B">
        <w:rPr>
          <w:rFonts w:ascii="David" w:hAnsi="David" w:cs="David" w:hint="cs"/>
          <w:sz w:val="24"/>
          <w:szCs w:val="24"/>
          <w:rtl/>
        </w:rPr>
        <w:t xml:space="preserve">7 </w:t>
      </w:r>
      <w:r w:rsidR="00F41FFF">
        <w:rPr>
          <w:rFonts w:ascii="David" w:hAnsi="David" w:cs="David" w:hint="cs"/>
          <w:sz w:val="24"/>
          <w:szCs w:val="24"/>
          <w:rtl/>
        </w:rPr>
        <w:t>לעיל; יש</w:t>
      </w:r>
      <w:r w:rsidRPr="00CB3FB1">
        <w:rPr>
          <w:rFonts w:ascii="David" w:hAnsi="David" w:cs="David"/>
          <w:sz w:val="24"/>
          <w:szCs w:val="24"/>
          <w:rtl/>
        </w:rPr>
        <w:t xml:space="preserve"> להדגיש </w:t>
      </w:r>
      <w:r w:rsidR="001C3ADB">
        <w:rPr>
          <w:rFonts w:ascii="David" w:hAnsi="David" w:cs="David" w:hint="cs"/>
          <w:sz w:val="24"/>
          <w:szCs w:val="24"/>
          <w:rtl/>
        </w:rPr>
        <w:t xml:space="preserve">כי לצד </w:t>
      </w:r>
      <w:r w:rsidRPr="00CB3FB1">
        <w:rPr>
          <w:rFonts w:ascii="David" w:hAnsi="David" w:cs="David"/>
          <w:sz w:val="24"/>
          <w:szCs w:val="24"/>
          <w:rtl/>
        </w:rPr>
        <w:t>תיאור מערכת המשפט כבנויה מתתי-תחומים שעומדים זה לצד זה</w:t>
      </w:r>
      <w:r w:rsidR="00E7637C">
        <w:rPr>
          <w:rFonts w:ascii="David" w:hAnsi="David" w:cs="David" w:hint="cs"/>
          <w:sz w:val="24"/>
          <w:szCs w:val="24"/>
          <w:rtl/>
        </w:rPr>
        <w:t>, באופן ש</w:t>
      </w:r>
      <w:r w:rsidRPr="00CB3FB1">
        <w:rPr>
          <w:rFonts w:ascii="David" w:hAnsi="David" w:cs="David"/>
          <w:sz w:val="24"/>
          <w:szCs w:val="24"/>
          <w:rtl/>
        </w:rPr>
        <w:t>הוא מכנה “</w:t>
      </w:r>
      <w:r w:rsidR="001C3ADB">
        <w:rPr>
          <w:rFonts w:ascii="SBL Greek" w:hAnsi="SBL Greek" w:cs="David"/>
          <w:sz w:val="24"/>
          <w:szCs w:val="24"/>
        </w:rPr>
        <w:t>“</w:t>
      </w:r>
      <w:r w:rsidRPr="00CB3FB1">
        <w:rPr>
          <w:rFonts w:ascii="David" w:hAnsi="David" w:cs="David"/>
          <w:sz w:val="24"/>
          <w:szCs w:val="24"/>
        </w:rPr>
        <w:t>horizontal dimension</w:t>
      </w:r>
      <w:r w:rsidR="001C3ADB">
        <w:rPr>
          <w:rFonts w:ascii="David" w:hAnsi="David" w:cs="David" w:hint="cs"/>
          <w:sz w:val="24"/>
          <w:szCs w:val="24"/>
          <w:rtl/>
        </w:rPr>
        <w:t xml:space="preserve">, </w:t>
      </w:r>
      <w:r w:rsidRPr="00CB3FB1">
        <w:rPr>
          <w:rFonts w:ascii="David" w:hAnsi="David" w:cs="David"/>
          <w:sz w:val="24"/>
          <w:szCs w:val="24"/>
          <w:rtl/>
        </w:rPr>
        <w:t xml:space="preserve">מתאר </w:t>
      </w:r>
      <w:r w:rsidR="001C3ADB">
        <w:rPr>
          <w:rFonts w:ascii="David" w:hAnsi="David" w:cs="David" w:hint="cs"/>
          <w:sz w:val="24"/>
          <w:szCs w:val="24"/>
          <w:rtl/>
        </w:rPr>
        <w:t xml:space="preserve">קנדי </w:t>
      </w:r>
      <w:r w:rsidRPr="00CB3FB1">
        <w:rPr>
          <w:rFonts w:ascii="David" w:hAnsi="David" w:cs="David"/>
          <w:sz w:val="24"/>
          <w:szCs w:val="24"/>
          <w:rtl/>
        </w:rPr>
        <w:t>תהליך של ארגון פנימי של הכללים בתוך תת-התחום. תהליך זה הוא מכנה</w:t>
      </w:r>
      <w:r>
        <w:rPr>
          <w:rFonts w:hint="cs"/>
          <w:rtl/>
        </w:rPr>
        <w:t xml:space="preserve"> </w:t>
      </w:r>
      <w:r w:rsidRPr="00CB3FB1">
        <w:rPr>
          <w:rFonts w:asciiTheme="majorBidi" w:hAnsiTheme="majorBidi" w:cstheme="majorBidi"/>
          <w:sz w:val="24"/>
          <w:szCs w:val="24"/>
        </w:rPr>
        <w:t>the "vertical" dimension of a subsystem within legal consciousness'</w:t>
      </w:r>
      <w:r>
        <w:rPr>
          <w:rFonts w:hint="cs"/>
          <w:rtl/>
        </w:rPr>
        <w:t xml:space="preserve">, </w:t>
      </w:r>
      <w:r w:rsidRPr="00CB3FB1">
        <w:rPr>
          <w:rFonts w:ascii="David" w:hAnsi="David" w:cs="David"/>
          <w:sz w:val="24"/>
          <w:szCs w:val="24"/>
          <w:rtl/>
        </w:rPr>
        <w:t>וטוען: […]</w:t>
      </w:r>
      <w:r w:rsidRPr="005057DA">
        <w:rPr>
          <w:rFonts w:cs="Arial"/>
          <w:rtl/>
        </w:rPr>
        <w:t xml:space="preserve"> </w:t>
      </w:r>
      <w:r w:rsidR="005E7858">
        <w:rPr>
          <w:rFonts w:ascii="SBL Greek" w:hAnsi="SBL Greek" w:cstheme="majorBidi"/>
          <w:sz w:val="24"/>
          <w:szCs w:val="24"/>
        </w:rPr>
        <w:t>“</w:t>
      </w:r>
      <w:r w:rsidRPr="00CB3FB1">
        <w:rPr>
          <w:rFonts w:asciiTheme="majorBidi" w:hAnsiTheme="majorBidi" w:cstheme="majorBidi"/>
          <w:sz w:val="24"/>
          <w:szCs w:val="24"/>
        </w:rPr>
        <w:t xml:space="preserve">The point is that between the operative rule and the more particular </w:t>
      </w:r>
      <w:proofErr w:type="spellStart"/>
      <w:r w:rsidRPr="00CB3FB1">
        <w:rPr>
          <w:rFonts w:asciiTheme="majorBidi" w:hAnsiTheme="majorBidi" w:cstheme="majorBidi"/>
          <w:sz w:val="24"/>
          <w:szCs w:val="24"/>
        </w:rPr>
        <w:t>subrule</w:t>
      </w:r>
      <w:proofErr w:type="spellEnd"/>
      <w:r w:rsidRPr="00CB3FB1">
        <w:rPr>
          <w:rFonts w:asciiTheme="majorBidi" w:hAnsiTheme="majorBidi" w:cstheme="majorBidi"/>
          <w:sz w:val="24"/>
          <w:szCs w:val="24"/>
        </w:rPr>
        <w:t>, there is structure, direction, influence, finally compulsion</w:t>
      </w:r>
      <w:r w:rsidR="005E7858">
        <w:rPr>
          <w:rFonts w:ascii="SBL Greek" w:hAnsi="SBL Greek" w:cstheme="majorBidi"/>
          <w:sz w:val="24"/>
          <w:szCs w:val="24"/>
        </w:rPr>
        <w:t>”</w:t>
      </w:r>
      <w:r w:rsidR="001C3ADB">
        <w:rPr>
          <w:rFonts w:ascii="SBL Greek" w:hAnsi="SBL Greek" w:cstheme="majorBidi"/>
          <w:sz w:val="24"/>
          <w:szCs w:val="24"/>
        </w:rPr>
        <w:t xml:space="preserve">. See </w:t>
      </w:r>
      <w:r w:rsidR="001C3ADB">
        <w:rPr>
          <w:rFonts w:asciiTheme="majorBidi" w:hAnsiTheme="majorBidi" w:cstheme="majorBidi"/>
          <w:sz w:val="24"/>
          <w:szCs w:val="24"/>
        </w:rPr>
        <w:t>Kennedy,</w:t>
      </w:r>
      <w:r w:rsidR="006D4569">
        <w:rPr>
          <w:rFonts w:asciiTheme="majorBidi" w:hAnsiTheme="majorBidi" w:cstheme="majorBidi"/>
          <w:sz w:val="24"/>
          <w:szCs w:val="24"/>
        </w:rPr>
        <w:t xml:space="preserve"> </w:t>
      </w:r>
      <w:r w:rsidR="001C3ADB" w:rsidRPr="00F07109">
        <w:rPr>
          <w:rFonts w:asciiTheme="majorBidi" w:hAnsiTheme="majorBidi" w:cstheme="majorBidi"/>
          <w:sz w:val="24"/>
          <w:szCs w:val="24"/>
        </w:rPr>
        <w:t>‘Toward an Historical Understanding’, pp. 18-21</w:t>
      </w:r>
      <w:r w:rsidR="001C3ADB" w:rsidRPr="00F07109">
        <w:rPr>
          <w:rFonts w:asciiTheme="majorBidi" w:hAnsiTheme="majorBidi" w:cstheme="majorBidi"/>
          <w:sz w:val="24"/>
          <w:szCs w:val="24"/>
          <w:rtl/>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2769"/>
      <w:gridCol w:w="2769"/>
      <w:gridCol w:w="2769"/>
    </w:tblGrid>
    <w:tr w:rsidR="00797FEF" w14:paraId="1EDE62C5" w14:textId="77777777" w:rsidTr="0E445079">
      <w:tc>
        <w:tcPr>
          <w:tcW w:w="2769" w:type="dxa"/>
        </w:tcPr>
        <w:p w14:paraId="7BBEA05D" w14:textId="7B56923C" w:rsidR="00797FEF" w:rsidRDefault="00797FEF" w:rsidP="0E445079">
          <w:pPr>
            <w:pStyle w:val="a7"/>
            <w:bidi w:val="0"/>
            <w:ind w:left="-115"/>
          </w:pPr>
        </w:p>
      </w:tc>
      <w:tc>
        <w:tcPr>
          <w:tcW w:w="2769" w:type="dxa"/>
        </w:tcPr>
        <w:p w14:paraId="13B0059B" w14:textId="57A563C3" w:rsidR="00797FEF" w:rsidRDefault="00797FEF" w:rsidP="0E445079">
          <w:pPr>
            <w:pStyle w:val="a7"/>
            <w:bidi w:val="0"/>
            <w:jc w:val="center"/>
          </w:pPr>
        </w:p>
      </w:tc>
      <w:tc>
        <w:tcPr>
          <w:tcW w:w="2769" w:type="dxa"/>
        </w:tcPr>
        <w:p w14:paraId="3B03D045" w14:textId="5506E540" w:rsidR="00797FEF" w:rsidRDefault="00797FEF" w:rsidP="0E445079">
          <w:pPr>
            <w:pStyle w:val="a7"/>
            <w:bidi w:val="0"/>
            <w:ind w:right="-115"/>
            <w:jc w:val="right"/>
          </w:pPr>
        </w:p>
      </w:tc>
    </w:tr>
  </w:tbl>
  <w:p w14:paraId="68119570" w14:textId="58882D6B" w:rsidR="00797FEF" w:rsidRDefault="00797FEF" w:rsidP="0E445079">
    <w:pPr>
      <w:pStyle w:val="a7"/>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D719E"/>
    <w:multiLevelType w:val="hybridMultilevel"/>
    <w:tmpl w:val="E7B49BD6"/>
    <w:lvl w:ilvl="0" w:tplc="C4AC994E">
      <w:start w:val="1"/>
      <w:numFmt w:val="decimal"/>
      <w:lvlText w:val="(%1)"/>
      <w:lvlJc w:val="left"/>
      <w:pPr>
        <w:ind w:left="120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1" w15:restartNumberingAfterBreak="0">
    <w:nsid w:val="05E011AF"/>
    <w:multiLevelType w:val="hybridMultilevel"/>
    <w:tmpl w:val="46767BB8"/>
    <w:lvl w:ilvl="0" w:tplc="2EBEAA92">
      <w:start w:val="1"/>
      <w:numFmt w:val="decimal"/>
      <w:lvlText w:val="(%1)"/>
      <w:lvlJc w:val="left"/>
      <w:pPr>
        <w:ind w:left="120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2" w15:restartNumberingAfterBreak="0">
    <w:nsid w:val="150356A3"/>
    <w:multiLevelType w:val="hybridMultilevel"/>
    <w:tmpl w:val="30046974"/>
    <w:lvl w:ilvl="0" w:tplc="C8C4BE0A">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 w15:restartNumberingAfterBreak="0">
    <w:nsid w:val="195A3493"/>
    <w:multiLevelType w:val="hybridMultilevel"/>
    <w:tmpl w:val="CFD00618"/>
    <w:lvl w:ilvl="0" w:tplc="04580788">
      <w:start w:val="1"/>
      <w:numFmt w:val="decimal"/>
      <w:lvlText w:val="(%1)"/>
      <w:lvlJc w:val="left"/>
      <w:pPr>
        <w:ind w:left="927" w:hanging="360"/>
      </w:pPr>
      <w:rPr>
        <w:rFonts w:hint="default"/>
        <w:i w:val="0"/>
        <w:iCs w:val="0"/>
      </w:rPr>
    </w:lvl>
    <w:lvl w:ilvl="1" w:tplc="04090019">
      <w:start w:val="1"/>
      <w:numFmt w:val="lowerLetter"/>
      <w:lvlText w:val="%2."/>
      <w:lvlJc w:val="left"/>
      <w:pPr>
        <w:ind w:left="1091" w:hanging="360"/>
      </w:pPr>
    </w:lvl>
    <w:lvl w:ilvl="2" w:tplc="0409001B" w:tentative="1">
      <w:start w:val="1"/>
      <w:numFmt w:val="lowerRoman"/>
      <w:lvlText w:val="%3."/>
      <w:lvlJc w:val="right"/>
      <w:pPr>
        <w:ind w:left="1811" w:hanging="180"/>
      </w:pPr>
    </w:lvl>
    <w:lvl w:ilvl="3" w:tplc="0409000F" w:tentative="1">
      <w:start w:val="1"/>
      <w:numFmt w:val="decimal"/>
      <w:lvlText w:val="%4."/>
      <w:lvlJc w:val="left"/>
      <w:pPr>
        <w:ind w:left="2531" w:hanging="360"/>
      </w:pPr>
    </w:lvl>
    <w:lvl w:ilvl="4" w:tplc="04090019" w:tentative="1">
      <w:start w:val="1"/>
      <w:numFmt w:val="lowerLetter"/>
      <w:lvlText w:val="%5."/>
      <w:lvlJc w:val="left"/>
      <w:pPr>
        <w:ind w:left="3251" w:hanging="360"/>
      </w:pPr>
    </w:lvl>
    <w:lvl w:ilvl="5" w:tplc="0409001B" w:tentative="1">
      <w:start w:val="1"/>
      <w:numFmt w:val="lowerRoman"/>
      <w:lvlText w:val="%6."/>
      <w:lvlJc w:val="right"/>
      <w:pPr>
        <w:ind w:left="3971" w:hanging="180"/>
      </w:pPr>
    </w:lvl>
    <w:lvl w:ilvl="6" w:tplc="0409000F" w:tentative="1">
      <w:start w:val="1"/>
      <w:numFmt w:val="decimal"/>
      <w:lvlText w:val="%7."/>
      <w:lvlJc w:val="left"/>
      <w:pPr>
        <w:ind w:left="4691" w:hanging="360"/>
      </w:pPr>
    </w:lvl>
    <w:lvl w:ilvl="7" w:tplc="04090019" w:tentative="1">
      <w:start w:val="1"/>
      <w:numFmt w:val="lowerLetter"/>
      <w:lvlText w:val="%8."/>
      <w:lvlJc w:val="left"/>
      <w:pPr>
        <w:ind w:left="5411" w:hanging="360"/>
      </w:pPr>
    </w:lvl>
    <w:lvl w:ilvl="8" w:tplc="0409001B" w:tentative="1">
      <w:start w:val="1"/>
      <w:numFmt w:val="lowerRoman"/>
      <w:lvlText w:val="%9."/>
      <w:lvlJc w:val="right"/>
      <w:pPr>
        <w:ind w:left="6131" w:hanging="180"/>
      </w:pPr>
    </w:lvl>
  </w:abstractNum>
  <w:abstractNum w:abstractNumId="4" w15:restartNumberingAfterBreak="0">
    <w:nsid w:val="19B03408"/>
    <w:multiLevelType w:val="hybridMultilevel"/>
    <w:tmpl w:val="01C6515C"/>
    <w:lvl w:ilvl="0" w:tplc="CEC01FAA">
      <w:start w:val="1"/>
      <w:numFmt w:val="decimal"/>
      <w:lvlText w:val="(%1)"/>
      <w:lvlJc w:val="left"/>
      <w:pPr>
        <w:ind w:left="435" w:hanging="375"/>
      </w:pPr>
      <w:rPr>
        <w:rFonts w:ascii="SBL Greek" w:hAnsi="SBL Greek"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5" w15:restartNumberingAfterBreak="0">
    <w:nsid w:val="1BDC722B"/>
    <w:multiLevelType w:val="hybridMultilevel"/>
    <w:tmpl w:val="B5B2F41A"/>
    <w:lvl w:ilvl="0" w:tplc="B57CE0B8">
      <w:start w:val="1"/>
      <w:numFmt w:val="hebrew1"/>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FC33F57"/>
    <w:multiLevelType w:val="hybridMultilevel"/>
    <w:tmpl w:val="2C145696"/>
    <w:lvl w:ilvl="0" w:tplc="0B980DC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0453DB"/>
    <w:multiLevelType w:val="hybridMultilevel"/>
    <w:tmpl w:val="2D68652E"/>
    <w:lvl w:ilvl="0" w:tplc="86863CA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C4E624C"/>
    <w:multiLevelType w:val="hybridMultilevel"/>
    <w:tmpl w:val="9C3078FA"/>
    <w:lvl w:ilvl="0" w:tplc="1EA4F03A">
      <w:start w:val="1"/>
      <w:numFmt w:val="hebrew1"/>
      <w:lvlText w:val="%1."/>
      <w:lvlJc w:val="left"/>
      <w:pPr>
        <w:ind w:left="64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C5C65E3"/>
    <w:multiLevelType w:val="hybridMultilevel"/>
    <w:tmpl w:val="203E2FA2"/>
    <w:lvl w:ilvl="0" w:tplc="0630AC9A">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47D275B"/>
    <w:multiLevelType w:val="hybridMultilevel"/>
    <w:tmpl w:val="75DE582C"/>
    <w:lvl w:ilvl="0" w:tplc="FBDA66E2">
      <w:start w:val="1"/>
      <w:numFmt w:val="decimal"/>
      <w:lvlText w:val="(%1)"/>
      <w:lvlJc w:val="left"/>
      <w:pPr>
        <w:ind w:left="993" w:hanging="360"/>
      </w:pPr>
      <w:rPr>
        <w:rFonts w:hint="default"/>
        <w:i w:val="0"/>
        <w:iCs w:val="0"/>
      </w:rPr>
    </w:lvl>
    <w:lvl w:ilvl="1" w:tplc="04090019" w:tentative="1">
      <w:start w:val="1"/>
      <w:numFmt w:val="lowerLetter"/>
      <w:lvlText w:val="%2."/>
      <w:lvlJc w:val="left"/>
      <w:pPr>
        <w:ind w:left="1713" w:hanging="360"/>
      </w:pPr>
    </w:lvl>
    <w:lvl w:ilvl="2" w:tplc="0409001B" w:tentative="1">
      <w:start w:val="1"/>
      <w:numFmt w:val="lowerRoman"/>
      <w:lvlText w:val="%3."/>
      <w:lvlJc w:val="right"/>
      <w:pPr>
        <w:ind w:left="2433" w:hanging="180"/>
      </w:pPr>
    </w:lvl>
    <w:lvl w:ilvl="3" w:tplc="0409000F" w:tentative="1">
      <w:start w:val="1"/>
      <w:numFmt w:val="decimal"/>
      <w:lvlText w:val="%4."/>
      <w:lvlJc w:val="left"/>
      <w:pPr>
        <w:ind w:left="3153" w:hanging="360"/>
      </w:pPr>
    </w:lvl>
    <w:lvl w:ilvl="4" w:tplc="04090019" w:tentative="1">
      <w:start w:val="1"/>
      <w:numFmt w:val="lowerLetter"/>
      <w:lvlText w:val="%5."/>
      <w:lvlJc w:val="left"/>
      <w:pPr>
        <w:ind w:left="3873" w:hanging="360"/>
      </w:pPr>
    </w:lvl>
    <w:lvl w:ilvl="5" w:tplc="0409001B" w:tentative="1">
      <w:start w:val="1"/>
      <w:numFmt w:val="lowerRoman"/>
      <w:lvlText w:val="%6."/>
      <w:lvlJc w:val="right"/>
      <w:pPr>
        <w:ind w:left="4593" w:hanging="180"/>
      </w:pPr>
    </w:lvl>
    <w:lvl w:ilvl="6" w:tplc="0409000F" w:tentative="1">
      <w:start w:val="1"/>
      <w:numFmt w:val="decimal"/>
      <w:lvlText w:val="%7."/>
      <w:lvlJc w:val="left"/>
      <w:pPr>
        <w:ind w:left="5313" w:hanging="360"/>
      </w:pPr>
    </w:lvl>
    <w:lvl w:ilvl="7" w:tplc="04090019" w:tentative="1">
      <w:start w:val="1"/>
      <w:numFmt w:val="lowerLetter"/>
      <w:lvlText w:val="%8."/>
      <w:lvlJc w:val="left"/>
      <w:pPr>
        <w:ind w:left="6033" w:hanging="360"/>
      </w:pPr>
    </w:lvl>
    <w:lvl w:ilvl="8" w:tplc="0409001B" w:tentative="1">
      <w:start w:val="1"/>
      <w:numFmt w:val="lowerRoman"/>
      <w:lvlText w:val="%9."/>
      <w:lvlJc w:val="right"/>
      <w:pPr>
        <w:ind w:left="6753" w:hanging="180"/>
      </w:pPr>
    </w:lvl>
  </w:abstractNum>
  <w:abstractNum w:abstractNumId="11" w15:restartNumberingAfterBreak="0">
    <w:nsid w:val="57663AE3"/>
    <w:multiLevelType w:val="hybridMultilevel"/>
    <w:tmpl w:val="AE50A326"/>
    <w:lvl w:ilvl="0" w:tplc="AA52B290">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A6E7D9C"/>
    <w:multiLevelType w:val="hybridMultilevel"/>
    <w:tmpl w:val="97FC3564"/>
    <w:lvl w:ilvl="0" w:tplc="DBEC65D8">
      <w:start w:val="1"/>
      <w:numFmt w:val="hebrew1"/>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6138773B"/>
    <w:multiLevelType w:val="hybridMultilevel"/>
    <w:tmpl w:val="777EB982"/>
    <w:lvl w:ilvl="0" w:tplc="608E8AC8">
      <w:start w:val="1"/>
      <w:numFmt w:val="hebrew1"/>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2D26399"/>
    <w:multiLevelType w:val="hybridMultilevel"/>
    <w:tmpl w:val="4628BB0A"/>
    <w:lvl w:ilvl="0" w:tplc="DBEC65D8">
      <w:start w:val="1"/>
      <w:numFmt w:val="hebrew1"/>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3AD0B76"/>
    <w:multiLevelType w:val="hybridMultilevel"/>
    <w:tmpl w:val="9018878C"/>
    <w:lvl w:ilvl="0" w:tplc="89F29692">
      <w:start w:val="1"/>
      <w:numFmt w:val="decimal"/>
      <w:lvlText w:val="(%1)"/>
      <w:lvlJc w:val="left"/>
      <w:pPr>
        <w:ind w:left="720" w:hanging="360"/>
      </w:pPr>
      <w:rPr>
        <w:rFonts w:hint="default"/>
        <w:lang w:bidi="he-I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3B7142C"/>
    <w:multiLevelType w:val="hybridMultilevel"/>
    <w:tmpl w:val="AC34BBAE"/>
    <w:lvl w:ilvl="0" w:tplc="DBEC65D8">
      <w:start w:val="1"/>
      <w:numFmt w:val="hebrew1"/>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7A462515"/>
    <w:multiLevelType w:val="hybridMultilevel"/>
    <w:tmpl w:val="B02891D0"/>
    <w:lvl w:ilvl="0" w:tplc="B27CCCEA">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2"/>
  </w:num>
  <w:num w:numId="3">
    <w:abstractNumId w:val="15"/>
  </w:num>
  <w:num w:numId="4">
    <w:abstractNumId w:val="3"/>
  </w:num>
  <w:num w:numId="5">
    <w:abstractNumId w:val="10"/>
  </w:num>
  <w:num w:numId="6">
    <w:abstractNumId w:val="8"/>
  </w:num>
  <w:num w:numId="7">
    <w:abstractNumId w:val="9"/>
  </w:num>
  <w:num w:numId="8">
    <w:abstractNumId w:val="16"/>
  </w:num>
  <w:num w:numId="9">
    <w:abstractNumId w:val="14"/>
  </w:num>
  <w:num w:numId="10">
    <w:abstractNumId w:val="12"/>
  </w:num>
  <w:num w:numId="11">
    <w:abstractNumId w:val="7"/>
  </w:num>
  <w:num w:numId="12">
    <w:abstractNumId w:val="5"/>
  </w:num>
  <w:num w:numId="13">
    <w:abstractNumId w:val="1"/>
  </w:num>
  <w:num w:numId="14">
    <w:abstractNumId w:val="0"/>
  </w:num>
  <w:num w:numId="15">
    <w:abstractNumId w:val="4"/>
  </w:num>
  <w:num w:numId="16">
    <w:abstractNumId w:val="11"/>
  </w:num>
  <w:num w:numId="17">
    <w:abstractNumId w:val="17"/>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activeWritingStyle w:appName="MSWord" w:lang="en-US" w:vendorID="64" w:dllVersion="6" w:nlCheck="1" w:checkStyle="0"/>
  <w:activeWritingStyle w:appName="MSWord" w:lang="en-US" w:vendorID="64" w:dllVersion="0" w:nlCheck="1" w:checkStyle="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7D7C"/>
    <w:rsid w:val="00000528"/>
    <w:rsid w:val="00000C54"/>
    <w:rsid w:val="00001006"/>
    <w:rsid w:val="000018AE"/>
    <w:rsid w:val="000022EC"/>
    <w:rsid w:val="000027F3"/>
    <w:rsid w:val="0000378A"/>
    <w:rsid w:val="000038C7"/>
    <w:rsid w:val="00006435"/>
    <w:rsid w:val="0000677D"/>
    <w:rsid w:val="00006F2C"/>
    <w:rsid w:val="00007F35"/>
    <w:rsid w:val="00010E6B"/>
    <w:rsid w:val="00010F00"/>
    <w:rsid w:val="000110D7"/>
    <w:rsid w:val="000114CB"/>
    <w:rsid w:val="000119E8"/>
    <w:rsid w:val="00011A34"/>
    <w:rsid w:val="0001226A"/>
    <w:rsid w:val="00012B1A"/>
    <w:rsid w:val="00012F6B"/>
    <w:rsid w:val="0001383E"/>
    <w:rsid w:val="0001395C"/>
    <w:rsid w:val="00013C7C"/>
    <w:rsid w:val="000140C4"/>
    <w:rsid w:val="00014C01"/>
    <w:rsid w:val="00015397"/>
    <w:rsid w:val="000170D8"/>
    <w:rsid w:val="0001748D"/>
    <w:rsid w:val="00017C01"/>
    <w:rsid w:val="0002005C"/>
    <w:rsid w:val="0002031D"/>
    <w:rsid w:val="00020770"/>
    <w:rsid w:val="000215EF"/>
    <w:rsid w:val="00022585"/>
    <w:rsid w:val="00022805"/>
    <w:rsid w:val="00022A13"/>
    <w:rsid w:val="00022E10"/>
    <w:rsid w:val="00023262"/>
    <w:rsid w:val="00023934"/>
    <w:rsid w:val="00023C4B"/>
    <w:rsid w:val="00023D86"/>
    <w:rsid w:val="000242DE"/>
    <w:rsid w:val="000257B2"/>
    <w:rsid w:val="00025E09"/>
    <w:rsid w:val="000266CC"/>
    <w:rsid w:val="000277DA"/>
    <w:rsid w:val="00027998"/>
    <w:rsid w:val="000309FC"/>
    <w:rsid w:val="00030BBB"/>
    <w:rsid w:val="00030C84"/>
    <w:rsid w:val="00030CD7"/>
    <w:rsid w:val="00031A9F"/>
    <w:rsid w:val="0003302C"/>
    <w:rsid w:val="000352DD"/>
    <w:rsid w:val="0003679C"/>
    <w:rsid w:val="00036A35"/>
    <w:rsid w:val="0003773B"/>
    <w:rsid w:val="00037770"/>
    <w:rsid w:val="00037C6D"/>
    <w:rsid w:val="000400FB"/>
    <w:rsid w:val="00040E77"/>
    <w:rsid w:val="0004161E"/>
    <w:rsid w:val="0004201F"/>
    <w:rsid w:val="000425A9"/>
    <w:rsid w:val="00043B15"/>
    <w:rsid w:val="00043B9E"/>
    <w:rsid w:val="000451B9"/>
    <w:rsid w:val="00045224"/>
    <w:rsid w:val="000453AD"/>
    <w:rsid w:val="000455D9"/>
    <w:rsid w:val="00045633"/>
    <w:rsid w:val="00045B19"/>
    <w:rsid w:val="00045BC9"/>
    <w:rsid w:val="00046379"/>
    <w:rsid w:val="00046488"/>
    <w:rsid w:val="00046859"/>
    <w:rsid w:val="00047285"/>
    <w:rsid w:val="0004737E"/>
    <w:rsid w:val="0004768D"/>
    <w:rsid w:val="000511CA"/>
    <w:rsid w:val="000522AB"/>
    <w:rsid w:val="00053BB7"/>
    <w:rsid w:val="00054637"/>
    <w:rsid w:val="00054698"/>
    <w:rsid w:val="000553C7"/>
    <w:rsid w:val="00055DDD"/>
    <w:rsid w:val="00055F45"/>
    <w:rsid w:val="0005689D"/>
    <w:rsid w:val="00056F45"/>
    <w:rsid w:val="00057C90"/>
    <w:rsid w:val="00060BE0"/>
    <w:rsid w:val="00060E7D"/>
    <w:rsid w:val="00061003"/>
    <w:rsid w:val="0006138C"/>
    <w:rsid w:val="00062884"/>
    <w:rsid w:val="00062E43"/>
    <w:rsid w:val="0006355D"/>
    <w:rsid w:val="00063940"/>
    <w:rsid w:val="00064210"/>
    <w:rsid w:val="00064731"/>
    <w:rsid w:val="00064758"/>
    <w:rsid w:val="000647E7"/>
    <w:rsid w:val="0006539D"/>
    <w:rsid w:val="00065464"/>
    <w:rsid w:val="00066112"/>
    <w:rsid w:val="00066360"/>
    <w:rsid w:val="000668DC"/>
    <w:rsid w:val="00066D03"/>
    <w:rsid w:val="000670F4"/>
    <w:rsid w:val="00071123"/>
    <w:rsid w:val="000719E1"/>
    <w:rsid w:val="00071FDA"/>
    <w:rsid w:val="000734FC"/>
    <w:rsid w:val="00073932"/>
    <w:rsid w:val="00073A9F"/>
    <w:rsid w:val="00075025"/>
    <w:rsid w:val="0007545C"/>
    <w:rsid w:val="000761FA"/>
    <w:rsid w:val="00076D9E"/>
    <w:rsid w:val="00076DEB"/>
    <w:rsid w:val="00077A92"/>
    <w:rsid w:val="00077E50"/>
    <w:rsid w:val="00077FCB"/>
    <w:rsid w:val="00080520"/>
    <w:rsid w:val="00080B31"/>
    <w:rsid w:val="000814D8"/>
    <w:rsid w:val="00081D45"/>
    <w:rsid w:val="00082305"/>
    <w:rsid w:val="0008241D"/>
    <w:rsid w:val="000825A7"/>
    <w:rsid w:val="0008263E"/>
    <w:rsid w:val="00082BBE"/>
    <w:rsid w:val="00083107"/>
    <w:rsid w:val="000832C1"/>
    <w:rsid w:val="00083769"/>
    <w:rsid w:val="0008403B"/>
    <w:rsid w:val="000849F9"/>
    <w:rsid w:val="0008546F"/>
    <w:rsid w:val="000858BD"/>
    <w:rsid w:val="00085DB8"/>
    <w:rsid w:val="00086307"/>
    <w:rsid w:val="0008695C"/>
    <w:rsid w:val="00087894"/>
    <w:rsid w:val="00087F49"/>
    <w:rsid w:val="00090A7C"/>
    <w:rsid w:val="00090DB7"/>
    <w:rsid w:val="000917FE"/>
    <w:rsid w:val="00092804"/>
    <w:rsid w:val="0009283E"/>
    <w:rsid w:val="00092D4D"/>
    <w:rsid w:val="00092FAE"/>
    <w:rsid w:val="000930A4"/>
    <w:rsid w:val="000943F9"/>
    <w:rsid w:val="00094AE6"/>
    <w:rsid w:val="00094B9C"/>
    <w:rsid w:val="00094CE4"/>
    <w:rsid w:val="00094F20"/>
    <w:rsid w:val="0009546C"/>
    <w:rsid w:val="00095806"/>
    <w:rsid w:val="000961F1"/>
    <w:rsid w:val="000965D9"/>
    <w:rsid w:val="00096A2C"/>
    <w:rsid w:val="000A011D"/>
    <w:rsid w:val="000A0A57"/>
    <w:rsid w:val="000A1EE2"/>
    <w:rsid w:val="000A21A6"/>
    <w:rsid w:val="000A279D"/>
    <w:rsid w:val="000A2A4B"/>
    <w:rsid w:val="000A3184"/>
    <w:rsid w:val="000A4228"/>
    <w:rsid w:val="000A4302"/>
    <w:rsid w:val="000A61E3"/>
    <w:rsid w:val="000A6497"/>
    <w:rsid w:val="000A6BB5"/>
    <w:rsid w:val="000A6F0E"/>
    <w:rsid w:val="000A7084"/>
    <w:rsid w:val="000A7D45"/>
    <w:rsid w:val="000B034C"/>
    <w:rsid w:val="000B0E63"/>
    <w:rsid w:val="000B16B1"/>
    <w:rsid w:val="000B1ED4"/>
    <w:rsid w:val="000B2244"/>
    <w:rsid w:val="000B3436"/>
    <w:rsid w:val="000B352D"/>
    <w:rsid w:val="000B4373"/>
    <w:rsid w:val="000B4EC6"/>
    <w:rsid w:val="000B4FE6"/>
    <w:rsid w:val="000B6E0C"/>
    <w:rsid w:val="000B7A1D"/>
    <w:rsid w:val="000B7FA1"/>
    <w:rsid w:val="000C0361"/>
    <w:rsid w:val="000C0B78"/>
    <w:rsid w:val="000C178C"/>
    <w:rsid w:val="000C20F0"/>
    <w:rsid w:val="000C3FAC"/>
    <w:rsid w:val="000C4351"/>
    <w:rsid w:val="000C4538"/>
    <w:rsid w:val="000C45B2"/>
    <w:rsid w:val="000C55AC"/>
    <w:rsid w:val="000C690E"/>
    <w:rsid w:val="000C6FD3"/>
    <w:rsid w:val="000C747C"/>
    <w:rsid w:val="000C79A6"/>
    <w:rsid w:val="000C7D84"/>
    <w:rsid w:val="000C7EAE"/>
    <w:rsid w:val="000D2183"/>
    <w:rsid w:val="000D21E7"/>
    <w:rsid w:val="000D2529"/>
    <w:rsid w:val="000D2AF2"/>
    <w:rsid w:val="000D311F"/>
    <w:rsid w:val="000D3DED"/>
    <w:rsid w:val="000D44BA"/>
    <w:rsid w:val="000D4582"/>
    <w:rsid w:val="000D4E20"/>
    <w:rsid w:val="000D623A"/>
    <w:rsid w:val="000D63B9"/>
    <w:rsid w:val="000D6662"/>
    <w:rsid w:val="000D6D2E"/>
    <w:rsid w:val="000D73B5"/>
    <w:rsid w:val="000D7AF6"/>
    <w:rsid w:val="000D7C0E"/>
    <w:rsid w:val="000E0DDC"/>
    <w:rsid w:val="000E0E7C"/>
    <w:rsid w:val="000E10A4"/>
    <w:rsid w:val="000E1D60"/>
    <w:rsid w:val="000E1F2E"/>
    <w:rsid w:val="000E2327"/>
    <w:rsid w:val="000E2F88"/>
    <w:rsid w:val="000E3385"/>
    <w:rsid w:val="000E3C3F"/>
    <w:rsid w:val="000E3F2F"/>
    <w:rsid w:val="000E4AA8"/>
    <w:rsid w:val="000E4DBA"/>
    <w:rsid w:val="000E4F85"/>
    <w:rsid w:val="000E536F"/>
    <w:rsid w:val="000E558A"/>
    <w:rsid w:val="000E632F"/>
    <w:rsid w:val="000E645C"/>
    <w:rsid w:val="000E6858"/>
    <w:rsid w:val="000E690F"/>
    <w:rsid w:val="000E708B"/>
    <w:rsid w:val="000E73A6"/>
    <w:rsid w:val="000E7BBD"/>
    <w:rsid w:val="000E7E28"/>
    <w:rsid w:val="000F016E"/>
    <w:rsid w:val="000F0AD1"/>
    <w:rsid w:val="000F1694"/>
    <w:rsid w:val="000F1D38"/>
    <w:rsid w:val="000F2EAA"/>
    <w:rsid w:val="000F3900"/>
    <w:rsid w:val="000F4059"/>
    <w:rsid w:val="000F4223"/>
    <w:rsid w:val="000F5275"/>
    <w:rsid w:val="000F57F9"/>
    <w:rsid w:val="000F5ED9"/>
    <w:rsid w:val="000F5F30"/>
    <w:rsid w:val="000F6CFC"/>
    <w:rsid w:val="000F70C5"/>
    <w:rsid w:val="000F72DC"/>
    <w:rsid w:val="000F78A2"/>
    <w:rsid w:val="000F78FB"/>
    <w:rsid w:val="000F7991"/>
    <w:rsid w:val="000F7BCF"/>
    <w:rsid w:val="000F7DBD"/>
    <w:rsid w:val="00100051"/>
    <w:rsid w:val="0010018A"/>
    <w:rsid w:val="001002BC"/>
    <w:rsid w:val="00100459"/>
    <w:rsid w:val="001017AE"/>
    <w:rsid w:val="001027B0"/>
    <w:rsid w:val="00102FE0"/>
    <w:rsid w:val="00103099"/>
    <w:rsid w:val="001042D1"/>
    <w:rsid w:val="00104630"/>
    <w:rsid w:val="0010464E"/>
    <w:rsid w:val="00105FDA"/>
    <w:rsid w:val="0010623A"/>
    <w:rsid w:val="00106502"/>
    <w:rsid w:val="00106ADA"/>
    <w:rsid w:val="001075F0"/>
    <w:rsid w:val="00107BCB"/>
    <w:rsid w:val="00111014"/>
    <w:rsid w:val="00111D8D"/>
    <w:rsid w:val="00112632"/>
    <w:rsid w:val="001136A8"/>
    <w:rsid w:val="00113B56"/>
    <w:rsid w:val="00113DA7"/>
    <w:rsid w:val="00113F1D"/>
    <w:rsid w:val="00114078"/>
    <w:rsid w:val="00114160"/>
    <w:rsid w:val="00114774"/>
    <w:rsid w:val="00114AEA"/>
    <w:rsid w:val="00114FCA"/>
    <w:rsid w:val="0011586F"/>
    <w:rsid w:val="001158A7"/>
    <w:rsid w:val="001162D1"/>
    <w:rsid w:val="0011658F"/>
    <w:rsid w:val="00116D49"/>
    <w:rsid w:val="0011715B"/>
    <w:rsid w:val="001172C0"/>
    <w:rsid w:val="00117A7E"/>
    <w:rsid w:val="00117EE1"/>
    <w:rsid w:val="00120AEB"/>
    <w:rsid w:val="00120F14"/>
    <w:rsid w:val="00121F41"/>
    <w:rsid w:val="00122E87"/>
    <w:rsid w:val="0012461D"/>
    <w:rsid w:val="00125CD8"/>
    <w:rsid w:val="00126C97"/>
    <w:rsid w:val="00126E69"/>
    <w:rsid w:val="001270B0"/>
    <w:rsid w:val="0012737E"/>
    <w:rsid w:val="001311E3"/>
    <w:rsid w:val="00131240"/>
    <w:rsid w:val="0013197C"/>
    <w:rsid w:val="001325C1"/>
    <w:rsid w:val="00132E20"/>
    <w:rsid w:val="00132EC5"/>
    <w:rsid w:val="00134A3A"/>
    <w:rsid w:val="00134EDC"/>
    <w:rsid w:val="0013533E"/>
    <w:rsid w:val="001353DC"/>
    <w:rsid w:val="001361BA"/>
    <w:rsid w:val="00136B4E"/>
    <w:rsid w:val="00136BCD"/>
    <w:rsid w:val="00136E8C"/>
    <w:rsid w:val="00137ADD"/>
    <w:rsid w:val="00137DD8"/>
    <w:rsid w:val="00140638"/>
    <w:rsid w:val="00140CA0"/>
    <w:rsid w:val="00141920"/>
    <w:rsid w:val="00141DCB"/>
    <w:rsid w:val="00142D28"/>
    <w:rsid w:val="00142EA7"/>
    <w:rsid w:val="00143B62"/>
    <w:rsid w:val="00143E64"/>
    <w:rsid w:val="0014432C"/>
    <w:rsid w:val="0014495D"/>
    <w:rsid w:val="00146185"/>
    <w:rsid w:val="00146332"/>
    <w:rsid w:val="00147834"/>
    <w:rsid w:val="0015146B"/>
    <w:rsid w:val="00151E39"/>
    <w:rsid w:val="001520C4"/>
    <w:rsid w:val="001522D0"/>
    <w:rsid w:val="00152712"/>
    <w:rsid w:val="00152FC7"/>
    <w:rsid w:val="001537A3"/>
    <w:rsid w:val="001540B2"/>
    <w:rsid w:val="00154112"/>
    <w:rsid w:val="001548CA"/>
    <w:rsid w:val="001548D5"/>
    <w:rsid w:val="00154C3F"/>
    <w:rsid w:val="0015529C"/>
    <w:rsid w:val="001557CD"/>
    <w:rsid w:val="0015589A"/>
    <w:rsid w:val="00155B74"/>
    <w:rsid w:val="00155E01"/>
    <w:rsid w:val="00156620"/>
    <w:rsid w:val="00156A38"/>
    <w:rsid w:val="00156DBB"/>
    <w:rsid w:val="001571B9"/>
    <w:rsid w:val="00157586"/>
    <w:rsid w:val="00157AA8"/>
    <w:rsid w:val="00157C29"/>
    <w:rsid w:val="00160A4B"/>
    <w:rsid w:val="001613A6"/>
    <w:rsid w:val="00161676"/>
    <w:rsid w:val="001633C8"/>
    <w:rsid w:val="0016344D"/>
    <w:rsid w:val="00163B0D"/>
    <w:rsid w:val="00164381"/>
    <w:rsid w:val="001643EC"/>
    <w:rsid w:val="00164DB5"/>
    <w:rsid w:val="001650C4"/>
    <w:rsid w:val="00165A42"/>
    <w:rsid w:val="00166439"/>
    <w:rsid w:val="00166AE2"/>
    <w:rsid w:val="00167EB4"/>
    <w:rsid w:val="001702B1"/>
    <w:rsid w:val="00171A63"/>
    <w:rsid w:val="0017251F"/>
    <w:rsid w:val="00172ABC"/>
    <w:rsid w:val="00173274"/>
    <w:rsid w:val="00173A65"/>
    <w:rsid w:val="00173B13"/>
    <w:rsid w:val="001740F1"/>
    <w:rsid w:val="0017447C"/>
    <w:rsid w:val="001745A0"/>
    <w:rsid w:val="0017538A"/>
    <w:rsid w:val="00176677"/>
    <w:rsid w:val="00177E6D"/>
    <w:rsid w:val="00180309"/>
    <w:rsid w:val="001807B7"/>
    <w:rsid w:val="00180B37"/>
    <w:rsid w:val="00180C47"/>
    <w:rsid w:val="00180D0C"/>
    <w:rsid w:val="00181659"/>
    <w:rsid w:val="001819BE"/>
    <w:rsid w:val="00182171"/>
    <w:rsid w:val="001843B4"/>
    <w:rsid w:val="00184BC5"/>
    <w:rsid w:val="00185638"/>
    <w:rsid w:val="00185852"/>
    <w:rsid w:val="00186EC6"/>
    <w:rsid w:val="00187333"/>
    <w:rsid w:val="00190971"/>
    <w:rsid w:val="00191841"/>
    <w:rsid w:val="001920B2"/>
    <w:rsid w:val="00192351"/>
    <w:rsid w:val="00193F63"/>
    <w:rsid w:val="00194AC5"/>
    <w:rsid w:val="00195911"/>
    <w:rsid w:val="0019599B"/>
    <w:rsid w:val="00195DBE"/>
    <w:rsid w:val="00196980"/>
    <w:rsid w:val="001970C7"/>
    <w:rsid w:val="001974B1"/>
    <w:rsid w:val="00197F31"/>
    <w:rsid w:val="001A090D"/>
    <w:rsid w:val="001A0919"/>
    <w:rsid w:val="001A1409"/>
    <w:rsid w:val="001A165A"/>
    <w:rsid w:val="001A16C9"/>
    <w:rsid w:val="001A1C3D"/>
    <w:rsid w:val="001A2133"/>
    <w:rsid w:val="001A3077"/>
    <w:rsid w:val="001A332A"/>
    <w:rsid w:val="001A3497"/>
    <w:rsid w:val="001A3A90"/>
    <w:rsid w:val="001A4DA4"/>
    <w:rsid w:val="001A5068"/>
    <w:rsid w:val="001A6A48"/>
    <w:rsid w:val="001B1A7A"/>
    <w:rsid w:val="001B1CB5"/>
    <w:rsid w:val="001B1DBB"/>
    <w:rsid w:val="001B25B6"/>
    <w:rsid w:val="001B44E9"/>
    <w:rsid w:val="001B45DB"/>
    <w:rsid w:val="001B4D8F"/>
    <w:rsid w:val="001B522C"/>
    <w:rsid w:val="001B5378"/>
    <w:rsid w:val="001B612F"/>
    <w:rsid w:val="001B6D21"/>
    <w:rsid w:val="001B7EE7"/>
    <w:rsid w:val="001C0591"/>
    <w:rsid w:val="001C133E"/>
    <w:rsid w:val="001C15D3"/>
    <w:rsid w:val="001C2A82"/>
    <w:rsid w:val="001C2C24"/>
    <w:rsid w:val="001C3390"/>
    <w:rsid w:val="001C3ADB"/>
    <w:rsid w:val="001C3D38"/>
    <w:rsid w:val="001C3FB9"/>
    <w:rsid w:val="001C4436"/>
    <w:rsid w:val="001C48B1"/>
    <w:rsid w:val="001C5221"/>
    <w:rsid w:val="001C5C29"/>
    <w:rsid w:val="001C5CDC"/>
    <w:rsid w:val="001C5DCA"/>
    <w:rsid w:val="001C5EB0"/>
    <w:rsid w:val="001C5F15"/>
    <w:rsid w:val="001C611D"/>
    <w:rsid w:val="001C6B19"/>
    <w:rsid w:val="001C6B90"/>
    <w:rsid w:val="001C7815"/>
    <w:rsid w:val="001C7C1D"/>
    <w:rsid w:val="001D04B7"/>
    <w:rsid w:val="001D1AC6"/>
    <w:rsid w:val="001D1C27"/>
    <w:rsid w:val="001D2A05"/>
    <w:rsid w:val="001D32FB"/>
    <w:rsid w:val="001D47D7"/>
    <w:rsid w:val="001D5242"/>
    <w:rsid w:val="001D570F"/>
    <w:rsid w:val="001D5A37"/>
    <w:rsid w:val="001D5DD7"/>
    <w:rsid w:val="001D79C6"/>
    <w:rsid w:val="001E0B24"/>
    <w:rsid w:val="001E0DFD"/>
    <w:rsid w:val="001E1E24"/>
    <w:rsid w:val="001E2547"/>
    <w:rsid w:val="001E29B1"/>
    <w:rsid w:val="001E2EFA"/>
    <w:rsid w:val="001E3072"/>
    <w:rsid w:val="001E3834"/>
    <w:rsid w:val="001E3E04"/>
    <w:rsid w:val="001E438C"/>
    <w:rsid w:val="001E4D3D"/>
    <w:rsid w:val="001E4FD4"/>
    <w:rsid w:val="001E5FAC"/>
    <w:rsid w:val="001E6305"/>
    <w:rsid w:val="001E6BF5"/>
    <w:rsid w:val="001E7EBF"/>
    <w:rsid w:val="001F0E90"/>
    <w:rsid w:val="001F1D77"/>
    <w:rsid w:val="001F1DF7"/>
    <w:rsid w:val="001F298B"/>
    <w:rsid w:val="001F3130"/>
    <w:rsid w:val="001F3490"/>
    <w:rsid w:val="001F4279"/>
    <w:rsid w:val="001F4415"/>
    <w:rsid w:val="001F56F8"/>
    <w:rsid w:val="001F5B47"/>
    <w:rsid w:val="001F62B0"/>
    <w:rsid w:val="001F6450"/>
    <w:rsid w:val="001F6EBD"/>
    <w:rsid w:val="001F7961"/>
    <w:rsid w:val="001F799D"/>
    <w:rsid w:val="00200371"/>
    <w:rsid w:val="00200B4F"/>
    <w:rsid w:val="00200C2C"/>
    <w:rsid w:val="002012CA"/>
    <w:rsid w:val="00202737"/>
    <w:rsid w:val="00202BC0"/>
    <w:rsid w:val="00202E10"/>
    <w:rsid w:val="00203242"/>
    <w:rsid w:val="00203829"/>
    <w:rsid w:val="0020425A"/>
    <w:rsid w:val="00204DB3"/>
    <w:rsid w:val="00204EB2"/>
    <w:rsid w:val="002054DD"/>
    <w:rsid w:val="0020554E"/>
    <w:rsid w:val="0020574E"/>
    <w:rsid w:val="0020605A"/>
    <w:rsid w:val="0020645A"/>
    <w:rsid w:val="00206586"/>
    <w:rsid w:val="00206CBD"/>
    <w:rsid w:val="00206E74"/>
    <w:rsid w:val="00206EFE"/>
    <w:rsid w:val="00207004"/>
    <w:rsid w:val="002073DC"/>
    <w:rsid w:val="002074C9"/>
    <w:rsid w:val="00207D55"/>
    <w:rsid w:val="00207DC9"/>
    <w:rsid w:val="00210392"/>
    <w:rsid w:val="00210E96"/>
    <w:rsid w:val="0021112D"/>
    <w:rsid w:val="0021113F"/>
    <w:rsid w:val="00211263"/>
    <w:rsid w:val="00211462"/>
    <w:rsid w:val="00211579"/>
    <w:rsid w:val="00211847"/>
    <w:rsid w:val="00211AA4"/>
    <w:rsid w:val="00212222"/>
    <w:rsid w:val="00213636"/>
    <w:rsid w:val="00213A06"/>
    <w:rsid w:val="00213A5C"/>
    <w:rsid w:val="00214ECB"/>
    <w:rsid w:val="002157AF"/>
    <w:rsid w:val="0021725E"/>
    <w:rsid w:val="002176DF"/>
    <w:rsid w:val="00217E73"/>
    <w:rsid w:val="00221222"/>
    <w:rsid w:val="00221366"/>
    <w:rsid w:val="002218A8"/>
    <w:rsid w:val="00221BEB"/>
    <w:rsid w:val="00221E01"/>
    <w:rsid w:val="00222FDF"/>
    <w:rsid w:val="00223A30"/>
    <w:rsid w:val="00224337"/>
    <w:rsid w:val="00224535"/>
    <w:rsid w:val="00224B97"/>
    <w:rsid w:val="00225741"/>
    <w:rsid w:val="002257B7"/>
    <w:rsid w:val="0022665F"/>
    <w:rsid w:val="00226BF2"/>
    <w:rsid w:val="00227BC5"/>
    <w:rsid w:val="002303C1"/>
    <w:rsid w:val="00231300"/>
    <w:rsid w:val="00231CC9"/>
    <w:rsid w:val="0023228B"/>
    <w:rsid w:val="00233044"/>
    <w:rsid w:val="00233595"/>
    <w:rsid w:val="00233EA2"/>
    <w:rsid w:val="002341E8"/>
    <w:rsid w:val="00234FC6"/>
    <w:rsid w:val="002350AE"/>
    <w:rsid w:val="00235454"/>
    <w:rsid w:val="00235E27"/>
    <w:rsid w:val="00235E83"/>
    <w:rsid w:val="00236AE8"/>
    <w:rsid w:val="002374C8"/>
    <w:rsid w:val="002404A8"/>
    <w:rsid w:val="00240D2F"/>
    <w:rsid w:val="00241130"/>
    <w:rsid w:val="00241705"/>
    <w:rsid w:val="00241F94"/>
    <w:rsid w:val="00242752"/>
    <w:rsid w:val="00242866"/>
    <w:rsid w:val="00242A43"/>
    <w:rsid w:val="00243D35"/>
    <w:rsid w:val="00244361"/>
    <w:rsid w:val="0024457E"/>
    <w:rsid w:val="00244C04"/>
    <w:rsid w:val="00244C6A"/>
    <w:rsid w:val="00244C6B"/>
    <w:rsid w:val="00245B81"/>
    <w:rsid w:val="002467EE"/>
    <w:rsid w:val="0024709F"/>
    <w:rsid w:val="0024740D"/>
    <w:rsid w:val="00247E46"/>
    <w:rsid w:val="002500E5"/>
    <w:rsid w:val="0025034F"/>
    <w:rsid w:val="0025042B"/>
    <w:rsid w:val="002504D3"/>
    <w:rsid w:val="00250F81"/>
    <w:rsid w:val="00251528"/>
    <w:rsid w:val="00251FA5"/>
    <w:rsid w:val="002520EE"/>
    <w:rsid w:val="00252A6F"/>
    <w:rsid w:val="00252E8E"/>
    <w:rsid w:val="00252ECB"/>
    <w:rsid w:val="002533BF"/>
    <w:rsid w:val="002535E1"/>
    <w:rsid w:val="00253622"/>
    <w:rsid w:val="0025373B"/>
    <w:rsid w:val="00253E47"/>
    <w:rsid w:val="00254370"/>
    <w:rsid w:val="00254B3D"/>
    <w:rsid w:val="002550A7"/>
    <w:rsid w:val="00255410"/>
    <w:rsid w:val="002557E2"/>
    <w:rsid w:val="00255C15"/>
    <w:rsid w:val="00255FD9"/>
    <w:rsid w:val="002561F6"/>
    <w:rsid w:val="00256307"/>
    <w:rsid w:val="00256634"/>
    <w:rsid w:val="002576CA"/>
    <w:rsid w:val="002577F7"/>
    <w:rsid w:val="00257F23"/>
    <w:rsid w:val="00260027"/>
    <w:rsid w:val="00261511"/>
    <w:rsid w:val="00262436"/>
    <w:rsid w:val="00262C62"/>
    <w:rsid w:val="00262CB8"/>
    <w:rsid w:val="0026373A"/>
    <w:rsid w:val="002637CC"/>
    <w:rsid w:val="00264A6E"/>
    <w:rsid w:val="00265390"/>
    <w:rsid w:val="00265A4E"/>
    <w:rsid w:val="00266008"/>
    <w:rsid w:val="00266459"/>
    <w:rsid w:val="002666CE"/>
    <w:rsid w:val="002674E8"/>
    <w:rsid w:val="00267D6C"/>
    <w:rsid w:val="002704A2"/>
    <w:rsid w:val="00270B17"/>
    <w:rsid w:val="00271419"/>
    <w:rsid w:val="00271D65"/>
    <w:rsid w:val="00272302"/>
    <w:rsid w:val="002741F8"/>
    <w:rsid w:val="00274AA3"/>
    <w:rsid w:val="00274ACE"/>
    <w:rsid w:val="0027578A"/>
    <w:rsid w:val="0027594E"/>
    <w:rsid w:val="0027662C"/>
    <w:rsid w:val="00276718"/>
    <w:rsid w:val="00277010"/>
    <w:rsid w:val="0027763C"/>
    <w:rsid w:val="002777F0"/>
    <w:rsid w:val="00277C54"/>
    <w:rsid w:val="00277FD8"/>
    <w:rsid w:val="0028044E"/>
    <w:rsid w:val="00281566"/>
    <w:rsid w:val="002817FB"/>
    <w:rsid w:val="00281B1E"/>
    <w:rsid w:val="00282035"/>
    <w:rsid w:val="00282BC9"/>
    <w:rsid w:val="00282D11"/>
    <w:rsid w:val="002830B9"/>
    <w:rsid w:val="0028323E"/>
    <w:rsid w:val="00283266"/>
    <w:rsid w:val="00283AEB"/>
    <w:rsid w:val="0028527A"/>
    <w:rsid w:val="00285333"/>
    <w:rsid w:val="00285803"/>
    <w:rsid w:val="00285B4B"/>
    <w:rsid w:val="00285BB2"/>
    <w:rsid w:val="002869F0"/>
    <w:rsid w:val="00286F5D"/>
    <w:rsid w:val="00287944"/>
    <w:rsid w:val="00290E85"/>
    <w:rsid w:val="00291A0A"/>
    <w:rsid w:val="00293318"/>
    <w:rsid w:val="002939A9"/>
    <w:rsid w:val="00293DE5"/>
    <w:rsid w:val="002942BA"/>
    <w:rsid w:val="00294C4A"/>
    <w:rsid w:val="00295806"/>
    <w:rsid w:val="00295909"/>
    <w:rsid w:val="00295B4C"/>
    <w:rsid w:val="00296309"/>
    <w:rsid w:val="0029744D"/>
    <w:rsid w:val="00297602"/>
    <w:rsid w:val="00297BF5"/>
    <w:rsid w:val="002A00C9"/>
    <w:rsid w:val="002A041D"/>
    <w:rsid w:val="002A0A27"/>
    <w:rsid w:val="002A1295"/>
    <w:rsid w:val="002A1C80"/>
    <w:rsid w:val="002A2313"/>
    <w:rsid w:val="002A3411"/>
    <w:rsid w:val="002A3F0F"/>
    <w:rsid w:val="002A46F0"/>
    <w:rsid w:val="002A510B"/>
    <w:rsid w:val="002A545B"/>
    <w:rsid w:val="002A65AD"/>
    <w:rsid w:val="002A7ABA"/>
    <w:rsid w:val="002B1072"/>
    <w:rsid w:val="002B1EFB"/>
    <w:rsid w:val="002B2038"/>
    <w:rsid w:val="002B2331"/>
    <w:rsid w:val="002B2B95"/>
    <w:rsid w:val="002B36B4"/>
    <w:rsid w:val="002B3DF3"/>
    <w:rsid w:val="002B4034"/>
    <w:rsid w:val="002B41E2"/>
    <w:rsid w:val="002B4445"/>
    <w:rsid w:val="002B4823"/>
    <w:rsid w:val="002B599E"/>
    <w:rsid w:val="002B5C5E"/>
    <w:rsid w:val="002B6419"/>
    <w:rsid w:val="002B677C"/>
    <w:rsid w:val="002B6A0F"/>
    <w:rsid w:val="002B7064"/>
    <w:rsid w:val="002B7A03"/>
    <w:rsid w:val="002C054F"/>
    <w:rsid w:val="002C06C9"/>
    <w:rsid w:val="002C0CFE"/>
    <w:rsid w:val="002C1391"/>
    <w:rsid w:val="002C3002"/>
    <w:rsid w:val="002C316C"/>
    <w:rsid w:val="002C488E"/>
    <w:rsid w:val="002C6EC5"/>
    <w:rsid w:val="002C7595"/>
    <w:rsid w:val="002D0082"/>
    <w:rsid w:val="002D1DB5"/>
    <w:rsid w:val="002D1FE2"/>
    <w:rsid w:val="002D37A3"/>
    <w:rsid w:val="002D4006"/>
    <w:rsid w:val="002D4269"/>
    <w:rsid w:val="002D46A9"/>
    <w:rsid w:val="002D4EDC"/>
    <w:rsid w:val="002D5DD5"/>
    <w:rsid w:val="002D731F"/>
    <w:rsid w:val="002D7A26"/>
    <w:rsid w:val="002D7CCF"/>
    <w:rsid w:val="002E0162"/>
    <w:rsid w:val="002E074C"/>
    <w:rsid w:val="002E0E99"/>
    <w:rsid w:val="002E0FFD"/>
    <w:rsid w:val="002E1341"/>
    <w:rsid w:val="002E14EE"/>
    <w:rsid w:val="002E1829"/>
    <w:rsid w:val="002E22B4"/>
    <w:rsid w:val="002E2811"/>
    <w:rsid w:val="002E2C7E"/>
    <w:rsid w:val="002E3162"/>
    <w:rsid w:val="002E3659"/>
    <w:rsid w:val="002E42E4"/>
    <w:rsid w:val="002E48F2"/>
    <w:rsid w:val="002E4C51"/>
    <w:rsid w:val="002E5148"/>
    <w:rsid w:val="002E5C70"/>
    <w:rsid w:val="002E5DD9"/>
    <w:rsid w:val="002E620A"/>
    <w:rsid w:val="002E70CB"/>
    <w:rsid w:val="002E70D8"/>
    <w:rsid w:val="002E70DA"/>
    <w:rsid w:val="002E7641"/>
    <w:rsid w:val="002E7D7C"/>
    <w:rsid w:val="002F04E0"/>
    <w:rsid w:val="002F0DBA"/>
    <w:rsid w:val="002F0FCF"/>
    <w:rsid w:val="002F1D71"/>
    <w:rsid w:val="002F20FC"/>
    <w:rsid w:val="002F2571"/>
    <w:rsid w:val="002F28A0"/>
    <w:rsid w:val="002F5684"/>
    <w:rsid w:val="002F643A"/>
    <w:rsid w:val="002F66C5"/>
    <w:rsid w:val="002F6CFD"/>
    <w:rsid w:val="002F7161"/>
    <w:rsid w:val="002F7555"/>
    <w:rsid w:val="002F7A17"/>
    <w:rsid w:val="003010E4"/>
    <w:rsid w:val="0030144C"/>
    <w:rsid w:val="00304CDE"/>
    <w:rsid w:val="00304F00"/>
    <w:rsid w:val="00305B51"/>
    <w:rsid w:val="00307ADC"/>
    <w:rsid w:val="00307E4A"/>
    <w:rsid w:val="003100F2"/>
    <w:rsid w:val="0031011F"/>
    <w:rsid w:val="003105C0"/>
    <w:rsid w:val="003110D9"/>
    <w:rsid w:val="00311A00"/>
    <w:rsid w:val="00312223"/>
    <w:rsid w:val="0031277F"/>
    <w:rsid w:val="00312D96"/>
    <w:rsid w:val="00312E4B"/>
    <w:rsid w:val="00313348"/>
    <w:rsid w:val="00313D19"/>
    <w:rsid w:val="00314265"/>
    <w:rsid w:val="003143FB"/>
    <w:rsid w:val="00314D82"/>
    <w:rsid w:val="00315C0C"/>
    <w:rsid w:val="00315FD6"/>
    <w:rsid w:val="003163D7"/>
    <w:rsid w:val="00316DFB"/>
    <w:rsid w:val="00320800"/>
    <w:rsid w:val="00320B35"/>
    <w:rsid w:val="0032147B"/>
    <w:rsid w:val="003215E7"/>
    <w:rsid w:val="00322223"/>
    <w:rsid w:val="00322481"/>
    <w:rsid w:val="00323D1C"/>
    <w:rsid w:val="0032453E"/>
    <w:rsid w:val="00324854"/>
    <w:rsid w:val="003249AA"/>
    <w:rsid w:val="00324BFF"/>
    <w:rsid w:val="00325275"/>
    <w:rsid w:val="003254E3"/>
    <w:rsid w:val="003254FD"/>
    <w:rsid w:val="00325718"/>
    <w:rsid w:val="0032573C"/>
    <w:rsid w:val="00325CF7"/>
    <w:rsid w:val="003265A8"/>
    <w:rsid w:val="00326BD9"/>
    <w:rsid w:val="00326FE1"/>
    <w:rsid w:val="003276E3"/>
    <w:rsid w:val="00327827"/>
    <w:rsid w:val="00331250"/>
    <w:rsid w:val="0033185D"/>
    <w:rsid w:val="00332C52"/>
    <w:rsid w:val="00333B40"/>
    <w:rsid w:val="00333C9C"/>
    <w:rsid w:val="00335297"/>
    <w:rsid w:val="00335950"/>
    <w:rsid w:val="0033597D"/>
    <w:rsid w:val="00335A35"/>
    <w:rsid w:val="00335DFA"/>
    <w:rsid w:val="00336610"/>
    <w:rsid w:val="00336E5D"/>
    <w:rsid w:val="00336EDB"/>
    <w:rsid w:val="003370D4"/>
    <w:rsid w:val="003374CE"/>
    <w:rsid w:val="003404CB"/>
    <w:rsid w:val="003405EA"/>
    <w:rsid w:val="00340E2E"/>
    <w:rsid w:val="00340EDC"/>
    <w:rsid w:val="00341290"/>
    <w:rsid w:val="00341630"/>
    <w:rsid w:val="00341F20"/>
    <w:rsid w:val="0034216D"/>
    <w:rsid w:val="0034239E"/>
    <w:rsid w:val="00342CA8"/>
    <w:rsid w:val="003434FD"/>
    <w:rsid w:val="003439AC"/>
    <w:rsid w:val="003441BA"/>
    <w:rsid w:val="00344241"/>
    <w:rsid w:val="003446F7"/>
    <w:rsid w:val="00344A7E"/>
    <w:rsid w:val="003455B5"/>
    <w:rsid w:val="00345655"/>
    <w:rsid w:val="003464E3"/>
    <w:rsid w:val="003466D4"/>
    <w:rsid w:val="00346A46"/>
    <w:rsid w:val="00347851"/>
    <w:rsid w:val="00350324"/>
    <w:rsid w:val="00350B87"/>
    <w:rsid w:val="00350CB5"/>
    <w:rsid w:val="00350F51"/>
    <w:rsid w:val="0035161D"/>
    <w:rsid w:val="00351821"/>
    <w:rsid w:val="0035199C"/>
    <w:rsid w:val="0035216D"/>
    <w:rsid w:val="003521BA"/>
    <w:rsid w:val="003522D5"/>
    <w:rsid w:val="00352644"/>
    <w:rsid w:val="00352943"/>
    <w:rsid w:val="00352F20"/>
    <w:rsid w:val="00353054"/>
    <w:rsid w:val="003534F1"/>
    <w:rsid w:val="00353743"/>
    <w:rsid w:val="00353B5B"/>
    <w:rsid w:val="00355E65"/>
    <w:rsid w:val="00356391"/>
    <w:rsid w:val="0035654C"/>
    <w:rsid w:val="003579B2"/>
    <w:rsid w:val="00360463"/>
    <w:rsid w:val="00360F2E"/>
    <w:rsid w:val="003614E2"/>
    <w:rsid w:val="00362835"/>
    <w:rsid w:val="003641AC"/>
    <w:rsid w:val="003645C6"/>
    <w:rsid w:val="003648CD"/>
    <w:rsid w:val="003649E6"/>
    <w:rsid w:val="00364F2C"/>
    <w:rsid w:val="00365596"/>
    <w:rsid w:val="00365709"/>
    <w:rsid w:val="003657D1"/>
    <w:rsid w:val="00366630"/>
    <w:rsid w:val="0036742E"/>
    <w:rsid w:val="00370AA7"/>
    <w:rsid w:val="00370AB2"/>
    <w:rsid w:val="00371898"/>
    <w:rsid w:val="003721A9"/>
    <w:rsid w:val="003722DC"/>
    <w:rsid w:val="003724CB"/>
    <w:rsid w:val="00373174"/>
    <w:rsid w:val="00373B54"/>
    <w:rsid w:val="003742DA"/>
    <w:rsid w:val="00375006"/>
    <w:rsid w:val="00375046"/>
    <w:rsid w:val="003752AD"/>
    <w:rsid w:val="00375681"/>
    <w:rsid w:val="00375B56"/>
    <w:rsid w:val="00376138"/>
    <w:rsid w:val="0037642B"/>
    <w:rsid w:val="00376B0F"/>
    <w:rsid w:val="00377A98"/>
    <w:rsid w:val="00377CA3"/>
    <w:rsid w:val="00381192"/>
    <w:rsid w:val="0038126B"/>
    <w:rsid w:val="00381D86"/>
    <w:rsid w:val="00381DF4"/>
    <w:rsid w:val="0038209C"/>
    <w:rsid w:val="003821CD"/>
    <w:rsid w:val="00382328"/>
    <w:rsid w:val="003826AF"/>
    <w:rsid w:val="00382753"/>
    <w:rsid w:val="0038285C"/>
    <w:rsid w:val="0038307E"/>
    <w:rsid w:val="00383346"/>
    <w:rsid w:val="003833BA"/>
    <w:rsid w:val="0038398C"/>
    <w:rsid w:val="00383FF9"/>
    <w:rsid w:val="003845B7"/>
    <w:rsid w:val="00384641"/>
    <w:rsid w:val="0038487C"/>
    <w:rsid w:val="00384B4F"/>
    <w:rsid w:val="003852DC"/>
    <w:rsid w:val="00385C1F"/>
    <w:rsid w:val="003860A9"/>
    <w:rsid w:val="0038624E"/>
    <w:rsid w:val="00386960"/>
    <w:rsid w:val="00386C08"/>
    <w:rsid w:val="003878E5"/>
    <w:rsid w:val="0039028A"/>
    <w:rsid w:val="0039070D"/>
    <w:rsid w:val="00392998"/>
    <w:rsid w:val="00392A4C"/>
    <w:rsid w:val="00393080"/>
    <w:rsid w:val="00393DAB"/>
    <w:rsid w:val="00393FA3"/>
    <w:rsid w:val="003950D8"/>
    <w:rsid w:val="00395D28"/>
    <w:rsid w:val="003967ED"/>
    <w:rsid w:val="00396911"/>
    <w:rsid w:val="003A0C14"/>
    <w:rsid w:val="003A1352"/>
    <w:rsid w:val="003A138A"/>
    <w:rsid w:val="003A1413"/>
    <w:rsid w:val="003A149B"/>
    <w:rsid w:val="003A1AF9"/>
    <w:rsid w:val="003A1F96"/>
    <w:rsid w:val="003A2214"/>
    <w:rsid w:val="003A2582"/>
    <w:rsid w:val="003A29DD"/>
    <w:rsid w:val="003A2AF6"/>
    <w:rsid w:val="003A2E82"/>
    <w:rsid w:val="003A392E"/>
    <w:rsid w:val="003A4090"/>
    <w:rsid w:val="003A45CA"/>
    <w:rsid w:val="003A479D"/>
    <w:rsid w:val="003A5007"/>
    <w:rsid w:val="003A52EE"/>
    <w:rsid w:val="003A56ED"/>
    <w:rsid w:val="003A582E"/>
    <w:rsid w:val="003A5946"/>
    <w:rsid w:val="003A5C33"/>
    <w:rsid w:val="003A67E9"/>
    <w:rsid w:val="003A7051"/>
    <w:rsid w:val="003A72CD"/>
    <w:rsid w:val="003A7333"/>
    <w:rsid w:val="003A7CEC"/>
    <w:rsid w:val="003A7CF1"/>
    <w:rsid w:val="003A7F4A"/>
    <w:rsid w:val="003B063D"/>
    <w:rsid w:val="003B0721"/>
    <w:rsid w:val="003B1733"/>
    <w:rsid w:val="003B28FF"/>
    <w:rsid w:val="003B370D"/>
    <w:rsid w:val="003B46E6"/>
    <w:rsid w:val="003B5DEE"/>
    <w:rsid w:val="003B6040"/>
    <w:rsid w:val="003B6BF7"/>
    <w:rsid w:val="003B79C7"/>
    <w:rsid w:val="003B7C51"/>
    <w:rsid w:val="003C113C"/>
    <w:rsid w:val="003C115B"/>
    <w:rsid w:val="003C1AE7"/>
    <w:rsid w:val="003C1C71"/>
    <w:rsid w:val="003C1CAA"/>
    <w:rsid w:val="003C2463"/>
    <w:rsid w:val="003C2C09"/>
    <w:rsid w:val="003C2CE9"/>
    <w:rsid w:val="003C3224"/>
    <w:rsid w:val="003C38D1"/>
    <w:rsid w:val="003C3A09"/>
    <w:rsid w:val="003C4566"/>
    <w:rsid w:val="003C5CA9"/>
    <w:rsid w:val="003C77E0"/>
    <w:rsid w:val="003C7D0B"/>
    <w:rsid w:val="003D020E"/>
    <w:rsid w:val="003D0358"/>
    <w:rsid w:val="003D041E"/>
    <w:rsid w:val="003D0BE8"/>
    <w:rsid w:val="003D0EEB"/>
    <w:rsid w:val="003D13EB"/>
    <w:rsid w:val="003D181C"/>
    <w:rsid w:val="003D3928"/>
    <w:rsid w:val="003D5DD6"/>
    <w:rsid w:val="003D6F0C"/>
    <w:rsid w:val="003D7989"/>
    <w:rsid w:val="003E00FB"/>
    <w:rsid w:val="003E0B95"/>
    <w:rsid w:val="003E1FEA"/>
    <w:rsid w:val="003E2126"/>
    <w:rsid w:val="003E255B"/>
    <w:rsid w:val="003E34AB"/>
    <w:rsid w:val="003E3545"/>
    <w:rsid w:val="003E38DE"/>
    <w:rsid w:val="003E3EF8"/>
    <w:rsid w:val="003E410C"/>
    <w:rsid w:val="003E41A7"/>
    <w:rsid w:val="003E44B3"/>
    <w:rsid w:val="003E48A2"/>
    <w:rsid w:val="003E5068"/>
    <w:rsid w:val="003E5654"/>
    <w:rsid w:val="003E5959"/>
    <w:rsid w:val="003E5EEB"/>
    <w:rsid w:val="003E6357"/>
    <w:rsid w:val="003E6908"/>
    <w:rsid w:val="003E6D41"/>
    <w:rsid w:val="003E77C2"/>
    <w:rsid w:val="003E7D32"/>
    <w:rsid w:val="003F095B"/>
    <w:rsid w:val="003F0FA3"/>
    <w:rsid w:val="003F1763"/>
    <w:rsid w:val="003F199D"/>
    <w:rsid w:val="003F1BD8"/>
    <w:rsid w:val="003F1CB5"/>
    <w:rsid w:val="003F1D7A"/>
    <w:rsid w:val="003F209F"/>
    <w:rsid w:val="003F211C"/>
    <w:rsid w:val="003F4178"/>
    <w:rsid w:val="003F57CB"/>
    <w:rsid w:val="003F5C74"/>
    <w:rsid w:val="003F5DED"/>
    <w:rsid w:val="003F6137"/>
    <w:rsid w:val="003F70F8"/>
    <w:rsid w:val="003F7164"/>
    <w:rsid w:val="003F75B6"/>
    <w:rsid w:val="00400D70"/>
    <w:rsid w:val="004018A7"/>
    <w:rsid w:val="004020A0"/>
    <w:rsid w:val="004030F8"/>
    <w:rsid w:val="00403307"/>
    <w:rsid w:val="00403720"/>
    <w:rsid w:val="00403AA8"/>
    <w:rsid w:val="00404741"/>
    <w:rsid w:val="00404822"/>
    <w:rsid w:val="004052E4"/>
    <w:rsid w:val="004057B9"/>
    <w:rsid w:val="004057CD"/>
    <w:rsid w:val="00405BC4"/>
    <w:rsid w:val="004072BA"/>
    <w:rsid w:val="00407549"/>
    <w:rsid w:val="00407891"/>
    <w:rsid w:val="00407E2C"/>
    <w:rsid w:val="0041014E"/>
    <w:rsid w:val="0041078A"/>
    <w:rsid w:val="004108FC"/>
    <w:rsid w:val="00411748"/>
    <w:rsid w:val="00411B7F"/>
    <w:rsid w:val="004132A6"/>
    <w:rsid w:val="00413C8D"/>
    <w:rsid w:val="0041435B"/>
    <w:rsid w:val="00414472"/>
    <w:rsid w:val="004149BE"/>
    <w:rsid w:val="00414D65"/>
    <w:rsid w:val="00414F6C"/>
    <w:rsid w:val="00416FB6"/>
    <w:rsid w:val="00416FD8"/>
    <w:rsid w:val="004179F5"/>
    <w:rsid w:val="00417D43"/>
    <w:rsid w:val="00420580"/>
    <w:rsid w:val="004206FD"/>
    <w:rsid w:val="004208B3"/>
    <w:rsid w:val="00421205"/>
    <w:rsid w:val="00422457"/>
    <w:rsid w:val="004232B3"/>
    <w:rsid w:val="00423F7A"/>
    <w:rsid w:val="00424395"/>
    <w:rsid w:val="004250AA"/>
    <w:rsid w:val="00425EEA"/>
    <w:rsid w:val="004266FC"/>
    <w:rsid w:val="00427184"/>
    <w:rsid w:val="004274A4"/>
    <w:rsid w:val="0042777C"/>
    <w:rsid w:val="00427A19"/>
    <w:rsid w:val="00430329"/>
    <w:rsid w:val="00431F1F"/>
    <w:rsid w:val="004329D8"/>
    <w:rsid w:val="00433659"/>
    <w:rsid w:val="004348F4"/>
    <w:rsid w:val="0043496B"/>
    <w:rsid w:val="00434B10"/>
    <w:rsid w:val="00435AD9"/>
    <w:rsid w:val="0043602E"/>
    <w:rsid w:val="004362BA"/>
    <w:rsid w:val="00436D12"/>
    <w:rsid w:val="00436ECF"/>
    <w:rsid w:val="00436FD7"/>
    <w:rsid w:val="00437D54"/>
    <w:rsid w:val="00440C35"/>
    <w:rsid w:val="00442440"/>
    <w:rsid w:val="00443047"/>
    <w:rsid w:val="00443543"/>
    <w:rsid w:val="00443B86"/>
    <w:rsid w:val="00443FBE"/>
    <w:rsid w:val="004447DD"/>
    <w:rsid w:val="0044496E"/>
    <w:rsid w:val="00444CA9"/>
    <w:rsid w:val="00445BCE"/>
    <w:rsid w:val="00445F9B"/>
    <w:rsid w:val="00446CA6"/>
    <w:rsid w:val="00447510"/>
    <w:rsid w:val="0044791B"/>
    <w:rsid w:val="00450F5A"/>
    <w:rsid w:val="004511D0"/>
    <w:rsid w:val="0045162E"/>
    <w:rsid w:val="00451739"/>
    <w:rsid w:val="00451AB9"/>
    <w:rsid w:val="0045201B"/>
    <w:rsid w:val="00452677"/>
    <w:rsid w:val="004528F2"/>
    <w:rsid w:val="00452FF1"/>
    <w:rsid w:val="00453C80"/>
    <w:rsid w:val="00453F77"/>
    <w:rsid w:val="00454610"/>
    <w:rsid w:val="004557D9"/>
    <w:rsid w:val="00455902"/>
    <w:rsid w:val="00455ADB"/>
    <w:rsid w:val="00455C88"/>
    <w:rsid w:val="004568CF"/>
    <w:rsid w:val="004569DB"/>
    <w:rsid w:val="00456A5F"/>
    <w:rsid w:val="00457228"/>
    <w:rsid w:val="00460090"/>
    <w:rsid w:val="004603F9"/>
    <w:rsid w:val="0046079A"/>
    <w:rsid w:val="00461865"/>
    <w:rsid w:val="0046240E"/>
    <w:rsid w:val="0046266F"/>
    <w:rsid w:val="00462964"/>
    <w:rsid w:val="004629A2"/>
    <w:rsid w:val="00463373"/>
    <w:rsid w:val="00464564"/>
    <w:rsid w:val="004645E1"/>
    <w:rsid w:val="00464DBB"/>
    <w:rsid w:val="00465A45"/>
    <w:rsid w:val="00465E37"/>
    <w:rsid w:val="00465FD7"/>
    <w:rsid w:val="0046634E"/>
    <w:rsid w:val="00466CB5"/>
    <w:rsid w:val="00467539"/>
    <w:rsid w:val="004708C0"/>
    <w:rsid w:val="00470D2A"/>
    <w:rsid w:val="00471A50"/>
    <w:rsid w:val="00471B1E"/>
    <w:rsid w:val="00472172"/>
    <w:rsid w:val="00472753"/>
    <w:rsid w:val="00472A6C"/>
    <w:rsid w:val="00472BB3"/>
    <w:rsid w:val="00472E9A"/>
    <w:rsid w:val="00473225"/>
    <w:rsid w:val="00473C3B"/>
    <w:rsid w:val="004749E6"/>
    <w:rsid w:val="00475597"/>
    <w:rsid w:val="00475BB6"/>
    <w:rsid w:val="00476D82"/>
    <w:rsid w:val="00476E5D"/>
    <w:rsid w:val="00477353"/>
    <w:rsid w:val="00477563"/>
    <w:rsid w:val="00477A80"/>
    <w:rsid w:val="00477A99"/>
    <w:rsid w:val="00477B6E"/>
    <w:rsid w:val="004807FE"/>
    <w:rsid w:val="00480F4A"/>
    <w:rsid w:val="0048154E"/>
    <w:rsid w:val="00481935"/>
    <w:rsid w:val="00481C50"/>
    <w:rsid w:val="00482E42"/>
    <w:rsid w:val="00483685"/>
    <w:rsid w:val="00484343"/>
    <w:rsid w:val="0048464C"/>
    <w:rsid w:val="004858CB"/>
    <w:rsid w:val="00485F22"/>
    <w:rsid w:val="00486704"/>
    <w:rsid w:val="004904B8"/>
    <w:rsid w:val="004907BB"/>
    <w:rsid w:val="0049080C"/>
    <w:rsid w:val="00490A63"/>
    <w:rsid w:val="00490AD5"/>
    <w:rsid w:val="00490EEC"/>
    <w:rsid w:val="00491499"/>
    <w:rsid w:val="00491D40"/>
    <w:rsid w:val="004920CD"/>
    <w:rsid w:val="004934FA"/>
    <w:rsid w:val="0049486C"/>
    <w:rsid w:val="00494CCF"/>
    <w:rsid w:val="00494D8E"/>
    <w:rsid w:val="00495844"/>
    <w:rsid w:val="00495CE7"/>
    <w:rsid w:val="004964B1"/>
    <w:rsid w:val="004968F7"/>
    <w:rsid w:val="004971EE"/>
    <w:rsid w:val="004977A9"/>
    <w:rsid w:val="00497912"/>
    <w:rsid w:val="00497D15"/>
    <w:rsid w:val="004A02F1"/>
    <w:rsid w:val="004A08FB"/>
    <w:rsid w:val="004A2865"/>
    <w:rsid w:val="004A287F"/>
    <w:rsid w:val="004A47AE"/>
    <w:rsid w:val="004A4F60"/>
    <w:rsid w:val="004A55D5"/>
    <w:rsid w:val="004A5BF1"/>
    <w:rsid w:val="004A5E80"/>
    <w:rsid w:val="004A62F4"/>
    <w:rsid w:val="004A6A07"/>
    <w:rsid w:val="004A6ABC"/>
    <w:rsid w:val="004A6C8F"/>
    <w:rsid w:val="004B0940"/>
    <w:rsid w:val="004B161D"/>
    <w:rsid w:val="004B26EC"/>
    <w:rsid w:val="004B4202"/>
    <w:rsid w:val="004B4220"/>
    <w:rsid w:val="004B433D"/>
    <w:rsid w:val="004B509A"/>
    <w:rsid w:val="004B5146"/>
    <w:rsid w:val="004B5E19"/>
    <w:rsid w:val="004B5E2A"/>
    <w:rsid w:val="004B5EA3"/>
    <w:rsid w:val="004B601C"/>
    <w:rsid w:val="004B6340"/>
    <w:rsid w:val="004B66F4"/>
    <w:rsid w:val="004B692D"/>
    <w:rsid w:val="004B695D"/>
    <w:rsid w:val="004B6D33"/>
    <w:rsid w:val="004B7336"/>
    <w:rsid w:val="004B794D"/>
    <w:rsid w:val="004B7AAC"/>
    <w:rsid w:val="004C0187"/>
    <w:rsid w:val="004C04D9"/>
    <w:rsid w:val="004C0D90"/>
    <w:rsid w:val="004C13D8"/>
    <w:rsid w:val="004C2324"/>
    <w:rsid w:val="004C357A"/>
    <w:rsid w:val="004C375B"/>
    <w:rsid w:val="004C396B"/>
    <w:rsid w:val="004C453A"/>
    <w:rsid w:val="004C46FE"/>
    <w:rsid w:val="004C49B2"/>
    <w:rsid w:val="004C5164"/>
    <w:rsid w:val="004C51E8"/>
    <w:rsid w:val="004C51E9"/>
    <w:rsid w:val="004C55DC"/>
    <w:rsid w:val="004C564F"/>
    <w:rsid w:val="004C70C7"/>
    <w:rsid w:val="004C79AB"/>
    <w:rsid w:val="004D06E3"/>
    <w:rsid w:val="004D1145"/>
    <w:rsid w:val="004D1A17"/>
    <w:rsid w:val="004D2052"/>
    <w:rsid w:val="004D25C1"/>
    <w:rsid w:val="004D2D90"/>
    <w:rsid w:val="004D36C7"/>
    <w:rsid w:val="004D4FD8"/>
    <w:rsid w:val="004D58CE"/>
    <w:rsid w:val="004D645E"/>
    <w:rsid w:val="004D747C"/>
    <w:rsid w:val="004D760F"/>
    <w:rsid w:val="004D776B"/>
    <w:rsid w:val="004D7AB0"/>
    <w:rsid w:val="004D7F75"/>
    <w:rsid w:val="004E0CC6"/>
    <w:rsid w:val="004E17DB"/>
    <w:rsid w:val="004E1BE2"/>
    <w:rsid w:val="004E1E7E"/>
    <w:rsid w:val="004E26B9"/>
    <w:rsid w:val="004E2AD9"/>
    <w:rsid w:val="004E2E1C"/>
    <w:rsid w:val="004E2FD9"/>
    <w:rsid w:val="004E375F"/>
    <w:rsid w:val="004E3BF3"/>
    <w:rsid w:val="004E4579"/>
    <w:rsid w:val="004E4BFE"/>
    <w:rsid w:val="004E549B"/>
    <w:rsid w:val="004E551D"/>
    <w:rsid w:val="004E55EE"/>
    <w:rsid w:val="004E57F4"/>
    <w:rsid w:val="004E5C28"/>
    <w:rsid w:val="004E64F5"/>
    <w:rsid w:val="004E686A"/>
    <w:rsid w:val="004E6FA0"/>
    <w:rsid w:val="004E7128"/>
    <w:rsid w:val="004E75E7"/>
    <w:rsid w:val="004E7BF7"/>
    <w:rsid w:val="004E7EB9"/>
    <w:rsid w:val="004E7EBC"/>
    <w:rsid w:val="004F024A"/>
    <w:rsid w:val="004F0539"/>
    <w:rsid w:val="004F1368"/>
    <w:rsid w:val="004F152F"/>
    <w:rsid w:val="004F16ED"/>
    <w:rsid w:val="004F1DA7"/>
    <w:rsid w:val="004F2380"/>
    <w:rsid w:val="004F2A2B"/>
    <w:rsid w:val="004F2F91"/>
    <w:rsid w:val="004F32E2"/>
    <w:rsid w:val="004F3DD7"/>
    <w:rsid w:val="004F4445"/>
    <w:rsid w:val="004F4797"/>
    <w:rsid w:val="004F5264"/>
    <w:rsid w:val="004F6644"/>
    <w:rsid w:val="004F783C"/>
    <w:rsid w:val="004F7951"/>
    <w:rsid w:val="004F79FE"/>
    <w:rsid w:val="005000F3"/>
    <w:rsid w:val="0050016E"/>
    <w:rsid w:val="005005F9"/>
    <w:rsid w:val="00500A05"/>
    <w:rsid w:val="005020B3"/>
    <w:rsid w:val="00502749"/>
    <w:rsid w:val="00503C37"/>
    <w:rsid w:val="00503ED9"/>
    <w:rsid w:val="00504B1D"/>
    <w:rsid w:val="00504E0D"/>
    <w:rsid w:val="00504F59"/>
    <w:rsid w:val="00505105"/>
    <w:rsid w:val="005055DC"/>
    <w:rsid w:val="005057DA"/>
    <w:rsid w:val="00505995"/>
    <w:rsid w:val="00505B98"/>
    <w:rsid w:val="00505E1C"/>
    <w:rsid w:val="00505F8C"/>
    <w:rsid w:val="005062CB"/>
    <w:rsid w:val="00506E7B"/>
    <w:rsid w:val="00506F5D"/>
    <w:rsid w:val="00507A78"/>
    <w:rsid w:val="00507C35"/>
    <w:rsid w:val="0051032B"/>
    <w:rsid w:val="00510BBF"/>
    <w:rsid w:val="00510D0B"/>
    <w:rsid w:val="005111B9"/>
    <w:rsid w:val="00511CC0"/>
    <w:rsid w:val="00512BAB"/>
    <w:rsid w:val="00514AE1"/>
    <w:rsid w:val="00514C45"/>
    <w:rsid w:val="00515574"/>
    <w:rsid w:val="005169DB"/>
    <w:rsid w:val="0051728B"/>
    <w:rsid w:val="0051764B"/>
    <w:rsid w:val="00520587"/>
    <w:rsid w:val="00520BFA"/>
    <w:rsid w:val="00520FE9"/>
    <w:rsid w:val="0052166C"/>
    <w:rsid w:val="0052174F"/>
    <w:rsid w:val="005218B2"/>
    <w:rsid w:val="00522285"/>
    <w:rsid w:val="00522B2E"/>
    <w:rsid w:val="00522B6E"/>
    <w:rsid w:val="00523F5F"/>
    <w:rsid w:val="00524046"/>
    <w:rsid w:val="00524591"/>
    <w:rsid w:val="005250A8"/>
    <w:rsid w:val="00525EED"/>
    <w:rsid w:val="00526C6E"/>
    <w:rsid w:val="00526F08"/>
    <w:rsid w:val="00527041"/>
    <w:rsid w:val="00527281"/>
    <w:rsid w:val="00527F35"/>
    <w:rsid w:val="0053003C"/>
    <w:rsid w:val="0053030C"/>
    <w:rsid w:val="00530A8F"/>
    <w:rsid w:val="00530B4B"/>
    <w:rsid w:val="00530F3B"/>
    <w:rsid w:val="005311F5"/>
    <w:rsid w:val="00532547"/>
    <w:rsid w:val="005326D2"/>
    <w:rsid w:val="005326D6"/>
    <w:rsid w:val="00532753"/>
    <w:rsid w:val="0053283D"/>
    <w:rsid w:val="00533366"/>
    <w:rsid w:val="00533782"/>
    <w:rsid w:val="00534405"/>
    <w:rsid w:val="0053456A"/>
    <w:rsid w:val="00534EE6"/>
    <w:rsid w:val="0053554D"/>
    <w:rsid w:val="005359C8"/>
    <w:rsid w:val="00535E83"/>
    <w:rsid w:val="00536945"/>
    <w:rsid w:val="005369E3"/>
    <w:rsid w:val="00536C23"/>
    <w:rsid w:val="00536FC6"/>
    <w:rsid w:val="00537922"/>
    <w:rsid w:val="0053797B"/>
    <w:rsid w:val="00537C88"/>
    <w:rsid w:val="0054022E"/>
    <w:rsid w:val="005408D3"/>
    <w:rsid w:val="00540C07"/>
    <w:rsid w:val="0054128E"/>
    <w:rsid w:val="005412A2"/>
    <w:rsid w:val="005413A3"/>
    <w:rsid w:val="00541871"/>
    <w:rsid w:val="005420EA"/>
    <w:rsid w:val="005424B3"/>
    <w:rsid w:val="0054260E"/>
    <w:rsid w:val="005430FE"/>
    <w:rsid w:val="00543EEE"/>
    <w:rsid w:val="00543F38"/>
    <w:rsid w:val="00543F80"/>
    <w:rsid w:val="00544201"/>
    <w:rsid w:val="00544CA0"/>
    <w:rsid w:val="00544F7B"/>
    <w:rsid w:val="0054508D"/>
    <w:rsid w:val="005453AF"/>
    <w:rsid w:val="00545C99"/>
    <w:rsid w:val="00545D47"/>
    <w:rsid w:val="00546A96"/>
    <w:rsid w:val="005471B1"/>
    <w:rsid w:val="00547B34"/>
    <w:rsid w:val="00547B6E"/>
    <w:rsid w:val="00550B9F"/>
    <w:rsid w:val="005510D5"/>
    <w:rsid w:val="005518F8"/>
    <w:rsid w:val="00551907"/>
    <w:rsid w:val="005522D2"/>
    <w:rsid w:val="00552585"/>
    <w:rsid w:val="00553640"/>
    <w:rsid w:val="00553B88"/>
    <w:rsid w:val="00553BC1"/>
    <w:rsid w:val="00554147"/>
    <w:rsid w:val="005542C5"/>
    <w:rsid w:val="00554429"/>
    <w:rsid w:val="005547DE"/>
    <w:rsid w:val="00554A2F"/>
    <w:rsid w:val="00555E2D"/>
    <w:rsid w:val="0055609A"/>
    <w:rsid w:val="005565D7"/>
    <w:rsid w:val="0055671A"/>
    <w:rsid w:val="00556D5B"/>
    <w:rsid w:val="005576B1"/>
    <w:rsid w:val="005610A8"/>
    <w:rsid w:val="00561206"/>
    <w:rsid w:val="00561882"/>
    <w:rsid w:val="005627B2"/>
    <w:rsid w:val="00564365"/>
    <w:rsid w:val="00564AE3"/>
    <w:rsid w:val="00564D17"/>
    <w:rsid w:val="00564D3A"/>
    <w:rsid w:val="00565052"/>
    <w:rsid w:val="005650C0"/>
    <w:rsid w:val="00565430"/>
    <w:rsid w:val="00565CA4"/>
    <w:rsid w:val="00565D5B"/>
    <w:rsid w:val="00565D8B"/>
    <w:rsid w:val="0056610E"/>
    <w:rsid w:val="005663A8"/>
    <w:rsid w:val="00566A9A"/>
    <w:rsid w:val="00566E64"/>
    <w:rsid w:val="00567600"/>
    <w:rsid w:val="00567E8B"/>
    <w:rsid w:val="005703D2"/>
    <w:rsid w:val="005705E7"/>
    <w:rsid w:val="00570638"/>
    <w:rsid w:val="005707E2"/>
    <w:rsid w:val="00570A64"/>
    <w:rsid w:val="00570E3E"/>
    <w:rsid w:val="005710FE"/>
    <w:rsid w:val="0057179E"/>
    <w:rsid w:val="00572678"/>
    <w:rsid w:val="005726F0"/>
    <w:rsid w:val="00573141"/>
    <w:rsid w:val="00573354"/>
    <w:rsid w:val="00573385"/>
    <w:rsid w:val="00573531"/>
    <w:rsid w:val="00573D00"/>
    <w:rsid w:val="00573F97"/>
    <w:rsid w:val="00574136"/>
    <w:rsid w:val="0057600C"/>
    <w:rsid w:val="005772D6"/>
    <w:rsid w:val="0058006B"/>
    <w:rsid w:val="00580695"/>
    <w:rsid w:val="00580A2D"/>
    <w:rsid w:val="00580E5B"/>
    <w:rsid w:val="00582120"/>
    <w:rsid w:val="00582487"/>
    <w:rsid w:val="005825C7"/>
    <w:rsid w:val="0058287A"/>
    <w:rsid w:val="00582D5C"/>
    <w:rsid w:val="0058381C"/>
    <w:rsid w:val="00584A0C"/>
    <w:rsid w:val="005858A4"/>
    <w:rsid w:val="00585BC8"/>
    <w:rsid w:val="00586317"/>
    <w:rsid w:val="00586BCB"/>
    <w:rsid w:val="005871BE"/>
    <w:rsid w:val="005876D0"/>
    <w:rsid w:val="00587B88"/>
    <w:rsid w:val="005904F9"/>
    <w:rsid w:val="005909E9"/>
    <w:rsid w:val="00591540"/>
    <w:rsid w:val="00591D8F"/>
    <w:rsid w:val="00591E7B"/>
    <w:rsid w:val="00592A97"/>
    <w:rsid w:val="00593776"/>
    <w:rsid w:val="00593CA3"/>
    <w:rsid w:val="00594CBB"/>
    <w:rsid w:val="005951A1"/>
    <w:rsid w:val="005958A2"/>
    <w:rsid w:val="00596C7B"/>
    <w:rsid w:val="00596EC0"/>
    <w:rsid w:val="005977B4"/>
    <w:rsid w:val="0059798D"/>
    <w:rsid w:val="00597BD6"/>
    <w:rsid w:val="005A0126"/>
    <w:rsid w:val="005A019C"/>
    <w:rsid w:val="005A0557"/>
    <w:rsid w:val="005A06CF"/>
    <w:rsid w:val="005A087B"/>
    <w:rsid w:val="005A0A46"/>
    <w:rsid w:val="005A0DF9"/>
    <w:rsid w:val="005A1592"/>
    <w:rsid w:val="005A15B3"/>
    <w:rsid w:val="005A1847"/>
    <w:rsid w:val="005A2234"/>
    <w:rsid w:val="005A27F5"/>
    <w:rsid w:val="005A2D7E"/>
    <w:rsid w:val="005A3393"/>
    <w:rsid w:val="005A4176"/>
    <w:rsid w:val="005A4228"/>
    <w:rsid w:val="005A4514"/>
    <w:rsid w:val="005A47B2"/>
    <w:rsid w:val="005A4FC0"/>
    <w:rsid w:val="005A4FCB"/>
    <w:rsid w:val="005A5027"/>
    <w:rsid w:val="005A53FF"/>
    <w:rsid w:val="005A5CDB"/>
    <w:rsid w:val="005A62B4"/>
    <w:rsid w:val="005A6B82"/>
    <w:rsid w:val="005A6E7F"/>
    <w:rsid w:val="005A7DFB"/>
    <w:rsid w:val="005B0F25"/>
    <w:rsid w:val="005B0FC6"/>
    <w:rsid w:val="005B1D07"/>
    <w:rsid w:val="005B2F14"/>
    <w:rsid w:val="005B3008"/>
    <w:rsid w:val="005B3187"/>
    <w:rsid w:val="005B364F"/>
    <w:rsid w:val="005B386F"/>
    <w:rsid w:val="005B3FA1"/>
    <w:rsid w:val="005B41A1"/>
    <w:rsid w:val="005B481B"/>
    <w:rsid w:val="005B4E21"/>
    <w:rsid w:val="005B58E1"/>
    <w:rsid w:val="005B69AE"/>
    <w:rsid w:val="005B7E5A"/>
    <w:rsid w:val="005C0019"/>
    <w:rsid w:val="005C0A36"/>
    <w:rsid w:val="005C12E6"/>
    <w:rsid w:val="005C19D3"/>
    <w:rsid w:val="005C1F5B"/>
    <w:rsid w:val="005C1FA8"/>
    <w:rsid w:val="005C2C1F"/>
    <w:rsid w:val="005C2D83"/>
    <w:rsid w:val="005C37AA"/>
    <w:rsid w:val="005C4223"/>
    <w:rsid w:val="005C476C"/>
    <w:rsid w:val="005C5197"/>
    <w:rsid w:val="005C58BB"/>
    <w:rsid w:val="005C5C64"/>
    <w:rsid w:val="005C66CC"/>
    <w:rsid w:val="005C719A"/>
    <w:rsid w:val="005C7398"/>
    <w:rsid w:val="005C7C3E"/>
    <w:rsid w:val="005C7D6B"/>
    <w:rsid w:val="005D03B5"/>
    <w:rsid w:val="005D0796"/>
    <w:rsid w:val="005D07D1"/>
    <w:rsid w:val="005D0C74"/>
    <w:rsid w:val="005D0DF4"/>
    <w:rsid w:val="005D100E"/>
    <w:rsid w:val="005D14B7"/>
    <w:rsid w:val="005D1791"/>
    <w:rsid w:val="005D212E"/>
    <w:rsid w:val="005D2592"/>
    <w:rsid w:val="005D2B6D"/>
    <w:rsid w:val="005D3BAB"/>
    <w:rsid w:val="005D3D11"/>
    <w:rsid w:val="005D3DD5"/>
    <w:rsid w:val="005D455C"/>
    <w:rsid w:val="005D53B7"/>
    <w:rsid w:val="005D56DC"/>
    <w:rsid w:val="005D6FFC"/>
    <w:rsid w:val="005D737E"/>
    <w:rsid w:val="005D7434"/>
    <w:rsid w:val="005E048D"/>
    <w:rsid w:val="005E1517"/>
    <w:rsid w:val="005E196B"/>
    <w:rsid w:val="005E1A40"/>
    <w:rsid w:val="005E2086"/>
    <w:rsid w:val="005E2262"/>
    <w:rsid w:val="005E2383"/>
    <w:rsid w:val="005E2832"/>
    <w:rsid w:val="005E2843"/>
    <w:rsid w:val="005E2AEC"/>
    <w:rsid w:val="005E2CB5"/>
    <w:rsid w:val="005E2E6E"/>
    <w:rsid w:val="005E3AFB"/>
    <w:rsid w:val="005E3FB2"/>
    <w:rsid w:val="005E40AA"/>
    <w:rsid w:val="005E5176"/>
    <w:rsid w:val="005E5684"/>
    <w:rsid w:val="005E5AD7"/>
    <w:rsid w:val="005E5C62"/>
    <w:rsid w:val="005E5D8B"/>
    <w:rsid w:val="005E6309"/>
    <w:rsid w:val="005E639B"/>
    <w:rsid w:val="005E6752"/>
    <w:rsid w:val="005E6B13"/>
    <w:rsid w:val="005E6E0F"/>
    <w:rsid w:val="005E6E82"/>
    <w:rsid w:val="005E6F4B"/>
    <w:rsid w:val="005E6F69"/>
    <w:rsid w:val="005E721E"/>
    <w:rsid w:val="005E727C"/>
    <w:rsid w:val="005E7687"/>
    <w:rsid w:val="005E7858"/>
    <w:rsid w:val="005F066C"/>
    <w:rsid w:val="005F0753"/>
    <w:rsid w:val="005F1520"/>
    <w:rsid w:val="005F2702"/>
    <w:rsid w:val="005F2AA4"/>
    <w:rsid w:val="005F2CC1"/>
    <w:rsid w:val="005F2DF4"/>
    <w:rsid w:val="005F2FE0"/>
    <w:rsid w:val="005F3081"/>
    <w:rsid w:val="005F3082"/>
    <w:rsid w:val="005F487E"/>
    <w:rsid w:val="005F594F"/>
    <w:rsid w:val="005F603B"/>
    <w:rsid w:val="005F629E"/>
    <w:rsid w:val="005F7CAF"/>
    <w:rsid w:val="00600079"/>
    <w:rsid w:val="006002B1"/>
    <w:rsid w:val="00600836"/>
    <w:rsid w:val="006008B1"/>
    <w:rsid w:val="00600F77"/>
    <w:rsid w:val="006014FC"/>
    <w:rsid w:val="00601640"/>
    <w:rsid w:val="00601AFD"/>
    <w:rsid w:val="006025EB"/>
    <w:rsid w:val="00602E48"/>
    <w:rsid w:val="00603513"/>
    <w:rsid w:val="00603688"/>
    <w:rsid w:val="006037AA"/>
    <w:rsid w:val="00603C0A"/>
    <w:rsid w:val="00604DE5"/>
    <w:rsid w:val="00604EB3"/>
    <w:rsid w:val="0060516F"/>
    <w:rsid w:val="0060545A"/>
    <w:rsid w:val="00605E52"/>
    <w:rsid w:val="00606AF0"/>
    <w:rsid w:val="00607EEB"/>
    <w:rsid w:val="00610983"/>
    <w:rsid w:val="006109E0"/>
    <w:rsid w:val="00610A1B"/>
    <w:rsid w:val="00611A9C"/>
    <w:rsid w:val="00612161"/>
    <w:rsid w:val="006122B6"/>
    <w:rsid w:val="00612305"/>
    <w:rsid w:val="00612F98"/>
    <w:rsid w:val="006130F1"/>
    <w:rsid w:val="00613827"/>
    <w:rsid w:val="00614BD9"/>
    <w:rsid w:val="00614F59"/>
    <w:rsid w:val="0061594A"/>
    <w:rsid w:val="00617981"/>
    <w:rsid w:val="0061798E"/>
    <w:rsid w:val="00617E14"/>
    <w:rsid w:val="00620A34"/>
    <w:rsid w:val="00621506"/>
    <w:rsid w:val="00622460"/>
    <w:rsid w:val="00624009"/>
    <w:rsid w:val="00624FFD"/>
    <w:rsid w:val="006259BB"/>
    <w:rsid w:val="00626532"/>
    <w:rsid w:val="00626E81"/>
    <w:rsid w:val="006276D2"/>
    <w:rsid w:val="0063013B"/>
    <w:rsid w:val="006307CB"/>
    <w:rsid w:val="006307DF"/>
    <w:rsid w:val="00630B7D"/>
    <w:rsid w:val="0063143B"/>
    <w:rsid w:val="00631858"/>
    <w:rsid w:val="00631B01"/>
    <w:rsid w:val="00632D3C"/>
    <w:rsid w:val="0063314E"/>
    <w:rsid w:val="006336D1"/>
    <w:rsid w:val="006337EC"/>
    <w:rsid w:val="00633BC8"/>
    <w:rsid w:val="006345A6"/>
    <w:rsid w:val="006349D0"/>
    <w:rsid w:val="00634F99"/>
    <w:rsid w:val="0063514E"/>
    <w:rsid w:val="006356CF"/>
    <w:rsid w:val="006357D2"/>
    <w:rsid w:val="0063585F"/>
    <w:rsid w:val="00635E1E"/>
    <w:rsid w:val="00635F99"/>
    <w:rsid w:val="00636C58"/>
    <w:rsid w:val="00636CE9"/>
    <w:rsid w:val="00637541"/>
    <w:rsid w:val="00640D9E"/>
    <w:rsid w:val="00641374"/>
    <w:rsid w:val="0064160B"/>
    <w:rsid w:val="0064197B"/>
    <w:rsid w:val="006425BD"/>
    <w:rsid w:val="00642632"/>
    <w:rsid w:val="0064276D"/>
    <w:rsid w:val="006436C9"/>
    <w:rsid w:val="00643F58"/>
    <w:rsid w:val="0064454A"/>
    <w:rsid w:val="00644B1E"/>
    <w:rsid w:val="00644E51"/>
    <w:rsid w:val="00646E08"/>
    <w:rsid w:val="006509FC"/>
    <w:rsid w:val="0065135B"/>
    <w:rsid w:val="00651F17"/>
    <w:rsid w:val="006533EA"/>
    <w:rsid w:val="00653E88"/>
    <w:rsid w:val="00654211"/>
    <w:rsid w:val="006546DB"/>
    <w:rsid w:val="00654FD9"/>
    <w:rsid w:val="0065509B"/>
    <w:rsid w:val="00655422"/>
    <w:rsid w:val="0065570C"/>
    <w:rsid w:val="00655819"/>
    <w:rsid w:val="00655DAF"/>
    <w:rsid w:val="00655F63"/>
    <w:rsid w:val="00656655"/>
    <w:rsid w:val="00656E93"/>
    <w:rsid w:val="006579DD"/>
    <w:rsid w:val="00660001"/>
    <w:rsid w:val="00660049"/>
    <w:rsid w:val="00661701"/>
    <w:rsid w:val="006625FD"/>
    <w:rsid w:val="00662711"/>
    <w:rsid w:val="006629A1"/>
    <w:rsid w:val="00663715"/>
    <w:rsid w:val="00663926"/>
    <w:rsid w:val="0066474B"/>
    <w:rsid w:val="00665296"/>
    <w:rsid w:val="00665CE0"/>
    <w:rsid w:val="006664C6"/>
    <w:rsid w:val="00666B39"/>
    <w:rsid w:val="00666F12"/>
    <w:rsid w:val="00667B73"/>
    <w:rsid w:val="00670C1E"/>
    <w:rsid w:val="00670EFD"/>
    <w:rsid w:val="00671279"/>
    <w:rsid w:val="00671E4F"/>
    <w:rsid w:val="00671EC1"/>
    <w:rsid w:val="00672463"/>
    <w:rsid w:val="00672D07"/>
    <w:rsid w:val="00672D70"/>
    <w:rsid w:val="00673F80"/>
    <w:rsid w:val="00674461"/>
    <w:rsid w:val="00674581"/>
    <w:rsid w:val="00674E17"/>
    <w:rsid w:val="00675652"/>
    <w:rsid w:val="0067575C"/>
    <w:rsid w:val="00675DCE"/>
    <w:rsid w:val="006761EB"/>
    <w:rsid w:val="006764EA"/>
    <w:rsid w:val="006766AE"/>
    <w:rsid w:val="006768A7"/>
    <w:rsid w:val="00676D5B"/>
    <w:rsid w:val="00680BE5"/>
    <w:rsid w:val="00680E8A"/>
    <w:rsid w:val="00680FF1"/>
    <w:rsid w:val="006827A3"/>
    <w:rsid w:val="00683020"/>
    <w:rsid w:val="00683240"/>
    <w:rsid w:val="00683BC4"/>
    <w:rsid w:val="00683FCB"/>
    <w:rsid w:val="006844B4"/>
    <w:rsid w:val="00684B44"/>
    <w:rsid w:val="00684F03"/>
    <w:rsid w:val="00684F41"/>
    <w:rsid w:val="0068522A"/>
    <w:rsid w:val="00685264"/>
    <w:rsid w:val="006856B0"/>
    <w:rsid w:val="0068664A"/>
    <w:rsid w:val="00686C61"/>
    <w:rsid w:val="00686F09"/>
    <w:rsid w:val="00687423"/>
    <w:rsid w:val="00687486"/>
    <w:rsid w:val="00690005"/>
    <w:rsid w:val="00690D36"/>
    <w:rsid w:val="0069196A"/>
    <w:rsid w:val="00692348"/>
    <w:rsid w:val="00693EFA"/>
    <w:rsid w:val="006940C8"/>
    <w:rsid w:val="006942AA"/>
    <w:rsid w:val="006942C3"/>
    <w:rsid w:val="00694AEC"/>
    <w:rsid w:val="006951BA"/>
    <w:rsid w:val="0069583A"/>
    <w:rsid w:val="00696C30"/>
    <w:rsid w:val="00697673"/>
    <w:rsid w:val="006979F6"/>
    <w:rsid w:val="006A03DF"/>
    <w:rsid w:val="006A134C"/>
    <w:rsid w:val="006A15DE"/>
    <w:rsid w:val="006A1CFD"/>
    <w:rsid w:val="006A2525"/>
    <w:rsid w:val="006A2914"/>
    <w:rsid w:val="006A299E"/>
    <w:rsid w:val="006A327D"/>
    <w:rsid w:val="006A3AE4"/>
    <w:rsid w:val="006A3BB4"/>
    <w:rsid w:val="006A3BDB"/>
    <w:rsid w:val="006A3DFB"/>
    <w:rsid w:val="006A403C"/>
    <w:rsid w:val="006A48D1"/>
    <w:rsid w:val="006A4FE0"/>
    <w:rsid w:val="006A57FE"/>
    <w:rsid w:val="006A6487"/>
    <w:rsid w:val="006A6D1D"/>
    <w:rsid w:val="006A77C3"/>
    <w:rsid w:val="006A7AFF"/>
    <w:rsid w:val="006B18B5"/>
    <w:rsid w:val="006B1D12"/>
    <w:rsid w:val="006B2111"/>
    <w:rsid w:val="006B2AC1"/>
    <w:rsid w:val="006B2B09"/>
    <w:rsid w:val="006B2CB8"/>
    <w:rsid w:val="006B2E6E"/>
    <w:rsid w:val="006B36D7"/>
    <w:rsid w:val="006B3856"/>
    <w:rsid w:val="006B4804"/>
    <w:rsid w:val="006B5449"/>
    <w:rsid w:val="006B63C1"/>
    <w:rsid w:val="006B757B"/>
    <w:rsid w:val="006B75CE"/>
    <w:rsid w:val="006B7A20"/>
    <w:rsid w:val="006B7B3E"/>
    <w:rsid w:val="006C0105"/>
    <w:rsid w:val="006C04AA"/>
    <w:rsid w:val="006C14F2"/>
    <w:rsid w:val="006C190F"/>
    <w:rsid w:val="006C1FAD"/>
    <w:rsid w:val="006C3255"/>
    <w:rsid w:val="006C3945"/>
    <w:rsid w:val="006C39CC"/>
    <w:rsid w:val="006C3AC7"/>
    <w:rsid w:val="006C3BBE"/>
    <w:rsid w:val="006C3C65"/>
    <w:rsid w:val="006C3F54"/>
    <w:rsid w:val="006C43C4"/>
    <w:rsid w:val="006C4D37"/>
    <w:rsid w:val="006C4D74"/>
    <w:rsid w:val="006C5566"/>
    <w:rsid w:val="006C6439"/>
    <w:rsid w:val="006C682E"/>
    <w:rsid w:val="006C6C93"/>
    <w:rsid w:val="006C6F57"/>
    <w:rsid w:val="006C7352"/>
    <w:rsid w:val="006D0159"/>
    <w:rsid w:val="006D07FB"/>
    <w:rsid w:val="006D0BFD"/>
    <w:rsid w:val="006D0D5F"/>
    <w:rsid w:val="006D166F"/>
    <w:rsid w:val="006D1B9A"/>
    <w:rsid w:val="006D2748"/>
    <w:rsid w:val="006D2950"/>
    <w:rsid w:val="006D2C51"/>
    <w:rsid w:val="006D434F"/>
    <w:rsid w:val="006D4569"/>
    <w:rsid w:val="006D4662"/>
    <w:rsid w:val="006D60CD"/>
    <w:rsid w:val="006D6BE2"/>
    <w:rsid w:val="006D6FFE"/>
    <w:rsid w:val="006D763F"/>
    <w:rsid w:val="006D7831"/>
    <w:rsid w:val="006D7AAF"/>
    <w:rsid w:val="006D7BC3"/>
    <w:rsid w:val="006D7FB2"/>
    <w:rsid w:val="006E109D"/>
    <w:rsid w:val="006E1744"/>
    <w:rsid w:val="006E185E"/>
    <w:rsid w:val="006E1A50"/>
    <w:rsid w:val="006E1FA2"/>
    <w:rsid w:val="006E324C"/>
    <w:rsid w:val="006E3507"/>
    <w:rsid w:val="006E3EF5"/>
    <w:rsid w:val="006E40A5"/>
    <w:rsid w:val="006E4C7C"/>
    <w:rsid w:val="006E4D6A"/>
    <w:rsid w:val="006E4F22"/>
    <w:rsid w:val="006E51A5"/>
    <w:rsid w:val="006E53AD"/>
    <w:rsid w:val="006E5A67"/>
    <w:rsid w:val="006E5B99"/>
    <w:rsid w:val="006E5D62"/>
    <w:rsid w:val="006E5F31"/>
    <w:rsid w:val="006E6E25"/>
    <w:rsid w:val="006E6F6A"/>
    <w:rsid w:val="006E73A6"/>
    <w:rsid w:val="006E73C0"/>
    <w:rsid w:val="006E744A"/>
    <w:rsid w:val="006E75D0"/>
    <w:rsid w:val="006F002D"/>
    <w:rsid w:val="006F0525"/>
    <w:rsid w:val="006F058A"/>
    <w:rsid w:val="006F1205"/>
    <w:rsid w:val="006F161D"/>
    <w:rsid w:val="006F25EA"/>
    <w:rsid w:val="006F2B58"/>
    <w:rsid w:val="006F30FB"/>
    <w:rsid w:val="006F4A3D"/>
    <w:rsid w:val="006F56D2"/>
    <w:rsid w:val="006F5A53"/>
    <w:rsid w:val="006F5CC0"/>
    <w:rsid w:val="006F625B"/>
    <w:rsid w:val="006F7540"/>
    <w:rsid w:val="006F7B94"/>
    <w:rsid w:val="006F7D93"/>
    <w:rsid w:val="00701C76"/>
    <w:rsid w:val="00702615"/>
    <w:rsid w:val="00702AD2"/>
    <w:rsid w:val="00704477"/>
    <w:rsid w:val="00704B17"/>
    <w:rsid w:val="00705D01"/>
    <w:rsid w:val="00706127"/>
    <w:rsid w:val="007063EB"/>
    <w:rsid w:val="007073C2"/>
    <w:rsid w:val="0070750A"/>
    <w:rsid w:val="00707AF0"/>
    <w:rsid w:val="007103A8"/>
    <w:rsid w:val="00710A96"/>
    <w:rsid w:val="0071118D"/>
    <w:rsid w:val="00711753"/>
    <w:rsid w:val="00712E9A"/>
    <w:rsid w:val="0071333F"/>
    <w:rsid w:val="00714053"/>
    <w:rsid w:val="00714536"/>
    <w:rsid w:val="00714A17"/>
    <w:rsid w:val="00715A3D"/>
    <w:rsid w:val="00715BF0"/>
    <w:rsid w:val="00716416"/>
    <w:rsid w:val="00716811"/>
    <w:rsid w:val="00716B57"/>
    <w:rsid w:val="0071708B"/>
    <w:rsid w:val="007171CA"/>
    <w:rsid w:val="0071788D"/>
    <w:rsid w:val="00717BA9"/>
    <w:rsid w:val="007205D7"/>
    <w:rsid w:val="00722713"/>
    <w:rsid w:val="00722C17"/>
    <w:rsid w:val="00722D85"/>
    <w:rsid w:val="00722E8D"/>
    <w:rsid w:val="00723394"/>
    <w:rsid w:val="00723EDE"/>
    <w:rsid w:val="00724C5D"/>
    <w:rsid w:val="00725390"/>
    <w:rsid w:val="00725571"/>
    <w:rsid w:val="0072574B"/>
    <w:rsid w:val="007269B1"/>
    <w:rsid w:val="00726B91"/>
    <w:rsid w:val="007279F8"/>
    <w:rsid w:val="00727FB3"/>
    <w:rsid w:val="00730000"/>
    <w:rsid w:val="007317CC"/>
    <w:rsid w:val="00732795"/>
    <w:rsid w:val="007329B3"/>
    <w:rsid w:val="00732D0C"/>
    <w:rsid w:val="00732FA3"/>
    <w:rsid w:val="0073363D"/>
    <w:rsid w:val="007337CC"/>
    <w:rsid w:val="007337E9"/>
    <w:rsid w:val="00734341"/>
    <w:rsid w:val="00735EF5"/>
    <w:rsid w:val="007363C0"/>
    <w:rsid w:val="00736D09"/>
    <w:rsid w:val="00736F99"/>
    <w:rsid w:val="007372A7"/>
    <w:rsid w:val="00737397"/>
    <w:rsid w:val="00737484"/>
    <w:rsid w:val="00740A10"/>
    <w:rsid w:val="00740A16"/>
    <w:rsid w:val="00740E08"/>
    <w:rsid w:val="00740F7B"/>
    <w:rsid w:val="00741048"/>
    <w:rsid w:val="0074189A"/>
    <w:rsid w:val="00741E0B"/>
    <w:rsid w:val="00742228"/>
    <w:rsid w:val="00742E3A"/>
    <w:rsid w:val="00742E49"/>
    <w:rsid w:val="00743C2B"/>
    <w:rsid w:val="00743E57"/>
    <w:rsid w:val="00744867"/>
    <w:rsid w:val="00745073"/>
    <w:rsid w:val="00746BD5"/>
    <w:rsid w:val="007471F6"/>
    <w:rsid w:val="00750071"/>
    <w:rsid w:val="00750A7B"/>
    <w:rsid w:val="00750C75"/>
    <w:rsid w:val="00750D94"/>
    <w:rsid w:val="00750FAD"/>
    <w:rsid w:val="00751099"/>
    <w:rsid w:val="007521B4"/>
    <w:rsid w:val="007524BE"/>
    <w:rsid w:val="007535E2"/>
    <w:rsid w:val="00753BF2"/>
    <w:rsid w:val="00754136"/>
    <w:rsid w:val="00754DBA"/>
    <w:rsid w:val="007553F7"/>
    <w:rsid w:val="00755782"/>
    <w:rsid w:val="00756006"/>
    <w:rsid w:val="007562F7"/>
    <w:rsid w:val="00756A65"/>
    <w:rsid w:val="00760306"/>
    <w:rsid w:val="00760E0A"/>
    <w:rsid w:val="00760EBF"/>
    <w:rsid w:val="0076110E"/>
    <w:rsid w:val="00761249"/>
    <w:rsid w:val="00761935"/>
    <w:rsid w:val="007621E5"/>
    <w:rsid w:val="00762B6A"/>
    <w:rsid w:val="00763041"/>
    <w:rsid w:val="00763644"/>
    <w:rsid w:val="0076560A"/>
    <w:rsid w:val="00765681"/>
    <w:rsid w:val="00765CA5"/>
    <w:rsid w:val="00765F8E"/>
    <w:rsid w:val="0076690A"/>
    <w:rsid w:val="00766C7D"/>
    <w:rsid w:val="00767125"/>
    <w:rsid w:val="00767502"/>
    <w:rsid w:val="00770DBA"/>
    <w:rsid w:val="0077100A"/>
    <w:rsid w:val="00771714"/>
    <w:rsid w:val="00771E38"/>
    <w:rsid w:val="007724A3"/>
    <w:rsid w:val="0077253B"/>
    <w:rsid w:val="00772A5F"/>
    <w:rsid w:val="007731B4"/>
    <w:rsid w:val="00773773"/>
    <w:rsid w:val="0077417A"/>
    <w:rsid w:val="00774608"/>
    <w:rsid w:val="0077479E"/>
    <w:rsid w:val="00774A19"/>
    <w:rsid w:val="00774B2C"/>
    <w:rsid w:val="00775DDE"/>
    <w:rsid w:val="00775E92"/>
    <w:rsid w:val="00775FDB"/>
    <w:rsid w:val="007762D5"/>
    <w:rsid w:val="00776436"/>
    <w:rsid w:val="00776454"/>
    <w:rsid w:val="0077647F"/>
    <w:rsid w:val="00776C2D"/>
    <w:rsid w:val="0077786F"/>
    <w:rsid w:val="007803DF"/>
    <w:rsid w:val="0078047C"/>
    <w:rsid w:val="00780D9B"/>
    <w:rsid w:val="007811EA"/>
    <w:rsid w:val="00781501"/>
    <w:rsid w:val="0078175B"/>
    <w:rsid w:val="007817AC"/>
    <w:rsid w:val="007824FF"/>
    <w:rsid w:val="0078259B"/>
    <w:rsid w:val="00783430"/>
    <w:rsid w:val="0078418C"/>
    <w:rsid w:val="00784A34"/>
    <w:rsid w:val="00784BAA"/>
    <w:rsid w:val="00784D11"/>
    <w:rsid w:val="00785B81"/>
    <w:rsid w:val="00785DAA"/>
    <w:rsid w:val="0078761F"/>
    <w:rsid w:val="00787875"/>
    <w:rsid w:val="00787CA1"/>
    <w:rsid w:val="00787DA1"/>
    <w:rsid w:val="00787DA3"/>
    <w:rsid w:val="00790D93"/>
    <w:rsid w:val="00791613"/>
    <w:rsid w:val="007916B0"/>
    <w:rsid w:val="007916B9"/>
    <w:rsid w:val="00792A13"/>
    <w:rsid w:val="00793D3B"/>
    <w:rsid w:val="007941E6"/>
    <w:rsid w:val="0079582B"/>
    <w:rsid w:val="00795E52"/>
    <w:rsid w:val="00796496"/>
    <w:rsid w:val="007966D3"/>
    <w:rsid w:val="007972AB"/>
    <w:rsid w:val="00797FEF"/>
    <w:rsid w:val="007A0707"/>
    <w:rsid w:val="007A0BB2"/>
    <w:rsid w:val="007A1AD5"/>
    <w:rsid w:val="007A21B6"/>
    <w:rsid w:val="007A237A"/>
    <w:rsid w:val="007A2406"/>
    <w:rsid w:val="007A2429"/>
    <w:rsid w:val="007A2801"/>
    <w:rsid w:val="007A2968"/>
    <w:rsid w:val="007A3083"/>
    <w:rsid w:val="007A318C"/>
    <w:rsid w:val="007A3351"/>
    <w:rsid w:val="007A3EC2"/>
    <w:rsid w:val="007A4233"/>
    <w:rsid w:val="007A524F"/>
    <w:rsid w:val="007A5A2C"/>
    <w:rsid w:val="007A6952"/>
    <w:rsid w:val="007A6CCF"/>
    <w:rsid w:val="007A7487"/>
    <w:rsid w:val="007B0255"/>
    <w:rsid w:val="007B031A"/>
    <w:rsid w:val="007B0A4F"/>
    <w:rsid w:val="007B10F7"/>
    <w:rsid w:val="007B1A84"/>
    <w:rsid w:val="007B1ECB"/>
    <w:rsid w:val="007B2488"/>
    <w:rsid w:val="007B2811"/>
    <w:rsid w:val="007B2941"/>
    <w:rsid w:val="007B301A"/>
    <w:rsid w:val="007B305B"/>
    <w:rsid w:val="007B369B"/>
    <w:rsid w:val="007B371B"/>
    <w:rsid w:val="007B50DE"/>
    <w:rsid w:val="007B6263"/>
    <w:rsid w:val="007B6644"/>
    <w:rsid w:val="007B66F9"/>
    <w:rsid w:val="007B73CE"/>
    <w:rsid w:val="007B78B7"/>
    <w:rsid w:val="007B7E28"/>
    <w:rsid w:val="007C048F"/>
    <w:rsid w:val="007C063B"/>
    <w:rsid w:val="007C098B"/>
    <w:rsid w:val="007C1392"/>
    <w:rsid w:val="007C1405"/>
    <w:rsid w:val="007C141B"/>
    <w:rsid w:val="007C1D55"/>
    <w:rsid w:val="007C1FF8"/>
    <w:rsid w:val="007C4428"/>
    <w:rsid w:val="007C4678"/>
    <w:rsid w:val="007C5771"/>
    <w:rsid w:val="007C6084"/>
    <w:rsid w:val="007C644C"/>
    <w:rsid w:val="007C64F0"/>
    <w:rsid w:val="007C74E2"/>
    <w:rsid w:val="007D24CA"/>
    <w:rsid w:val="007D2A47"/>
    <w:rsid w:val="007D3671"/>
    <w:rsid w:val="007D3A1E"/>
    <w:rsid w:val="007D3ADF"/>
    <w:rsid w:val="007D424D"/>
    <w:rsid w:val="007D548E"/>
    <w:rsid w:val="007D5568"/>
    <w:rsid w:val="007D55D1"/>
    <w:rsid w:val="007D5A20"/>
    <w:rsid w:val="007D6E41"/>
    <w:rsid w:val="007E0E3A"/>
    <w:rsid w:val="007E12D2"/>
    <w:rsid w:val="007E14CD"/>
    <w:rsid w:val="007E1BD1"/>
    <w:rsid w:val="007E253B"/>
    <w:rsid w:val="007E2A07"/>
    <w:rsid w:val="007E2EA7"/>
    <w:rsid w:val="007E2F19"/>
    <w:rsid w:val="007E2F44"/>
    <w:rsid w:val="007E33A7"/>
    <w:rsid w:val="007E3C43"/>
    <w:rsid w:val="007E3D4C"/>
    <w:rsid w:val="007E44B0"/>
    <w:rsid w:val="007E54C2"/>
    <w:rsid w:val="007E5822"/>
    <w:rsid w:val="007E5BE2"/>
    <w:rsid w:val="007E629C"/>
    <w:rsid w:val="007E63D0"/>
    <w:rsid w:val="007E6974"/>
    <w:rsid w:val="007E6A11"/>
    <w:rsid w:val="007E6F26"/>
    <w:rsid w:val="007E6F30"/>
    <w:rsid w:val="007E76D8"/>
    <w:rsid w:val="007F03A6"/>
    <w:rsid w:val="007F07D9"/>
    <w:rsid w:val="007F2D1C"/>
    <w:rsid w:val="007F2F51"/>
    <w:rsid w:val="007F3038"/>
    <w:rsid w:val="007F4369"/>
    <w:rsid w:val="007F50E0"/>
    <w:rsid w:val="007F530C"/>
    <w:rsid w:val="007F5789"/>
    <w:rsid w:val="007F5902"/>
    <w:rsid w:val="007F623F"/>
    <w:rsid w:val="007F640F"/>
    <w:rsid w:val="007F684A"/>
    <w:rsid w:val="007F6E01"/>
    <w:rsid w:val="007F75EC"/>
    <w:rsid w:val="007F7C87"/>
    <w:rsid w:val="007F7D1F"/>
    <w:rsid w:val="008000D4"/>
    <w:rsid w:val="008002ED"/>
    <w:rsid w:val="008005C5"/>
    <w:rsid w:val="008010AF"/>
    <w:rsid w:val="008023DC"/>
    <w:rsid w:val="0080366F"/>
    <w:rsid w:val="00803A24"/>
    <w:rsid w:val="008040DC"/>
    <w:rsid w:val="00806E14"/>
    <w:rsid w:val="00806E3C"/>
    <w:rsid w:val="0080715A"/>
    <w:rsid w:val="008073F2"/>
    <w:rsid w:val="008075E9"/>
    <w:rsid w:val="00807A5E"/>
    <w:rsid w:val="00807A92"/>
    <w:rsid w:val="008105C3"/>
    <w:rsid w:val="00811322"/>
    <w:rsid w:val="00811354"/>
    <w:rsid w:val="00811529"/>
    <w:rsid w:val="0081195E"/>
    <w:rsid w:val="00811FAF"/>
    <w:rsid w:val="008125FC"/>
    <w:rsid w:val="008126D9"/>
    <w:rsid w:val="008126FC"/>
    <w:rsid w:val="00812AF4"/>
    <w:rsid w:val="00812E19"/>
    <w:rsid w:val="0081332E"/>
    <w:rsid w:val="008136EF"/>
    <w:rsid w:val="00814317"/>
    <w:rsid w:val="00814823"/>
    <w:rsid w:val="00814E2A"/>
    <w:rsid w:val="00815123"/>
    <w:rsid w:val="0081573C"/>
    <w:rsid w:val="008157D1"/>
    <w:rsid w:val="0081592E"/>
    <w:rsid w:val="00816A0B"/>
    <w:rsid w:val="00816D30"/>
    <w:rsid w:val="00816EB9"/>
    <w:rsid w:val="008175DB"/>
    <w:rsid w:val="00817FB1"/>
    <w:rsid w:val="00820546"/>
    <w:rsid w:val="00820BB9"/>
    <w:rsid w:val="00821708"/>
    <w:rsid w:val="00821D36"/>
    <w:rsid w:val="00821DE7"/>
    <w:rsid w:val="008222A3"/>
    <w:rsid w:val="00822AA6"/>
    <w:rsid w:val="008231B5"/>
    <w:rsid w:val="00823233"/>
    <w:rsid w:val="00824BD2"/>
    <w:rsid w:val="00824D72"/>
    <w:rsid w:val="00824F42"/>
    <w:rsid w:val="00825680"/>
    <w:rsid w:val="00826A93"/>
    <w:rsid w:val="00826D8E"/>
    <w:rsid w:val="00826F37"/>
    <w:rsid w:val="008270EE"/>
    <w:rsid w:val="008314E9"/>
    <w:rsid w:val="008315A5"/>
    <w:rsid w:val="008322C4"/>
    <w:rsid w:val="00832622"/>
    <w:rsid w:val="0083375A"/>
    <w:rsid w:val="0083437A"/>
    <w:rsid w:val="00834E93"/>
    <w:rsid w:val="008371D9"/>
    <w:rsid w:val="008376A2"/>
    <w:rsid w:val="008377B0"/>
    <w:rsid w:val="00840380"/>
    <w:rsid w:val="00840887"/>
    <w:rsid w:val="00840B8C"/>
    <w:rsid w:val="008417E8"/>
    <w:rsid w:val="00841B93"/>
    <w:rsid w:val="00841FC2"/>
    <w:rsid w:val="00842F52"/>
    <w:rsid w:val="00843B5E"/>
    <w:rsid w:val="00844302"/>
    <w:rsid w:val="00844B33"/>
    <w:rsid w:val="00845016"/>
    <w:rsid w:val="008456F5"/>
    <w:rsid w:val="00845A98"/>
    <w:rsid w:val="008466DA"/>
    <w:rsid w:val="00846A34"/>
    <w:rsid w:val="00846B3D"/>
    <w:rsid w:val="0084767F"/>
    <w:rsid w:val="008477FC"/>
    <w:rsid w:val="00847EAF"/>
    <w:rsid w:val="00847EF3"/>
    <w:rsid w:val="008503BB"/>
    <w:rsid w:val="00850F01"/>
    <w:rsid w:val="008519E7"/>
    <w:rsid w:val="00851B31"/>
    <w:rsid w:val="00851B67"/>
    <w:rsid w:val="00851BCC"/>
    <w:rsid w:val="00851C33"/>
    <w:rsid w:val="00851E4F"/>
    <w:rsid w:val="00851F76"/>
    <w:rsid w:val="008529D4"/>
    <w:rsid w:val="00852B70"/>
    <w:rsid w:val="008537CA"/>
    <w:rsid w:val="0085436D"/>
    <w:rsid w:val="00854FC1"/>
    <w:rsid w:val="00855894"/>
    <w:rsid w:val="00860075"/>
    <w:rsid w:val="008601A4"/>
    <w:rsid w:val="00860608"/>
    <w:rsid w:val="00862673"/>
    <w:rsid w:val="0086286E"/>
    <w:rsid w:val="0086306E"/>
    <w:rsid w:val="0086389B"/>
    <w:rsid w:val="0086473E"/>
    <w:rsid w:val="00864D71"/>
    <w:rsid w:val="00864E20"/>
    <w:rsid w:val="00865735"/>
    <w:rsid w:val="008659D7"/>
    <w:rsid w:val="00865CCC"/>
    <w:rsid w:val="00865EB8"/>
    <w:rsid w:val="00866BC5"/>
    <w:rsid w:val="00866D3B"/>
    <w:rsid w:val="00867772"/>
    <w:rsid w:val="008679B1"/>
    <w:rsid w:val="00867A8E"/>
    <w:rsid w:val="00870841"/>
    <w:rsid w:val="00871339"/>
    <w:rsid w:val="00871410"/>
    <w:rsid w:val="00871DBD"/>
    <w:rsid w:val="008720E6"/>
    <w:rsid w:val="00872170"/>
    <w:rsid w:val="00872AD4"/>
    <w:rsid w:val="00872BBD"/>
    <w:rsid w:val="008733B1"/>
    <w:rsid w:val="00873485"/>
    <w:rsid w:val="008735F9"/>
    <w:rsid w:val="008741A2"/>
    <w:rsid w:val="0087436A"/>
    <w:rsid w:val="0087457C"/>
    <w:rsid w:val="008749F8"/>
    <w:rsid w:val="00874DC7"/>
    <w:rsid w:val="008751E4"/>
    <w:rsid w:val="008755BC"/>
    <w:rsid w:val="00875BC0"/>
    <w:rsid w:val="00877295"/>
    <w:rsid w:val="0087783C"/>
    <w:rsid w:val="00877F3B"/>
    <w:rsid w:val="00880881"/>
    <w:rsid w:val="00880D76"/>
    <w:rsid w:val="0088103B"/>
    <w:rsid w:val="008813D7"/>
    <w:rsid w:val="008813ED"/>
    <w:rsid w:val="008818BD"/>
    <w:rsid w:val="00883291"/>
    <w:rsid w:val="00883388"/>
    <w:rsid w:val="008836A4"/>
    <w:rsid w:val="0088372B"/>
    <w:rsid w:val="00883CFF"/>
    <w:rsid w:val="00883DDB"/>
    <w:rsid w:val="00884584"/>
    <w:rsid w:val="008848AC"/>
    <w:rsid w:val="008848EC"/>
    <w:rsid w:val="008856A7"/>
    <w:rsid w:val="0088576E"/>
    <w:rsid w:val="00885AD4"/>
    <w:rsid w:val="00886072"/>
    <w:rsid w:val="00886786"/>
    <w:rsid w:val="00886A14"/>
    <w:rsid w:val="00886A47"/>
    <w:rsid w:val="008903F8"/>
    <w:rsid w:val="00890488"/>
    <w:rsid w:val="00890C24"/>
    <w:rsid w:val="00891340"/>
    <w:rsid w:val="00892FBF"/>
    <w:rsid w:val="0089386C"/>
    <w:rsid w:val="0089498D"/>
    <w:rsid w:val="00895059"/>
    <w:rsid w:val="00895126"/>
    <w:rsid w:val="00895D4D"/>
    <w:rsid w:val="0089617F"/>
    <w:rsid w:val="00896383"/>
    <w:rsid w:val="00896823"/>
    <w:rsid w:val="008971FD"/>
    <w:rsid w:val="008975EE"/>
    <w:rsid w:val="008A0390"/>
    <w:rsid w:val="008A04E6"/>
    <w:rsid w:val="008A0CE7"/>
    <w:rsid w:val="008A0F2A"/>
    <w:rsid w:val="008A141B"/>
    <w:rsid w:val="008A2FBD"/>
    <w:rsid w:val="008A3237"/>
    <w:rsid w:val="008A32AC"/>
    <w:rsid w:val="008A3455"/>
    <w:rsid w:val="008A3AE4"/>
    <w:rsid w:val="008A441D"/>
    <w:rsid w:val="008A4862"/>
    <w:rsid w:val="008A4893"/>
    <w:rsid w:val="008A49FB"/>
    <w:rsid w:val="008A53DE"/>
    <w:rsid w:val="008A571C"/>
    <w:rsid w:val="008A586D"/>
    <w:rsid w:val="008A5A8A"/>
    <w:rsid w:val="008A5EFD"/>
    <w:rsid w:val="008A622D"/>
    <w:rsid w:val="008A64D5"/>
    <w:rsid w:val="008A6A41"/>
    <w:rsid w:val="008B0177"/>
    <w:rsid w:val="008B0A7F"/>
    <w:rsid w:val="008B11C2"/>
    <w:rsid w:val="008B1284"/>
    <w:rsid w:val="008B165E"/>
    <w:rsid w:val="008B1795"/>
    <w:rsid w:val="008B1BCB"/>
    <w:rsid w:val="008B2021"/>
    <w:rsid w:val="008B2518"/>
    <w:rsid w:val="008B2528"/>
    <w:rsid w:val="008B2CC6"/>
    <w:rsid w:val="008B31B0"/>
    <w:rsid w:val="008B355B"/>
    <w:rsid w:val="008B3C69"/>
    <w:rsid w:val="008B3FD3"/>
    <w:rsid w:val="008B484D"/>
    <w:rsid w:val="008B4DE6"/>
    <w:rsid w:val="008B5028"/>
    <w:rsid w:val="008B5754"/>
    <w:rsid w:val="008B5ACD"/>
    <w:rsid w:val="008B6997"/>
    <w:rsid w:val="008B6FFA"/>
    <w:rsid w:val="008B7210"/>
    <w:rsid w:val="008B7A36"/>
    <w:rsid w:val="008B7A70"/>
    <w:rsid w:val="008C014E"/>
    <w:rsid w:val="008C01CF"/>
    <w:rsid w:val="008C02F4"/>
    <w:rsid w:val="008C0A4D"/>
    <w:rsid w:val="008C0C7F"/>
    <w:rsid w:val="008C2515"/>
    <w:rsid w:val="008C2FC3"/>
    <w:rsid w:val="008C3317"/>
    <w:rsid w:val="008C3EF9"/>
    <w:rsid w:val="008C40A2"/>
    <w:rsid w:val="008C41DB"/>
    <w:rsid w:val="008C5299"/>
    <w:rsid w:val="008C52C6"/>
    <w:rsid w:val="008C6DC0"/>
    <w:rsid w:val="008C7899"/>
    <w:rsid w:val="008C7A72"/>
    <w:rsid w:val="008D098C"/>
    <w:rsid w:val="008D0C31"/>
    <w:rsid w:val="008D159F"/>
    <w:rsid w:val="008D170B"/>
    <w:rsid w:val="008D1CC4"/>
    <w:rsid w:val="008D1D11"/>
    <w:rsid w:val="008D20CB"/>
    <w:rsid w:val="008D2323"/>
    <w:rsid w:val="008D281F"/>
    <w:rsid w:val="008D3F2C"/>
    <w:rsid w:val="008D41FD"/>
    <w:rsid w:val="008D47B6"/>
    <w:rsid w:val="008D4BE5"/>
    <w:rsid w:val="008D4F75"/>
    <w:rsid w:val="008D506A"/>
    <w:rsid w:val="008D5810"/>
    <w:rsid w:val="008D61B1"/>
    <w:rsid w:val="008D62FE"/>
    <w:rsid w:val="008D671B"/>
    <w:rsid w:val="008D70ED"/>
    <w:rsid w:val="008D734D"/>
    <w:rsid w:val="008D767F"/>
    <w:rsid w:val="008D7742"/>
    <w:rsid w:val="008E0A12"/>
    <w:rsid w:val="008E1A01"/>
    <w:rsid w:val="008E1B36"/>
    <w:rsid w:val="008E1F2D"/>
    <w:rsid w:val="008E2244"/>
    <w:rsid w:val="008E2930"/>
    <w:rsid w:val="008E2FC6"/>
    <w:rsid w:val="008E3389"/>
    <w:rsid w:val="008E36D4"/>
    <w:rsid w:val="008E3DAB"/>
    <w:rsid w:val="008E4C8D"/>
    <w:rsid w:val="008E50EB"/>
    <w:rsid w:val="008E5BEE"/>
    <w:rsid w:val="008E5F71"/>
    <w:rsid w:val="008E658C"/>
    <w:rsid w:val="008E6AE0"/>
    <w:rsid w:val="008E7DE7"/>
    <w:rsid w:val="008E7EB6"/>
    <w:rsid w:val="008E7F04"/>
    <w:rsid w:val="008F05B1"/>
    <w:rsid w:val="008F1DC6"/>
    <w:rsid w:val="008F1E40"/>
    <w:rsid w:val="008F2824"/>
    <w:rsid w:val="008F3782"/>
    <w:rsid w:val="008F395B"/>
    <w:rsid w:val="008F3AC1"/>
    <w:rsid w:val="008F3FC8"/>
    <w:rsid w:val="008F4595"/>
    <w:rsid w:val="008F4680"/>
    <w:rsid w:val="008F4AB1"/>
    <w:rsid w:val="008F4BBA"/>
    <w:rsid w:val="008F55F9"/>
    <w:rsid w:val="008F591D"/>
    <w:rsid w:val="008F5EDE"/>
    <w:rsid w:val="008F6219"/>
    <w:rsid w:val="008F75C5"/>
    <w:rsid w:val="00901EE1"/>
    <w:rsid w:val="00902AD1"/>
    <w:rsid w:val="00902F5B"/>
    <w:rsid w:val="009033C7"/>
    <w:rsid w:val="00903474"/>
    <w:rsid w:val="00903686"/>
    <w:rsid w:val="00903B3E"/>
    <w:rsid w:val="00903C06"/>
    <w:rsid w:val="009046F2"/>
    <w:rsid w:val="00904F96"/>
    <w:rsid w:val="00905757"/>
    <w:rsid w:val="00905C93"/>
    <w:rsid w:val="0090608C"/>
    <w:rsid w:val="00906490"/>
    <w:rsid w:val="00906CFC"/>
    <w:rsid w:val="00906DBD"/>
    <w:rsid w:val="00906F0A"/>
    <w:rsid w:val="00907139"/>
    <w:rsid w:val="00907746"/>
    <w:rsid w:val="009077E4"/>
    <w:rsid w:val="00907A1B"/>
    <w:rsid w:val="00910F12"/>
    <w:rsid w:val="0091141F"/>
    <w:rsid w:val="0091175C"/>
    <w:rsid w:val="00912B90"/>
    <w:rsid w:val="00912FF9"/>
    <w:rsid w:val="009132F2"/>
    <w:rsid w:val="0091350D"/>
    <w:rsid w:val="00914D27"/>
    <w:rsid w:val="009150D0"/>
    <w:rsid w:val="00915619"/>
    <w:rsid w:val="00915A40"/>
    <w:rsid w:val="009162A5"/>
    <w:rsid w:val="00916482"/>
    <w:rsid w:val="009165F3"/>
    <w:rsid w:val="009169B3"/>
    <w:rsid w:val="009175D8"/>
    <w:rsid w:val="0092010A"/>
    <w:rsid w:val="00920146"/>
    <w:rsid w:val="00920188"/>
    <w:rsid w:val="00920FC7"/>
    <w:rsid w:val="00921133"/>
    <w:rsid w:val="0092151F"/>
    <w:rsid w:val="009227B0"/>
    <w:rsid w:val="00922C28"/>
    <w:rsid w:val="00923075"/>
    <w:rsid w:val="00923151"/>
    <w:rsid w:val="0092370D"/>
    <w:rsid w:val="00923775"/>
    <w:rsid w:val="0092378C"/>
    <w:rsid w:val="00924BD9"/>
    <w:rsid w:val="009250E1"/>
    <w:rsid w:val="00925C45"/>
    <w:rsid w:val="0092603E"/>
    <w:rsid w:val="0092658E"/>
    <w:rsid w:val="0092685A"/>
    <w:rsid w:val="009274F3"/>
    <w:rsid w:val="00927FB5"/>
    <w:rsid w:val="009312C7"/>
    <w:rsid w:val="00932874"/>
    <w:rsid w:val="00932ACB"/>
    <w:rsid w:val="00932BB2"/>
    <w:rsid w:val="00932C92"/>
    <w:rsid w:val="00933794"/>
    <w:rsid w:val="009339F8"/>
    <w:rsid w:val="00934218"/>
    <w:rsid w:val="009344C1"/>
    <w:rsid w:val="009347ED"/>
    <w:rsid w:val="00934A51"/>
    <w:rsid w:val="00934C48"/>
    <w:rsid w:val="00934CDA"/>
    <w:rsid w:val="00935128"/>
    <w:rsid w:val="009355F4"/>
    <w:rsid w:val="00935C8A"/>
    <w:rsid w:val="00935CF4"/>
    <w:rsid w:val="00936E70"/>
    <w:rsid w:val="00936FAD"/>
    <w:rsid w:val="00937017"/>
    <w:rsid w:val="00937197"/>
    <w:rsid w:val="009376C3"/>
    <w:rsid w:val="00937873"/>
    <w:rsid w:val="00937FB1"/>
    <w:rsid w:val="00940659"/>
    <w:rsid w:val="009425E5"/>
    <w:rsid w:val="00943156"/>
    <w:rsid w:val="00944928"/>
    <w:rsid w:val="00944BD8"/>
    <w:rsid w:val="00944CD4"/>
    <w:rsid w:val="00945BAF"/>
    <w:rsid w:val="00945D17"/>
    <w:rsid w:val="00945F78"/>
    <w:rsid w:val="00946E14"/>
    <w:rsid w:val="009477B1"/>
    <w:rsid w:val="00947FB2"/>
    <w:rsid w:val="00950718"/>
    <w:rsid w:val="0095188F"/>
    <w:rsid w:val="0095231A"/>
    <w:rsid w:val="00952B34"/>
    <w:rsid w:val="00953142"/>
    <w:rsid w:val="00953E0D"/>
    <w:rsid w:val="00954154"/>
    <w:rsid w:val="009553DC"/>
    <w:rsid w:val="009556CF"/>
    <w:rsid w:val="00956052"/>
    <w:rsid w:val="00957486"/>
    <w:rsid w:val="00957C81"/>
    <w:rsid w:val="00960369"/>
    <w:rsid w:val="00960DD9"/>
    <w:rsid w:val="009613A6"/>
    <w:rsid w:val="009620BF"/>
    <w:rsid w:val="00962EB8"/>
    <w:rsid w:val="00962EEA"/>
    <w:rsid w:val="009635BC"/>
    <w:rsid w:val="009638C9"/>
    <w:rsid w:val="00964915"/>
    <w:rsid w:val="00964A59"/>
    <w:rsid w:val="00966110"/>
    <w:rsid w:val="0096612C"/>
    <w:rsid w:val="0096642C"/>
    <w:rsid w:val="009664A9"/>
    <w:rsid w:val="0096727E"/>
    <w:rsid w:val="009678E3"/>
    <w:rsid w:val="00967D42"/>
    <w:rsid w:val="0097088B"/>
    <w:rsid w:val="00970A8F"/>
    <w:rsid w:val="00970F09"/>
    <w:rsid w:val="00971670"/>
    <w:rsid w:val="00972291"/>
    <w:rsid w:val="00972AE7"/>
    <w:rsid w:val="00973E7B"/>
    <w:rsid w:val="00974751"/>
    <w:rsid w:val="00975AB0"/>
    <w:rsid w:val="009761B7"/>
    <w:rsid w:val="00976B2A"/>
    <w:rsid w:val="00976DB3"/>
    <w:rsid w:val="00976E1A"/>
    <w:rsid w:val="00977DDC"/>
    <w:rsid w:val="00980911"/>
    <w:rsid w:val="009812E1"/>
    <w:rsid w:val="00981B13"/>
    <w:rsid w:val="00982298"/>
    <w:rsid w:val="00983304"/>
    <w:rsid w:val="00983557"/>
    <w:rsid w:val="00984EA7"/>
    <w:rsid w:val="0098510E"/>
    <w:rsid w:val="00985807"/>
    <w:rsid w:val="00986416"/>
    <w:rsid w:val="009868A0"/>
    <w:rsid w:val="00990841"/>
    <w:rsid w:val="00992DAD"/>
    <w:rsid w:val="009930D9"/>
    <w:rsid w:val="009938D7"/>
    <w:rsid w:val="009940BE"/>
    <w:rsid w:val="00994B24"/>
    <w:rsid w:val="00994D0E"/>
    <w:rsid w:val="00995384"/>
    <w:rsid w:val="009957FE"/>
    <w:rsid w:val="00995DDC"/>
    <w:rsid w:val="00996B6F"/>
    <w:rsid w:val="00996E5A"/>
    <w:rsid w:val="009A003D"/>
    <w:rsid w:val="009A0244"/>
    <w:rsid w:val="009A0FB3"/>
    <w:rsid w:val="009A1214"/>
    <w:rsid w:val="009A146A"/>
    <w:rsid w:val="009A1A01"/>
    <w:rsid w:val="009A1E01"/>
    <w:rsid w:val="009A216D"/>
    <w:rsid w:val="009A262A"/>
    <w:rsid w:val="009A3ACE"/>
    <w:rsid w:val="009A44CC"/>
    <w:rsid w:val="009A4EAE"/>
    <w:rsid w:val="009A5085"/>
    <w:rsid w:val="009A538C"/>
    <w:rsid w:val="009A557A"/>
    <w:rsid w:val="009A562C"/>
    <w:rsid w:val="009A585D"/>
    <w:rsid w:val="009A5886"/>
    <w:rsid w:val="009A64C7"/>
    <w:rsid w:val="009A69FC"/>
    <w:rsid w:val="009A6B68"/>
    <w:rsid w:val="009A6DA9"/>
    <w:rsid w:val="009A711D"/>
    <w:rsid w:val="009A77C7"/>
    <w:rsid w:val="009A7BC1"/>
    <w:rsid w:val="009B19C2"/>
    <w:rsid w:val="009B27DB"/>
    <w:rsid w:val="009B2DCA"/>
    <w:rsid w:val="009B3106"/>
    <w:rsid w:val="009B3157"/>
    <w:rsid w:val="009B31B8"/>
    <w:rsid w:val="009B4755"/>
    <w:rsid w:val="009B49A2"/>
    <w:rsid w:val="009B4D7C"/>
    <w:rsid w:val="009B507F"/>
    <w:rsid w:val="009B55EC"/>
    <w:rsid w:val="009B583B"/>
    <w:rsid w:val="009B584B"/>
    <w:rsid w:val="009C1E99"/>
    <w:rsid w:val="009C2CD4"/>
    <w:rsid w:val="009C384F"/>
    <w:rsid w:val="009C4022"/>
    <w:rsid w:val="009C4264"/>
    <w:rsid w:val="009C565E"/>
    <w:rsid w:val="009C5D24"/>
    <w:rsid w:val="009C6BF2"/>
    <w:rsid w:val="009C6C3D"/>
    <w:rsid w:val="009C71C2"/>
    <w:rsid w:val="009C76F8"/>
    <w:rsid w:val="009C7B6E"/>
    <w:rsid w:val="009D0664"/>
    <w:rsid w:val="009D0E55"/>
    <w:rsid w:val="009D1406"/>
    <w:rsid w:val="009D22AE"/>
    <w:rsid w:val="009D23E6"/>
    <w:rsid w:val="009D25D4"/>
    <w:rsid w:val="009D35FC"/>
    <w:rsid w:val="009D3BB7"/>
    <w:rsid w:val="009D5584"/>
    <w:rsid w:val="009D572C"/>
    <w:rsid w:val="009D5884"/>
    <w:rsid w:val="009D5C46"/>
    <w:rsid w:val="009D61A7"/>
    <w:rsid w:val="009D68C1"/>
    <w:rsid w:val="009D7375"/>
    <w:rsid w:val="009D791B"/>
    <w:rsid w:val="009D7BAA"/>
    <w:rsid w:val="009D7DE4"/>
    <w:rsid w:val="009E03AC"/>
    <w:rsid w:val="009E0A72"/>
    <w:rsid w:val="009E13EF"/>
    <w:rsid w:val="009E1F8C"/>
    <w:rsid w:val="009E2F86"/>
    <w:rsid w:val="009E3171"/>
    <w:rsid w:val="009E4CD6"/>
    <w:rsid w:val="009E4F1F"/>
    <w:rsid w:val="009E51EB"/>
    <w:rsid w:val="009E5B4C"/>
    <w:rsid w:val="009E5FF0"/>
    <w:rsid w:val="009E6038"/>
    <w:rsid w:val="009E666E"/>
    <w:rsid w:val="009E676F"/>
    <w:rsid w:val="009E6F24"/>
    <w:rsid w:val="009E71F8"/>
    <w:rsid w:val="009E7B60"/>
    <w:rsid w:val="009E7EE9"/>
    <w:rsid w:val="009F065A"/>
    <w:rsid w:val="009F11B7"/>
    <w:rsid w:val="009F1576"/>
    <w:rsid w:val="009F18D5"/>
    <w:rsid w:val="009F24CF"/>
    <w:rsid w:val="009F305F"/>
    <w:rsid w:val="009F32C0"/>
    <w:rsid w:val="009F39C8"/>
    <w:rsid w:val="009F3DFC"/>
    <w:rsid w:val="009F417F"/>
    <w:rsid w:val="009F5E92"/>
    <w:rsid w:val="009F6B4D"/>
    <w:rsid w:val="009F6F2A"/>
    <w:rsid w:val="009F77AB"/>
    <w:rsid w:val="00A0015A"/>
    <w:rsid w:val="00A00E8C"/>
    <w:rsid w:val="00A01647"/>
    <w:rsid w:val="00A01ECD"/>
    <w:rsid w:val="00A0259E"/>
    <w:rsid w:val="00A02B9F"/>
    <w:rsid w:val="00A03BAD"/>
    <w:rsid w:val="00A03BD1"/>
    <w:rsid w:val="00A03DE9"/>
    <w:rsid w:val="00A03E86"/>
    <w:rsid w:val="00A0448D"/>
    <w:rsid w:val="00A044CF"/>
    <w:rsid w:val="00A047D6"/>
    <w:rsid w:val="00A04F0F"/>
    <w:rsid w:val="00A05920"/>
    <w:rsid w:val="00A05A8D"/>
    <w:rsid w:val="00A061B2"/>
    <w:rsid w:val="00A064EF"/>
    <w:rsid w:val="00A07FDA"/>
    <w:rsid w:val="00A10C40"/>
    <w:rsid w:val="00A118A2"/>
    <w:rsid w:val="00A11C56"/>
    <w:rsid w:val="00A11FD6"/>
    <w:rsid w:val="00A120DE"/>
    <w:rsid w:val="00A12278"/>
    <w:rsid w:val="00A12DAD"/>
    <w:rsid w:val="00A131A2"/>
    <w:rsid w:val="00A1320E"/>
    <w:rsid w:val="00A137FE"/>
    <w:rsid w:val="00A14BA7"/>
    <w:rsid w:val="00A15B09"/>
    <w:rsid w:val="00A15E27"/>
    <w:rsid w:val="00A15EE9"/>
    <w:rsid w:val="00A16C67"/>
    <w:rsid w:val="00A16DCD"/>
    <w:rsid w:val="00A17058"/>
    <w:rsid w:val="00A17C71"/>
    <w:rsid w:val="00A20338"/>
    <w:rsid w:val="00A20938"/>
    <w:rsid w:val="00A22052"/>
    <w:rsid w:val="00A22EE2"/>
    <w:rsid w:val="00A231AE"/>
    <w:rsid w:val="00A23918"/>
    <w:rsid w:val="00A248E6"/>
    <w:rsid w:val="00A251E6"/>
    <w:rsid w:val="00A256AB"/>
    <w:rsid w:val="00A25E6B"/>
    <w:rsid w:val="00A2635D"/>
    <w:rsid w:val="00A26603"/>
    <w:rsid w:val="00A26C0B"/>
    <w:rsid w:val="00A3081E"/>
    <w:rsid w:val="00A3088B"/>
    <w:rsid w:val="00A30A85"/>
    <w:rsid w:val="00A30CA8"/>
    <w:rsid w:val="00A30D67"/>
    <w:rsid w:val="00A31CCF"/>
    <w:rsid w:val="00A32183"/>
    <w:rsid w:val="00A322E0"/>
    <w:rsid w:val="00A3257B"/>
    <w:rsid w:val="00A32A75"/>
    <w:rsid w:val="00A34230"/>
    <w:rsid w:val="00A34642"/>
    <w:rsid w:val="00A36FA4"/>
    <w:rsid w:val="00A370B9"/>
    <w:rsid w:val="00A42646"/>
    <w:rsid w:val="00A445EB"/>
    <w:rsid w:val="00A450CF"/>
    <w:rsid w:val="00A455B1"/>
    <w:rsid w:val="00A4614B"/>
    <w:rsid w:val="00A464B4"/>
    <w:rsid w:val="00A46544"/>
    <w:rsid w:val="00A46DD1"/>
    <w:rsid w:val="00A50299"/>
    <w:rsid w:val="00A505F6"/>
    <w:rsid w:val="00A515ED"/>
    <w:rsid w:val="00A52169"/>
    <w:rsid w:val="00A521FA"/>
    <w:rsid w:val="00A5247A"/>
    <w:rsid w:val="00A52EED"/>
    <w:rsid w:val="00A53CB8"/>
    <w:rsid w:val="00A54309"/>
    <w:rsid w:val="00A54C15"/>
    <w:rsid w:val="00A55001"/>
    <w:rsid w:val="00A55D23"/>
    <w:rsid w:val="00A56EB9"/>
    <w:rsid w:val="00A574C6"/>
    <w:rsid w:val="00A601B4"/>
    <w:rsid w:val="00A62CB9"/>
    <w:rsid w:val="00A642AF"/>
    <w:rsid w:val="00A6488C"/>
    <w:rsid w:val="00A64CEA"/>
    <w:rsid w:val="00A656B9"/>
    <w:rsid w:val="00A65CE3"/>
    <w:rsid w:val="00A6796D"/>
    <w:rsid w:val="00A67DDF"/>
    <w:rsid w:val="00A67F09"/>
    <w:rsid w:val="00A7006A"/>
    <w:rsid w:val="00A70280"/>
    <w:rsid w:val="00A70455"/>
    <w:rsid w:val="00A71B45"/>
    <w:rsid w:val="00A71F56"/>
    <w:rsid w:val="00A72E75"/>
    <w:rsid w:val="00A7364D"/>
    <w:rsid w:val="00A74387"/>
    <w:rsid w:val="00A745D9"/>
    <w:rsid w:val="00A74A1D"/>
    <w:rsid w:val="00A750D7"/>
    <w:rsid w:val="00A7546C"/>
    <w:rsid w:val="00A769FE"/>
    <w:rsid w:val="00A77DAE"/>
    <w:rsid w:val="00A80A26"/>
    <w:rsid w:val="00A81602"/>
    <w:rsid w:val="00A8188E"/>
    <w:rsid w:val="00A81FC1"/>
    <w:rsid w:val="00A82766"/>
    <w:rsid w:val="00A82D71"/>
    <w:rsid w:val="00A82EF9"/>
    <w:rsid w:val="00A834D9"/>
    <w:rsid w:val="00A83793"/>
    <w:rsid w:val="00A83E62"/>
    <w:rsid w:val="00A84169"/>
    <w:rsid w:val="00A84425"/>
    <w:rsid w:val="00A848D0"/>
    <w:rsid w:val="00A84AE0"/>
    <w:rsid w:val="00A84E36"/>
    <w:rsid w:val="00A8562D"/>
    <w:rsid w:val="00A8750E"/>
    <w:rsid w:val="00A875FF"/>
    <w:rsid w:val="00A876BB"/>
    <w:rsid w:val="00A87EEF"/>
    <w:rsid w:val="00A9095E"/>
    <w:rsid w:val="00A921F6"/>
    <w:rsid w:val="00A92215"/>
    <w:rsid w:val="00A933B7"/>
    <w:rsid w:val="00A93437"/>
    <w:rsid w:val="00A9356B"/>
    <w:rsid w:val="00A94102"/>
    <w:rsid w:val="00A941AC"/>
    <w:rsid w:val="00A94601"/>
    <w:rsid w:val="00A94756"/>
    <w:rsid w:val="00A952D3"/>
    <w:rsid w:val="00A955CA"/>
    <w:rsid w:val="00A95B8F"/>
    <w:rsid w:val="00A96706"/>
    <w:rsid w:val="00A9696C"/>
    <w:rsid w:val="00A96D27"/>
    <w:rsid w:val="00A96E8F"/>
    <w:rsid w:val="00A96EF2"/>
    <w:rsid w:val="00A96FA6"/>
    <w:rsid w:val="00A974E8"/>
    <w:rsid w:val="00A97A3A"/>
    <w:rsid w:val="00A97E57"/>
    <w:rsid w:val="00AA01E3"/>
    <w:rsid w:val="00AA09C5"/>
    <w:rsid w:val="00AA1788"/>
    <w:rsid w:val="00AA22CE"/>
    <w:rsid w:val="00AA2735"/>
    <w:rsid w:val="00AA2BA5"/>
    <w:rsid w:val="00AA32B6"/>
    <w:rsid w:val="00AA337D"/>
    <w:rsid w:val="00AA4440"/>
    <w:rsid w:val="00AA44B9"/>
    <w:rsid w:val="00AA4892"/>
    <w:rsid w:val="00AA4A94"/>
    <w:rsid w:val="00AA4FB1"/>
    <w:rsid w:val="00AA6CD8"/>
    <w:rsid w:val="00AA6E68"/>
    <w:rsid w:val="00AA7850"/>
    <w:rsid w:val="00AA7BD4"/>
    <w:rsid w:val="00AA7CB5"/>
    <w:rsid w:val="00AB0950"/>
    <w:rsid w:val="00AB0CE9"/>
    <w:rsid w:val="00AB10E3"/>
    <w:rsid w:val="00AB13B8"/>
    <w:rsid w:val="00AB17C8"/>
    <w:rsid w:val="00AB2D46"/>
    <w:rsid w:val="00AB2FCE"/>
    <w:rsid w:val="00AB4265"/>
    <w:rsid w:val="00AB48F8"/>
    <w:rsid w:val="00AB4EC0"/>
    <w:rsid w:val="00AB61D9"/>
    <w:rsid w:val="00AB63D1"/>
    <w:rsid w:val="00AB67D8"/>
    <w:rsid w:val="00AB6D26"/>
    <w:rsid w:val="00AB74C3"/>
    <w:rsid w:val="00AB7D58"/>
    <w:rsid w:val="00AC0AD8"/>
    <w:rsid w:val="00AC18B0"/>
    <w:rsid w:val="00AC2206"/>
    <w:rsid w:val="00AC2A4A"/>
    <w:rsid w:val="00AC2E60"/>
    <w:rsid w:val="00AC3097"/>
    <w:rsid w:val="00AC31EA"/>
    <w:rsid w:val="00AC365E"/>
    <w:rsid w:val="00AC4A54"/>
    <w:rsid w:val="00AC4C7D"/>
    <w:rsid w:val="00AC673E"/>
    <w:rsid w:val="00AC6FDC"/>
    <w:rsid w:val="00AC7137"/>
    <w:rsid w:val="00AC77AA"/>
    <w:rsid w:val="00AC77EC"/>
    <w:rsid w:val="00AD21B5"/>
    <w:rsid w:val="00AD2B72"/>
    <w:rsid w:val="00AD2C13"/>
    <w:rsid w:val="00AD3485"/>
    <w:rsid w:val="00AD3973"/>
    <w:rsid w:val="00AD3EE3"/>
    <w:rsid w:val="00AD4442"/>
    <w:rsid w:val="00AD4980"/>
    <w:rsid w:val="00AD49D7"/>
    <w:rsid w:val="00AD4DDB"/>
    <w:rsid w:val="00AD5150"/>
    <w:rsid w:val="00AD5314"/>
    <w:rsid w:val="00AD603E"/>
    <w:rsid w:val="00AD63EB"/>
    <w:rsid w:val="00AD7D3A"/>
    <w:rsid w:val="00AE10FC"/>
    <w:rsid w:val="00AE1507"/>
    <w:rsid w:val="00AE1668"/>
    <w:rsid w:val="00AE1C68"/>
    <w:rsid w:val="00AE1C77"/>
    <w:rsid w:val="00AE23B6"/>
    <w:rsid w:val="00AE23D1"/>
    <w:rsid w:val="00AE2577"/>
    <w:rsid w:val="00AE2727"/>
    <w:rsid w:val="00AE2F97"/>
    <w:rsid w:val="00AE3699"/>
    <w:rsid w:val="00AE379A"/>
    <w:rsid w:val="00AE3AF8"/>
    <w:rsid w:val="00AE430E"/>
    <w:rsid w:val="00AE45DF"/>
    <w:rsid w:val="00AE4E34"/>
    <w:rsid w:val="00AE4F7A"/>
    <w:rsid w:val="00AE5269"/>
    <w:rsid w:val="00AE5C28"/>
    <w:rsid w:val="00AE65B3"/>
    <w:rsid w:val="00AE675B"/>
    <w:rsid w:val="00AE6990"/>
    <w:rsid w:val="00AE70AD"/>
    <w:rsid w:val="00AE724C"/>
    <w:rsid w:val="00AE7F32"/>
    <w:rsid w:val="00AF090F"/>
    <w:rsid w:val="00AF116E"/>
    <w:rsid w:val="00AF119C"/>
    <w:rsid w:val="00AF1ADE"/>
    <w:rsid w:val="00AF2655"/>
    <w:rsid w:val="00AF2DC2"/>
    <w:rsid w:val="00AF306B"/>
    <w:rsid w:val="00AF32D8"/>
    <w:rsid w:val="00AF37BA"/>
    <w:rsid w:val="00AF3D23"/>
    <w:rsid w:val="00AF3F17"/>
    <w:rsid w:val="00AF5303"/>
    <w:rsid w:val="00AF576C"/>
    <w:rsid w:val="00AF5A87"/>
    <w:rsid w:val="00AF6783"/>
    <w:rsid w:val="00AF67F6"/>
    <w:rsid w:val="00B0082A"/>
    <w:rsid w:val="00B008E9"/>
    <w:rsid w:val="00B02134"/>
    <w:rsid w:val="00B027B9"/>
    <w:rsid w:val="00B02EB2"/>
    <w:rsid w:val="00B0311D"/>
    <w:rsid w:val="00B03EC7"/>
    <w:rsid w:val="00B044C8"/>
    <w:rsid w:val="00B05204"/>
    <w:rsid w:val="00B053A1"/>
    <w:rsid w:val="00B055F1"/>
    <w:rsid w:val="00B05E3F"/>
    <w:rsid w:val="00B05EEB"/>
    <w:rsid w:val="00B077AA"/>
    <w:rsid w:val="00B103DB"/>
    <w:rsid w:val="00B10EA5"/>
    <w:rsid w:val="00B111F3"/>
    <w:rsid w:val="00B11461"/>
    <w:rsid w:val="00B114DA"/>
    <w:rsid w:val="00B11D04"/>
    <w:rsid w:val="00B1217E"/>
    <w:rsid w:val="00B1280F"/>
    <w:rsid w:val="00B1284F"/>
    <w:rsid w:val="00B12999"/>
    <w:rsid w:val="00B12F49"/>
    <w:rsid w:val="00B14338"/>
    <w:rsid w:val="00B143EB"/>
    <w:rsid w:val="00B14588"/>
    <w:rsid w:val="00B1466A"/>
    <w:rsid w:val="00B153C0"/>
    <w:rsid w:val="00B171CB"/>
    <w:rsid w:val="00B17B69"/>
    <w:rsid w:val="00B17BA9"/>
    <w:rsid w:val="00B20F49"/>
    <w:rsid w:val="00B214F1"/>
    <w:rsid w:val="00B21858"/>
    <w:rsid w:val="00B226BD"/>
    <w:rsid w:val="00B228EC"/>
    <w:rsid w:val="00B22EAF"/>
    <w:rsid w:val="00B233B4"/>
    <w:rsid w:val="00B23736"/>
    <w:rsid w:val="00B23F15"/>
    <w:rsid w:val="00B2427E"/>
    <w:rsid w:val="00B2430F"/>
    <w:rsid w:val="00B257C5"/>
    <w:rsid w:val="00B2616F"/>
    <w:rsid w:val="00B26304"/>
    <w:rsid w:val="00B27634"/>
    <w:rsid w:val="00B27F01"/>
    <w:rsid w:val="00B30054"/>
    <w:rsid w:val="00B31E8F"/>
    <w:rsid w:val="00B32FB4"/>
    <w:rsid w:val="00B33188"/>
    <w:rsid w:val="00B338EB"/>
    <w:rsid w:val="00B33ECD"/>
    <w:rsid w:val="00B340D3"/>
    <w:rsid w:val="00B343C6"/>
    <w:rsid w:val="00B34A97"/>
    <w:rsid w:val="00B34E05"/>
    <w:rsid w:val="00B34E6B"/>
    <w:rsid w:val="00B3558A"/>
    <w:rsid w:val="00B36049"/>
    <w:rsid w:val="00B363C0"/>
    <w:rsid w:val="00B36415"/>
    <w:rsid w:val="00B36427"/>
    <w:rsid w:val="00B3662A"/>
    <w:rsid w:val="00B36A67"/>
    <w:rsid w:val="00B36D04"/>
    <w:rsid w:val="00B373F3"/>
    <w:rsid w:val="00B3752A"/>
    <w:rsid w:val="00B379AD"/>
    <w:rsid w:val="00B37A9B"/>
    <w:rsid w:val="00B37E5C"/>
    <w:rsid w:val="00B40573"/>
    <w:rsid w:val="00B409AA"/>
    <w:rsid w:val="00B41071"/>
    <w:rsid w:val="00B41397"/>
    <w:rsid w:val="00B41B21"/>
    <w:rsid w:val="00B42A6A"/>
    <w:rsid w:val="00B42AB5"/>
    <w:rsid w:val="00B433BD"/>
    <w:rsid w:val="00B4359A"/>
    <w:rsid w:val="00B44852"/>
    <w:rsid w:val="00B44A2C"/>
    <w:rsid w:val="00B44B68"/>
    <w:rsid w:val="00B44BE5"/>
    <w:rsid w:val="00B4512F"/>
    <w:rsid w:val="00B45EC2"/>
    <w:rsid w:val="00B4611A"/>
    <w:rsid w:val="00B464B6"/>
    <w:rsid w:val="00B46539"/>
    <w:rsid w:val="00B47316"/>
    <w:rsid w:val="00B475DA"/>
    <w:rsid w:val="00B50443"/>
    <w:rsid w:val="00B50738"/>
    <w:rsid w:val="00B51D49"/>
    <w:rsid w:val="00B525F5"/>
    <w:rsid w:val="00B54118"/>
    <w:rsid w:val="00B54489"/>
    <w:rsid w:val="00B5480B"/>
    <w:rsid w:val="00B548E9"/>
    <w:rsid w:val="00B54C09"/>
    <w:rsid w:val="00B5589B"/>
    <w:rsid w:val="00B563FB"/>
    <w:rsid w:val="00B5793E"/>
    <w:rsid w:val="00B57B55"/>
    <w:rsid w:val="00B57C11"/>
    <w:rsid w:val="00B57E25"/>
    <w:rsid w:val="00B57F5A"/>
    <w:rsid w:val="00B6036C"/>
    <w:rsid w:val="00B606C4"/>
    <w:rsid w:val="00B6148B"/>
    <w:rsid w:val="00B6181F"/>
    <w:rsid w:val="00B624C4"/>
    <w:rsid w:val="00B62B36"/>
    <w:rsid w:val="00B62E48"/>
    <w:rsid w:val="00B63D67"/>
    <w:rsid w:val="00B646FF"/>
    <w:rsid w:val="00B64CB6"/>
    <w:rsid w:val="00B6522D"/>
    <w:rsid w:val="00B6545B"/>
    <w:rsid w:val="00B65B17"/>
    <w:rsid w:val="00B65C59"/>
    <w:rsid w:val="00B65E30"/>
    <w:rsid w:val="00B65E86"/>
    <w:rsid w:val="00B66593"/>
    <w:rsid w:val="00B70D1E"/>
    <w:rsid w:val="00B70FCF"/>
    <w:rsid w:val="00B715AD"/>
    <w:rsid w:val="00B716DB"/>
    <w:rsid w:val="00B71A53"/>
    <w:rsid w:val="00B71FA9"/>
    <w:rsid w:val="00B72212"/>
    <w:rsid w:val="00B72C18"/>
    <w:rsid w:val="00B7378C"/>
    <w:rsid w:val="00B73D1C"/>
    <w:rsid w:val="00B73FD6"/>
    <w:rsid w:val="00B7412D"/>
    <w:rsid w:val="00B74153"/>
    <w:rsid w:val="00B74A0A"/>
    <w:rsid w:val="00B74C33"/>
    <w:rsid w:val="00B74E39"/>
    <w:rsid w:val="00B76D62"/>
    <w:rsid w:val="00B77018"/>
    <w:rsid w:val="00B77A50"/>
    <w:rsid w:val="00B77F88"/>
    <w:rsid w:val="00B805B5"/>
    <w:rsid w:val="00B8146D"/>
    <w:rsid w:val="00B8232D"/>
    <w:rsid w:val="00B82730"/>
    <w:rsid w:val="00B82752"/>
    <w:rsid w:val="00B82A90"/>
    <w:rsid w:val="00B8305D"/>
    <w:rsid w:val="00B84732"/>
    <w:rsid w:val="00B8483D"/>
    <w:rsid w:val="00B857D6"/>
    <w:rsid w:val="00B85B1A"/>
    <w:rsid w:val="00B86076"/>
    <w:rsid w:val="00B86851"/>
    <w:rsid w:val="00B91712"/>
    <w:rsid w:val="00B91A25"/>
    <w:rsid w:val="00B92162"/>
    <w:rsid w:val="00B925F2"/>
    <w:rsid w:val="00B93C76"/>
    <w:rsid w:val="00B93EA5"/>
    <w:rsid w:val="00B942D4"/>
    <w:rsid w:val="00B94408"/>
    <w:rsid w:val="00B963D5"/>
    <w:rsid w:val="00B968B0"/>
    <w:rsid w:val="00B96B98"/>
    <w:rsid w:val="00B96D44"/>
    <w:rsid w:val="00B97680"/>
    <w:rsid w:val="00B976F4"/>
    <w:rsid w:val="00B97E17"/>
    <w:rsid w:val="00BA07B0"/>
    <w:rsid w:val="00BA0CF4"/>
    <w:rsid w:val="00BA10D4"/>
    <w:rsid w:val="00BA1139"/>
    <w:rsid w:val="00BA1C26"/>
    <w:rsid w:val="00BA2130"/>
    <w:rsid w:val="00BA2294"/>
    <w:rsid w:val="00BA35A1"/>
    <w:rsid w:val="00BA5AEE"/>
    <w:rsid w:val="00BA6938"/>
    <w:rsid w:val="00BA69EF"/>
    <w:rsid w:val="00BA6A1A"/>
    <w:rsid w:val="00BA6DFB"/>
    <w:rsid w:val="00BA7CD0"/>
    <w:rsid w:val="00BB0809"/>
    <w:rsid w:val="00BB1594"/>
    <w:rsid w:val="00BB18CC"/>
    <w:rsid w:val="00BB1C74"/>
    <w:rsid w:val="00BB1CB5"/>
    <w:rsid w:val="00BB280E"/>
    <w:rsid w:val="00BB29AE"/>
    <w:rsid w:val="00BB2F22"/>
    <w:rsid w:val="00BB3617"/>
    <w:rsid w:val="00BB5E60"/>
    <w:rsid w:val="00BB5EF8"/>
    <w:rsid w:val="00BB64AA"/>
    <w:rsid w:val="00BB7523"/>
    <w:rsid w:val="00BB76BF"/>
    <w:rsid w:val="00BB77A2"/>
    <w:rsid w:val="00BB7C02"/>
    <w:rsid w:val="00BB7C12"/>
    <w:rsid w:val="00BC00AA"/>
    <w:rsid w:val="00BC0310"/>
    <w:rsid w:val="00BC07A6"/>
    <w:rsid w:val="00BC1440"/>
    <w:rsid w:val="00BC23A0"/>
    <w:rsid w:val="00BC2647"/>
    <w:rsid w:val="00BC3C68"/>
    <w:rsid w:val="00BC3C6B"/>
    <w:rsid w:val="00BC4B58"/>
    <w:rsid w:val="00BC4FE2"/>
    <w:rsid w:val="00BC69C2"/>
    <w:rsid w:val="00BC6B0C"/>
    <w:rsid w:val="00BC782D"/>
    <w:rsid w:val="00BC7F9E"/>
    <w:rsid w:val="00BD0049"/>
    <w:rsid w:val="00BD017F"/>
    <w:rsid w:val="00BD0316"/>
    <w:rsid w:val="00BD0982"/>
    <w:rsid w:val="00BD0EF6"/>
    <w:rsid w:val="00BD1237"/>
    <w:rsid w:val="00BD1665"/>
    <w:rsid w:val="00BD310B"/>
    <w:rsid w:val="00BD432F"/>
    <w:rsid w:val="00BD491C"/>
    <w:rsid w:val="00BD4B12"/>
    <w:rsid w:val="00BD526B"/>
    <w:rsid w:val="00BD6255"/>
    <w:rsid w:val="00BD63E2"/>
    <w:rsid w:val="00BD67F2"/>
    <w:rsid w:val="00BD6A59"/>
    <w:rsid w:val="00BD6BAA"/>
    <w:rsid w:val="00BD78D8"/>
    <w:rsid w:val="00BD78FB"/>
    <w:rsid w:val="00BE008F"/>
    <w:rsid w:val="00BE036F"/>
    <w:rsid w:val="00BE091A"/>
    <w:rsid w:val="00BE0CFC"/>
    <w:rsid w:val="00BE1657"/>
    <w:rsid w:val="00BE16E4"/>
    <w:rsid w:val="00BE19D0"/>
    <w:rsid w:val="00BE1C4E"/>
    <w:rsid w:val="00BE1ECF"/>
    <w:rsid w:val="00BE228F"/>
    <w:rsid w:val="00BE24C1"/>
    <w:rsid w:val="00BE2860"/>
    <w:rsid w:val="00BE31A1"/>
    <w:rsid w:val="00BE3C1C"/>
    <w:rsid w:val="00BE3ED6"/>
    <w:rsid w:val="00BE44A1"/>
    <w:rsid w:val="00BE4843"/>
    <w:rsid w:val="00BE4EFB"/>
    <w:rsid w:val="00BE5328"/>
    <w:rsid w:val="00BE6964"/>
    <w:rsid w:val="00BE6ADF"/>
    <w:rsid w:val="00BE78A1"/>
    <w:rsid w:val="00BE7DEC"/>
    <w:rsid w:val="00BE7E3F"/>
    <w:rsid w:val="00BE7E8B"/>
    <w:rsid w:val="00BF0A62"/>
    <w:rsid w:val="00BF1A8A"/>
    <w:rsid w:val="00BF1D57"/>
    <w:rsid w:val="00BF1E70"/>
    <w:rsid w:val="00BF278D"/>
    <w:rsid w:val="00BF28A0"/>
    <w:rsid w:val="00BF34B3"/>
    <w:rsid w:val="00BF3697"/>
    <w:rsid w:val="00BF3CB2"/>
    <w:rsid w:val="00BF4A6B"/>
    <w:rsid w:val="00BF4DFC"/>
    <w:rsid w:val="00BF4F07"/>
    <w:rsid w:val="00BF55B8"/>
    <w:rsid w:val="00BF5A0B"/>
    <w:rsid w:val="00BF6B9E"/>
    <w:rsid w:val="00BF6FBE"/>
    <w:rsid w:val="00BF739B"/>
    <w:rsid w:val="00BF7F4E"/>
    <w:rsid w:val="00C00717"/>
    <w:rsid w:val="00C00F84"/>
    <w:rsid w:val="00C017BC"/>
    <w:rsid w:val="00C01C2E"/>
    <w:rsid w:val="00C04807"/>
    <w:rsid w:val="00C04EF1"/>
    <w:rsid w:val="00C053EF"/>
    <w:rsid w:val="00C05DD4"/>
    <w:rsid w:val="00C060D7"/>
    <w:rsid w:val="00C0636E"/>
    <w:rsid w:val="00C066E0"/>
    <w:rsid w:val="00C069CC"/>
    <w:rsid w:val="00C07A30"/>
    <w:rsid w:val="00C07AA1"/>
    <w:rsid w:val="00C1073D"/>
    <w:rsid w:val="00C10747"/>
    <w:rsid w:val="00C10AF1"/>
    <w:rsid w:val="00C10BF9"/>
    <w:rsid w:val="00C10D57"/>
    <w:rsid w:val="00C10E39"/>
    <w:rsid w:val="00C1107F"/>
    <w:rsid w:val="00C111FF"/>
    <w:rsid w:val="00C112CA"/>
    <w:rsid w:val="00C1185A"/>
    <w:rsid w:val="00C119D3"/>
    <w:rsid w:val="00C11B87"/>
    <w:rsid w:val="00C13E49"/>
    <w:rsid w:val="00C143D3"/>
    <w:rsid w:val="00C1441B"/>
    <w:rsid w:val="00C14E94"/>
    <w:rsid w:val="00C14FB7"/>
    <w:rsid w:val="00C1526E"/>
    <w:rsid w:val="00C15863"/>
    <w:rsid w:val="00C160EB"/>
    <w:rsid w:val="00C16F24"/>
    <w:rsid w:val="00C17438"/>
    <w:rsid w:val="00C175E0"/>
    <w:rsid w:val="00C17FE0"/>
    <w:rsid w:val="00C20991"/>
    <w:rsid w:val="00C209A9"/>
    <w:rsid w:val="00C20DDC"/>
    <w:rsid w:val="00C21119"/>
    <w:rsid w:val="00C21A0A"/>
    <w:rsid w:val="00C21DC9"/>
    <w:rsid w:val="00C21F59"/>
    <w:rsid w:val="00C22CEA"/>
    <w:rsid w:val="00C22D6B"/>
    <w:rsid w:val="00C2391A"/>
    <w:rsid w:val="00C24680"/>
    <w:rsid w:val="00C250C7"/>
    <w:rsid w:val="00C25347"/>
    <w:rsid w:val="00C255A9"/>
    <w:rsid w:val="00C26241"/>
    <w:rsid w:val="00C2651C"/>
    <w:rsid w:val="00C26824"/>
    <w:rsid w:val="00C26F0D"/>
    <w:rsid w:val="00C26F87"/>
    <w:rsid w:val="00C27331"/>
    <w:rsid w:val="00C27512"/>
    <w:rsid w:val="00C27C55"/>
    <w:rsid w:val="00C307A1"/>
    <w:rsid w:val="00C307B6"/>
    <w:rsid w:val="00C309C0"/>
    <w:rsid w:val="00C30E8E"/>
    <w:rsid w:val="00C30F70"/>
    <w:rsid w:val="00C31B26"/>
    <w:rsid w:val="00C3277F"/>
    <w:rsid w:val="00C33110"/>
    <w:rsid w:val="00C34530"/>
    <w:rsid w:val="00C3557D"/>
    <w:rsid w:val="00C36C63"/>
    <w:rsid w:val="00C3721A"/>
    <w:rsid w:val="00C41251"/>
    <w:rsid w:val="00C417C4"/>
    <w:rsid w:val="00C4269A"/>
    <w:rsid w:val="00C4295C"/>
    <w:rsid w:val="00C43553"/>
    <w:rsid w:val="00C4390D"/>
    <w:rsid w:val="00C43BAB"/>
    <w:rsid w:val="00C43E58"/>
    <w:rsid w:val="00C44C44"/>
    <w:rsid w:val="00C453C8"/>
    <w:rsid w:val="00C455D6"/>
    <w:rsid w:val="00C45795"/>
    <w:rsid w:val="00C45A10"/>
    <w:rsid w:val="00C45CA1"/>
    <w:rsid w:val="00C46482"/>
    <w:rsid w:val="00C46BA6"/>
    <w:rsid w:val="00C471A1"/>
    <w:rsid w:val="00C47500"/>
    <w:rsid w:val="00C47685"/>
    <w:rsid w:val="00C4774F"/>
    <w:rsid w:val="00C47917"/>
    <w:rsid w:val="00C5065F"/>
    <w:rsid w:val="00C50ACB"/>
    <w:rsid w:val="00C50EF2"/>
    <w:rsid w:val="00C50EFC"/>
    <w:rsid w:val="00C50FB9"/>
    <w:rsid w:val="00C51D90"/>
    <w:rsid w:val="00C52647"/>
    <w:rsid w:val="00C5276F"/>
    <w:rsid w:val="00C542CC"/>
    <w:rsid w:val="00C54ED1"/>
    <w:rsid w:val="00C5546B"/>
    <w:rsid w:val="00C5641A"/>
    <w:rsid w:val="00C57017"/>
    <w:rsid w:val="00C5752D"/>
    <w:rsid w:val="00C6032A"/>
    <w:rsid w:val="00C614E4"/>
    <w:rsid w:val="00C6169B"/>
    <w:rsid w:val="00C61D0A"/>
    <w:rsid w:val="00C64610"/>
    <w:rsid w:val="00C64991"/>
    <w:rsid w:val="00C65883"/>
    <w:rsid w:val="00C65EE5"/>
    <w:rsid w:val="00C66342"/>
    <w:rsid w:val="00C665BB"/>
    <w:rsid w:val="00C673E7"/>
    <w:rsid w:val="00C67A0F"/>
    <w:rsid w:val="00C704BE"/>
    <w:rsid w:val="00C70AD6"/>
    <w:rsid w:val="00C70D84"/>
    <w:rsid w:val="00C712D2"/>
    <w:rsid w:val="00C72A07"/>
    <w:rsid w:val="00C736B3"/>
    <w:rsid w:val="00C743BE"/>
    <w:rsid w:val="00C74879"/>
    <w:rsid w:val="00C76336"/>
    <w:rsid w:val="00C76899"/>
    <w:rsid w:val="00C76CFA"/>
    <w:rsid w:val="00C76DA3"/>
    <w:rsid w:val="00C80274"/>
    <w:rsid w:val="00C80597"/>
    <w:rsid w:val="00C80914"/>
    <w:rsid w:val="00C81B14"/>
    <w:rsid w:val="00C824FC"/>
    <w:rsid w:val="00C82541"/>
    <w:rsid w:val="00C826DA"/>
    <w:rsid w:val="00C829CD"/>
    <w:rsid w:val="00C83F01"/>
    <w:rsid w:val="00C84519"/>
    <w:rsid w:val="00C846FC"/>
    <w:rsid w:val="00C848D5"/>
    <w:rsid w:val="00C84FF5"/>
    <w:rsid w:val="00C8511F"/>
    <w:rsid w:val="00C8515D"/>
    <w:rsid w:val="00C851C4"/>
    <w:rsid w:val="00C860A2"/>
    <w:rsid w:val="00C86CF2"/>
    <w:rsid w:val="00C86D98"/>
    <w:rsid w:val="00C87206"/>
    <w:rsid w:val="00C87211"/>
    <w:rsid w:val="00C87438"/>
    <w:rsid w:val="00C90E8E"/>
    <w:rsid w:val="00C916F9"/>
    <w:rsid w:val="00C9193E"/>
    <w:rsid w:val="00C928A9"/>
    <w:rsid w:val="00C937B1"/>
    <w:rsid w:val="00C94401"/>
    <w:rsid w:val="00C945A1"/>
    <w:rsid w:val="00C94C61"/>
    <w:rsid w:val="00C95C66"/>
    <w:rsid w:val="00C95EB7"/>
    <w:rsid w:val="00C962AB"/>
    <w:rsid w:val="00C96345"/>
    <w:rsid w:val="00C9637D"/>
    <w:rsid w:val="00C9653E"/>
    <w:rsid w:val="00C96796"/>
    <w:rsid w:val="00C978F8"/>
    <w:rsid w:val="00C9798B"/>
    <w:rsid w:val="00CA007E"/>
    <w:rsid w:val="00CA0418"/>
    <w:rsid w:val="00CA0A2A"/>
    <w:rsid w:val="00CA0D8C"/>
    <w:rsid w:val="00CA1E99"/>
    <w:rsid w:val="00CA24A6"/>
    <w:rsid w:val="00CA3F83"/>
    <w:rsid w:val="00CA4A15"/>
    <w:rsid w:val="00CA5327"/>
    <w:rsid w:val="00CA5440"/>
    <w:rsid w:val="00CA6290"/>
    <w:rsid w:val="00CB0218"/>
    <w:rsid w:val="00CB03B2"/>
    <w:rsid w:val="00CB0615"/>
    <w:rsid w:val="00CB0B9B"/>
    <w:rsid w:val="00CB1CB4"/>
    <w:rsid w:val="00CB2166"/>
    <w:rsid w:val="00CB2448"/>
    <w:rsid w:val="00CB270D"/>
    <w:rsid w:val="00CB2CA3"/>
    <w:rsid w:val="00CB2FD8"/>
    <w:rsid w:val="00CB3D8C"/>
    <w:rsid w:val="00CB3FB1"/>
    <w:rsid w:val="00CB47FE"/>
    <w:rsid w:val="00CB4934"/>
    <w:rsid w:val="00CB52F1"/>
    <w:rsid w:val="00CB5828"/>
    <w:rsid w:val="00CB646E"/>
    <w:rsid w:val="00CB6708"/>
    <w:rsid w:val="00CB68C2"/>
    <w:rsid w:val="00CB68F3"/>
    <w:rsid w:val="00CB725B"/>
    <w:rsid w:val="00CC0FF5"/>
    <w:rsid w:val="00CC11D8"/>
    <w:rsid w:val="00CC15DC"/>
    <w:rsid w:val="00CC2B52"/>
    <w:rsid w:val="00CC2F31"/>
    <w:rsid w:val="00CC33F4"/>
    <w:rsid w:val="00CC375B"/>
    <w:rsid w:val="00CC4BC1"/>
    <w:rsid w:val="00CC4DA1"/>
    <w:rsid w:val="00CC4F20"/>
    <w:rsid w:val="00CC50B5"/>
    <w:rsid w:val="00CC5141"/>
    <w:rsid w:val="00CC56D8"/>
    <w:rsid w:val="00CC5CE5"/>
    <w:rsid w:val="00CC634B"/>
    <w:rsid w:val="00CC69FC"/>
    <w:rsid w:val="00CC6B2D"/>
    <w:rsid w:val="00CC7418"/>
    <w:rsid w:val="00CC7DD2"/>
    <w:rsid w:val="00CD039A"/>
    <w:rsid w:val="00CD0699"/>
    <w:rsid w:val="00CD0B27"/>
    <w:rsid w:val="00CD102C"/>
    <w:rsid w:val="00CD1066"/>
    <w:rsid w:val="00CD179C"/>
    <w:rsid w:val="00CD2A30"/>
    <w:rsid w:val="00CD30B4"/>
    <w:rsid w:val="00CD32BF"/>
    <w:rsid w:val="00CD42AC"/>
    <w:rsid w:val="00CD4310"/>
    <w:rsid w:val="00CD4803"/>
    <w:rsid w:val="00CD5046"/>
    <w:rsid w:val="00CD582B"/>
    <w:rsid w:val="00CD5CC4"/>
    <w:rsid w:val="00CD6410"/>
    <w:rsid w:val="00CD6A4E"/>
    <w:rsid w:val="00CD6B49"/>
    <w:rsid w:val="00CD6E82"/>
    <w:rsid w:val="00CD75E4"/>
    <w:rsid w:val="00CE0BB5"/>
    <w:rsid w:val="00CE1103"/>
    <w:rsid w:val="00CE1676"/>
    <w:rsid w:val="00CE2102"/>
    <w:rsid w:val="00CE238C"/>
    <w:rsid w:val="00CE399B"/>
    <w:rsid w:val="00CE4BE9"/>
    <w:rsid w:val="00CE578A"/>
    <w:rsid w:val="00CE5A63"/>
    <w:rsid w:val="00CE6357"/>
    <w:rsid w:val="00CE642B"/>
    <w:rsid w:val="00CE65F8"/>
    <w:rsid w:val="00CE6E3C"/>
    <w:rsid w:val="00CE758B"/>
    <w:rsid w:val="00CE7BB2"/>
    <w:rsid w:val="00CE7CE4"/>
    <w:rsid w:val="00CF0C5D"/>
    <w:rsid w:val="00CF10C1"/>
    <w:rsid w:val="00CF1967"/>
    <w:rsid w:val="00CF20B6"/>
    <w:rsid w:val="00CF2C6F"/>
    <w:rsid w:val="00CF31E7"/>
    <w:rsid w:val="00CF3925"/>
    <w:rsid w:val="00CF436F"/>
    <w:rsid w:val="00CF450A"/>
    <w:rsid w:val="00CF4566"/>
    <w:rsid w:val="00CF4D51"/>
    <w:rsid w:val="00CF5174"/>
    <w:rsid w:val="00CF5C8E"/>
    <w:rsid w:val="00CF638A"/>
    <w:rsid w:val="00CF7398"/>
    <w:rsid w:val="00D00178"/>
    <w:rsid w:val="00D00A67"/>
    <w:rsid w:val="00D00C89"/>
    <w:rsid w:val="00D01B86"/>
    <w:rsid w:val="00D01F8E"/>
    <w:rsid w:val="00D021B6"/>
    <w:rsid w:val="00D0229B"/>
    <w:rsid w:val="00D022DC"/>
    <w:rsid w:val="00D02C86"/>
    <w:rsid w:val="00D0373A"/>
    <w:rsid w:val="00D03C03"/>
    <w:rsid w:val="00D03C4D"/>
    <w:rsid w:val="00D03FC9"/>
    <w:rsid w:val="00D05785"/>
    <w:rsid w:val="00D06DDE"/>
    <w:rsid w:val="00D06FC9"/>
    <w:rsid w:val="00D07521"/>
    <w:rsid w:val="00D10552"/>
    <w:rsid w:val="00D105AF"/>
    <w:rsid w:val="00D10BD4"/>
    <w:rsid w:val="00D113D6"/>
    <w:rsid w:val="00D11C18"/>
    <w:rsid w:val="00D11E35"/>
    <w:rsid w:val="00D12245"/>
    <w:rsid w:val="00D126EF"/>
    <w:rsid w:val="00D131BB"/>
    <w:rsid w:val="00D1358D"/>
    <w:rsid w:val="00D13D0D"/>
    <w:rsid w:val="00D15213"/>
    <w:rsid w:val="00D15C4F"/>
    <w:rsid w:val="00D16238"/>
    <w:rsid w:val="00D163AE"/>
    <w:rsid w:val="00D16553"/>
    <w:rsid w:val="00D1719D"/>
    <w:rsid w:val="00D17C4E"/>
    <w:rsid w:val="00D17E3C"/>
    <w:rsid w:val="00D20244"/>
    <w:rsid w:val="00D20A73"/>
    <w:rsid w:val="00D20E0D"/>
    <w:rsid w:val="00D2117F"/>
    <w:rsid w:val="00D21473"/>
    <w:rsid w:val="00D21487"/>
    <w:rsid w:val="00D2166D"/>
    <w:rsid w:val="00D21A1E"/>
    <w:rsid w:val="00D22255"/>
    <w:rsid w:val="00D22F3E"/>
    <w:rsid w:val="00D242D8"/>
    <w:rsid w:val="00D24BFD"/>
    <w:rsid w:val="00D2685D"/>
    <w:rsid w:val="00D268D2"/>
    <w:rsid w:val="00D26F27"/>
    <w:rsid w:val="00D30677"/>
    <w:rsid w:val="00D3082A"/>
    <w:rsid w:val="00D30B5D"/>
    <w:rsid w:val="00D31C55"/>
    <w:rsid w:val="00D3201B"/>
    <w:rsid w:val="00D321AA"/>
    <w:rsid w:val="00D323F8"/>
    <w:rsid w:val="00D32874"/>
    <w:rsid w:val="00D32BDE"/>
    <w:rsid w:val="00D33534"/>
    <w:rsid w:val="00D33F5C"/>
    <w:rsid w:val="00D351BA"/>
    <w:rsid w:val="00D35A71"/>
    <w:rsid w:val="00D36BBF"/>
    <w:rsid w:val="00D36D9F"/>
    <w:rsid w:val="00D371BA"/>
    <w:rsid w:val="00D3771C"/>
    <w:rsid w:val="00D409ED"/>
    <w:rsid w:val="00D40CCA"/>
    <w:rsid w:val="00D41048"/>
    <w:rsid w:val="00D410FB"/>
    <w:rsid w:val="00D41CC5"/>
    <w:rsid w:val="00D41E07"/>
    <w:rsid w:val="00D41F01"/>
    <w:rsid w:val="00D4207A"/>
    <w:rsid w:val="00D4213E"/>
    <w:rsid w:val="00D4232E"/>
    <w:rsid w:val="00D43FDE"/>
    <w:rsid w:val="00D44265"/>
    <w:rsid w:val="00D44B99"/>
    <w:rsid w:val="00D44B9B"/>
    <w:rsid w:val="00D44BA4"/>
    <w:rsid w:val="00D45A34"/>
    <w:rsid w:val="00D4654B"/>
    <w:rsid w:val="00D47066"/>
    <w:rsid w:val="00D470C8"/>
    <w:rsid w:val="00D47337"/>
    <w:rsid w:val="00D47974"/>
    <w:rsid w:val="00D5047C"/>
    <w:rsid w:val="00D50ACC"/>
    <w:rsid w:val="00D5213D"/>
    <w:rsid w:val="00D52197"/>
    <w:rsid w:val="00D5252C"/>
    <w:rsid w:val="00D52D36"/>
    <w:rsid w:val="00D53B53"/>
    <w:rsid w:val="00D53DC8"/>
    <w:rsid w:val="00D540C5"/>
    <w:rsid w:val="00D55ADA"/>
    <w:rsid w:val="00D55E69"/>
    <w:rsid w:val="00D56146"/>
    <w:rsid w:val="00D5629C"/>
    <w:rsid w:val="00D57097"/>
    <w:rsid w:val="00D571B6"/>
    <w:rsid w:val="00D574BE"/>
    <w:rsid w:val="00D5762C"/>
    <w:rsid w:val="00D57BAE"/>
    <w:rsid w:val="00D60593"/>
    <w:rsid w:val="00D61311"/>
    <w:rsid w:val="00D618B0"/>
    <w:rsid w:val="00D626FC"/>
    <w:rsid w:val="00D627A1"/>
    <w:rsid w:val="00D62AE0"/>
    <w:rsid w:val="00D63CC2"/>
    <w:rsid w:val="00D643CD"/>
    <w:rsid w:val="00D645E7"/>
    <w:rsid w:val="00D64AD1"/>
    <w:rsid w:val="00D64F77"/>
    <w:rsid w:val="00D650A3"/>
    <w:rsid w:val="00D65AFC"/>
    <w:rsid w:val="00D66A0A"/>
    <w:rsid w:val="00D67F95"/>
    <w:rsid w:val="00D708E2"/>
    <w:rsid w:val="00D70B55"/>
    <w:rsid w:val="00D71528"/>
    <w:rsid w:val="00D71F76"/>
    <w:rsid w:val="00D71FF7"/>
    <w:rsid w:val="00D72004"/>
    <w:rsid w:val="00D722B0"/>
    <w:rsid w:val="00D72494"/>
    <w:rsid w:val="00D734F0"/>
    <w:rsid w:val="00D734FD"/>
    <w:rsid w:val="00D73DBB"/>
    <w:rsid w:val="00D74449"/>
    <w:rsid w:val="00D7613C"/>
    <w:rsid w:val="00D76329"/>
    <w:rsid w:val="00D7702D"/>
    <w:rsid w:val="00D775F1"/>
    <w:rsid w:val="00D778E3"/>
    <w:rsid w:val="00D77AB6"/>
    <w:rsid w:val="00D820E6"/>
    <w:rsid w:val="00D836EA"/>
    <w:rsid w:val="00D83A88"/>
    <w:rsid w:val="00D84518"/>
    <w:rsid w:val="00D847B0"/>
    <w:rsid w:val="00D84875"/>
    <w:rsid w:val="00D84E0A"/>
    <w:rsid w:val="00D859FC"/>
    <w:rsid w:val="00D86303"/>
    <w:rsid w:val="00D86D36"/>
    <w:rsid w:val="00D9006B"/>
    <w:rsid w:val="00D900C7"/>
    <w:rsid w:val="00D908B8"/>
    <w:rsid w:val="00D90B05"/>
    <w:rsid w:val="00D9118A"/>
    <w:rsid w:val="00D91988"/>
    <w:rsid w:val="00D91C49"/>
    <w:rsid w:val="00D91C9D"/>
    <w:rsid w:val="00D91EF1"/>
    <w:rsid w:val="00D92248"/>
    <w:rsid w:val="00D9254A"/>
    <w:rsid w:val="00D925A2"/>
    <w:rsid w:val="00D927C5"/>
    <w:rsid w:val="00D92ED8"/>
    <w:rsid w:val="00D92F19"/>
    <w:rsid w:val="00D9306A"/>
    <w:rsid w:val="00D93643"/>
    <w:rsid w:val="00D9387F"/>
    <w:rsid w:val="00D93E8E"/>
    <w:rsid w:val="00D94554"/>
    <w:rsid w:val="00D9464F"/>
    <w:rsid w:val="00D94B13"/>
    <w:rsid w:val="00D94BCC"/>
    <w:rsid w:val="00D953DA"/>
    <w:rsid w:val="00D95794"/>
    <w:rsid w:val="00D95B24"/>
    <w:rsid w:val="00D95F6A"/>
    <w:rsid w:val="00D9686F"/>
    <w:rsid w:val="00D9749D"/>
    <w:rsid w:val="00DA0E3B"/>
    <w:rsid w:val="00DA1049"/>
    <w:rsid w:val="00DA1166"/>
    <w:rsid w:val="00DA1565"/>
    <w:rsid w:val="00DA1C34"/>
    <w:rsid w:val="00DA2546"/>
    <w:rsid w:val="00DA3D3C"/>
    <w:rsid w:val="00DA3E26"/>
    <w:rsid w:val="00DA3E66"/>
    <w:rsid w:val="00DA4B64"/>
    <w:rsid w:val="00DA523F"/>
    <w:rsid w:val="00DA5B17"/>
    <w:rsid w:val="00DA5D14"/>
    <w:rsid w:val="00DA5EA9"/>
    <w:rsid w:val="00DA61BE"/>
    <w:rsid w:val="00DA683B"/>
    <w:rsid w:val="00DA697F"/>
    <w:rsid w:val="00DA7234"/>
    <w:rsid w:val="00DA7AB5"/>
    <w:rsid w:val="00DA7FE1"/>
    <w:rsid w:val="00DB04C1"/>
    <w:rsid w:val="00DB06DD"/>
    <w:rsid w:val="00DB07FF"/>
    <w:rsid w:val="00DB0C65"/>
    <w:rsid w:val="00DB1981"/>
    <w:rsid w:val="00DB1A8B"/>
    <w:rsid w:val="00DB24FE"/>
    <w:rsid w:val="00DB295B"/>
    <w:rsid w:val="00DB2A11"/>
    <w:rsid w:val="00DB315F"/>
    <w:rsid w:val="00DB36E6"/>
    <w:rsid w:val="00DB37A3"/>
    <w:rsid w:val="00DB3A66"/>
    <w:rsid w:val="00DB3D0C"/>
    <w:rsid w:val="00DB4DD9"/>
    <w:rsid w:val="00DB59AC"/>
    <w:rsid w:val="00DB7019"/>
    <w:rsid w:val="00DB7340"/>
    <w:rsid w:val="00DC04A1"/>
    <w:rsid w:val="00DC0DAE"/>
    <w:rsid w:val="00DC11F2"/>
    <w:rsid w:val="00DC1D2C"/>
    <w:rsid w:val="00DC2B50"/>
    <w:rsid w:val="00DC3585"/>
    <w:rsid w:val="00DC3EC9"/>
    <w:rsid w:val="00DC43CF"/>
    <w:rsid w:val="00DC4C92"/>
    <w:rsid w:val="00DC4CE5"/>
    <w:rsid w:val="00DC4F1F"/>
    <w:rsid w:val="00DC5082"/>
    <w:rsid w:val="00DC51B2"/>
    <w:rsid w:val="00DC57CC"/>
    <w:rsid w:val="00DC6337"/>
    <w:rsid w:val="00DC6585"/>
    <w:rsid w:val="00DC7052"/>
    <w:rsid w:val="00DC707F"/>
    <w:rsid w:val="00DC7F51"/>
    <w:rsid w:val="00DD00BA"/>
    <w:rsid w:val="00DD0606"/>
    <w:rsid w:val="00DD1842"/>
    <w:rsid w:val="00DD2FB8"/>
    <w:rsid w:val="00DD393E"/>
    <w:rsid w:val="00DD44B6"/>
    <w:rsid w:val="00DD5339"/>
    <w:rsid w:val="00DD55CC"/>
    <w:rsid w:val="00DD6903"/>
    <w:rsid w:val="00DD77F6"/>
    <w:rsid w:val="00DD78C4"/>
    <w:rsid w:val="00DD7933"/>
    <w:rsid w:val="00DD7DB0"/>
    <w:rsid w:val="00DE0ED3"/>
    <w:rsid w:val="00DE0FB2"/>
    <w:rsid w:val="00DE2EA6"/>
    <w:rsid w:val="00DE3CCC"/>
    <w:rsid w:val="00DE45C1"/>
    <w:rsid w:val="00DE4667"/>
    <w:rsid w:val="00DE5AD8"/>
    <w:rsid w:val="00DE6756"/>
    <w:rsid w:val="00DE6833"/>
    <w:rsid w:val="00DE7030"/>
    <w:rsid w:val="00DE78C8"/>
    <w:rsid w:val="00DE79D9"/>
    <w:rsid w:val="00DF0264"/>
    <w:rsid w:val="00DF0507"/>
    <w:rsid w:val="00DF176E"/>
    <w:rsid w:val="00DF183B"/>
    <w:rsid w:val="00DF2597"/>
    <w:rsid w:val="00DF3BD8"/>
    <w:rsid w:val="00DF3F3D"/>
    <w:rsid w:val="00DF3F59"/>
    <w:rsid w:val="00DF440A"/>
    <w:rsid w:val="00DF44EB"/>
    <w:rsid w:val="00DF4640"/>
    <w:rsid w:val="00DF4841"/>
    <w:rsid w:val="00DF49E5"/>
    <w:rsid w:val="00DF4B06"/>
    <w:rsid w:val="00DF4DA8"/>
    <w:rsid w:val="00DF5291"/>
    <w:rsid w:val="00DF535D"/>
    <w:rsid w:val="00DF5E1B"/>
    <w:rsid w:val="00DF7D61"/>
    <w:rsid w:val="00E000A8"/>
    <w:rsid w:val="00E00127"/>
    <w:rsid w:val="00E01770"/>
    <w:rsid w:val="00E01BA3"/>
    <w:rsid w:val="00E01D28"/>
    <w:rsid w:val="00E02F5D"/>
    <w:rsid w:val="00E02F6E"/>
    <w:rsid w:val="00E03843"/>
    <w:rsid w:val="00E038F6"/>
    <w:rsid w:val="00E03987"/>
    <w:rsid w:val="00E03B02"/>
    <w:rsid w:val="00E044F1"/>
    <w:rsid w:val="00E0467B"/>
    <w:rsid w:val="00E04DF7"/>
    <w:rsid w:val="00E054ED"/>
    <w:rsid w:val="00E0574B"/>
    <w:rsid w:val="00E05DF5"/>
    <w:rsid w:val="00E061F9"/>
    <w:rsid w:val="00E07D6D"/>
    <w:rsid w:val="00E07ED4"/>
    <w:rsid w:val="00E07F5D"/>
    <w:rsid w:val="00E10843"/>
    <w:rsid w:val="00E1104A"/>
    <w:rsid w:val="00E1143B"/>
    <w:rsid w:val="00E12100"/>
    <w:rsid w:val="00E1353E"/>
    <w:rsid w:val="00E13B3F"/>
    <w:rsid w:val="00E13C02"/>
    <w:rsid w:val="00E1402B"/>
    <w:rsid w:val="00E152F0"/>
    <w:rsid w:val="00E15B3E"/>
    <w:rsid w:val="00E16B74"/>
    <w:rsid w:val="00E174B4"/>
    <w:rsid w:val="00E201D2"/>
    <w:rsid w:val="00E20392"/>
    <w:rsid w:val="00E20CE8"/>
    <w:rsid w:val="00E20D62"/>
    <w:rsid w:val="00E21300"/>
    <w:rsid w:val="00E21E02"/>
    <w:rsid w:val="00E2201E"/>
    <w:rsid w:val="00E2203C"/>
    <w:rsid w:val="00E22C21"/>
    <w:rsid w:val="00E23F1F"/>
    <w:rsid w:val="00E2455B"/>
    <w:rsid w:val="00E24E31"/>
    <w:rsid w:val="00E25319"/>
    <w:rsid w:val="00E257DB"/>
    <w:rsid w:val="00E25A7C"/>
    <w:rsid w:val="00E25D42"/>
    <w:rsid w:val="00E26272"/>
    <w:rsid w:val="00E27801"/>
    <w:rsid w:val="00E27B69"/>
    <w:rsid w:val="00E30315"/>
    <w:rsid w:val="00E3042A"/>
    <w:rsid w:val="00E310C2"/>
    <w:rsid w:val="00E3125E"/>
    <w:rsid w:val="00E3199C"/>
    <w:rsid w:val="00E32107"/>
    <w:rsid w:val="00E32526"/>
    <w:rsid w:val="00E32DC6"/>
    <w:rsid w:val="00E3357F"/>
    <w:rsid w:val="00E335A1"/>
    <w:rsid w:val="00E33B2C"/>
    <w:rsid w:val="00E34030"/>
    <w:rsid w:val="00E34662"/>
    <w:rsid w:val="00E358D7"/>
    <w:rsid w:val="00E35F0B"/>
    <w:rsid w:val="00E367B8"/>
    <w:rsid w:val="00E37480"/>
    <w:rsid w:val="00E37A07"/>
    <w:rsid w:val="00E40911"/>
    <w:rsid w:val="00E42081"/>
    <w:rsid w:val="00E42E97"/>
    <w:rsid w:val="00E43052"/>
    <w:rsid w:val="00E4339D"/>
    <w:rsid w:val="00E44CFC"/>
    <w:rsid w:val="00E4581C"/>
    <w:rsid w:val="00E45E5F"/>
    <w:rsid w:val="00E463CB"/>
    <w:rsid w:val="00E468C1"/>
    <w:rsid w:val="00E46EC7"/>
    <w:rsid w:val="00E46FE8"/>
    <w:rsid w:val="00E504A6"/>
    <w:rsid w:val="00E51EC6"/>
    <w:rsid w:val="00E5205A"/>
    <w:rsid w:val="00E52FFE"/>
    <w:rsid w:val="00E54207"/>
    <w:rsid w:val="00E545E5"/>
    <w:rsid w:val="00E548BB"/>
    <w:rsid w:val="00E54923"/>
    <w:rsid w:val="00E5556E"/>
    <w:rsid w:val="00E577A2"/>
    <w:rsid w:val="00E57AFA"/>
    <w:rsid w:val="00E57E83"/>
    <w:rsid w:val="00E60499"/>
    <w:rsid w:val="00E60CDE"/>
    <w:rsid w:val="00E62A13"/>
    <w:rsid w:val="00E62D6F"/>
    <w:rsid w:val="00E6321E"/>
    <w:rsid w:val="00E63851"/>
    <w:rsid w:val="00E63ADF"/>
    <w:rsid w:val="00E63B2F"/>
    <w:rsid w:val="00E643A7"/>
    <w:rsid w:val="00E645D3"/>
    <w:rsid w:val="00E648DF"/>
    <w:rsid w:val="00E64FE4"/>
    <w:rsid w:val="00E65E18"/>
    <w:rsid w:val="00E66391"/>
    <w:rsid w:val="00E66D2B"/>
    <w:rsid w:val="00E67889"/>
    <w:rsid w:val="00E70083"/>
    <w:rsid w:val="00E70AA3"/>
    <w:rsid w:val="00E70B94"/>
    <w:rsid w:val="00E721A2"/>
    <w:rsid w:val="00E72391"/>
    <w:rsid w:val="00E7264E"/>
    <w:rsid w:val="00E728A4"/>
    <w:rsid w:val="00E72DFE"/>
    <w:rsid w:val="00E72E25"/>
    <w:rsid w:val="00E731A9"/>
    <w:rsid w:val="00E732CF"/>
    <w:rsid w:val="00E73C65"/>
    <w:rsid w:val="00E73F03"/>
    <w:rsid w:val="00E74C44"/>
    <w:rsid w:val="00E760D8"/>
    <w:rsid w:val="00E7637C"/>
    <w:rsid w:val="00E772EE"/>
    <w:rsid w:val="00E77C28"/>
    <w:rsid w:val="00E77CA7"/>
    <w:rsid w:val="00E77CFA"/>
    <w:rsid w:val="00E8003B"/>
    <w:rsid w:val="00E80965"/>
    <w:rsid w:val="00E810DB"/>
    <w:rsid w:val="00E810F6"/>
    <w:rsid w:val="00E8150F"/>
    <w:rsid w:val="00E817EB"/>
    <w:rsid w:val="00E82C83"/>
    <w:rsid w:val="00E82DFA"/>
    <w:rsid w:val="00E82FEE"/>
    <w:rsid w:val="00E831B0"/>
    <w:rsid w:val="00E8363F"/>
    <w:rsid w:val="00E844CB"/>
    <w:rsid w:val="00E84E00"/>
    <w:rsid w:val="00E85235"/>
    <w:rsid w:val="00E859A8"/>
    <w:rsid w:val="00E85EF9"/>
    <w:rsid w:val="00E86156"/>
    <w:rsid w:val="00E863E1"/>
    <w:rsid w:val="00E867F2"/>
    <w:rsid w:val="00E905D0"/>
    <w:rsid w:val="00E922A6"/>
    <w:rsid w:val="00E92A66"/>
    <w:rsid w:val="00E93005"/>
    <w:rsid w:val="00E94A94"/>
    <w:rsid w:val="00E94DDD"/>
    <w:rsid w:val="00E94F19"/>
    <w:rsid w:val="00E956A1"/>
    <w:rsid w:val="00E95D41"/>
    <w:rsid w:val="00E962CD"/>
    <w:rsid w:val="00E97541"/>
    <w:rsid w:val="00EA04ED"/>
    <w:rsid w:val="00EA05D8"/>
    <w:rsid w:val="00EA144A"/>
    <w:rsid w:val="00EA146B"/>
    <w:rsid w:val="00EA1935"/>
    <w:rsid w:val="00EA197C"/>
    <w:rsid w:val="00EA19C7"/>
    <w:rsid w:val="00EA1F02"/>
    <w:rsid w:val="00EA3509"/>
    <w:rsid w:val="00EA3CC5"/>
    <w:rsid w:val="00EA465C"/>
    <w:rsid w:val="00EA468D"/>
    <w:rsid w:val="00EA4AB8"/>
    <w:rsid w:val="00EA4F15"/>
    <w:rsid w:val="00EA58BE"/>
    <w:rsid w:val="00EA5A3F"/>
    <w:rsid w:val="00EA6B33"/>
    <w:rsid w:val="00EA6CA1"/>
    <w:rsid w:val="00EA72A0"/>
    <w:rsid w:val="00EA7EC3"/>
    <w:rsid w:val="00EA7F55"/>
    <w:rsid w:val="00EB04E8"/>
    <w:rsid w:val="00EB0AD8"/>
    <w:rsid w:val="00EB0FD0"/>
    <w:rsid w:val="00EB17F4"/>
    <w:rsid w:val="00EB2284"/>
    <w:rsid w:val="00EB260C"/>
    <w:rsid w:val="00EB31AA"/>
    <w:rsid w:val="00EB3646"/>
    <w:rsid w:val="00EB3981"/>
    <w:rsid w:val="00EB4179"/>
    <w:rsid w:val="00EB4F30"/>
    <w:rsid w:val="00EB5852"/>
    <w:rsid w:val="00EB6273"/>
    <w:rsid w:val="00EB67A4"/>
    <w:rsid w:val="00EB78C3"/>
    <w:rsid w:val="00EB7ABC"/>
    <w:rsid w:val="00EC08EB"/>
    <w:rsid w:val="00EC0ACF"/>
    <w:rsid w:val="00EC18CD"/>
    <w:rsid w:val="00EC1ABC"/>
    <w:rsid w:val="00EC2AD0"/>
    <w:rsid w:val="00EC2CA6"/>
    <w:rsid w:val="00EC3581"/>
    <w:rsid w:val="00EC42EA"/>
    <w:rsid w:val="00EC469B"/>
    <w:rsid w:val="00EC4FD5"/>
    <w:rsid w:val="00EC6000"/>
    <w:rsid w:val="00EC6838"/>
    <w:rsid w:val="00EC7274"/>
    <w:rsid w:val="00ED0DE4"/>
    <w:rsid w:val="00ED0E1A"/>
    <w:rsid w:val="00ED105F"/>
    <w:rsid w:val="00ED1079"/>
    <w:rsid w:val="00ED2327"/>
    <w:rsid w:val="00ED2B05"/>
    <w:rsid w:val="00ED658D"/>
    <w:rsid w:val="00ED6D33"/>
    <w:rsid w:val="00ED7138"/>
    <w:rsid w:val="00ED737B"/>
    <w:rsid w:val="00ED756C"/>
    <w:rsid w:val="00ED77F4"/>
    <w:rsid w:val="00EE0DBF"/>
    <w:rsid w:val="00EE0F24"/>
    <w:rsid w:val="00EE0F56"/>
    <w:rsid w:val="00EE10E5"/>
    <w:rsid w:val="00EE20F7"/>
    <w:rsid w:val="00EE22E6"/>
    <w:rsid w:val="00EE2540"/>
    <w:rsid w:val="00EE2702"/>
    <w:rsid w:val="00EE2CAF"/>
    <w:rsid w:val="00EE2E92"/>
    <w:rsid w:val="00EE3546"/>
    <w:rsid w:val="00EE3AE9"/>
    <w:rsid w:val="00EE3F2A"/>
    <w:rsid w:val="00EE54A7"/>
    <w:rsid w:val="00EE55A1"/>
    <w:rsid w:val="00EE5615"/>
    <w:rsid w:val="00EE582A"/>
    <w:rsid w:val="00EE6866"/>
    <w:rsid w:val="00EE6A0A"/>
    <w:rsid w:val="00EE7279"/>
    <w:rsid w:val="00EF0A3F"/>
    <w:rsid w:val="00EF0ABE"/>
    <w:rsid w:val="00EF1A40"/>
    <w:rsid w:val="00EF2349"/>
    <w:rsid w:val="00EF2900"/>
    <w:rsid w:val="00EF2E16"/>
    <w:rsid w:val="00EF390B"/>
    <w:rsid w:val="00EF41FC"/>
    <w:rsid w:val="00EF50E5"/>
    <w:rsid w:val="00EF545E"/>
    <w:rsid w:val="00EF5B81"/>
    <w:rsid w:val="00EF5E2C"/>
    <w:rsid w:val="00EF6050"/>
    <w:rsid w:val="00EF6CD7"/>
    <w:rsid w:val="00EF6D1C"/>
    <w:rsid w:val="00EF6DEF"/>
    <w:rsid w:val="00EF7161"/>
    <w:rsid w:val="00EF77D1"/>
    <w:rsid w:val="00EF7936"/>
    <w:rsid w:val="00F001CC"/>
    <w:rsid w:val="00F0087A"/>
    <w:rsid w:val="00F00F36"/>
    <w:rsid w:val="00F01AB9"/>
    <w:rsid w:val="00F024E8"/>
    <w:rsid w:val="00F02591"/>
    <w:rsid w:val="00F0325A"/>
    <w:rsid w:val="00F033B7"/>
    <w:rsid w:val="00F039CA"/>
    <w:rsid w:val="00F03D1B"/>
    <w:rsid w:val="00F03D82"/>
    <w:rsid w:val="00F03E6A"/>
    <w:rsid w:val="00F04E1B"/>
    <w:rsid w:val="00F05ADE"/>
    <w:rsid w:val="00F069CA"/>
    <w:rsid w:val="00F06D15"/>
    <w:rsid w:val="00F07109"/>
    <w:rsid w:val="00F075F0"/>
    <w:rsid w:val="00F07785"/>
    <w:rsid w:val="00F07ABE"/>
    <w:rsid w:val="00F07B23"/>
    <w:rsid w:val="00F07CE1"/>
    <w:rsid w:val="00F1020B"/>
    <w:rsid w:val="00F11150"/>
    <w:rsid w:val="00F11C3A"/>
    <w:rsid w:val="00F11F08"/>
    <w:rsid w:val="00F12545"/>
    <w:rsid w:val="00F12CE6"/>
    <w:rsid w:val="00F133FF"/>
    <w:rsid w:val="00F13FA7"/>
    <w:rsid w:val="00F14624"/>
    <w:rsid w:val="00F14645"/>
    <w:rsid w:val="00F14FC3"/>
    <w:rsid w:val="00F15123"/>
    <w:rsid w:val="00F16058"/>
    <w:rsid w:val="00F1614A"/>
    <w:rsid w:val="00F165C1"/>
    <w:rsid w:val="00F172C2"/>
    <w:rsid w:val="00F17950"/>
    <w:rsid w:val="00F17C65"/>
    <w:rsid w:val="00F17EB5"/>
    <w:rsid w:val="00F17F67"/>
    <w:rsid w:val="00F20C43"/>
    <w:rsid w:val="00F20E60"/>
    <w:rsid w:val="00F21FB0"/>
    <w:rsid w:val="00F22D35"/>
    <w:rsid w:val="00F22F5A"/>
    <w:rsid w:val="00F23851"/>
    <w:rsid w:val="00F23915"/>
    <w:rsid w:val="00F24D70"/>
    <w:rsid w:val="00F25710"/>
    <w:rsid w:val="00F26268"/>
    <w:rsid w:val="00F26380"/>
    <w:rsid w:val="00F26C65"/>
    <w:rsid w:val="00F26D40"/>
    <w:rsid w:val="00F27AF0"/>
    <w:rsid w:val="00F27FB2"/>
    <w:rsid w:val="00F30BF7"/>
    <w:rsid w:val="00F31ABB"/>
    <w:rsid w:val="00F31EA5"/>
    <w:rsid w:val="00F3316E"/>
    <w:rsid w:val="00F333BB"/>
    <w:rsid w:val="00F34D9E"/>
    <w:rsid w:val="00F34E8D"/>
    <w:rsid w:val="00F350B3"/>
    <w:rsid w:val="00F363EF"/>
    <w:rsid w:val="00F3646B"/>
    <w:rsid w:val="00F364D9"/>
    <w:rsid w:val="00F375AA"/>
    <w:rsid w:val="00F37EFE"/>
    <w:rsid w:val="00F40583"/>
    <w:rsid w:val="00F4064C"/>
    <w:rsid w:val="00F40C37"/>
    <w:rsid w:val="00F414E2"/>
    <w:rsid w:val="00F416FB"/>
    <w:rsid w:val="00F41C7C"/>
    <w:rsid w:val="00F41D08"/>
    <w:rsid w:val="00F41F0D"/>
    <w:rsid w:val="00F41FFF"/>
    <w:rsid w:val="00F4221D"/>
    <w:rsid w:val="00F42260"/>
    <w:rsid w:val="00F423F6"/>
    <w:rsid w:val="00F42B34"/>
    <w:rsid w:val="00F42C31"/>
    <w:rsid w:val="00F43208"/>
    <w:rsid w:val="00F433CB"/>
    <w:rsid w:val="00F43431"/>
    <w:rsid w:val="00F441F9"/>
    <w:rsid w:val="00F442A5"/>
    <w:rsid w:val="00F44753"/>
    <w:rsid w:val="00F45566"/>
    <w:rsid w:val="00F46772"/>
    <w:rsid w:val="00F469F9"/>
    <w:rsid w:val="00F47086"/>
    <w:rsid w:val="00F50601"/>
    <w:rsid w:val="00F50D85"/>
    <w:rsid w:val="00F51899"/>
    <w:rsid w:val="00F51C11"/>
    <w:rsid w:val="00F52364"/>
    <w:rsid w:val="00F53B23"/>
    <w:rsid w:val="00F53D84"/>
    <w:rsid w:val="00F5415F"/>
    <w:rsid w:val="00F54697"/>
    <w:rsid w:val="00F54774"/>
    <w:rsid w:val="00F548AE"/>
    <w:rsid w:val="00F55390"/>
    <w:rsid w:val="00F55854"/>
    <w:rsid w:val="00F5642F"/>
    <w:rsid w:val="00F56552"/>
    <w:rsid w:val="00F56B7C"/>
    <w:rsid w:val="00F56F5A"/>
    <w:rsid w:val="00F57086"/>
    <w:rsid w:val="00F576C0"/>
    <w:rsid w:val="00F609B6"/>
    <w:rsid w:val="00F6196B"/>
    <w:rsid w:val="00F61B7F"/>
    <w:rsid w:val="00F622B5"/>
    <w:rsid w:val="00F6389E"/>
    <w:rsid w:val="00F641BD"/>
    <w:rsid w:val="00F64DFB"/>
    <w:rsid w:val="00F653B7"/>
    <w:rsid w:val="00F6579B"/>
    <w:rsid w:val="00F66182"/>
    <w:rsid w:val="00F66E13"/>
    <w:rsid w:val="00F67701"/>
    <w:rsid w:val="00F6798A"/>
    <w:rsid w:val="00F679E4"/>
    <w:rsid w:val="00F67DD5"/>
    <w:rsid w:val="00F70B32"/>
    <w:rsid w:val="00F70FCB"/>
    <w:rsid w:val="00F7141E"/>
    <w:rsid w:val="00F715EC"/>
    <w:rsid w:val="00F71704"/>
    <w:rsid w:val="00F71A90"/>
    <w:rsid w:val="00F728C5"/>
    <w:rsid w:val="00F72F46"/>
    <w:rsid w:val="00F740D6"/>
    <w:rsid w:val="00F757AE"/>
    <w:rsid w:val="00F757CB"/>
    <w:rsid w:val="00F75F90"/>
    <w:rsid w:val="00F7619F"/>
    <w:rsid w:val="00F7722B"/>
    <w:rsid w:val="00F772E1"/>
    <w:rsid w:val="00F77511"/>
    <w:rsid w:val="00F80257"/>
    <w:rsid w:val="00F8059E"/>
    <w:rsid w:val="00F805AA"/>
    <w:rsid w:val="00F817FE"/>
    <w:rsid w:val="00F8181F"/>
    <w:rsid w:val="00F82272"/>
    <w:rsid w:val="00F823CF"/>
    <w:rsid w:val="00F823DE"/>
    <w:rsid w:val="00F826A1"/>
    <w:rsid w:val="00F82707"/>
    <w:rsid w:val="00F838B0"/>
    <w:rsid w:val="00F848FE"/>
    <w:rsid w:val="00F84A83"/>
    <w:rsid w:val="00F84DAF"/>
    <w:rsid w:val="00F8573D"/>
    <w:rsid w:val="00F859F9"/>
    <w:rsid w:val="00F85FD7"/>
    <w:rsid w:val="00F86D49"/>
    <w:rsid w:val="00F901CA"/>
    <w:rsid w:val="00F907FB"/>
    <w:rsid w:val="00F90945"/>
    <w:rsid w:val="00F90AC8"/>
    <w:rsid w:val="00F90BC8"/>
    <w:rsid w:val="00F90F05"/>
    <w:rsid w:val="00F91FF9"/>
    <w:rsid w:val="00F92912"/>
    <w:rsid w:val="00F93CD7"/>
    <w:rsid w:val="00F93F0F"/>
    <w:rsid w:val="00F940A1"/>
    <w:rsid w:val="00F940C3"/>
    <w:rsid w:val="00F9453F"/>
    <w:rsid w:val="00F95163"/>
    <w:rsid w:val="00F95356"/>
    <w:rsid w:val="00F96236"/>
    <w:rsid w:val="00F96365"/>
    <w:rsid w:val="00F9670A"/>
    <w:rsid w:val="00F96A5E"/>
    <w:rsid w:val="00F96C79"/>
    <w:rsid w:val="00F96D0B"/>
    <w:rsid w:val="00F9702B"/>
    <w:rsid w:val="00F97CE9"/>
    <w:rsid w:val="00F97D2C"/>
    <w:rsid w:val="00F97D54"/>
    <w:rsid w:val="00FA03D9"/>
    <w:rsid w:val="00FA061D"/>
    <w:rsid w:val="00FA0757"/>
    <w:rsid w:val="00FA0C98"/>
    <w:rsid w:val="00FA0D95"/>
    <w:rsid w:val="00FA0DE3"/>
    <w:rsid w:val="00FA0EAC"/>
    <w:rsid w:val="00FA33C3"/>
    <w:rsid w:val="00FA357D"/>
    <w:rsid w:val="00FA430F"/>
    <w:rsid w:val="00FA4890"/>
    <w:rsid w:val="00FA4BA6"/>
    <w:rsid w:val="00FA5548"/>
    <w:rsid w:val="00FA6992"/>
    <w:rsid w:val="00FA6AB9"/>
    <w:rsid w:val="00FB014A"/>
    <w:rsid w:val="00FB0252"/>
    <w:rsid w:val="00FB0785"/>
    <w:rsid w:val="00FB1668"/>
    <w:rsid w:val="00FB2231"/>
    <w:rsid w:val="00FB2305"/>
    <w:rsid w:val="00FB2955"/>
    <w:rsid w:val="00FB3335"/>
    <w:rsid w:val="00FB4252"/>
    <w:rsid w:val="00FB46EE"/>
    <w:rsid w:val="00FB4992"/>
    <w:rsid w:val="00FB4AA0"/>
    <w:rsid w:val="00FB4E88"/>
    <w:rsid w:val="00FB553D"/>
    <w:rsid w:val="00FB571C"/>
    <w:rsid w:val="00FB5E61"/>
    <w:rsid w:val="00FB62EF"/>
    <w:rsid w:val="00FB659C"/>
    <w:rsid w:val="00FB7103"/>
    <w:rsid w:val="00FB7B7A"/>
    <w:rsid w:val="00FC00FA"/>
    <w:rsid w:val="00FC03B2"/>
    <w:rsid w:val="00FC1ADA"/>
    <w:rsid w:val="00FC1B8C"/>
    <w:rsid w:val="00FC329F"/>
    <w:rsid w:val="00FC374E"/>
    <w:rsid w:val="00FC42AE"/>
    <w:rsid w:val="00FC5565"/>
    <w:rsid w:val="00FC70B4"/>
    <w:rsid w:val="00FC7307"/>
    <w:rsid w:val="00FC742C"/>
    <w:rsid w:val="00FC7958"/>
    <w:rsid w:val="00FD0736"/>
    <w:rsid w:val="00FD0981"/>
    <w:rsid w:val="00FD0C22"/>
    <w:rsid w:val="00FD1685"/>
    <w:rsid w:val="00FD1D31"/>
    <w:rsid w:val="00FD2442"/>
    <w:rsid w:val="00FD2578"/>
    <w:rsid w:val="00FD2C5F"/>
    <w:rsid w:val="00FD32AA"/>
    <w:rsid w:val="00FD3536"/>
    <w:rsid w:val="00FD4E32"/>
    <w:rsid w:val="00FD4F23"/>
    <w:rsid w:val="00FD579B"/>
    <w:rsid w:val="00FD5D88"/>
    <w:rsid w:val="00FD6228"/>
    <w:rsid w:val="00FD7153"/>
    <w:rsid w:val="00FD71CF"/>
    <w:rsid w:val="00FD735D"/>
    <w:rsid w:val="00FD796B"/>
    <w:rsid w:val="00FD7CDC"/>
    <w:rsid w:val="00FD7E91"/>
    <w:rsid w:val="00FE0B61"/>
    <w:rsid w:val="00FE274F"/>
    <w:rsid w:val="00FE291F"/>
    <w:rsid w:val="00FE2DD5"/>
    <w:rsid w:val="00FE3039"/>
    <w:rsid w:val="00FE3243"/>
    <w:rsid w:val="00FE34F2"/>
    <w:rsid w:val="00FE3CED"/>
    <w:rsid w:val="00FE3EEB"/>
    <w:rsid w:val="00FE40CC"/>
    <w:rsid w:val="00FE4D44"/>
    <w:rsid w:val="00FE4F86"/>
    <w:rsid w:val="00FE5B8A"/>
    <w:rsid w:val="00FE61FF"/>
    <w:rsid w:val="00FE66D7"/>
    <w:rsid w:val="00FE6D1D"/>
    <w:rsid w:val="00FE6D6B"/>
    <w:rsid w:val="00FE7197"/>
    <w:rsid w:val="00FE777B"/>
    <w:rsid w:val="00FE7BE1"/>
    <w:rsid w:val="00FF011A"/>
    <w:rsid w:val="00FF02CD"/>
    <w:rsid w:val="00FF0436"/>
    <w:rsid w:val="00FF0B48"/>
    <w:rsid w:val="00FF1AC4"/>
    <w:rsid w:val="00FF2A17"/>
    <w:rsid w:val="00FF30ED"/>
    <w:rsid w:val="00FF3F5D"/>
    <w:rsid w:val="00FF4556"/>
    <w:rsid w:val="00FF4CFB"/>
    <w:rsid w:val="00FF56D6"/>
    <w:rsid w:val="00FF5FCA"/>
    <w:rsid w:val="00FF7BED"/>
    <w:rsid w:val="02C9E082"/>
    <w:rsid w:val="0E445079"/>
    <w:rsid w:val="5944DDA7"/>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C5F9E94"/>
  <w15:docId w15:val="{E4FA23ED-FA28-4697-9255-57B7B3A82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1">
    <w:name w:val="heading 1"/>
    <w:basedOn w:val="a"/>
    <w:link w:val="10"/>
    <w:uiPriority w:val="9"/>
    <w:qFormat/>
    <w:rsid w:val="007D5568"/>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semiHidden/>
    <w:unhideWhenUsed/>
    <w:qFormat/>
    <w:rsid w:val="0027671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FF02CD"/>
    <w:pPr>
      <w:spacing w:after="0" w:line="240" w:lineRule="auto"/>
    </w:pPr>
    <w:rPr>
      <w:sz w:val="20"/>
      <w:szCs w:val="20"/>
    </w:rPr>
  </w:style>
  <w:style w:type="character" w:customStyle="1" w:styleId="a4">
    <w:name w:val="טקסט הערת שוליים תו"/>
    <w:basedOn w:val="a0"/>
    <w:link w:val="a3"/>
    <w:uiPriority w:val="99"/>
    <w:rsid w:val="00FF02CD"/>
    <w:rPr>
      <w:sz w:val="20"/>
      <w:szCs w:val="20"/>
    </w:rPr>
  </w:style>
  <w:style w:type="character" w:styleId="a5">
    <w:name w:val="footnote reference"/>
    <w:basedOn w:val="a0"/>
    <w:uiPriority w:val="99"/>
    <w:unhideWhenUsed/>
    <w:rsid w:val="00FF02CD"/>
    <w:rPr>
      <w:vertAlign w:val="superscript"/>
    </w:rPr>
  </w:style>
  <w:style w:type="character" w:styleId="a6">
    <w:name w:val="Placeholder Text"/>
    <w:basedOn w:val="a0"/>
    <w:uiPriority w:val="99"/>
    <w:semiHidden/>
    <w:rsid w:val="00725571"/>
    <w:rPr>
      <w:color w:val="808080"/>
    </w:rPr>
  </w:style>
  <w:style w:type="paragraph" w:styleId="a7">
    <w:name w:val="header"/>
    <w:basedOn w:val="a"/>
    <w:link w:val="a8"/>
    <w:uiPriority w:val="99"/>
    <w:unhideWhenUsed/>
    <w:rsid w:val="00E43052"/>
    <w:pPr>
      <w:tabs>
        <w:tab w:val="center" w:pos="4153"/>
        <w:tab w:val="right" w:pos="8306"/>
      </w:tabs>
      <w:spacing w:after="0" w:line="240" w:lineRule="auto"/>
    </w:pPr>
  </w:style>
  <w:style w:type="character" w:customStyle="1" w:styleId="a8">
    <w:name w:val="כותרת עליונה תו"/>
    <w:basedOn w:val="a0"/>
    <w:link w:val="a7"/>
    <w:uiPriority w:val="99"/>
    <w:rsid w:val="00E43052"/>
  </w:style>
  <w:style w:type="paragraph" w:styleId="a9">
    <w:name w:val="footer"/>
    <w:basedOn w:val="a"/>
    <w:link w:val="aa"/>
    <w:uiPriority w:val="99"/>
    <w:unhideWhenUsed/>
    <w:rsid w:val="00E43052"/>
    <w:pPr>
      <w:tabs>
        <w:tab w:val="center" w:pos="4153"/>
        <w:tab w:val="right" w:pos="8306"/>
      </w:tabs>
      <w:spacing w:after="0" w:line="240" w:lineRule="auto"/>
    </w:pPr>
  </w:style>
  <w:style w:type="character" w:customStyle="1" w:styleId="aa">
    <w:name w:val="כותרת תחתונה תו"/>
    <w:basedOn w:val="a0"/>
    <w:link w:val="a9"/>
    <w:uiPriority w:val="99"/>
    <w:rsid w:val="00E43052"/>
  </w:style>
  <w:style w:type="paragraph" w:customStyle="1" w:styleId="Default">
    <w:name w:val="Default"/>
    <w:rsid w:val="00147834"/>
    <w:pPr>
      <w:autoSpaceDE w:val="0"/>
      <w:autoSpaceDN w:val="0"/>
      <w:adjustRightInd w:val="0"/>
      <w:spacing w:after="0" w:line="240" w:lineRule="auto"/>
    </w:pPr>
    <w:rPr>
      <w:rFonts w:ascii="GANRW S+ Times" w:hAnsi="GANRW S+ Times" w:cs="GANRW S+ Times"/>
      <w:color w:val="000000"/>
      <w:sz w:val="24"/>
      <w:szCs w:val="24"/>
    </w:rPr>
  </w:style>
  <w:style w:type="character" w:customStyle="1" w:styleId="10">
    <w:name w:val="כותרת 1 תו"/>
    <w:basedOn w:val="a0"/>
    <w:link w:val="1"/>
    <w:uiPriority w:val="9"/>
    <w:rsid w:val="007D5568"/>
    <w:rPr>
      <w:rFonts w:ascii="Times New Roman" w:eastAsia="Times New Roman" w:hAnsi="Times New Roman" w:cs="Times New Roman"/>
      <w:b/>
      <w:bCs/>
      <w:kern w:val="36"/>
      <w:sz w:val="48"/>
      <w:szCs w:val="48"/>
    </w:rPr>
  </w:style>
  <w:style w:type="character" w:customStyle="1" w:styleId="a-size-extra-large">
    <w:name w:val="a-size-extra-large"/>
    <w:basedOn w:val="a0"/>
    <w:rsid w:val="007D5568"/>
  </w:style>
  <w:style w:type="character" w:customStyle="1" w:styleId="20">
    <w:name w:val="כותרת 2 תו"/>
    <w:basedOn w:val="a0"/>
    <w:link w:val="2"/>
    <w:uiPriority w:val="9"/>
    <w:semiHidden/>
    <w:rsid w:val="00276718"/>
    <w:rPr>
      <w:rFonts w:asciiTheme="majorHAnsi" w:eastAsiaTheme="majorEastAsia" w:hAnsiTheme="majorHAnsi" w:cstheme="majorBidi"/>
      <w:color w:val="2F5496" w:themeColor="accent1" w:themeShade="BF"/>
      <w:sz w:val="26"/>
      <w:szCs w:val="26"/>
    </w:rPr>
  </w:style>
  <w:style w:type="paragraph" w:styleId="ab">
    <w:name w:val="List Paragraph"/>
    <w:basedOn w:val="a"/>
    <w:uiPriority w:val="34"/>
    <w:qFormat/>
    <w:rsid w:val="002E48F2"/>
    <w:pPr>
      <w:ind w:left="720"/>
      <w:contextualSpacing/>
    </w:pPr>
  </w:style>
  <w:style w:type="paragraph" w:styleId="21">
    <w:name w:val="Body Text 2"/>
    <w:basedOn w:val="a"/>
    <w:link w:val="22"/>
    <w:rsid w:val="00DC3EC9"/>
    <w:pPr>
      <w:overflowPunct w:val="0"/>
      <w:autoSpaceDE w:val="0"/>
      <w:autoSpaceDN w:val="0"/>
      <w:bidi w:val="0"/>
      <w:adjustRightInd w:val="0"/>
      <w:spacing w:after="0" w:line="240" w:lineRule="auto"/>
      <w:textAlignment w:val="baseline"/>
    </w:pPr>
    <w:rPr>
      <w:rFonts w:ascii="Times New Roman" w:eastAsia="Times New Roman" w:hAnsi="Times New Roman" w:cs="David"/>
      <w:sz w:val="26"/>
      <w:szCs w:val="26"/>
      <w:lang w:eastAsia="he-IL"/>
    </w:rPr>
  </w:style>
  <w:style w:type="character" w:customStyle="1" w:styleId="22">
    <w:name w:val="גוף טקסט 2 תו"/>
    <w:basedOn w:val="a0"/>
    <w:link w:val="21"/>
    <w:rsid w:val="00DC3EC9"/>
    <w:rPr>
      <w:rFonts w:ascii="Times New Roman" w:eastAsia="Times New Roman" w:hAnsi="Times New Roman" w:cs="David"/>
      <w:sz w:val="26"/>
      <w:szCs w:val="26"/>
      <w:lang w:eastAsia="he-IL"/>
    </w:rPr>
  </w:style>
  <w:style w:type="character" w:styleId="Hyperlink">
    <w:name w:val="Hyperlink"/>
    <w:basedOn w:val="a0"/>
    <w:uiPriority w:val="99"/>
    <w:unhideWhenUsed/>
    <w:rsid w:val="000B4FE6"/>
    <w:rPr>
      <w:color w:val="0563C1" w:themeColor="hyperlink"/>
      <w:u w:val="single"/>
    </w:rPr>
  </w:style>
  <w:style w:type="character" w:customStyle="1" w:styleId="11">
    <w:name w:val="אזכור לא מזוהה1"/>
    <w:basedOn w:val="a0"/>
    <w:uiPriority w:val="99"/>
    <w:semiHidden/>
    <w:unhideWhenUsed/>
    <w:rsid w:val="000B4FE6"/>
    <w:rPr>
      <w:color w:val="605E5C"/>
      <w:shd w:val="clear" w:color="auto" w:fill="E1DFDD"/>
    </w:rPr>
  </w:style>
  <w:style w:type="character" w:styleId="ac">
    <w:name w:val="annotation reference"/>
    <w:basedOn w:val="a0"/>
    <w:uiPriority w:val="99"/>
    <w:semiHidden/>
    <w:unhideWhenUsed/>
    <w:rsid w:val="00022585"/>
    <w:rPr>
      <w:sz w:val="16"/>
      <w:szCs w:val="16"/>
    </w:rPr>
  </w:style>
  <w:style w:type="paragraph" w:styleId="ad">
    <w:name w:val="annotation text"/>
    <w:basedOn w:val="a"/>
    <w:link w:val="ae"/>
    <w:uiPriority w:val="99"/>
    <w:semiHidden/>
    <w:unhideWhenUsed/>
    <w:rsid w:val="00022585"/>
    <w:pPr>
      <w:spacing w:line="240" w:lineRule="auto"/>
    </w:pPr>
    <w:rPr>
      <w:sz w:val="20"/>
      <w:szCs w:val="20"/>
    </w:rPr>
  </w:style>
  <w:style w:type="character" w:customStyle="1" w:styleId="ae">
    <w:name w:val="טקסט הערה תו"/>
    <w:basedOn w:val="a0"/>
    <w:link w:val="ad"/>
    <w:uiPriority w:val="99"/>
    <w:semiHidden/>
    <w:rsid w:val="00022585"/>
    <w:rPr>
      <w:sz w:val="20"/>
      <w:szCs w:val="20"/>
    </w:rPr>
  </w:style>
  <w:style w:type="paragraph" w:styleId="af">
    <w:name w:val="annotation subject"/>
    <w:basedOn w:val="ad"/>
    <w:next w:val="ad"/>
    <w:link w:val="af0"/>
    <w:uiPriority w:val="99"/>
    <w:semiHidden/>
    <w:unhideWhenUsed/>
    <w:rsid w:val="00022585"/>
    <w:rPr>
      <w:b/>
      <w:bCs/>
    </w:rPr>
  </w:style>
  <w:style w:type="character" w:customStyle="1" w:styleId="af0">
    <w:name w:val="נושא הערה תו"/>
    <w:basedOn w:val="ae"/>
    <w:link w:val="af"/>
    <w:uiPriority w:val="99"/>
    <w:semiHidden/>
    <w:rsid w:val="00022585"/>
    <w:rPr>
      <w:b/>
      <w:bCs/>
      <w:sz w:val="20"/>
      <w:szCs w:val="20"/>
    </w:rPr>
  </w:style>
  <w:style w:type="paragraph" w:styleId="af1">
    <w:name w:val="Balloon Text"/>
    <w:basedOn w:val="a"/>
    <w:link w:val="af2"/>
    <w:uiPriority w:val="99"/>
    <w:semiHidden/>
    <w:unhideWhenUsed/>
    <w:rsid w:val="00022585"/>
    <w:pPr>
      <w:spacing w:after="0" w:line="240" w:lineRule="auto"/>
    </w:pPr>
    <w:rPr>
      <w:rFonts w:ascii="Tahoma" w:hAnsi="Tahoma" w:cs="Tahoma"/>
      <w:sz w:val="18"/>
      <w:szCs w:val="18"/>
    </w:rPr>
  </w:style>
  <w:style w:type="character" w:customStyle="1" w:styleId="af2">
    <w:name w:val="טקסט בלונים תו"/>
    <w:basedOn w:val="a0"/>
    <w:link w:val="af1"/>
    <w:uiPriority w:val="99"/>
    <w:semiHidden/>
    <w:rsid w:val="00022585"/>
    <w:rPr>
      <w:rFonts w:ascii="Tahoma" w:hAnsi="Tahoma" w:cs="Tahoma"/>
      <w:sz w:val="18"/>
      <w:szCs w:val="18"/>
    </w:rPr>
  </w:style>
  <w:style w:type="table" w:styleId="af3">
    <w:name w:val="Table Grid"/>
    <w:basedOn w:val="a1"/>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897745">
      <w:bodyDiv w:val="1"/>
      <w:marLeft w:val="0"/>
      <w:marRight w:val="0"/>
      <w:marTop w:val="0"/>
      <w:marBottom w:val="0"/>
      <w:divBdr>
        <w:top w:val="none" w:sz="0" w:space="0" w:color="auto"/>
        <w:left w:val="none" w:sz="0" w:space="0" w:color="auto"/>
        <w:bottom w:val="none" w:sz="0" w:space="0" w:color="auto"/>
        <w:right w:val="none" w:sz="0" w:space="0" w:color="auto"/>
      </w:divBdr>
    </w:div>
    <w:div w:id="993725130">
      <w:bodyDiv w:val="1"/>
      <w:marLeft w:val="0"/>
      <w:marRight w:val="0"/>
      <w:marTop w:val="0"/>
      <w:marBottom w:val="0"/>
      <w:divBdr>
        <w:top w:val="none" w:sz="0" w:space="0" w:color="auto"/>
        <w:left w:val="none" w:sz="0" w:space="0" w:color="auto"/>
        <w:bottom w:val="none" w:sz="0" w:space="0" w:color="auto"/>
        <w:right w:val="none" w:sz="0" w:space="0" w:color="auto"/>
      </w:divBdr>
    </w:div>
    <w:div w:id="1241787983">
      <w:bodyDiv w:val="1"/>
      <w:marLeft w:val="0"/>
      <w:marRight w:val="0"/>
      <w:marTop w:val="0"/>
      <w:marBottom w:val="0"/>
      <w:divBdr>
        <w:top w:val="none" w:sz="0" w:space="0" w:color="auto"/>
        <w:left w:val="none" w:sz="0" w:space="0" w:color="auto"/>
        <w:bottom w:val="none" w:sz="0" w:space="0" w:color="auto"/>
        <w:right w:val="none" w:sz="0" w:space="0" w:color="auto"/>
      </w:divBdr>
      <w:divsChild>
        <w:div w:id="1564870065">
          <w:marLeft w:val="0"/>
          <w:marRight w:val="0"/>
          <w:marTop w:val="150"/>
          <w:marBottom w:val="0"/>
          <w:divBdr>
            <w:top w:val="none" w:sz="0" w:space="0" w:color="auto"/>
            <w:left w:val="none" w:sz="0" w:space="0" w:color="auto"/>
            <w:bottom w:val="none" w:sz="0" w:space="0" w:color="auto"/>
            <w:right w:val="none" w:sz="0" w:space="0" w:color="auto"/>
          </w:divBdr>
          <w:divsChild>
            <w:div w:id="713775002">
              <w:marLeft w:val="0"/>
              <w:marRight w:val="0"/>
              <w:marTop w:val="0"/>
              <w:marBottom w:val="0"/>
              <w:divBdr>
                <w:top w:val="none" w:sz="0" w:space="0" w:color="auto"/>
                <w:left w:val="none" w:sz="0" w:space="0" w:color="auto"/>
                <w:bottom w:val="none" w:sz="0" w:space="0" w:color="auto"/>
                <w:right w:val="none" w:sz="0" w:space="0" w:color="auto"/>
              </w:divBdr>
            </w:div>
            <w:div w:id="1846482317">
              <w:marLeft w:val="0"/>
              <w:marRight w:val="0"/>
              <w:marTop w:val="0"/>
              <w:marBottom w:val="0"/>
              <w:divBdr>
                <w:top w:val="none" w:sz="0" w:space="0" w:color="auto"/>
                <w:left w:val="none" w:sz="0" w:space="0" w:color="auto"/>
                <w:bottom w:val="none" w:sz="0" w:space="0" w:color="auto"/>
                <w:right w:val="none" w:sz="0" w:space="0" w:color="auto"/>
              </w:divBdr>
              <w:divsChild>
                <w:div w:id="1681465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911927">
          <w:marLeft w:val="120"/>
          <w:marRight w:val="0"/>
          <w:marTop w:val="0"/>
          <w:marBottom w:val="0"/>
          <w:divBdr>
            <w:top w:val="none" w:sz="0" w:space="0" w:color="auto"/>
            <w:left w:val="none" w:sz="0" w:space="0" w:color="auto"/>
            <w:bottom w:val="none" w:sz="0" w:space="0" w:color="auto"/>
            <w:right w:val="none" w:sz="0" w:space="0" w:color="auto"/>
          </w:divBdr>
          <w:divsChild>
            <w:div w:id="1425372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086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maagarim.hebrew-academy.org.il/Pages/PMain.aspx?mishibbur=28000&amp;mm15=000002003010%2000&amp;mismilla=%5b35,36%5d"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FEBEA7-EAC6-4A35-8D51-27EDDAD688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32</Pages>
  <Words>5696</Words>
  <Characters>27231</Characters>
  <Application>Microsoft Office Word</Application>
  <DocSecurity>0</DocSecurity>
  <Lines>469</Lines>
  <Paragraphs>70</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32857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Sagit Mor</cp:lastModifiedBy>
  <cp:revision>52</cp:revision>
  <dcterms:created xsi:type="dcterms:W3CDTF">2019-08-01T06:44:00Z</dcterms:created>
  <dcterms:modified xsi:type="dcterms:W3CDTF">2019-08-01T08:19:00Z</dcterms:modified>
</cp:coreProperties>
</file>