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7EF62" w14:textId="77777777" w:rsidR="00686975" w:rsidRPr="00AE5F5B" w:rsidRDefault="00945676" w:rsidP="00AE5F5B">
      <w:pPr>
        <w:spacing w:line="360" w:lineRule="auto"/>
        <w:jc w:val="both"/>
        <w:rPr>
          <w:rFonts w:ascii="David" w:hAnsi="David" w:cs="David"/>
          <w:b/>
          <w:bCs/>
          <w:sz w:val="24"/>
          <w:szCs w:val="24"/>
          <w:rtl/>
        </w:rPr>
      </w:pPr>
      <w:bookmarkStart w:id="0" w:name="_GoBack"/>
      <w:bookmarkEnd w:id="0"/>
      <w:r w:rsidRPr="00AE5F5B">
        <w:rPr>
          <w:rFonts w:ascii="David" w:hAnsi="David" w:cs="David"/>
          <w:b/>
          <w:bCs/>
          <w:sz w:val="24"/>
          <w:szCs w:val="24"/>
          <w:rtl/>
        </w:rPr>
        <w:t>דברי שרה – דוח אובדן מזון</w:t>
      </w:r>
    </w:p>
    <w:p w14:paraId="626749B5" w14:textId="77777777" w:rsidR="00276126" w:rsidRDefault="00276126" w:rsidP="00827D7A">
      <w:pPr>
        <w:spacing w:line="360" w:lineRule="auto"/>
        <w:jc w:val="both"/>
        <w:rPr>
          <w:rFonts w:ascii="David" w:hAnsi="David" w:cs="David"/>
          <w:sz w:val="24"/>
          <w:szCs w:val="24"/>
          <w:rtl/>
        </w:rPr>
      </w:pPr>
      <w:r>
        <w:rPr>
          <w:rFonts w:ascii="David" w:hAnsi="David" w:cs="David" w:hint="cs"/>
          <w:sz w:val="24"/>
          <w:szCs w:val="24"/>
          <w:rtl/>
        </w:rPr>
        <w:t xml:space="preserve">2.5 מיליון </w:t>
      </w:r>
      <w:r w:rsidRPr="002B76F9">
        <w:rPr>
          <w:rFonts w:ascii="David" w:hAnsi="David" w:cs="David" w:hint="cs"/>
          <w:sz w:val="24"/>
          <w:szCs w:val="24"/>
          <w:rtl/>
        </w:rPr>
        <w:t>טו</w:t>
      </w:r>
      <w:r w:rsidR="00827D7A" w:rsidRPr="002B76F9">
        <w:rPr>
          <w:rFonts w:ascii="David" w:hAnsi="David" w:cs="David" w:hint="cs"/>
          <w:sz w:val="24"/>
          <w:szCs w:val="24"/>
          <w:rtl/>
        </w:rPr>
        <w:t>נות</w:t>
      </w:r>
      <w:r>
        <w:rPr>
          <w:rFonts w:ascii="David" w:hAnsi="David" w:cs="David" w:hint="cs"/>
          <w:sz w:val="24"/>
          <w:szCs w:val="24"/>
          <w:rtl/>
        </w:rPr>
        <w:t xml:space="preserve"> של מזון ראוי למאכל נזרקים לפח האשפה מידיי שנה. כמות שהיא כ-35% מכלל המזון המיוצר בישראל. הקלות הבלתי נתפסת בה אנו משליכים לפח מזון טוב למאכל, בישראל כמו בכל העולם המערבי, </w:t>
      </w:r>
      <w:r w:rsidR="00FC7214">
        <w:rPr>
          <w:rFonts w:ascii="David" w:hAnsi="David" w:cs="David"/>
          <w:sz w:val="24"/>
          <w:szCs w:val="24"/>
          <w:rtl/>
        </w:rPr>
        <w:t>היא סימפטום של אורח חיים ותרבות צריכה בזבזניים</w:t>
      </w:r>
      <w:r>
        <w:rPr>
          <w:rFonts w:ascii="David" w:hAnsi="David" w:cs="David" w:hint="cs"/>
          <w:sz w:val="24"/>
          <w:szCs w:val="24"/>
          <w:rtl/>
        </w:rPr>
        <w:t>. מדובר במציאות אב</w:t>
      </w:r>
      <w:r w:rsidR="009F46B8">
        <w:rPr>
          <w:rFonts w:ascii="David" w:hAnsi="David" w:cs="David" w:hint="cs"/>
          <w:sz w:val="24"/>
          <w:szCs w:val="24"/>
          <w:rtl/>
        </w:rPr>
        <w:t xml:space="preserve">סורדית בה כסף ומשאבים נזרקים לפח בזמן שאנו מתמודדים עם משבר כלכלי וחברתי. </w:t>
      </w:r>
    </w:p>
    <w:p w14:paraId="2F838D0E" w14:textId="77777777" w:rsidR="00D52D96" w:rsidRDefault="00AE5F5B" w:rsidP="000207A0">
      <w:pPr>
        <w:spacing w:line="360" w:lineRule="auto"/>
        <w:jc w:val="both"/>
        <w:rPr>
          <w:rFonts w:ascii="David" w:hAnsi="David" w:cs="David"/>
          <w:b/>
          <w:bCs/>
          <w:sz w:val="24"/>
          <w:szCs w:val="24"/>
          <w:rtl/>
        </w:rPr>
      </w:pPr>
      <w:r w:rsidRPr="00AE5F5B">
        <w:rPr>
          <w:rFonts w:ascii="David" w:hAnsi="David" w:cs="David"/>
          <w:sz w:val="24"/>
          <w:szCs w:val="24"/>
          <w:rtl/>
        </w:rPr>
        <w:t>צמד המילים "</w:t>
      </w:r>
      <w:r>
        <w:rPr>
          <w:rFonts w:ascii="David" w:hAnsi="David" w:cs="David" w:hint="cs"/>
          <w:sz w:val="24"/>
          <w:szCs w:val="24"/>
          <w:rtl/>
        </w:rPr>
        <w:t>אובדן</w:t>
      </w:r>
      <w:r w:rsidRPr="00AE5F5B">
        <w:rPr>
          <w:rFonts w:ascii="David" w:hAnsi="David" w:cs="David"/>
          <w:sz w:val="24"/>
          <w:szCs w:val="24"/>
          <w:rtl/>
        </w:rPr>
        <w:t xml:space="preserve"> מזון" מגלם בתוכו משאבים</w:t>
      </w:r>
      <w:r>
        <w:rPr>
          <w:rFonts w:ascii="David" w:hAnsi="David" w:cs="David" w:hint="cs"/>
          <w:sz w:val="24"/>
          <w:szCs w:val="24"/>
          <w:rtl/>
        </w:rPr>
        <w:t xml:space="preserve"> רבים</w:t>
      </w:r>
      <w:r w:rsidRPr="00AE5F5B">
        <w:rPr>
          <w:rFonts w:ascii="David" w:hAnsi="David" w:cs="David"/>
          <w:sz w:val="24"/>
          <w:szCs w:val="24"/>
          <w:rtl/>
        </w:rPr>
        <w:t xml:space="preserve"> </w:t>
      </w:r>
      <w:r>
        <w:rPr>
          <w:rFonts w:ascii="David" w:hAnsi="David" w:cs="David" w:hint="cs"/>
          <w:sz w:val="24"/>
          <w:szCs w:val="24"/>
          <w:rtl/>
        </w:rPr>
        <w:t>ומיותרים שיורדים לטמיון</w:t>
      </w:r>
      <w:r w:rsidRPr="00AE5F5B">
        <w:rPr>
          <w:rFonts w:ascii="David" w:hAnsi="David" w:cs="David"/>
          <w:sz w:val="24"/>
          <w:szCs w:val="24"/>
          <w:rtl/>
        </w:rPr>
        <w:t xml:space="preserve">: קרקע, </w:t>
      </w:r>
      <w:r w:rsidR="00CA55AF">
        <w:rPr>
          <w:rFonts w:ascii="David" w:hAnsi="David" w:cs="David" w:hint="cs"/>
          <w:sz w:val="24"/>
          <w:szCs w:val="24"/>
          <w:rtl/>
        </w:rPr>
        <w:t xml:space="preserve">מים, </w:t>
      </w:r>
      <w:r w:rsidR="00CA55AF" w:rsidRPr="00AE5F5B">
        <w:rPr>
          <w:rFonts w:ascii="David" w:hAnsi="David" w:cs="David"/>
          <w:sz w:val="24"/>
          <w:szCs w:val="24"/>
          <w:rtl/>
        </w:rPr>
        <w:t>אנרגיה,</w:t>
      </w:r>
      <w:r w:rsidR="00CA55AF">
        <w:rPr>
          <w:rFonts w:ascii="David" w:hAnsi="David" w:cs="David" w:hint="cs"/>
          <w:sz w:val="24"/>
          <w:szCs w:val="24"/>
          <w:rtl/>
        </w:rPr>
        <w:t xml:space="preserve"> </w:t>
      </w:r>
      <w:r w:rsidR="004B3181">
        <w:rPr>
          <w:rFonts w:ascii="David" w:hAnsi="David" w:cs="David"/>
          <w:sz w:val="24"/>
          <w:szCs w:val="24"/>
          <w:rtl/>
        </w:rPr>
        <w:t>חומרי ההדברה</w:t>
      </w:r>
      <w:r w:rsidR="00CA55AF">
        <w:rPr>
          <w:rFonts w:ascii="David" w:hAnsi="David" w:cs="David"/>
          <w:sz w:val="24"/>
          <w:szCs w:val="24"/>
          <w:rtl/>
        </w:rPr>
        <w:t xml:space="preserve"> </w:t>
      </w:r>
      <w:r w:rsidR="004B3181">
        <w:rPr>
          <w:rFonts w:ascii="David" w:hAnsi="David" w:cs="David" w:hint="cs"/>
          <w:sz w:val="24"/>
          <w:szCs w:val="24"/>
          <w:rtl/>
        </w:rPr>
        <w:t>ו</w:t>
      </w:r>
      <w:r w:rsidR="00CA55AF">
        <w:rPr>
          <w:rFonts w:ascii="David" w:hAnsi="David" w:cs="David"/>
          <w:sz w:val="24"/>
          <w:szCs w:val="24"/>
          <w:rtl/>
        </w:rPr>
        <w:t>דש</w:t>
      </w:r>
      <w:r w:rsidR="00CA55AF">
        <w:rPr>
          <w:rFonts w:ascii="David" w:hAnsi="David" w:cs="David" w:hint="cs"/>
          <w:sz w:val="24"/>
          <w:szCs w:val="24"/>
          <w:rtl/>
        </w:rPr>
        <w:t>נים</w:t>
      </w:r>
      <w:r w:rsidRPr="00AE5F5B">
        <w:rPr>
          <w:rFonts w:ascii="David" w:hAnsi="David" w:cs="David"/>
          <w:sz w:val="24"/>
          <w:szCs w:val="24"/>
          <w:rtl/>
        </w:rPr>
        <w:t xml:space="preserve"> המושקעים בגידול, ייצור, יבוא ובשיווק התוצרת. </w:t>
      </w:r>
      <w:r w:rsidR="004B3181">
        <w:rPr>
          <w:rFonts w:ascii="David" w:hAnsi="David" w:cs="David" w:hint="cs"/>
          <w:sz w:val="24"/>
          <w:szCs w:val="24"/>
          <w:rtl/>
        </w:rPr>
        <w:t xml:space="preserve">נוסף על כך לאורך כל התהליך נפלטים לסביבה גזי חממה ומזהמים </w:t>
      </w:r>
      <w:r w:rsidRPr="00AE5F5B">
        <w:rPr>
          <w:rFonts w:ascii="David" w:hAnsi="David" w:cs="David"/>
          <w:sz w:val="24"/>
          <w:szCs w:val="24"/>
          <w:rtl/>
        </w:rPr>
        <w:t xml:space="preserve">ובסוף </w:t>
      </w:r>
      <w:r w:rsidR="004665E6">
        <w:rPr>
          <w:rFonts w:ascii="David" w:hAnsi="David" w:cs="David" w:hint="cs"/>
          <w:sz w:val="24"/>
          <w:szCs w:val="24"/>
          <w:rtl/>
        </w:rPr>
        <w:t xml:space="preserve">אנו </w:t>
      </w:r>
      <w:r w:rsidR="000207A0">
        <w:rPr>
          <w:rFonts w:ascii="David" w:hAnsi="David" w:cs="David" w:hint="cs"/>
          <w:sz w:val="24"/>
          <w:szCs w:val="24"/>
          <w:rtl/>
        </w:rPr>
        <w:t xml:space="preserve">גם </w:t>
      </w:r>
      <w:r w:rsidR="004665E6">
        <w:rPr>
          <w:rFonts w:ascii="David" w:hAnsi="David" w:cs="David" w:hint="cs"/>
          <w:sz w:val="24"/>
          <w:szCs w:val="24"/>
          <w:rtl/>
        </w:rPr>
        <w:t>נדרשים</w:t>
      </w:r>
      <w:r w:rsidR="004B3181">
        <w:rPr>
          <w:rFonts w:ascii="David" w:hAnsi="David" w:cs="David" w:hint="cs"/>
          <w:sz w:val="24"/>
          <w:szCs w:val="24"/>
          <w:rtl/>
        </w:rPr>
        <w:t xml:space="preserve"> </w:t>
      </w:r>
      <w:r w:rsidR="004665E6">
        <w:rPr>
          <w:rFonts w:ascii="David" w:hAnsi="David" w:cs="David" w:hint="cs"/>
          <w:sz w:val="24"/>
          <w:szCs w:val="24"/>
          <w:rtl/>
        </w:rPr>
        <w:t xml:space="preserve">להשקיע משאבים כלכליים אדירים לטיפול בפסולת המיותרת. </w:t>
      </w:r>
    </w:p>
    <w:p w14:paraId="64C725EE" w14:textId="77777777" w:rsidR="00BE7379" w:rsidRDefault="004665E6" w:rsidP="00BE7379">
      <w:pPr>
        <w:spacing w:line="360" w:lineRule="auto"/>
        <w:jc w:val="both"/>
        <w:rPr>
          <w:rFonts w:ascii="David" w:hAnsi="David" w:cs="David"/>
          <w:sz w:val="24"/>
          <w:szCs w:val="24"/>
          <w:rtl/>
        </w:rPr>
      </w:pPr>
      <w:r>
        <w:rPr>
          <w:rFonts w:ascii="David" w:hAnsi="David" w:cs="David" w:hint="cs"/>
          <w:sz w:val="24"/>
          <w:szCs w:val="24"/>
          <w:rtl/>
        </w:rPr>
        <w:t>עם כניסתי למשרד</w:t>
      </w:r>
      <w:r w:rsidR="00541FF7">
        <w:rPr>
          <w:rFonts w:ascii="David" w:hAnsi="David" w:cs="David" w:hint="cs"/>
          <w:sz w:val="24"/>
          <w:szCs w:val="24"/>
          <w:rtl/>
        </w:rPr>
        <w:t xml:space="preserve"> להגנת הסביבה שמתי לנגד עיניי </w:t>
      </w:r>
      <w:r w:rsidR="005F6B57">
        <w:rPr>
          <w:rFonts w:ascii="David" w:hAnsi="David" w:cs="David" w:hint="cs"/>
          <w:sz w:val="24"/>
          <w:szCs w:val="24"/>
          <w:rtl/>
        </w:rPr>
        <w:t xml:space="preserve">להוביל </w:t>
      </w:r>
      <w:r w:rsidR="00541FF7">
        <w:rPr>
          <w:rFonts w:ascii="David" w:hAnsi="David" w:cs="David" w:hint="cs"/>
          <w:sz w:val="24"/>
          <w:szCs w:val="24"/>
          <w:rtl/>
        </w:rPr>
        <w:t>את תחום ה</w:t>
      </w:r>
      <w:r w:rsidR="005F6B57">
        <w:rPr>
          <w:rFonts w:ascii="David" w:hAnsi="David" w:cs="David" w:hint="cs"/>
          <w:sz w:val="24"/>
          <w:szCs w:val="24"/>
          <w:rtl/>
        </w:rPr>
        <w:t>טיפול ב</w:t>
      </w:r>
      <w:r w:rsidR="00541FF7">
        <w:rPr>
          <w:rFonts w:ascii="David" w:hAnsi="David" w:cs="David" w:hint="cs"/>
          <w:sz w:val="24"/>
          <w:szCs w:val="24"/>
          <w:rtl/>
        </w:rPr>
        <w:t>פסולת</w:t>
      </w:r>
      <w:r w:rsidR="000C3A60">
        <w:rPr>
          <w:rFonts w:ascii="David" w:hAnsi="David" w:cs="David" w:hint="cs"/>
          <w:sz w:val="24"/>
          <w:szCs w:val="24"/>
          <w:rtl/>
        </w:rPr>
        <w:t xml:space="preserve"> בישראל לסטנדרטים המקובלים במדינות ה- </w:t>
      </w:r>
      <w:r w:rsidR="000C3A60">
        <w:rPr>
          <w:rFonts w:ascii="David" w:hAnsi="David" w:cs="David" w:hint="cs"/>
          <w:sz w:val="24"/>
          <w:szCs w:val="24"/>
        </w:rPr>
        <w:t>OECD</w:t>
      </w:r>
      <w:r w:rsidR="000C3A60">
        <w:rPr>
          <w:rFonts w:ascii="David" w:hAnsi="David" w:cs="David" w:hint="cs"/>
          <w:sz w:val="24"/>
          <w:szCs w:val="24"/>
          <w:rtl/>
        </w:rPr>
        <w:t xml:space="preserve">, להפחית את שיעור הפסולת המוטמנת בישראל ל-20% ובמקביל לקדם כלכלה מעגלית וכלי מדיניות למניעת פסולת במקור. </w:t>
      </w:r>
    </w:p>
    <w:p w14:paraId="4706FF1E" w14:textId="77777777" w:rsidR="004665E6" w:rsidRPr="004665E6" w:rsidRDefault="00BE7379" w:rsidP="00BE7379">
      <w:pPr>
        <w:spacing w:line="360" w:lineRule="auto"/>
        <w:jc w:val="both"/>
        <w:rPr>
          <w:rFonts w:ascii="David" w:hAnsi="David" w:cs="David"/>
          <w:sz w:val="24"/>
          <w:szCs w:val="24"/>
          <w:rtl/>
        </w:rPr>
      </w:pPr>
      <w:r w:rsidRPr="00562EBF">
        <w:rPr>
          <w:rFonts w:ascii="David" w:hAnsi="David" w:cs="David" w:hint="cs"/>
          <w:sz w:val="24"/>
          <w:szCs w:val="24"/>
          <w:rtl/>
        </w:rPr>
        <w:t xml:space="preserve">בעיית אבדן מזון אינה ייחודית לישראל ומהווה אתגר גלובלי. לא בכדי קבע האו"ם </w:t>
      </w:r>
      <w:r>
        <w:rPr>
          <w:rFonts w:ascii="David" w:hAnsi="David" w:cs="David" w:hint="cs"/>
          <w:sz w:val="24"/>
          <w:szCs w:val="24"/>
          <w:rtl/>
        </w:rPr>
        <w:t>באחד</w:t>
      </w:r>
      <w:r w:rsidRPr="00562EBF">
        <w:rPr>
          <w:rFonts w:ascii="David" w:hAnsi="David" w:cs="David" w:hint="cs"/>
          <w:sz w:val="24"/>
          <w:szCs w:val="24"/>
          <w:rtl/>
        </w:rPr>
        <w:t xml:space="preserve"> מיעדיו לפיתוח בר קיימא (מדדי ה- </w:t>
      </w:r>
      <w:r w:rsidRPr="00562EBF">
        <w:rPr>
          <w:rFonts w:ascii="David" w:hAnsi="David" w:cs="David" w:hint="cs"/>
          <w:sz w:val="24"/>
          <w:szCs w:val="24"/>
        </w:rPr>
        <w:t>SDG</w:t>
      </w:r>
      <w:r w:rsidRPr="00562EBF">
        <w:rPr>
          <w:rFonts w:ascii="David" w:hAnsi="David" w:cs="David"/>
          <w:sz w:val="24"/>
          <w:szCs w:val="24"/>
        </w:rPr>
        <w:t>'s</w:t>
      </w:r>
      <w:r w:rsidRPr="00562EBF">
        <w:rPr>
          <w:rFonts w:ascii="David" w:hAnsi="David" w:cs="David" w:hint="cs"/>
          <w:sz w:val="24"/>
          <w:szCs w:val="24"/>
          <w:rtl/>
        </w:rPr>
        <w:t>)</w:t>
      </w:r>
      <w:r>
        <w:rPr>
          <w:rFonts w:ascii="David" w:hAnsi="David" w:cs="David" w:hint="cs"/>
          <w:sz w:val="24"/>
          <w:szCs w:val="24"/>
          <w:rtl/>
        </w:rPr>
        <w:t xml:space="preserve"> כי עד 2030 יש להפחית את בזבוז המזון ב-50%</w:t>
      </w:r>
      <w:r>
        <w:rPr>
          <w:rFonts w:ascii="Arial" w:hAnsi="Arial" w:cs="Arial"/>
          <w:i/>
          <w:iCs/>
          <w:color w:val="1B1D1F"/>
          <w:sz w:val="21"/>
          <w:szCs w:val="21"/>
          <w:shd w:val="clear" w:color="auto" w:fill="F8F8F8"/>
        </w:rPr>
        <w:t xml:space="preserve"> </w:t>
      </w:r>
      <w:r>
        <w:rPr>
          <w:rFonts w:ascii="Arial" w:hAnsi="Arial" w:cs="Arial" w:hint="cs"/>
          <w:i/>
          <w:iCs/>
          <w:color w:val="1B1D1F"/>
          <w:sz w:val="21"/>
          <w:szCs w:val="21"/>
          <w:shd w:val="clear" w:color="auto" w:fill="F8F8F8"/>
          <w:rtl/>
        </w:rPr>
        <w:t xml:space="preserve">. </w:t>
      </w:r>
    </w:p>
    <w:p w14:paraId="7275EBB3" w14:textId="77777777" w:rsidR="005F6B57" w:rsidRDefault="005F6B57" w:rsidP="000207A0">
      <w:pPr>
        <w:spacing w:line="360" w:lineRule="auto"/>
        <w:jc w:val="both"/>
        <w:rPr>
          <w:rFonts w:ascii="David" w:hAnsi="David" w:cs="David"/>
          <w:sz w:val="24"/>
          <w:szCs w:val="24"/>
          <w:rtl/>
        </w:rPr>
      </w:pPr>
      <w:r>
        <w:rPr>
          <w:rFonts w:ascii="David" w:hAnsi="David" w:cs="David" w:hint="cs"/>
          <w:sz w:val="24"/>
          <w:szCs w:val="24"/>
          <w:rtl/>
        </w:rPr>
        <w:t xml:space="preserve">דוח זה </w:t>
      </w:r>
      <w:r w:rsidRPr="004665E6">
        <w:rPr>
          <w:rFonts w:ascii="David" w:hAnsi="David" w:cs="David" w:hint="cs"/>
          <w:sz w:val="24"/>
          <w:szCs w:val="24"/>
          <w:rtl/>
        </w:rPr>
        <w:t>מציף ומחדד את הבעיות הסביבתיות הכר</w:t>
      </w:r>
      <w:r>
        <w:rPr>
          <w:rFonts w:ascii="David" w:hAnsi="David" w:cs="David" w:hint="cs"/>
          <w:sz w:val="24"/>
          <w:szCs w:val="24"/>
          <w:rtl/>
        </w:rPr>
        <w:t xml:space="preserve">וכות בבזבוז ואובדן מזון ומנתח את העלויות הכלכליות הנובעות מהתופעה. </w:t>
      </w:r>
      <w:r w:rsidR="00BE7379">
        <w:rPr>
          <w:rFonts w:ascii="David" w:hAnsi="David" w:cs="David" w:hint="cs"/>
          <w:sz w:val="24"/>
          <w:szCs w:val="24"/>
          <w:rtl/>
        </w:rPr>
        <w:t>הדוח מוכיח כי לא נוכל להתעלם מה</w:t>
      </w:r>
      <w:r w:rsidR="000207A0">
        <w:rPr>
          <w:rFonts w:ascii="David" w:hAnsi="David" w:cs="David" w:hint="cs"/>
          <w:sz w:val="24"/>
          <w:szCs w:val="24"/>
          <w:rtl/>
        </w:rPr>
        <w:t>היבטים הסביבתיים של אובדן מזון. יש הרבה מה לעשות והגיעה העת לאגד משאבים, ידע וכלי מדיניות על מנת להפחית באופן משמעותי את אובדן המזון בישראל. הפחתת האובדן והצלת מזון הינה בעלת רווח כפול ואף משולש (</w:t>
      </w:r>
      <w:r w:rsidR="000207A0">
        <w:rPr>
          <w:rFonts w:ascii="David" w:hAnsi="David" w:cs="David"/>
          <w:sz w:val="24"/>
          <w:szCs w:val="24"/>
        </w:rPr>
        <w:t>win-win-win</w:t>
      </w:r>
      <w:r w:rsidR="000207A0">
        <w:rPr>
          <w:rFonts w:ascii="David" w:hAnsi="David" w:cs="David" w:hint="cs"/>
          <w:sz w:val="24"/>
          <w:szCs w:val="24"/>
          <w:rtl/>
        </w:rPr>
        <w:t xml:space="preserve">) </w:t>
      </w:r>
      <w:r w:rsidR="000207A0">
        <w:rPr>
          <w:rFonts w:ascii="David" w:hAnsi="David" w:cs="David"/>
          <w:sz w:val="24"/>
          <w:szCs w:val="24"/>
          <w:rtl/>
        </w:rPr>
        <w:t>–</w:t>
      </w:r>
      <w:r w:rsidR="000207A0">
        <w:rPr>
          <w:rFonts w:ascii="David" w:hAnsi="David" w:cs="David" w:hint="cs"/>
          <w:sz w:val="24"/>
          <w:szCs w:val="24"/>
          <w:rtl/>
        </w:rPr>
        <w:t xml:space="preserve"> שיפור מצב הסביבה, תועלות כלכליות וערכים חברתיים. </w:t>
      </w:r>
    </w:p>
    <w:p w14:paraId="30E02F02" w14:textId="77777777" w:rsidR="00DB6B30" w:rsidRPr="001974E9" w:rsidRDefault="000207A0" w:rsidP="000207A0">
      <w:pPr>
        <w:spacing w:line="360" w:lineRule="auto"/>
        <w:jc w:val="both"/>
        <w:rPr>
          <w:rFonts w:ascii="David" w:hAnsi="David" w:cs="David"/>
          <w:sz w:val="24"/>
          <w:szCs w:val="24"/>
        </w:rPr>
      </w:pPr>
      <w:r>
        <w:rPr>
          <w:rFonts w:ascii="David" w:hAnsi="David" w:cs="David" w:hint="cs"/>
          <w:sz w:val="24"/>
          <w:szCs w:val="24"/>
          <w:rtl/>
        </w:rPr>
        <w:t xml:space="preserve">נוסף על פעילות הממשלה הנדרשת בתחום חשוב להזכיר שגם הציבור יכול לפעול - </w:t>
      </w:r>
      <w:r w:rsidR="00DB6B30" w:rsidRPr="001974E9">
        <w:rPr>
          <w:rFonts w:ascii="David" w:hAnsi="David" w:cs="David"/>
          <w:sz w:val="24"/>
          <w:szCs w:val="24"/>
          <w:rtl/>
        </w:rPr>
        <w:t>הפסקת הבזבוז נמצא</w:t>
      </w:r>
      <w:r w:rsidRPr="001974E9">
        <w:rPr>
          <w:rFonts w:ascii="David" w:hAnsi="David" w:cs="David" w:hint="cs"/>
          <w:sz w:val="24"/>
          <w:szCs w:val="24"/>
          <w:rtl/>
        </w:rPr>
        <w:t>ת</w:t>
      </w:r>
      <w:r w:rsidR="00DB6B30" w:rsidRPr="001974E9">
        <w:rPr>
          <w:rFonts w:ascii="David" w:hAnsi="David" w:cs="David"/>
          <w:sz w:val="24"/>
          <w:szCs w:val="24"/>
          <w:rtl/>
        </w:rPr>
        <w:t xml:space="preserve"> בידיים של כולנו, הצרכנים. בפעם הבאה שאנחנו קונים מזון, מבשלים ומארחים, כדאי לנסות לצד המחשבה "שרק לא יחסר" - לאמץ גם את כיוון המחשבה "רק שלא יתבזבז</w:t>
      </w:r>
      <w:r w:rsidR="00DB6B30" w:rsidRPr="001974E9">
        <w:rPr>
          <w:rFonts w:ascii="David" w:hAnsi="David" w:cs="David"/>
          <w:sz w:val="24"/>
          <w:szCs w:val="24"/>
        </w:rPr>
        <w:t>".</w:t>
      </w:r>
    </w:p>
    <w:p w14:paraId="237838AB" w14:textId="77777777" w:rsidR="008A575C" w:rsidRDefault="008A575C" w:rsidP="00D52D96">
      <w:pPr>
        <w:rPr>
          <w:rFonts w:asciiTheme="minorBidi" w:hAnsiTheme="minorBidi"/>
          <w:rtl/>
        </w:rPr>
      </w:pPr>
    </w:p>
    <w:p w14:paraId="5622C2E6" w14:textId="77777777" w:rsidR="00892980" w:rsidRDefault="00892980" w:rsidP="00D52D96">
      <w:pPr>
        <w:rPr>
          <w:rFonts w:asciiTheme="minorBidi" w:hAnsiTheme="minorBidi"/>
          <w:rtl/>
        </w:rPr>
      </w:pPr>
    </w:p>
    <w:p w14:paraId="0E9BD609" w14:textId="77777777" w:rsidR="00892980" w:rsidRDefault="00892980" w:rsidP="00D52D96">
      <w:pPr>
        <w:rPr>
          <w:rFonts w:asciiTheme="minorBidi" w:hAnsiTheme="minorBidi"/>
          <w:rtl/>
        </w:rPr>
      </w:pPr>
    </w:p>
    <w:p w14:paraId="0B6EE101" w14:textId="77777777" w:rsidR="00892980" w:rsidRPr="00892980" w:rsidRDefault="00892980" w:rsidP="00892980">
      <w:pPr>
        <w:ind w:left="5045"/>
        <w:jc w:val="center"/>
        <w:rPr>
          <w:rFonts w:ascii="David" w:hAnsi="David" w:cs="David"/>
          <w:sz w:val="24"/>
          <w:szCs w:val="24"/>
        </w:rPr>
      </w:pPr>
      <w:r w:rsidRPr="00892980">
        <w:rPr>
          <w:rFonts w:ascii="David" w:hAnsi="David" w:cs="David"/>
          <w:sz w:val="24"/>
          <w:szCs w:val="24"/>
          <w:rtl/>
        </w:rPr>
        <w:t>בברכה,</w:t>
      </w:r>
    </w:p>
    <w:p w14:paraId="37BA8CA6" w14:textId="77777777" w:rsidR="00892980" w:rsidRPr="00892980" w:rsidRDefault="00892980" w:rsidP="00892980">
      <w:pPr>
        <w:ind w:left="5045"/>
        <w:jc w:val="center"/>
        <w:rPr>
          <w:rFonts w:ascii="David" w:hAnsi="David" w:cs="David"/>
          <w:sz w:val="24"/>
          <w:szCs w:val="24"/>
          <w:rtl/>
        </w:rPr>
      </w:pPr>
      <w:r w:rsidRPr="00892980">
        <w:rPr>
          <w:rFonts w:ascii="David" w:hAnsi="David" w:cs="David"/>
          <w:sz w:val="24"/>
          <w:szCs w:val="24"/>
          <w:rtl/>
        </w:rPr>
        <w:t>ח"כ גילה גמליאל</w:t>
      </w:r>
    </w:p>
    <w:p w14:paraId="0AB2995F" w14:textId="77777777" w:rsidR="00892980" w:rsidRPr="00892980" w:rsidRDefault="00892980" w:rsidP="00892980">
      <w:pPr>
        <w:ind w:left="5045"/>
        <w:jc w:val="center"/>
        <w:rPr>
          <w:rFonts w:ascii="David" w:hAnsi="David" w:cs="David"/>
          <w:sz w:val="24"/>
          <w:szCs w:val="24"/>
        </w:rPr>
      </w:pPr>
      <w:r w:rsidRPr="00892980">
        <w:rPr>
          <w:rFonts w:ascii="David" w:hAnsi="David" w:cs="David"/>
          <w:sz w:val="24"/>
          <w:szCs w:val="24"/>
          <w:rtl/>
        </w:rPr>
        <w:t>השרה להגנת הסביבה</w:t>
      </w:r>
    </w:p>
    <w:sectPr w:rsidR="00892980" w:rsidRPr="00892980" w:rsidSect="00E23C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76"/>
    <w:rsid w:val="000207A0"/>
    <w:rsid w:val="000C3A60"/>
    <w:rsid w:val="001974E9"/>
    <w:rsid w:val="00276126"/>
    <w:rsid w:val="002B76F9"/>
    <w:rsid w:val="004665E6"/>
    <w:rsid w:val="004A6CF5"/>
    <w:rsid w:val="004B3181"/>
    <w:rsid w:val="00541FF7"/>
    <w:rsid w:val="00562EBF"/>
    <w:rsid w:val="005F6B57"/>
    <w:rsid w:val="00686975"/>
    <w:rsid w:val="007F51E4"/>
    <w:rsid w:val="00827D7A"/>
    <w:rsid w:val="008535A1"/>
    <w:rsid w:val="00892980"/>
    <w:rsid w:val="008A575C"/>
    <w:rsid w:val="00945676"/>
    <w:rsid w:val="009F46B8"/>
    <w:rsid w:val="00AE5F5B"/>
    <w:rsid w:val="00BE7379"/>
    <w:rsid w:val="00CA55AF"/>
    <w:rsid w:val="00D52D96"/>
    <w:rsid w:val="00DB6B30"/>
    <w:rsid w:val="00E23C77"/>
    <w:rsid w:val="00E77D72"/>
    <w:rsid w:val="00FC7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8B0C"/>
  <w15:chartTrackingRefBased/>
  <w15:docId w15:val="{BAA2A1F4-6FE9-4722-AD26-31C8C70E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B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86423">
      <w:bodyDiv w:val="1"/>
      <w:marLeft w:val="0"/>
      <w:marRight w:val="0"/>
      <w:marTop w:val="0"/>
      <w:marBottom w:val="0"/>
      <w:divBdr>
        <w:top w:val="none" w:sz="0" w:space="0" w:color="auto"/>
        <w:left w:val="none" w:sz="0" w:space="0" w:color="auto"/>
        <w:bottom w:val="none" w:sz="0" w:space="0" w:color="auto"/>
        <w:right w:val="none" w:sz="0" w:space="0" w:color="auto"/>
      </w:divBdr>
    </w:div>
    <w:div w:id="654530060">
      <w:bodyDiv w:val="1"/>
      <w:marLeft w:val="0"/>
      <w:marRight w:val="0"/>
      <w:marTop w:val="0"/>
      <w:marBottom w:val="0"/>
      <w:divBdr>
        <w:top w:val="none" w:sz="0" w:space="0" w:color="auto"/>
        <w:left w:val="none" w:sz="0" w:space="0" w:color="auto"/>
        <w:bottom w:val="none" w:sz="0" w:space="0" w:color="auto"/>
        <w:right w:val="none" w:sz="0" w:space="0" w:color="auto"/>
      </w:divBdr>
      <w:divsChild>
        <w:div w:id="1937665933">
          <w:marLeft w:val="0"/>
          <w:marRight w:val="0"/>
          <w:marTop w:val="0"/>
          <w:marBottom w:val="0"/>
          <w:divBdr>
            <w:top w:val="none" w:sz="0" w:space="0" w:color="auto"/>
            <w:left w:val="none" w:sz="0" w:space="0" w:color="auto"/>
            <w:bottom w:val="none" w:sz="0" w:space="0" w:color="auto"/>
            <w:right w:val="none" w:sz="0" w:space="0" w:color="auto"/>
          </w:divBdr>
          <w:divsChild>
            <w:div w:id="1999073855">
              <w:marLeft w:val="0"/>
              <w:marRight w:val="0"/>
              <w:marTop w:val="0"/>
              <w:marBottom w:val="0"/>
              <w:divBdr>
                <w:top w:val="none" w:sz="0" w:space="0" w:color="auto"/>
                <w:left w:val="none" w:sz="0" w:space="0" w:color="auto"/>
                <w:bottom w:val="none" w:sz="0" w:space="0" w:color="auto"/>
                <w:right w:val="none" w:sz="0" w:space="0" w:color="auto"/>
              </w:divBdr>
              <w:divsChild>
                <w:div w:id="212735534">
                  <w:marLeft w:val="0"/>
                  <w:marRight w:val="0"/>
                  <w:marTop w:val="0"/>
                  <w:marBottom w:val="0"/>
                  <w:divBdr>
                    <w:top w:val="none" w:sz="0" w:space="0" w:color="auto"/>
                    <w:left w:val="none" w:sz="0" w:space="0" w:color="auto"/>
                    <w:bottom w:val="none" w:sz="0" w:space="0" w:color="auto"/>
                    <w:right w:val="none" w:sz="0" w:space="0" w:color="auto"/>
                  </w:divBdr>
                  <w:divsChild>
                    <w:div w:id="1563834379">
                      <w:marLeft w:val="0"/>
                      <w:marRight w:val="0"/>
                      <w:marTop w:val="0"/>
                      <w:marBottom w:val="0"/>
                      <w:divBdr>
                        <w:top w:val="none" w:sz="0" w:space="0" w:color="auto"/>
                        <w:left w:val="none" w:sz="0" w:space="0" w:color="auto"/>
                        <w:bottom w:val="none" w:sz="0" w:space="0" w:color="auto"/>
                        <w:right w:val="none" w:sz="0" w:space="0" w:color="auto"/>
                      </w:divBdr>
                      <w:divsChild>
                        <w:div w:id="1834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9370">
      <w:bodyDiv w:val="1"/>
      <w:marLeft w:val="0"/>
      <w:marRight w:val="0"/>
      <w:marTop w:val="0"/>
      <w:marBottom w:val="0"/>
      <w:divBdr>
        <w:top w:val="none" w:sz="0" w:space="0" w:color="auto"/>
        <w:left w:val="none" w:sz="0" w:space="0" w:color="auto"/>
        <w:bottom w:val="none" w:sz="0" w:space="0" w:color="auto"/>
        <w:right w:val="none" w:sz="0" w:space="0" w:color="auto"/>
      </w:divBdr>
      <w:divsChild>
        <w:div w:id="3823507">
          <w:marLeft w:val="0"/>
          <w:marRight w:val="0"/>
          <w:marTop w:val="0"/>
          <w:marBottom w:val="0"/>
          <w:divBdr>
            <w:top w:val="none" w:sz="0" w:space="0" w:color="auto"/>
            <w:left w:val="none" w:sz="0" w:space="0" w:color="auto"/>
            <w:bottom w:val="none" w:sz="0" w:space="0" w:color="auto"/>
            <w:right w:val="none" w:sz="0" w:space="0" w:color="auto"/>
          </w:divBdr>
          <w:divsChild>
            <w:div w:id="1823545889">
              <w:marLeft w:val="0"/>
              <w:marRight w:val="0"/>
              <w:marTop w:val="0"/>
              <w:marBottom w:val="0"/>
              <w:divBdr>
                <w:top w:val="none" w:sz="0" w:space="0" w:color="auto"/>
                <w:left w:val="none" w:sz="0" w:space="0" w:color="auto"/>
                <w:bottom w:val="none" w:sz="0" w:space="0" w:color="auto"/>
                <w:right w:val="none" w:sz="0" w:space="0" w:color="auto"/>
              </w:divBdr>
              <w:divsChild>
                <w:div w:id="133764153">
                  <w:marLeft w:val="0"/>
                  <w:marRight w:val="0"/>
                  <w:marTop w:val="0"/>
                  <w:marBottom w:val="0"/>
                  <w:divBdr>
                    <w:top w:val="none" w:sz="0" w:space="0" w:color="auto"/>
                    <w:left w:val="none" w:sz="0" w:space="0" w:color="auto"/>
                    <w:bottom w:val="none" w:sz="0" w:space="0" w:color="auto"/>
                    <w:right w:val="none" w:sz="0" w:space="0" w:color="auto"/>
                  </w:divBdr>
                  <w:divsChild>
                    <w:div w:id="1176261494">
                      <w:marLeft w:val="0"/>
                      <w:marRight w:val="0"/>
                      <w:marTop w:val="0"/>
                      <w:marBottom w:val="0"/>
                      <w:divBdr>
                        <w:top w:val="none" w:sz="0" w:space="0" w:color="auto"/>
                        <w:left w:val="none" w:sz="0" w:space="0" w:color="auto"/>
                        <w:bottom w:val="none" w:sz="0" w:space="0" w:color="auto"/>
                        <w:right w:val="none" w:sz="0" w:space="0" w:color="auto"/>
                      </w:divBdr>
                      <w:divsChild>
                        <w:div w:id="5664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651">
      <w:bodyDiv w:val="1"/>
      <w:marLeft w:val="0"/>
      <w:marRight w:val="0"/>
      <w:marTop w:val="0"/>
      <w:marBottom w:val="0"/>
      <w:divBdr>
        <w:top w:val="none" w:sz="0" w:space="0" w:color="auto"/>
        <w:left w:val="none" w:sz="0" w:space="0" w:color="auto"/>
        <w:bottom w:val="none" w:sz="0" w:space="0" w:color="auto"/>
        <w:right w:val="none" w:sz="0" w:space="0" w:color="auto"/>
      </w:divBdr>
      <w:divsChild>
        <w:div w:id="244339136">
          <w:marLeft w:val="0"/>
          <w:marRight w:val="0"/>
          <w:marTop w:val="0"/>
          <w:marBottom w:val="0"/>
          <w:divBdr>
            <w:top w:val="none" w:sz="0" w:space="0" w:color="auto"/>
            <w:left w:val="none" w:sz="0" w:space="0" w:color="auto"/>
            <w:bottom w:val="none" w:sz="0" w:space="0" w:color="auto"/>
            <w:right w:val="none" w:sz="0" w:space="0" w:color="auto"/>
          </w:divBdr>
          <w:divsChild>
            <w:div w:id="754546320">
              <w:marLeft w:val="0"/>
              <w:marRight w:val="0"/>
              <w:marTop w:val="0"/>
              <w:marBottom w:val="0"/>
              <w:divBdr>
                <w:top w:val="none" w:sz="0" w:space="0" w:color="auto"/>
                <w:left w:val="none" w:sz="0" w:space="0" w:color="auto"/>
                <w:bottom w:val="none" w:sz="0" w:space="0" w:color="auto"/>
                <w:right w:val="none" w:sz="0" w:space="0" w:color="auto"/>
              </w:divBdr>
              <w:divsChild>
                <w:div w:id="1661696046">
                  <w:marLeft w:val="0"/>
                  <w:marRight w:val="0"/>
                  <w:marTop w:val="0"/>
                  <w:marBottom w:val="0"/>
                  <w:divBdr>
                    <w:top w:val="none" w:sz="0" w:space="0" w:color="auto"/>
                    <w:left w:val="none" w:sz="0" w:space="0" w:color="auto"/>
                    <w:bottom w:val="none" w:sz="0" w:space="0" w:color="auto"/>
                    <w:right w:val="none" w:sz="0" w:space="0" w:color="auto"/>
                  </w:divBdr>
                  <w:divsChild>
                    <w:div w:id="2132480314">
                      <w:marLeft w:val="0"/>
                      <w:marRight w:val="0"/>
                      <w:marTop w:val="0"/>
                      <w:marBottom w:val="0"/>
                      <w:divBdr>
                        <w:top w:val="none" w:sz="0" w:space="0" w:color="auto"/>
                        <w:left w:val="none" w:sz="0" w:space="0" w:color="auto"/>
                        <w:bottom w:val="none" w:sz="0" w:space="0" w:color="auto"/>
                        <w:right w:val="none" w:sz="0" w:space="0" w:color="auto"/>
                      </w:divBdr>
                      <w:divsChild>
                        <w:div w:id="55096881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458B0-B2C9-4DCE-B74E-FBD9664C3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A76C7-2417-468F-B7C4-77EEAB65384C}">
  <ds:schemaRefs>
    <ds:schemaRef ds:uri="http://schemas.microsoft.com/sharepoint/v3/contenttype/forms"/>
  </ds:schemaRefs>
</ds:datastoreItem>
</file>

<file path=customXml/itemProps3.xml><?xml version="1.0" encoding="utf-8"?>
<ds:datastoreItem xmlns:ds="http://schemas.openxmlformats.org/officeDocument/2006/customXml" ds:itemID="{3AFF7420-9E8B-4647-99A3-2EFEF0F6FD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1454</Characters>
  <Application>Microsoft Office Word</Application>
  <DocSecurity>4</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שמאי</dc:creator>
  <cp:keywords/>
  <dc:description/>
  <cp:lastModifiedBy>Anat Friedman Coles - Leket Israel</cp:lastModifiedBy>
  <cp:revision>2</cp:revision>
  <dcterms:created xsi:type="dcterms:W3CDTF">2020-10-26T12:55:00Z</dcterms:created>
  <dcterms:modified xsi:type="dcterms:W3CDTF">2020-10-26T12:55:00Z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0x010100E9EAD607CA0BF54DA1259960E11487F1</vt:lpwstr>
  </property>
</Properties>
</file>