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42" w:rsidRDefault="00910424" w:rsidP="005819CC">
      <w:pPr>
        <w:rPr>
          <w:rtl/>
        </w:rPr>
      </w:pPr>
      <w:r>
        <w:rPr>
          <w:rFonts w:hint="cs"/>
          <w:rtl/>
        </w:rPr>
        <w:t xml:space="preserve">פרופ' </w:t>
      </w:r>
      <w:r w:rsidR="00D21B30">
        <w:t>Joosten</w:t>
      </w:r>
      <w:r>
        <w:rPr>
          <w:rFonts w:hint="cs"/>
          <w:rtl/>
        </w:rPr>
        <w:t xml:space="preserve"> הביא לידיעתי </w:t>
      </w:r>
      <w:r w:rsidR="00A46285">
        <w:rPr>
          <w:rFonts w:hint="cs"/>
          <w:rtl/>
        </w:rPr>
        <w:t xml:space="preserve">באדיבותו </w:t>
      </w:r>
      <w:r>
        <w:rPr>
          <w:rFonts w:hint="cs"/>
          <w:rtl/>
        </w:rPr>
        <w:t xml:space="preserve">שלושה מקרים נוספים שבהם </w:t>
      </w:r>
      <w:r w:rsidR="00F67256">
        <w:rPr>
          <w:rFonts w:hint="cs"/>
          <w:rtl/>
        </w:rPr>
        <w:t xml:space="preserve">מתורגם בשבעים </w:t>
      </w:r>
      <w:r w:rsidRPr="00D21B30">
        <w:rPr>
          <w:rFonts w:hint="cs"/>
          <w:b/>
          <w:bCs/>
          <w:rtl/>
        </w:rPr>
        <w:t>אותו</w:t>
      </w:r>
      <w:r>
        <w:rPr>
          <w:rFonts w:hint="cs"/>
          <w:rtl/>
        </w:rPr>
        <w:t xml:space="preserve"> </w:t>
      </w:r>
      <w:r w:rsidR="00F67256">
        <w:rPr>
          <w:rFonts w:hint="cs"/>
          <w:rtl/>
        </w:rPr>
        <w:t>כ</w:t>
      </w:r>
      <w:r w:rsidR="00F67256">
        <w:t>independent demonstrative pronoun</w:t>
      </w:r>
      <w:r w:rsidR="00D93215">
        <w:rPr>
          <w:rFonts w:hint="cs"/>
          <w:rtl/>
        </w:rPr>
        <w:t xml:space="preserve"> ולא ככינוי מושא</w:t>
      </w:r>
      <w:r w:rsidR="00A46285">
        <w:rPr>
          <w:rFonts w:hint="cs"/>
          <w:rtl/>
        </w:rPr>
        <w:t xml:space="preserve">. שניים מן המקרים מתועדים רק באחד מעדי הנוסח. </w:t>
      </w:r>
      <w:r w:rsidR="009572B0">
        <w:rPr>
          <w:rFonts w:hint="cs"/>
          <w:rtl/>
        </w:rPr>
        <w:t xml:space="preserve">ראה </w:t>
      </w:r>
      <w:r w:rsidR="00A46285">
        <w:rPr>
          <w:rFonts w:hint="cs"/>
          <w:rtl/>
        </w:rPr>
        <w:t>ויקרא כו 39 ב</w:t>
      </w:r>
      <w:r w:rsidR="005819CC">
        <w:rPr>
          <w:rFonts w:hint="cs"/>
          <w:rtl/>
        </w:rPr>
        <w:t>-</w:t>
      </w:r>
      <w:r w:rsidR="006B1912" w:rsidRPr="006B1912">
        <w:t>Aquila's</w:t>
      </w:r>
      <w:r w:rsidR="005819CC">
        <w:t xml:space="preserve"> </w:t>
      </w:r>
      <w:r w:rsidR="006B1912" w:rsidRPr="006B1912">
        <w:t>recension</w:t>
      </w:r>
      <w:r w:rsidR="006B1912" w:rsidRPr="006B1912">
        <w:rPr>
          <w:rFonts w:cs="Times New Roman" w:hint="cs"/>
          <w:rtl/>
        </w:rPr>
        <w:t xml:space="preserve"> </w:t>
      </w:r>
      <w:r w:rsidR="00A46285">
        <w:rPr>
          <w:rFonts w:hint="cs"/>
          <w:rtl/>
        </w:rPr>
        <w:t xml:space="preserve">(לדיון בנוסחים השונים ראה </w:t>
      </w:r>
      <w:r w:rsidR="00D21B30">
        <w:t>Wevers</w:t>
      </w:r>
      <w:r w:rsidR="00000C85">
        <w:rPr>
          <w:rFonts w:hint="cs"/>
          <w:rtl/>
        </w:rPr>
        <w:t xml:space="preserve"> 1997</w:t>
      </w:r>
      <w:r w:rsidR="00D21B30">
        <w:t>:</w:t>
      </w:r>
      <w:r w:rsidR="00000C85">
        <w:rPr>
          <w:rFonts w:hint="cs"/>
          <w:rtl/>
        </w:rPr>
        <w:t xml:space="preserve"> 459</w:t>
      </w:r>
      <w:r w:rsidR="00A46285">
        <w:rPr>
          <w:rFonts w:hint="cs"/>
          <w:rtl/>
        </w:rPr>
        <w:t xml:space="preserve">) ומל"א ט 25 </w:t>
      </w:r>
      <w:r w:rsidR="000C605E" w:rsidRPr="00562253">
        <w:rPr>
          <w:rFonts w:hint="cs"/>
          <w:rtl/>
        </w:rPr>
        <w:t>ב</w:t>
      </w:r>
      <w:r w:rsidR="000C605E" w:rsidRPr="00562253">
        <w:t xml:space="preserve">Codex </w:t>
      </w:r>
      <w:r w:rsidR="007650B2">
        <w:t xml:space="preserve"> </w:t>
      </w:r>
      <w:r w:rsidR="000C605E" w:rsidRPr="00562253">
        <w:t>Alexandrinus</w:t>
      </w:r>
      <w:r w:rsidR="00A46285">
        <w:rPr>
          <w:rFonts w:hint="cs"/>
          <w:rtl/>
        </w:rPr>
        <w:t xml:space="preserve">. בשני המקרים יש קושי פרשני </w:t>
      </w:r>
      <w:r w:rsidR="00A46285">
        <w:rPr>
          <w:rtl/>
        </w:rPr>
        <w:t>–</w:t>
      </w:r>
      <w:r w:rsidR="00A46285">
        <w:rPr>
          <w:rFonts w:hint="cs"/>
          <w:rtl/>
        </w:rPr>
        <w:t xml:space="preserve"> בויקרא כו 39 לא ברור מה ה</w:t>
      </w:r>
      <w:r w:rsidR="002C1545" w:rsidRPr="002C1545">
        <w:t xml:space="preserve"> antecedent</w:t>
      </w:r>
      <w:r w:rsidR="00A46285">
        <w:rPr>
          <w:rFonts w:hint="cs"/>
          <w:rtl/>
        </w:rPr>
        <w:t xml:space="preserve">של </w:t>
      </w:r>
      <w:r w:rsidR="00000C85" w:rsidRPr="00F67256">
        <w:rPr>
          <w:rFonts w:cs="Times New Roman"/>
          <w:b/>
          <w:bCs/>
          <w:rtl/>
        </w:rPr>
        <w:t>אִתָּם</w:t>
      </w:r>
      <w:r w:rsidR="00A46285">
        <w:rPr>
          <w:rFonts w:hint="cs"/>
          <w:rtl/>
        </w:rPr>
        <w:t xml:space="preserve"> (</w:t>
      </w:r>
      <w:r w:rsidR="005819CC">
        <w:rPr>
          <w:rFonts w:hint="cs"/>
          <w:rtl/>
        </w:rPr>
        <w:t>שהמתרגם קרא כ-</w:t>
      </w:r>
      <w:r w:rsidR="005819CC" w:rsidRPr="005F44B2">
        <w:rPr>
          <w:rFonts w:cs="Times New Roman"/>
          <w:b/>
          <w:bCs/>
          <w:rtl/>
        </w:rPr>
        <w:t>א</w:t>
      </w:r>
      <w:r w:rsidR="005819CC" w:rsidRPr="005F44B2">
        <w:rPr>
          <w:rFonts w:cs="Times New Roman" w:hint="cs"/>
          <w:b/>
          <w:bCs/>
          <w:rtl/>
        </w:rPr>
        <w:t>וֹ</w:t>
      </w:r>
      <w:r w:rsidR="005819CC" w:rsidRPr="005F44B2">
        <w:rPr>
          <w:rFonts w:cs="Times New Roman" w:hint="eastAsia"/>
          <w:b/>
          <w:bCs/>
          <w:rtl/>
        </w:rPr>
        <w:t>תָם</w:t>
      </w:r>
      <w:r w:rsidR="005819CC" w:rsidRPr="005819CC">
        <w:rPr>
          <w:rFonts w:cs="Times New Roman" w:hint="cs"/>
          <w:rtl/>
        </w:rPr>
        <w:t>;</w:t>
      </w:r>
      <w:r w:rsidR="005819CC">
        <w:rPr>
          <w:rFonts w:cs="Times New Roman" w:hint="cs"/>
          <w:b/>
          <w:bCs/>
          <w:rtl/>
        </w:rPr>
        <w:t xml:space="preserve"> </w:t>
      </w:r>
      <w:r w:rsidR="00D21B30">
        <w:t>Milgrom</w:t>
      </w:r>
      <w:r w:rsidR="00A46285">
        <w:rPr>
          <w:rFonts w:hint="cs"/>
          <w:rtl/>
        </w:rPr>
        <w:t xml:space="preserve"> </w:t>
      </w:r>
      <w:r w:rsidR="00000C85">
        <w:rPr>
          <w:rFonts w:hint="cs"/>
          <w:rtl/>
        </w:rPr>
        <w:t>1991</w:t>
      </w:r>
      <w:r w:rsidR="00D21B30">
        <w:t>:</w:t>
      </w:r>
      <w:r w:rsidR="00000C85">
        <w:rPr>
          <w:rFonts w:hint="cs"/>
          <w:rtl/>
        </w:rPr>
        <w:t xml:space="preserve"> 2329</w:t>
      </w:r>
      <w:r w:rsidR="00A46285">
        <w:rPr>
          <w:rFonts w:hint="cs"/>
          <w:rtl/>
        </w:rPr>
        <w:t xml:space="preserve">, והשווה למקרה של במדבר </w:t>
      </w:r>
      <w:r w:rsidR="00F67256">
        <w:rPr>
          <w:rFonts w:hint="cs"/>
          <w:rtl/>
        </w:rPr>
        <w:t>ו 13</w:t>
      </w:r>
      <w:r w:rsidR="00A46285">
        <w:rPr>
          <w:rFonts w:hint="cs"/>
          <w:rtl/>
        </w:rPr>
        <w:t xml:space="preserve">). </w:t>
      </w:r>
      <w:r w:rsidR="00564D17">
        <w:rPr>
          <w:rFonts w:hint="cs"/>
          <w:rtl/>
        </w:rPr>
        <w:t xml:space="preserve">פירוש </w:t>
      </w:r>
      <w:r w:rsidR="00345B2A">
        <w:rPr>
          <w:rFonts w:hint="cs"/>
          <w:rtl/>
        </w:rPr>
        <w:t>הפסוק</w:t>
      </w:r>
      <w:r w:rsidR="00564D17">
        <w:rPr>
          <w:rFonts w:hint="cs"/>
          <w:rtl/>
        </w:rPr>
        <w:t xml:space="preserve"> במלכים </w:t>
      </w:r>
      <w:r w:rsidR="008274D2">
        <w:rPr>
          <w:rFonts w:hint="cs"/>
          <w:rtl/>
        </w:rPr>
        <w:t xml:space="preserve">נותר </w:t>
      </w:r>
      <w:r w:rsidR="00496FA1">
        <w:rPr>
          <w:rFonts w:hint="cs"/>
          <w:rtl/>
        </w:rPr>
        <w:t>מוקשה</w:t>
      </w:r>
      <w:r w:rsidR="008274D2">
        <w:rPr>
          <w:rFonts w:hint="cs"/>
          <w:rtl/>
        </w:rPr>
        <w:t xml:space="preserve"> עד ימינו</w:t>
      </w:r>
      <w:r w:rsidR="00564D17">
        <w:rPr>
          <w:rFonts w:hint="cs"/>
          <w:rtl/>
        </w:rPr>
        <w:t xml:space="preserve"> (</w:t>
      </w:r>
      <w:r w:rsidR="00D21B30">
        <w:t>Kalimi</w:t>
      </w:r>
      <w:r w:rsidR="00345B2A">
        <w:rPr>
          <w:rFonts w:hint="cs"/>
          <w:rtl/>
        </w:rPr>
        <w:t xml:space="preserve"> 2005</w:t>
      </w:r>
      <w:r w:rsidR="00D21B30">
        <w:t>:</w:t>
      </w:r>
      <w:r w:rsidR="00345B2A">
        <w:rPr>
          <w:rFonts w:hint="cs"/>
          <w:rtl/>
        </w:rPr>
        <w:t xml:space="preserve"> 121</w:t>
      </w:r>
      <w:r w:rsidR="00345B2A">
        <w:rPr>
          <w:rtl/>
        </w:rPr>
        <w:t>–</w:t>
      </w:r>
      <w:r w:rsidR="00345B2A">
        <w:rPr>
          <w:rFonts w:hint="cs"/>
          <w:rtl/>
        </w:rPr>
        <w:t>122</w:t>
      </w:r>
      <w:r w:rsidR="00564D17">
        <w:rPr>
          <w:rFonts w:hint="cs"/>
          <w:rtl/>
        </w:rPr>
        <w:t xml:space="preserve">). </w:t>
      </w:r>
      <w:r w:rsidR="00A46285">
        <w:rPr>
          <w:rFonts w:hint="cs"/>
          <w:rtl/>
        </w:rPr>
        <w:t>במקרה השלישי, יחזקאל י 22,</w:t>
      </w:r>
      <w:r w:rsidR="007E06D6">
        <w:rPr>
          <w:rFonts w:hint="cs"/>
          <w:rtl/>
        </w:rPr>
        <w:t xml:space="preserve"> </w:t>
      </w:r>
      <w:r w:rsidR="008274D2">
        <w:rPr>
          <w:rFonts w:hint="cs"/>
          <w:rtl/>
        </w:rPr>
        <w:t>בכל עדי הנוס</w:t>
      </w:r>
      <w:r w:rsidR="005819CC">
        <w:rPr>
          <w:rFonts w:hint="cs"/>
          <w:rtl/>
        </w:rPr>
        <w:t xml:space="preserve">ח </w:t>
      </w:r>
      <w:r w:rsidR="00F67256">
        <w:rPr>
          <w:rFonts w:hint="cs"/>
          <w:rtl/>
        </w:rPr>
        <w:t xml:space="preserve">של השבעים </w:t>
      </w:r>
      <w:r w:rsidR="005819CC">
        <w:rPr>
          <w:rFonts w:hint="cs"/>
          <w:rtl/>
        </w:rPr>
        <w:t xml:space="preserve">המילה </w:t>
      </w:r>
      <w:r w:rsidR="005819CC" w:rsidRPr="005F44B2">
        <w:rPr>
          <w:rFonts w:cs="Times New Roman"/>
          <w:b/>
          <w:bCs/>
          <w:rtl/>
        </w:rPr>
        <w:t>וְא</w:t>
      </w:r>
      <w:r w:rsidR="005819CC" w:rsidRPr="005F44B2">
        <w:rPr>
          <w:rFonts w:cs="Times New Roman" w:hint="cs"/>
          <w:b/>
          <w:bCs/>
          <w:rtl/>
        </w:rPr>
        <w:t>וֹ</w:t>
      </w:r>
      <w:r w:rsidR="005819CC" w:rsidRPr="005F44B2">
        <w:rPr>
          <w:rFonts w:cs="Times New Roman" w:hint="eastAsia"/>
          <w:b/>
          <w:bCs/>
          <w:rtl/>
        </w:rPr>
        <w:t>תָם</w:t>
      </w:r>
      <w:r w:rsidR="005819CC">
        <w:rPr>
          <w:rFonts w:cs="Times New Roman" w:hint="cs"/>
          <w:b/>
          <w:bCs/>
          <w:rtl/>
        </w:rPr>
        <w:t xml:space="preserve"> </w:t>
      </w:r>
      <w:r w:rsidR="005819CC">
        <w:rPr>
          <w:rFonts w:cs="Times New Roman" w:hint="cs"/>
          <w:rtl/>
        </w:rPr>
        <w:t xml:space="preserve">תורגמה ככינוי גוף </w:t>
      </w:r>
      <w:r w:rsidR="005819CC">
        <w:rPr>
          <w:rFonts w:cs="Times New Roman"/>
          <w:rtl/>
        </w:rPr>
        <w:t>–</w:t>
      </w:r>
      <w:r w:rsidR="005819CC">
        <w:rPr>
          <w:rFonts w:cs="Times New Roman" w:hint="cs"/>
          <w:rtl/>
        </w:rPr>
        <w:t xml:space="preserve"> 'והם'. </w:t>
      </w:r>
      <w:r w:rsidR="00345B2A">
        <w:rPr>
          <w:rFonts w:hint="cs"/>
          <w:rtl/>
        </w:rPr>
        <w:t>מפרשי ימי הביניים (כגון רד"ק) התקשו בפירוש ה</w:t>
      </w:r>
      <w:r w:rsidR="005819CC">
        <w:rPr>
          <w:rFonts w:hint="cs"/>
          <w:rtl/>
        </w:rPr>
        <w:t>מילה בהקשרה בפסוק</w:t>
      </w:r>
      <w:r w:rsidR="00345B2A">
        <w:rPr>
          <w:rFonts w:hint="cs"/>
          <w:rtl/>
        </w:rPr>
        <w:t xml:space="preserve">, והחוקרים </w:t>
      </w:r>
      <w:r w:rsidR="005819CC">
        <w:rPr>
          <w:rFonts w:hint="cs"/>
          <w:rtl/>
        </w:rPr>
        <w:t>המודרניים</w:t>
      </w:r>
      <w:r w:rsidR="00345B2A">
        <w:rPr>
          <w:rFonts w:hint="cs"/>
          <w:rtl/>
        </w:rPr>
        <w:t xml:space="preserve"> הציעו גם הם פירושים דחוקים</w:t>
      </w:r>
      <w:r w:rsidR="00C01FF1">
        <w:rPr>
          <w:rFonts w:hint="cs"/>
          <w:rtl/>
        </w:rPr>
        <w:t xml:space="preserve"> (</w:t>
      </w:r>
      <w:r w:rsidR="00D21B30" w:rsidRPr="00D21B30">
        <w:t>Saydon</w:t>
      </w:r>
      <w:r w:rsidR="00C01FF1">
        <w:rPr>
          <w:rFonts w:hint="cs"/>
          <w:rtl/>
        </w:rPr>
        <w:t xml:space="preserve"> 1964: 202). </w:t>
      </w:r>
    </w:p>
    <w:p w:rsidR="00910424" w:rsidRDefault="00345B2A" w:rsidP="00205542">
      <w:r>
        <w:rPr>
          <w:rFonts w:hint="cs"/>
          <w:rtl/>
        </w:rPr>
        <w:t xml:space="preserve">אם כן, בכל המקרים </w:t>
      </w:r>
      <w:r w:rsidR="005819CC">
        <w:rPr>
          <w:rFonts w:hint="cs"/>
          <w:rtl/>
        </w:rPr>
        <w:t xml:space="preserve">האלה </w:t>
      </w:r>
      <w:r>
        <w:rPr>
          <w:rFonts w:hint="cs"/>
          <w:rtl/>
        </w:rPr>
        <w:t xml:space="preserve">יש קושי פרשני של ממש. </w:t>
      </w:r>
      <w:r w:rsidR="009572B0">
        <w:rPr>
          <w:rFonts w:hint="cs"/>
          <w:rtl/>
        </w:rPr>
        <w:t xml:space="preserve">קשה </w:t>
      </w:r>
      <w:r w:rsidR="00246F50">
        <w:rPr>
          <w:rFonts w:hint="cs"/>
          <w:rtl/>
        </w:rPr>
        <w:t xml:space="preserve">להכריע אם </w:t>
      </w:r>
      <w:r w:rsidR="00F67256">
        <w:rPr>
          <w:rFonts w:hint="cs"/>
          <w:rtl/>
        </w:rPr>
        <w:t>דיי היה בניסיון לפתור את הקושי לפי ההקשר</w:t>
      </w:r>
      <w:r w:rsidR="00246F50">
        <w:rPr>
          <w:rFonts w:hint="cs"/>
          <w:rtl/>
        </w:rPr>
        <w:t xml:space="preserve"> כדי </w:t>
      </w:r>
      <w:r w:rsidR="00B33C19">
        <w:rPr>
          <w:rFonts w:hint="cs"/>
          <w:rtl/>
        </w:rPr>
        <w:t>שייווצר תרגום</w:t>
      </w:r>
      <w:r w:rsidR="00246F50">
        <w:rPr>
          <w:rFonts w:hint="cs"/>
          <w:rtl/>
        </w:rPr>
        <w:t xml:space="preserve"> </w:t>
      </w:r>
      <w:r w:rsidR="00B33C19">
        <w:rPr>
          <w:rFonts w:hint="cs"/>
          <w:rtl/>
        </w:rPr>
        <w:t>המנוגד</w:t>
      </w:r>
      <w:r w:rsidR="00246F50">
        <w:rPr>
          <w:rFonts w:hint="cs"/>
          <w:rtl/>
        </w:rPr>
        <w:t xml:space="preserve"> ל</w:t>
      </w:r>
      <w:r w:rsidR="00B33C19">
        <w:rPr>
          <w:rFonts w:hint="cs"/>
          <w:rtl/>
        </w:rPr>
        <w:t>דקדוק לשון המקרא</w:t>
      </w:r>
      <w:r w:rsidR="00246F50">
        <w:rPr>
          <w:rFonts w:hint="cs"/>
          <w:rtl/>
        </w:rPr>
        <w:t xml:space="preserve"> </w:t>
      </w:r>
      <w:r w:rsidR="00B33C19">
        <w:rPr>
          <w:rFonts w:hint="cs"/>
          <w:rtl/>
        </w:rPr>
        <w:t>(</w:t>
      </w:r>
      <w:r w:rsidR="008274D2">
        <w:rPr>
          <w:rFonts w:hint="cs"/>
          <w:rtl/>
        </w:rPr>
        <w:t xml:space="preserve">אולי </w:t>
      </w:r>
      <w:r w:rsidR="00B33C19">
        <w:rPr>
          <w:rFonts w:hint="cs"/>
          <w:rtl/>
        </w:rPr>
        <w:t xml:space="preserve">לאור </w:t>
      </w:r>
      <w:r w:rsidR="00A46285">
        <w:rPr>
          <w:rFonts w:hint="cs"/>
          <w:rtl/>
        </w:rPr>
        <w:t xml:space="preserve">היכרות המתרגם עם </w:t>
      </w:r>
      <w:r w:rsidR="00B33C19">
        <w:rPr>
          <w:rFonts w:hint="cs"/>
          <w:rtl/>
        </w:rPr>
        <w:t>הדקדוק היווני)</w:t>
      </w:r>
      <w:r w:rsidR="00B33C19">
        <w:rPr>
          <w:rFonts w:hint="cs"/>
        </w:rPr>
        <w:t xml:space="preserve"> </w:t>
      </w:r>
      <w:r w:rsidR="00246F50">
        <w:rPr>
          <w:rFonts w:hint="cs"/>
          <w:rtl/>
        </w:rPr>
        <w:t xml:space="preserve">או </w:t>
      </w:r>
      <w:r w:rsidR="00F67256">
        <w:rPr>
          <w:rFonts w:hint="cs"/>
          <w:rtl/>
        </w:rPr>
        <w:t xml:space="preserve">שנדרשה </w:t>
      </w:r>
      <w:r w:rsidR="00246F50">
        <w:rPr>
          <w:rFonts w:hint="cs"/>
          <w:rtl/>
        </w:rPr>
        <w:t>ה</w:t>
      </w:r>
      <w:r w:rsidR="00A46285">
        <w:rPr>
          <w:rFonts w:hint="cs"/>
          <w:rtl/>
        </w:rPr>
        <w:t>שפעת</w:t>
      </w:r>
      <w:r w:rsidR="00246F50">
        <w:rPr>
          <w:rFonts w:hint="cs"/>
          <w:rtl/>
        </w:rPr>
        <w:t xml:space="preserve"> לשון חכמים </w:t>
      </w:r>
      <w:r w:rsidR="00B33C19">
        <w:rPr>
          <w:rFonts w:hint="cs"/>
          <w:rtl/>
        </w:rPr>
        <w:t xml:space="preserve">המדוברת </w:t>
      </w:r>
      <w:r w:rsidR="00A46285">
        <w:rPr>
          <w:rFonts w:hint="cs"/>
          <w:rtl/>
        </w:rPr>
        <w:t xml:space="preserve">שהכיר המתרגם </w:t>
      </w:r>
      <w:r w:rsidR="00246F50">
        <w:rPr>
          <w:rFonts w:hint="cs"/>
          <w:rtl/>
        </w:rPr>
        <w:t>כדי לאפשר פרשנות כזאת</w:t>
      </w:r>
      <w:r w:rsidR="005F44B2">
        <w:rPr>
          <w:rFonts w:hint="cs"/>
          <w:rtl/>
        </w:rPr>
        <w:t xml:space="preserve"> כדעת יוסטן</w:t>
      </w:r>
      <w:r w:rsidR="00246F50">
        <w:rPr>
          <w:rFonts w:hint="cs"/>
          <w:rtl/>
        </w:rPr>
        <w:t>.</w:t>
      </w:r>
      <w:r w:rsidR="00A46285">
        <w:rPr>
          <w:rFonts w:hint="cs"/>
          <w:rtl/>
        </w:rPr>
        <w:t xml:space="preserve"> </w:t>
      </w:r>
      <w:r w:rsidR="00A46285">
        <w:rPr>
          <w:rFonts w:cs="Times New Roman" w:hint="cs"/>
          <w:rtl/>
        </w:rPr>
        <w:t>מכל מקום, כאמור</w:t>
      </w:r>
      <w:r w:rsidR="00F67256">
        <w:rPr>
          <w:rFonts w:cs="Times New Roman" w:hint="cs"/>
          <w:rtl/>
        </w:rPr>
        <w:t>,</w:t>
      </w:r>
      <w:bookmarkStart w:id="0" w:name="_GoBack"/>
      <w:bookmarkEnd w:id="0"/>
      <w:r w:rsidR="00A46285">
        <w:rPr>
          <w:rFonts w:cs="Times New Roman" w:hint="cs"/>
          <w:rtl/>
        </w:rPr>
        <w:t xml:space="preserve"> השימוש ב</w:t>
      </w:r>
      <w:r w:rsidR="005819CC">
        <w:rPr>
          <w:rFonts w:cs="Times New Roman" w:hint="cs"/>
          <w:b/>
          <w:bCs/>
          <w:rtl/>
        </w:rPr>
        <w:t>־</w:t>
      </w:r>
      <w:r w:rsidR="005819CC" w:rsidRPr="005F44B2">
        <w:rPr>
          <w:rFonts w:cs="Times New Roman"/>
          <w:b/>
          <w:bCs/>
          <w:rtl/>
        </w:rPr>
        <w:t>א</w:t>
      </w:r>
      <w:r w:rsidR="005819CC" w:rsidRPr="005F44B2">
        <w:rPr>
          <w:rFonts w:cs="Times New Roman" w:hint="cs"/>
          <w:b/>
          <w:bCs/>
          <w:rtl/>
        </w:rPr>
        <w:t>וֹ</w:t>
      </w:r>
      <w:r w:rsidR="005819CC" w:rsidRPr="005F44B2">
        <w:rPr>
          <w:rFonts w:cs="Times New Roman" w:hint="eastAsia"/>
          <w:b/>
          <w:bCs/>
          <w:rtl/>
        </w:rPr>
        <w:t>ת</w:t>
      </w:r>
      <w:r w:rsidR="005819CC">
        <w:rPr>
          <w:rFonts w:cs="Times New Roman" w:hint="cs"/>
          <w:b/>
          <w:bCs/>
          <w:rtl/>
        </w:rPr>
        <w:t>וֹ</w:t>
      </w:r>
      <w:r w:rsidR="00A46285">
        <w:rPr>
          <w:rFonts w:cs="Times New Roman" w:hint="cs"/>
          <w:rtl/>
        </w:rPr>
        <w:t xml:space="preserve"> ככינוי </w:t>
      </w:r>
      <w:r>
        <w:rPr>
          <w:rFonts w:cs="Times New Roman" w:hint="cs"/>
          <w:rtl/>
        </w:rPr>
        <w:t>גוף</w:t>
      </w:r>
      <w:r w:rsidR="00A46285">
        <w:rPr>
          <w:rFonts w:cs="Times New Roman" w:hint="cs"/>
          <w:rtl/>
        </w:rPr>
        <w:t xml:space="preserve"> עצמאי </w:t>
      </w:r>
      <w:r w:rsidR="00F67256">
        <w:rPr>
          <w:rFonts w:cs="Times New Roman" w:hint="cs"/>
          <w:rtl/>
        </w:rPr>
        <w:t xml:space="preserve">(ולא כלוואי) </w:t>
      </w:r>
      <w:r w:rsidR="00A46285">
        <w:rPr>
          <w:rFonts w:cs="Times New Roman" w:hint="cs"/>
          <w:rtl/>
        </w:rPr>
        <w:t xml:space="preserve">איננו מתועד בספרות חז"ל עד תקופת </w:t>
      </w:r>
      <w:r w:rsidR="00DC64F3">
        <w:rPr>
          <w:rFonts w:cs="Times New Roman" w:hint="cs"/>
          <w:rtl/>
        </w:rPr>
        <w:t>אמוראי ארץ ישראל</w:t>
      </w:r>
      <w:r w:rsidR="00A46285">
        <w:rPr>
          <w:rFonts w:cs="Times New Roman" w:hint="cs"/>
          <w:rtl/>
        </w:rPr>
        <w:t xml:space="preserve"> (המא</w:t>
      </w:r>
      <w:r w:rsidR="00DC64F3">
        <w:rPr>
          <w:rFonts w:cs="Times New Roman" w:hint="cs"/>
          <w:rtl/>
        </w:rPr>
        <w:t>ות</w:t>
      </w:r>
      <w:r w:rsidR="00A46285">
        <w:rPr>
          <w:rFonts w:cs="Times New Roman" w:hint="cs"/>
          <w:rtl/>
        </w:rPr>
        <w:t xml:space="preserve"> </w:t>
      </w:r>
      <w:r w:rsidR="00DC64F3">
        <w:rPr>
          <w:rFonts w:cs="Times New Roman" w:hint="cs"/>
          <w:rtl/>
        </w:rPr>
        <w:t>השלישית ו</w:t>
      </w:r>
      <w:r w:rsidR="00A46285">
        <w:rPr>
          <w:rFonts w:cs="Times New Roman" w:hint="cs"/>
          <w:rtl/>
        </w:rPr>
        <w:t>ה</w:t>
      </w:r>
      <w:r w:rsidR="00DC64F3">
        <w:rPr>
          <w:rFonts w:cs="Times New Roman" w:hint="cs"/>
          <w:rtl/>
        </w:rPr>
        <w:t>רביעית</w:t>
      </w:r>
      <w:r w:rsidR="00A46285">
        <w:rPr>
          <w:rFonts w:cs="Times New Roman" w:hint="cs"/>
          <w:rtl/>
        </w:rPr>
        <w:t xml:space="preserve"> לספירה). </w:t>
      </w:r>
    </w:p>
    <w:sectPr w:rsidR="00910424" w:rsidSect="00623E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14F" w:rsidRDefault="004F314F" w:rsidP="00205542">
      <w:pPr>
        <w:spacing w:before="0" w:after="0" w:line="240" w:lineRule="auto"/>
      </w:pPr>
      <w:r>
        <w:separator/>
      </w:r>
    </w:p>
  </w:endnote>
  <w:endnote w:type="continuationSeparator" w:id="0">
    <w:p w:rsidR="004F314F" w:rsidRDefault="004F314F" w:rsidP="002055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14F" w:rsidRDefault="004F314F" w:rsidP="00205542">
      <w:pPr>
        <w:spacing w:before="0" w:after="0" w:line="240" w:lineRule="auto"/>
      </w:pPr>
      <w:r>
        <w:separator/>
      </w:r>
    </w:p>
  </w:footnote>
  <w:footnote w:type="continuationSeparator" w:id="0">
    <w:p w:rsidR="004F314F" w:rsidRDefault="004F314F" w:rsidP="0020554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4"/>
    <w:rsid w:val="00000C85"/>
    <w:rsid w:val="000C605E"/>
    <w:rsid w:val="001078CC"/>
    <w:rsid w:val="00205542"/>
    <w:rsid w:val="00246F50"/>
    <w:rsid w:val="002C1545"/>
    <w:rsid w:val="00345B2A"/>
    <w:rsid w:val="003B6077"/>
    <w:rsid w:val="003F09E7"/>
    <w:rsid w:val="00496FA1"/>
    <w:rsid w:val="004F314F"/>
    <w:rsid w:val="00562253"/>
    <w:rsid w:val="00564D17"/>
    <w:rsid w:val="005819CC"/>
    <w:rsid w:val="005F44B2"/>
    <w:rsid w:val="00623E07"/>
    <w:rsid w:val="00691182"/>
    <w:rsid w:val="006B1912"/>
    <w:rsid w:val="00754138"/>
    <w:rsid w:val="007650B2"/>
    <w:rsid w:val="007E06D6"/>
    <w:rsid w:val="008274D2"/>
    <w:rsid w:val="00910424"/>
    <w:rsid w:val="009572B0"/>
    <w:rsid w:val="00A46285"/>
    <w:rsid w:val="00AD1CAD"/>
    <w:rsid w:val="00AE0440"/>
    <w:rsid w:val="00B33C19"/>
    <w:rsid w:val="00B57821"/>
    <w:rsid w:val="00B670EB"/>
    <w:rsid w:val="00C01FF1"/>
    <w:rsid w:val="00C72017"/>
    <w:rsid w:val="00D21B30"/>
    <w:rsid w:val="00D93215"/>
    <w:rsid w:val="00DC64F3"/>
    <w:rsid w:val="00E04808"/>
    <w:rsid w:val="00EA7F40"/>
    <w:rsid w:val="00EF66B3"/>
    <w:rsid w:val="00F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03E5"/>
  <w15:chartTrackingRefBased/>
  <w15:docId w15:val="{0EB875C5-2C48-4CBD-A400-806914DE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09E7"/>
    <w:pPr>
      <w:bidi/>
      <w:spacing w:before="120" w:after="280" w:line="360" w:lineRule="auto"/>
      <w:jc w:val="both"/>
    </w:pPr>
    <w:rPr>
      <w:rFonts w:asciiTheme="majorBidi" w:hAnsiTheme="majorBidi" w:cstheme="majorBidi"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AE0440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AD1CAD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AD1CAD"/>
    <w:rPr>
      <w:rFonts w:cstheme="majorBidi"/>
      <w:sz w:val="20"/>
      <w:szCs w:val="20"/>
    </w:rPr>
  </w:style>
  <w:style w:type="character" w:customStyle="1" w:styleId="40">
    <w:name w:val="כותרת 4 תו"/>
    <w:basedOn w:val="a0"/>
    <w:link w:val="4"/>
    <w:uiPriority w:val="9"/>
    <w:semiHidden/>
    <w:rsid w:val="00AE0440"/>
    <w:rPr>
      <w:rFonts w:asciiTheme="majorHAnsi" w:eastAsiaTheme="majorEastAsia" w:hAnsiTheme="majorHAnsi" w:cstheme="majorBidi"/>
      <w:bCs/>
      <w:i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205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A6E5995D-F5A2-412E-8792-B4BEA5B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1</Pages>
  <Words>194</Words>
  <Characters>939</Characters>
  <Application>Microsoft Office Word</Application>
  <DocSecurity>0</DocSecurity>
  <Lines>17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חנן אריאל</dc:creator>
  <cp:keywords/>
  <dc:description/>
  <cp:lastModifiedBy>חנן אריאל</cp:lastModifiedBy>
  <cp:revision>14</cp:revision>
  <dcterms:created xsi:type="dcterms:W3CDTF">2020-02-13T09:29:00Z</dcterms:created>
  <dcterms:modified xsi:type="dcterms:W3CDTF">2020-02-18T07:18:00Z</dcterms:modified>
</cp:coreProperties>
</file>