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6E" w:rsidRDefault="008E4B8D" w:rsidP="00947DB3">
      <w:pPr>
        <w:spacing w:line="360" w:lineRule="auto"/>
        <w:ind w:left="4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E4B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תיאטרון </w:t>
      </w:r>
      <w:bookmarkStart w:id="0" w:name="_GoBack"/>
      <w:bookmarkEnd w:id="0"/>
      <w:r w:rsidR="00244F6E">
        <w:rPr>
          <w:rFonts w:asciiTheme="majorBidi" w:hAnsiTheme="majorBidi" w:cstheme="majorBidi" w:hint="cs"/>
          <w:b/>
          <w:bCs/>
          <w:sz w:val="28"/>
          <w:szCs w:val="28"/>
          <w:rtl/>
        </w:rPr>
        <w:t>טלוויזיוני</w:t>
      </w:r>
    </w:p>
    <w:p w:rsidR="008E4B8D" w:rsidRDefault="008E4B8D" w:rsidP="00244F6E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דן אוריין </w:t>
      </w:r>
    </w:p>
    <w:p w:rsidR="008E4B8D" w:rsidRDefault="008E4B8D" w:rsidP="003A2215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</w:p>
    <w:p w:rsidR="00C15B17" w:rsidRDefault="00C15B17" w:rsidP="009F2124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ב-1993 צפיתי בהצגה יומית של </w:t>
      </w:r>
      <w:r w:rsidRPr="00D73D8B">
        <w:rPr>
          <w:rFonts w:asciiTheme="majorBidi" w:hAnsiTheme="majorBidi" w:cstheme="majorBidi" w:hint="eastAsia"/>
          <w:b/>
          <w:bCs/>
          <w:sz w:val="28"/>
          <w:szCs w:val="28"/>
          <w:rtl/>
        </w:rPr>
        <w:t>משחקים</w:t>
      </w:r>
      <w:r w:rsidRPr="00D73D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73D8B">
        <w:rPr>
          <w:rFonts w:asciiTheme="majorBidi" w:hAnsiTheme="majorBidi" w:cstheme="majorBidi" w:hint="eastAsia"/>
          <w:b/>
          <w:bCs/>
          <w:sz w:val="28"/>
          <w:szCs w:val="28"/>
          <w:rtl/>
        </w:rPr>
        <w:t>בחצר</w:t>
      </w:r>
      <w:r w:rsidRPr="00D73D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73D8B">
        <w:rPr>
          <w:rFonts w:asciiTheme="majorBidi" w:hAnsiTheme="majorBidi" w:cstheme="majorBidi" w:hint="eastAsia"/>
          <w:b/>
          <w:bCs/>
          <w:sz w:val="28"/>
          <w:szCs w:val="28"/>
          <w:rtl/>
        </w:rPr>
        <w:t>האחורית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של עדנה מזי"א בבימויו של עודד קוטלר. </w:t>
      </w:r>
      <w:r w:rsidR="003A2215">
        <w:rPr>
          <w:rFonts w:asciiTheme="majorBidi" w:hAnsiTheme="majorBidi" w:cstheme="majorBidi" w:hint="cs"/>
          <w:szCs w:val="28"/>
          <w:rtl/>
        </w:rPr>
        <w:t>ה</w:t>
      </w:r>
      <w:r w:rsidR="003A2215" w:rsidRPr="00EB0B4E">
        <w:rPr>
          <w:rFonts w:asciiTheme="majorBidi" w:hAnsiTheme="majorBidi" w:cstheme="majorBidi"/>
          <w:szCs w:val="28"/>
          <w:rtl/>
        </w:rPr>
        <w:t>הצג</w:t>
      </w:r>
      <w:r w:rsidR="003A2215">
        <w:rPr>
          <w:rFonts w:asciiTheme="majorBidi" w:hAnsiTheme="majorBidi" w:cstheme="majorBidi" w:hint="cs"/>
          <w:szCs w:val="28"/>
          <w:rtl/>
        </w:rPr>
        <w:t>ה</w:t>
      </w:r>
      <w:r w:rsidR="003A2215" w:rsidRPr="00EB0B4E">
        <w:rPr>
          <w:rFonts w:asciiTheme="majorBidi" w:hAnsiTheme="majorBidi" w:cstheme="majorBidi"/>
          <w:szCs w:val="28"/>
          <w:rtl/>
        </w:rPr>
        <w:t xml:space="preserve"> </w:t>
      </w:r>
      <w:r w:rsidR="003A2215">
        <w:rPr>
          <w:rFonts w:asciiTheme="majorBidi" w:hAnsiTheme="majorBidi" w:cstheme="majorBidi" w:hint="cs"/>
          <w:szCs w:val="28"/>
          <w:rtl/>
        </w:rPr>
        <w:t>"</w:t>
      </w:r>
      <w:r w:rsidR="003A2215" w:rsidRPr="00EB0B4E">
        <w:rPr>
          <w:rFonts w:asciiTheme="majorBidi" w:hAnsiTheme="majorBidi" w:cstheme="majorBidi"/>
          <w:szCs w:val="28"/>
          <w:rtl/>
        </w:rPr>
        <w:t>ניזונה</w:t>
      </w:r>
      <w:r w:rsidR="003A2215">
        <w:rPr>
          <w:rFonts w:asciiTheme="majorBidi" w:hAnsiTheme="majorBidi" w:cstheme="majorBidi" w:hint="cs"/>
          <w:szCs w:val="28"/>
          <w:rtl/>
        </w:rPr>
        <w:t>"</w:t>
      </w:r>
      <w:r w:rsidR="003A2215" w:rsidRPr="00EB0B4E">
        <w:rPr>
          <w:rFonts w:asciiTheme="majorBidi" w:hAnsiTheme="majorBidi" w:cstheme="majorBidi"/>
          <w:szCs w:val="28"/>
          <w:rtl/>
        </w:rPr>
        <w:t xml:space="preserve"> ממקרה אונס שנידון בשני בתי משפט וזכה לתהודה ציבורית גדולה במיוחד. תחילת</w:t>
      </w:r>
      <w:r w:rsidR="009F2124">
        <w:rPr>
          <w:rFonts w:asciiTheme="majorBidi" w:hAnsiTheme="majorBidi" w:cstheme="majorBidi" w:hint="cs"/>
          <w:szCs w:val="28"/>
          <w:rtl/>
        </w:rPr>
        <w:t xml:space="preserve"> הפרשה</w:t>
      </w:r>
      <w:r w:rsidR="003A2215" w:rsidRPr="00EB0B4E">
        <w:rPr>
          <w:rFonts w:asciiTheme="majorBidi" w:hAnsiTheme="majorBidi" w:cstheme="majorBidi"/>
          <w:szCs w:val="28"/>
          <w:rtl/>
        </w:rPr>
        <w:t xml:space="preserve"> בקיץ 1988</w:t>
      </w:r>
      <w:r w:rsidR="003A2215">
        <w:rPr>
          <w:rFonts w:asciiTheme="majorBidi" w:hAnsiTheme="majorBidi" w:cstheme="majorBidi" w:hint="cs"/>
          <w:szCs w:val="28"/>
          <w:rtl/>
        </w:rPr>
        <w:t>, אז</w:t>
      </w:r>
      <w:r w:rsidR="003A2215" w:rsidRPr="00EB0B4E">
        <w:rPr>
          <w:rFonts w:asciiTheme="majorBidi" w:hAnsiTheme="majorBidi" w:cstheme="majorBidi"/>
          <w:szCs w:val="28"/>
          <w:rtl/>
        </w:rPr>
        <w:t xml:space="preserve"> התלוננה נערה בת</w:t>
      </w:r>
      <w:r w:rsidR="003A2215">
        <w:rPr>
          <w:rFonts w:asciiTheme="majorBidi" w:hAnsiTheme="majorBidi" w:cstheme="majorBidi" w:hint="cs"/>
          <w:szCs w:val="28"/>
          <w:rtl/>
        </w:rPr>
        <w:t xml:space="preserve"> ארבע-עשרה</w:t>
      </w:r>
      <w:r w:rsidR="003A2215" w:rsidRPr="00EB0B4E">
        <w:rPr>
          <w:rFonts w:asciiTheme="majorBidi" w:hAnsiTheme="majorBidi" w:cstheme="majorBidi"/>
          <w:szCs w:val="28"/>
          <w:rtl/>
        </w:rPr>
        <w:t xml:space="preserve"> מקיבוץ שמרת כי נאנסה בידי </w:t>
      </w:r>
      <w:r w:rsidR="003A2215">
        <w:rPr>
          <w:rFonts w:asciiTheme="majorBidi" w:hAnsiTheme="majorBidi" w:cstheme="majorBidi" w:hint="cs"/>
          <w:szCs w:val="28"/>
          <w:rtl/>
        </w:rPr>
        <w:t>אחד-עשר</w:t>
      </w:r>
      <w:r w:rsidR="003A2215" w:rsidRPr="00EB0B4E">
        <w:rPr>
          <w:rFonts w:asciiTheme="majorBidi" w:hAnsiTheme="majorBidi" w:cstheme="majorBidi"/>
          <w:szCs w:val="28"/>
          <w:rtl/>
        </w:rPr>
        <w:t xml:space="preserve"> נערים.</w:t>
      </w:r>
      <w:r w:rsidR="003A2215">
        <w:rPr>
          <w:rFonts w:asciiTheme="majorBidi" w:hAnsiTheme="majorBidi" w:cstheme="majorBidi" w:hint="cs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הצופים </w:t>
      </w:r>
      <w:r w:rsidR="003A2215">
        <w:rPr>
          <w:rFonts w:asciiTheme="majorBidi" w:hAnsiTheme="majorBidi" w:cstheme="majorBidi" w:hint="cs"/>
          <w:sz w:val="28"/>
          <w:szCs w:val="28"/>
          <w:rtl/>
        </w:rPr>
        <w:t xml:space="preserve">בהצגה </w:t>
      </w:r>
      <w:r>
        <w:rPr>
          <w:rFonts w:asciiTheme="majorBidi" w:hAnsiTheme="majorBidi" w:cstheme="majorBidi" w:hint="cs"/>
          <w:sz w:val="28"/>
          <w:szCs w:val="28"/>
          <w:rtl/>
        </w:rPr>
        <w:t>היו נערות ונערים מבתי ספר בחיפה. מחוץ לתיאטרון, בסמוך לכניסת השחקנים, התקבצו כעשרים נערות מבית ספר דתי וחיכו לשחקני ההצגה, בהם כוכבי סדרת נוער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15B17">
        <w:rPr>
          <w:rFonts w:asciiTheme="majorBidi" w:hAnsiTheme="majorBidi" w:cstheme="majorBidi" w:hint="cs"/>
          <w:sz w:val="28"/>
          <w:szCs w:val="28"/>
          <w:rtl/>
        </w:rPr>
        <w:t>ידועה.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הן ליוו את השחקנים בקריאות וניסו לקבל חתימות מהידוענים. באולם השמיעו הצופים הצעירים קריאות ומלמולים וגם שוחחו שיחות ערניות; הם ליוו בתנועות גוף את המוזיקה של ערן צור, במיוחד הנערים במושבים שהיו רחוקים מהמורות המשגיחות. כמה מהתלמידים "השתתפו" במשפט שבמחזה, וגם פסקו בקול רם שהאונס "הגיע" </w:t>
      </w:r>
      <w:r w:rsidR="00CD69B3">
        <w:rPr>
          <w:rFonts w:asciiTheme="majorBidi" w:hAnsiTheme="majorBidi" w:cstheme="majorBidi" w:hint="cs"/>
          <w:sz w:val="28"/>
          <w:szCs w:val="28"/>
          <w:rtl/>
        </w:rPr>
        <w:t>ל</w:t>
      </w:r>
      <w:r w:rsidRPr="00687698">
        <w:rPr>
          <w:rFonts w:asciiTheme="majorBidi" w:hAnsiTheme="majorBidi" w:cstheme="majorBidi" w:hint="eastAsia"/>
          <w:sz w:val="28"/>
          <w:szCs w:val="28"/>
          <w:rtl/>
        </w:rPr>
        <w:t>נערה</w:t>
      </w:r>
      <w:r w:rsidRPr="0068769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87698">
        <w:rPr>
          <w:rFonts w:asciiTheme="majorBidi" w:hAnsiTheme="majorBidi" w:cstheme="majorBidi" w:hint="eastAsia"/>
          <w:sz w:val="28"/>
          <w:szCs w:val="28"/>
          <w:rtl/>
        </w:rPr>
        <w:t>שנאנסה</w:t>
      </w:r>
      <w:r w:rsidRPr="00687698">
        <w:rPr>
          <w:rFonts w:asciiTheme="majorBidi" w:hAnsiTheme="majorBidi" w:cstheme="majorBidi"/>
          <w:sz w:val="28"/>
          <w:szCs w:val="28"/>
          <w:rtl/>
        </w:rPr>
        <w:t>.</w:t>
      </w:r>
    </w:p>
    <w:p w:rsidR="00C15B17" w:rsidRDefault="00C15B17" w:rsidP="00216814">
      <w:pPr>
        <w:spacing w:line="360" w:lineRule="auto"/>
        <w:ind w:left="43" w:firstLine="28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זו הייתה הפעם הראשונה שבה צפיתי בהצגת נוער שהצליחה לעניין את קהלה. חוויית הצפייה אמנם חרגה מ"כללי ההתנהגות" המקובלים באולם התיאטרון, אך</w:t>
      </w:r>
      <w:r>
        <w:rPr>
          <w:rFonts w:hint="cs"/>
          <w:rtl/>
        </w:rPr>
        <w:t xml:space="preserve"> </w:t>
      </w:r>
      <w:r w:rsidRPr="007657D6">
        <w:rPr>
          <w:rFonts w:asciiTheme="majorBidi" w:hAnsiTheme="majorBidi" w:cstheme="majorBidi" w:hint="eastAsia"/>
          <w:sz w:val="28"/>
          <w:szCs w:val="28"/>
          <w:rtl/>
        </w:rPr>
        <w:t>המחישה</w:t>
      </w:r>
      <w:r w:rsidRPr="007657D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57D6">
        <w:rPr>
          <w:rFonts w:asciiTheme="majorBidi" w:hAnsiTheme="majorBidi" w:cstheme="majorBidi" w:hint="eastAsia"/>
          <w:sz w:val="28"/>
          <w:szCs w:val="28"/>
          <w:rtl/>
        </w:rPr>
        <w:t>את</w:t>
      </w:r>
      <w:r w:rsidRPr="007657D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57D6">
        <w:rPr>
          <w:rFonts w:asciiTheme="majorBidi" w:hAnsiTheme="majorBidi" w:cstheme="majorBidi" w:hint="eastAsia"/>
          <w:sz w:val="28"/>
          <w:szCs w:val="28"/>
          <w:rtl/>
        </w:rPr>
        <w:t>זיהויו</w:t>
      </w:r>
      <w:r w:rsidRPr="007657D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13B2">
        <w:rPr>
          <w:rFonts w:asciiTheme="majorBidi" w:hAnsiTheme="majorBidi" w:cstheme="majorBidi" w:hint="eastAsia"/>
          <w:sz w:val="28"/>
          <w:szCs w:val="28"/>
          <w:rtl/>
        </w:rPr>
        <w:t>של</w:t>
      </w:r>
      <w:r w:rsidRPr="000213B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בן</w:t>
      </w: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זמננו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A6733">
        <w:rPr>
          <w:rFonts w:asciiTheme="majorBidi" w:hAnsiTheme="majorBidi" w:cstheme="majorBidi" w:hint="eastAsia"/>
          <w:sz w:val="28"/>
          <w:szCs w:val="28"/>
          <w:rtl/>
        </w:rPr>
        <w:t>כ</w:t>
      </w:r>
      <w:r w:rsidRPr="006A6733">
        <w:rPr>
          <w:rFonts w:asciiTheme="majorBidi" w:hAnsiTheme="majorBidi" w:cstheme="majorBidi"/>
          <w:sz w:val="28"/>
          <w:szCs w:val="28"/>
          <w:rtl/>
        </w:rPr>
        <w:t>"</w:t>
      </w:r>
      <w:r w:rsidRPr="006A6733">
        <w:rPr>
          <w:rFonts w:asciiTheme="majorBidi" w:hAnsiTheme="majorBidi" w:cstheme="majorBidi" w:hint="eastAsia"/>
          <w:sz w:val="28"/>
          <w:szCs w:val="28"/>
          <w:rtl/>
        </w:rPr>
        <w:t>צופה</w:t>
      </w:r>
      <w:r w:rsidRPr="006A673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A6733">
        <w:rPr>
          <w:rFonts w:asciiTheme="majorBidi" w:hAnsiTheme="majorBidi" w:cstheme="majorBidi" w:hint="eastAsia"/>
          <w:sz w:val="28"/>
          <w:szCs w:val="28"/>
          <w:rtl/>
        </w:rPr>
        <w:t>תיאטרון</w:t>
      </w:r>
      <w:r w:rsidRPr="006A673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A6733">
        <w:rPr>
          <w:rFonts w:asciiTheme="majorBidi" w:hAnsiTheme="majorBidi" w:cstheme="majorBidi" w:hint="eastAsia"/>
          <w:sz w:val="28"/>
          <w:szCs w:val="28"/>
          <w:rtl/>
        </w:rPr>
        <w:t>משוחרר</w:t>
      </w:r>
      <w:r w:rsidRPr="006A6733">
        <w:rPr>
          <w:rFonts w:asciiTheme="majorBidi" w:hAnsiTheme="majorBidi" w:cstheme="majorBidi"/>
          <w:sz w:val="28"/>
          <w:szCs w:val="28"/>
          <w:rtl/>
        </w:rPr>
        <w:t>"</w:t>
      </w:r>
      <w:r w:rsidRPr="000213B2">
        <w:rPr>
          <w:rFonts w:asciiTheme="majorBidi" w:hAnsiTheme="majorBidi" w:cstheme="majorBidi" w:hint="cs"/>
          <w:sz w:val="28"/>
          <w:szCs w:val="28"/>
          <w:rtl/>
        </w:rPr>
        <w:t>: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צופה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שמשתתף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בהצגה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כפרשן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פעיל ויוצר </w:t>
      </w:r>
      <w:r w:rsidRPr="00B1306E">
        <w:rPr>
          <w:rFonts w:asciiTheme="majorBidi" w:hAnsiTheme="majorBidi" w:cstheme="majorBidi" w:hint="eastAsia"/>
          <w:sz w:val="28"/>
          <w:szCs w:val="28"/>
          <w:rtl/>
        </w:rPr>
        <w:t>סיפור</w:t>
      </w:r>
      <w:r w:rsidRPr="00B1306E">
        <w:rPr>
          <w:rFonts w:asciiTheme="majorBidi" w:hAnsiTheme="majorBidi" w:cstheme="majorBidi"/>
          <w:sz w:val="28"/>
          <w:szCs w:val="28"/>
          <w:rtl/>
        </w:rPr>
        <w:t xml:space="preserve"> עצמאי.</w:t>
      </w:r>
    </w:p>
    <w:p w:rsidR="000E03B8" w:rsidRPr="00EB0B4E" w:rsidRDefault="00C15B17" w:rsidP="00216814">
      <w:pPr>
        <w:spacing w:line="360" w:lineRule="auto"/>
        <w:ind w:firstLine="283"/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ראיינתי רבים מהצופים הצעירים, וגם יזמתי עבודות תלמידים שעסקו בהתקבלותה המיוחדת של ההצגה. המשותף לרוב הצופים היה הון צבור של צפייה בטלוויזיה, שהקנה להם מיומנ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יות בצפייה בתיאטרון. השיחות עם המחזאית, עם הבמאי ועם כמה מהשחקנים אימתו את ההשערה שמדובר גם מצד היוצרים בהצגה "טלוויזיונית". </w:t>
      </w:r>
      <w:r w:rsidR="000E03B8" w:rsidRPr="00CB2314">
        <w:rPr>
          <w:rFonts w:asciiTheme="majorBidi" w:hAnsiTheme="majorBidi" w:cstheme="majorBidi"/>
          <w:b/>
          <w:bCs/>
          <w:szCs w:val="28"/>
          <w:rtl/>
        </w:rPr>
        <w:t>משחקים בחצר האחורית</w:t>
      </w:r>
      <w:r w:rsidR="000E03B8" w:rsidRPr="00EB0B4E">
        <w:rPr>
          <w:rFonts w:asciiTheme="majorBidi" w:hAnsiTheme="majorBidi" w:cstheme="majorBidi"/>
          <w:szCs w:val="28"/>
          <w:rtl/>
        </w:rPr>
        <w:t xml:space="preserve"> </w:t>
      </w:r>
      <w:r w:rsidR="00E84A13">
        <w:rPr>
          <w:rFonts w:asciiTheme="majorBidi" w:hAnsiTheme="majorBidi" w:cstheme="majorBidi" w:hint="cs"/>
          <w:szCs w:val="28"/>
          <w:rtl/>
        </w:rPr>
        <w:t xml:space="preserve">זכתה להצלחה גדולה בישראל, </w:t>
      </w:r>
      <w:r w:rsidR="000E03B8" w:rsidRPr="00EB0B4E">
        <w:rPr>
          <w:rFonts w:asciiTheme="majorBidi" w:hAnsiTheme="majorBidi" w:cstheme="majorBidi"/>
          <w:szCs w:val="28"/>
          <w:rtl/>
        </w:rPr>
        <w:t xml:space="preserve">תורגמה לשפות רבות </w:t>
      </w:r>
      <w:r w:rsidR="00001339">
        <w:rPr>
          <w:rFonts w:asciiTheme="majorBidi" w:hAnsiTheme="majorBidi" w:cstheme="majorBidi" w:hint="cs"/>
          <w:szCs w:val="28"/>
          <w:rtl/>
        </w:rPr>
        <w:t xml:space="preserve">והוצגה </w:t>
      </w:r>
      <w:r w:rsidR="000E03B8" w:rsidRPr="00EB0B4E">
        <w:rPr>
          <w:rFonts w:asciiTheme="majorBidi" w:hAnsiTheme="majorBidi" w:cstheme="majorBidi"/>
          <w:szCs w:val="28"/>
          <w:rtl/>
        </w:rPr>
        <w:t xml:space="preserve">בבלגיה, בגרמניה, </w:t>
      </w:r>
      <w:r w:rsidR="000E03B8">
        <w:rPr>
          <w:rFonts w:asciiTheme="majorBidi" w:hAnsiTheme="majorBidi" w:cstheme="majorBidi" w:hint="cs"/>
          <w:szCs w:val="28"/>
          <w:rtl/>
        </w:rPr>
        <w:t>ב</w:t>
      </w:r>
      <w:r w:rsidR="000E03B8" w:rsidRPr="00EB0B4E">
        <w:rPr>
          <w:rFonts w:asciiTheme="majorBidi" w:hAnsiTheme="majorBidi" w:cstheme="majorBidi"/>
          <w:szCs w:val="28"/>
          <w:rtl/>
        </w:rPr>
        <w:t xml:space="preserve">אוסטריה, </w:t>
      </w:r>
      <w:r w:rsidR="000E03B8">
        <w:rPr>
          <w:rFonts w:asciiTheme="majorBidi" w:hAnsiTheme="majorBidi" w:cstheme="majorBidi" w:hint="cs"/>
          <w:szCs w:val="28"/>
          <w:rtl/>
        </w:rPr>
        <w:t>ב</w:t>
      </w:r>
      <w:r w:rsidR="000E03B8" w:rsidRPr="00EB0B4E">
        <w:rPr>
          <w:rFonts w:asciiTheme="majorBidi" w:hAnsiTheme="majorBidi" w:cstheme="majorBidi"/>
          <w:szCs w:val="28"/>
          <w:rtl/>
        </w:rPr>
        <w:t xml:space="preserve">רומניה, </w:t>
      </w:r>
      <w:r w:rsidR="000E03B8">
        <w:rPr>
          <w:rFonts w:asciiTheme="majorBidi" w:hAnsiTheme="majorBidi" w:cstheme="majorBidi" w:hint="cs"/>
          <w:szCs w:val="28"/>
          <w:rtl/>
        </w:rPr>
        <w:t>ב</w:t>
      </w:r>
      <w:r w:rsidR="000E03B8" w:rsidRPr="00EB0B4E">
        <w:rPr>
          <w:rFonts w:asciiTheme="majorBidi" w:hAnsiTheme="majorBidi" w:cstheme="majorBidi"/>
          <w:szCs w:val="28"/>
          <w:rtl/>
        </w:rPr>
        <w:t>רוסיה</w:t>
      </w:r>
      <w:r w:rsidR="00C64FCB">
        <w:rPr>
          <w:rFonts w:asciiTheme="majorBidi" w:hAnsiTheme="majorBidi" w:cstheme="majorBidi" w:hint="cs"/>
          <w:szCs w:val="28"/>
          <w:rtl/>
        </w:rPr>
        <w:t>,</w:t>
      </w:r>
      <w:r w:rsidR="000E03B8" w:rsidRPr="00EB0B4E">
        <w:rPr>
          <w:rFonts w:asciiTheme="majorBidi" w:hAnsiTheme="majorBidi" w:cstheme="majorBidi"/>
          <w:szCs w:val="28"/>
          <w:rtl/>
        </w:rPr>
        <w:t xml:space="preserve"> באנגליה</w:t>
      </w:r>
      <w:r w:rsidR="00C64FCB">
        <w:rPr>
          <w:rFonts w:asciiTheme="majorBidi" w:hAnsiTheme="majorBidi" w:cstheme="majorBidi" w:hint="cs"/>
          <w:szCs w:val="28"/>
          <w:rtl/>
        </w:rPr>
        <w:t xml:space="preserve"> ולאחרונה</w:t>
      </w:r>
      <w:r w:rsidR="00216814">
        <w:rPr>
          <w:rFonts w:asciiTheme="majorBidi" w:hAnsiTheme="majorBidi" w:cstheme="majorBidi" w:hint="cs"/>
          <w:szCs w:val="28"/>
          <w:rtl/>
        </w:rPr>
        <w:t xml:space="preserve"> גם</w:t>
      </w:r>
      <w:r w:rsidR="00C64FCB">
        <w:rPr>
          <w:rFonts w:asciiTheme="majorBidi" w:hAnsiTheme="majorBidi" w:cstheme="majorBidi" w:hint="cs"/>
          <w:szCs w:val="28"/>
          <w:rtl/>
        </w:rPr>
        <w:t xml:space="preserve"> באוסטרליה</w:t>
      </w:r>
      <w:r w:rsidR="000E03B8" w:rsidRPr="00EB0B4E">
        <w:rPr>
          <w:rFonts w:asciiTheme="majorBidi" w:hAnsiTheme="majorBidi" w:cstheme="majorBidi"/>
          <w:szCs w:val="28"/>
          <w:rtl/>
        </w:rPr>
        <w:t>.</w:t>
      </w:r>
      <w:r w:rsidR="007B5409">
        <w:rPr>
          <w:rFonts w:asciiTheme="majorBidi" w:hAnsiTheme="majorBidi" w:cstheme="majorBidi" w:hint="cs"/>
          <w:szCs w:val="28"/>
          <w:rtl/>
        </w:rPr>
        <w:t xml:space="preserve"> </w:t>
      </w:r>
      <w:r w:rsidR="00001339">
        <w:rPr>
          <w:rFonts w:asciiTheme="majorBidi" w:hAnsiTheme="majorBidi" w:cstheme="majorBidi" w:hint="cs"/>
          <w:szCs w:val="28"/>
          <w:rtl/>
        </w:rPr>
        <w:t>ב-2007 היא הוצגה בבימויו של נועם שמואל</w:t>
      </w:r>
      <w:r w:rsidR="00216814">
        <w:rPr>
          <w:rFonts w:asciiTheme="majorBidi" w:hAnsiTheme="majorBidi" w:cstheme="majorBidi" w:hint="cs"/>
          <w:szCs w:val="28"/>
          <w:rtl/>
        </w:rPr>
        <w:t>,</w:t>
      </w:r>
      <w:r w:rsidR="00001339">
        <w:rPr>
          <w:rFonts w:asciiTheme="majorBidi" w:hAnsiTheme="majorBidi" w:cstheme="majorBidi" w:hint="cs"/>
          <w:szCs w:val="28"/>
          <w:rtl/>
        </w:rPr>
        <w:t xml:space="preserve"> שה</w:t>
      </w:r>
      <w:r w:rsidR="00216814">
        <w:rPr>
          <w:rFonts w:asciiTheme="majorBidi" w:hAnsiTheme="majorBidi" w:cstheme="majorBidi" w:hint="cs"/>
          <w:szCs w:val="28"/>
          <w:rtl/>
        </w:rPr>
        <w:t>רחיב</w:t>
      </w:r>
      <w:r w:rsidR="00001339">
        <w:rPr>
          <w:rFonts w:asciiTheme="majorBidi" w:hAnsiTheme="majorBidi" w:cstheme="majorBidi" w:hint="cs"/>
          <w:szCs w:val="28"/>
          <w:rtl/>
        </w:rPr>
        <w:t xml:space="preserve"> את השימוש באמצעים טלוויזיוניים וגם עיצב את השימושים ב</w:t>
      </w:r>
      <w:r w:rsidR="00216814">
        <w:rPr>
          <w:rFonts w:asciiTheme="majorBidi" w:hAnsiTheme="majorBidi" w:cstheme="majorBidi" w:hint="cs"/>
          <w:szCs w:val="28"/>
          <w:rtl/>
        </w:rPr>
        <w:t>ו</w:t>
      </w:r>
      <w:r w:rsidR="00001339">
        <w:rPr>
          <w:rFonts w:asciiTheme="majorBidi" w:hAnsiTheme="majorBidi" w:cstheme="majorBidi" w:hint="cs"/>
          <w:szCs w:val="28"/>
          <w:rtl/>
        </w:rPr>
        <w:t>ויד</w:t>
      </w:r>
      <w:r w:rsidR="00216814">
        <w:rPr>
          <w:rFonts w:asciiTheme="majorBidi" w:hAnsiTheme="majorBidi" w:cstheme="majorBidi" w:hint="cs"/>
          <w:szCs w:val="28"/>
          <w:rtl/>
        </w:rPr>
        <w:t>י</w:t>
      </w:r>
      <w:r w:rsidR="00001339">
        <w:rPr>
          <w:rFonts w:asciiTheme="majorBidi" w:hAnsiTheme="majorBidi" w:cstheme="majorBidi" w:hint="cs"/>
          <w:szCs w:val="28"/>
          <w:rtl/>
        </w:rPr>
        <w:t xml:space="preserve">או. </w:t>
      </w:r>
      <w:r w:rsidR="007B5409">
        <w:rPr>
          <w:rFonts w:asciiTheme="majorBidi" w:hAnsiTheme="majorBidi" w:cstheme="majorBidi" w:hint="cs"/>
          <w:sz w:val="28"/>
          <w:szCs w:val="28"/>
          <w:rtl/>
        </w:rPr>
        <w:t>בהשפעת התעצמותו וגדילתו של השדה הטלוויזיוני</w:t>
      </w:r>
      <w:r w:rsidR="00001339">
        <w:rPr>
          <w:rFonts w:asciiTheme="majorBidi" w:hAnsiTheme="majorBidi" w:cstheme="majorBidi" w:hint="cs"/>
          <w:sz w:val="28"/>
          <w:szCs w:val="28"/>
          <w:rtl/>
        </w:rPr>
        <w:t xml:space="preserve"> בישראל ובארצות רבות</w:t>
      </w:r>
      <w:r w:rsidR="007B5409">
        <w:rPr>
          <w:rFonts w:asciiTheme="majorBidi" w:hAnsiTheme="majorBidi" w:cstheme="majorBidi" w:hint="cs"/>
          <w:sz w:val="28"/>
          <w:szCs w:val="28"/>
          <w:rtl/>
        </w:rPr>
        <w:t>, גדל מאוד מספרן של הצגות טלוויזיוניות</w:t>
      </w:r>
      <w:r w:rsidR="00001339">
        <w:rPr>
          <w:rFonts w:asciiTheme="majorBidi" w:hAnsiTheme="majorBidi" w:cstheme="majorBidi" w:hint="cs"/>
          <w:sz w:val="28"/>
          <w:szCs w:val="28"/>
          <w:rtl/>
        </w:rPr>
        <w:t xml:space="preserve"> והן מרכיב מרכזי ברפרטואר.</w:t>
      </w:r>
    </w:p>
    <w:p w:rsidR="00C15B17" w:rsidRDefault="007B5409" w:rsidP="00216814">
      <w:pPr>
        <w:spacing w:line="360" w:lineRule="auto"/>
        <w:ind w:left="43" w:firstLine="28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תיאטרון טלוויזיוני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הוא סיכום מחקר </w:t>
      </w:r>
      <w:r w:rsidR="00C15B17" w:rsidRPr="00216814">
        <w:rPr>
          <w:rFonts w:asciiTheme="majorBidi" w:hAnsiTheme="majorBidi" w:cstheme="majorBidi" w:hint="cs"/>
          <w:b/>
          <w:bCs/>
          <w:sz w:val="28"/>
          <w:szCs w:val="28"/>
          <w:rtl/>
        </w:rPr>
        <w:t>ראשון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 על תיאטרון בעידן הטלוויזיוני</w:t>
      </w:r>
      <w:r w:rsidR="00CF18B3">
        <w:rPr>
          <w:rFonts w:asciiTheme="majorBidi" w:hAnsiTheme="majorBidi" w:cstheme="majorBidi" w:hint="cs"/>
          <w:sz w:val="28"/>
          <w:szCs w:val="28"/>
          <w:rtl/>
        </w:rPr>
        <w:t>.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 משום שאני חוקר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את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 התיאטרון הישראלי בחרתי בהתפתחויות הרפרטואריות </w:t>
      </w:r>
      <w:r w:rsidR="003927D0">
        <w:rPr>
          <w:rFonts w:asciiTheme="majorBidi" w:hAnsiTheme="majorBidi" w:cstheme="majorBidi" w:hint="cs"/>
          <w:sz w:val="28"/>
          <w:szCs w:val="28"/>
          <w:rtl/>
        </w:rPr>
        <w:t xml:space="preserve">בישראל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בשלושים השנים האחרונות. התפתחויות דומות </w:t>
      </w:r>
      <w:r w:rsidR="00BB7829">
        <w:rPr>
          <w:rFonts w:asciiTheme="majorBidi" w:hAnsiTheme="majorBidi" w:cstheme="majorBidi" w:hint="cs"/>
          <w:sz w:val="28"/>
          <w:szCs w:val="28"/>
          <w:rtl/>
        </w:rPr>
        <w:t xml:space="preserve">נמצא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ברפרטוארים של ת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י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אטראות דוברי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 xml:space="preserve">שפות זרות, כגון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אנגלית, צרפתית, גרמנית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 xml:space="preserve"> ועוד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C15B17" w:rsidRDefault="009021B2" w:rsidP="009F2124">
      <w:pPr>
        <w:spacing w:line="360" w:lineRule="auto"/>
        <w:ind w:left="43" w:firstLine="28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חלקו הראשון של הספר הוא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תיאור של תופעה תרבותית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גלובלית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חדשה</w:t>
      </w:r>
      <w:r w:rsidR="001145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 w:rsidR="0011456C">
        <w:rPr>
          <w:rFonts w:asciiTheme="majorBidi" w:hAnsiTheme="majorBidi" w:cstheme="majorBidi" w:hint="cs"/>
          <w:sz w:val="28"/>
          <w:szCs w:val="28"/>
          <w:rtl/>
        </w:rPr>
        <w:t xml:space="preserve">מלווה בדוגמאות מהתיאטרון הישראלי.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הפרק הראשון מוקדש למשותף, לשונה ולמשתנה בדרמה </w:t>
      </w:r>
      <w:r w:rsidR="00CF18B3">
        <w:rPr>
          <w:rFonts w:asciiTheme="majorBidi" w:hAnsiTheme="majorBidi" w:cstheme="majorBidi" w:hint="cs"/>
          <w:sz w:val="28"/>
          <w:szCs w:val="28"/>
          <w:rtl/>
        </w:rPr>
        <w:t xml:space="preserve">(תיאטרון, קולנוע וטלוויזיה)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מאמצע המאה העשרים ואילך; הפרק המרכזי מציע מתודולוגיה במחקר של השפעות הטלוויזיה על התיאטרון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 xml:space="preserve"> (ביניהן העמדת הצופה</w:t>
      </w:r>
      <w:r w:rsidR="000A569E">
        <w:rPr>
          <w:rFonts w:asciiTheme="majorBidi" w:hAnsiTheme="majorBidi" w:cstheme="majorBidi" w:hint="cs"/>
          <w:sz w:val="28"/>
          <w:szCs w:val="28"/>
          <w:rtl/>
        </w:rPr>
        <w:t xml:space="preserve"> במרכז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; 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>סגנון ריאליסטי; עירוב מציאות ב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ב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>דיון; שינוי</w:t>
      </w:r>
      <w:r w:rsidR="00142D00">
        <w:rPr>
          <w:rFonts w:asciiTheme="majorBidi" w:hAnsiTheme="majorBidi" w:cstheme="majorBidi" w:hint="cs"/>
          <w:sz w:val="28"/>
          <w:szCs w:val="28"/>
          <w:rtl/>
        </w:rPr>
        <w:t>ים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 xml:space="preserve"> בז'אנרים; </w:t>
      </w:r>
      <w:r w:rsidR="00142D00">
        <w:rPr>
          <w:rFonts w:asciiTheme="majorBidi" w:hAnsiTheme="majorBidi" w:cstheme="majorBidi" w:hint="cs"/>
          <w:sz w:val="28"/>
          <w:szCs w:val="28"/>
          <w:rtl/>
        </w:rPr>
        <w:t>דמויות-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>שחקנים חשובים יותר מהעלילה; ליהוק של ידוענים כשחקנים; צמצום זמן ההצגה; עריכה במקטעים; קצב מהיר; פופ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>לריזציה; שימוש במערכות סימנים טלוויזיוניות; שיבוץ פריטים טלוויזי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 w:rsidR="009F2124">
        <w:rPr>
          <w:rFonts w:asciiTheme="majorBidi" w:hAnsiTheme="majorBidi" w:cstheme="majorBidi" w:hint="cs"/>
          <w:sz w:val="28"/>
          <w:szCs w:val="28"/>
          <w:rtl/>
        </w:rPr>
        <w:t xml:space="preserve">ניים בהצגה; 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 xml:space="preserve">ערעור על ההיררכיה התרבותית; ודיון גלוי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>לפעמים בוטה בבעיות חברתיות ובגילומן של דמויות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 xml:space="preserve"> של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 xml:space="preserve"> "אחר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ים</w:t>
      </w:r>
      <w:r w:rsidR="009F2124">
        <w:rPr>
          <w:rFonts w:asciiTheme="majorBidi" w:hAnsiTheme="majorBidi" w:cstheme="majorBidi" w:hint="cs"/>
          <w:sz w:val="28"/>
          <w:szCs w:val="28"/>
          <w:rtl/>
        </w:rPr>
        <w:t>");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המש</w:t>
      </w:r>
      <w:r w:rsidR="006C1AB1">
        <w:rPr>
          <w:rFonts w:asciiTheme="majorBidi" w:hAnsiTheme="majorBidi" w:cstheme="majorBidi" w:hint="cs"/>
          <w:sz w:val="28"/>
          <w:szCs w:val="28"/>
          <w:rtl/>
        </w:rPr>
        <w:t>ך הדיון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 בלימוד היסטו</w:t>
      </w:r>
      <w:r w:rsidR="0011456C">
        <w:rPr>
          <w:rFonts w:asciiTheme="majorBidi" w:hAnsiTheme="majorBidi" w:cstheme="majorBidi" w:hint="cs"/>
          <w:sz w:val="28"/>
          <w:szCs w:val="28"/>
          <w:rtl/>
        </w:rPr>
        <w:t>רי של התפתחות הטלוויזיה בישראל ו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השינויים שחלו במקביל - ובמושפע - ברפרטואר </w:t>
      </w:r>
      <w:r w:rsidR="00CF18B3">
        <w:rPr>
          <w:rFonts w:asciiTheme="majorBidi" w:hAnsiTheme="majorBidi" w:cstheme="majorBidi" w:hint="cs"/>
          <w:sz w:val="28"/>
          <w:szCs w:val="28"/>
          <w:rtl/>
        </w:rPr>
        <w:t xml:space="preserve">ובשדה של 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התיאטרון; פרק מיוחד מוקדש להשוואת דרכי ההיצג השונות של "אחרים" (יהודים</w:t>
      </w:r>
      <w:r w:rsidR="0042001F">
        <w:rPr>
          <w:rFonts w:asciiTheme="majorBidi" w:hAnsiTheme="majorBidi" w:cstheme="majorBidi" w:hint="cs"/>
          <w:sz w:val="28"/>
          <w:szCs w:val="28"/>
          <w:rtl/>
        </w:rPr>
        <w:t xml:space="preserve"> מזרחים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42001F">
        <w:rPr>
          <w:rFonts w:asciiTheme="majorBidi" w:hAnsiTheme="majorBidi" w:cstheme="majorBidi" w:hint="cs"/>
          <w:sz w:val="28"/>
          <w:szCs w:val="28"/>
          <w:rtl/>
        </w:rPr>
        <w:t>דתיים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>, ערבים והומוסקסואלים) בתיאטרון ובטלוויזיה</w:t>
      </w:r>
      <w:r w:rsidR="00142D00">
        <w:rPr>
          <w:rFonts w:asciiTheme="majorBidi" w:hAnsiTheme="majorBidi" w:cstheme="majorBidi" w:hint="cs"/>
          <w:sz w:val="28"/>
          <w:szCs w:val="28"/>
          <w:rtl/>
        </w:rPr>
        <w:t xml:space="preserve"> בישראל</w:t>
      </w:r>
      <w:r w:rsidR="00C15B17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EA2C66" w:rsidRDefault="00C15B17" w:rsidP="00D24F61">
      <w:pPr>
        <w:spacing w:line="360" w:lineRule="auto"/>
        <w:ind w:left="43" w:firstLine="28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חלקו השני של הספר מוקדש לתיאטרון נשים טלוויזיויני - להצגות של </w:t>
      </w:r>
      <w:r w:rsidR="004E15E5">
        <w:rPr>
          <w:rFonts w:asciiTheme="majorBidi" w:hAnsiTheme="majorBidi" w:cstheme="majorBidi" w:hint="cs"/>
          <w:sz w:val="28"/>
          <w:szCs w:val="28"/>
          <w:rtl/>
        </w:rPr>
        <w:t xml:space="preserve">ענת גוב המחזאית ועדנה מזי"א הבמאית: </w:t>
      </w:r>
      <w:r w:rsidR="004E15E5">
        <w:rPr>
          <w:rFonts w:asciiTheme="majorBidi" w:hAnsiTheme="majorBidi" w:cstheme="majorBidi" w:hint="cs"/>
          <w:b/>
          <w:bCs/>
          <w:sz w:val="28"/>
          <w:szCs w:val="28"/>
          <w:rtl/>
        </w:rPr>
        <w:t>חברות הכי טובות</w:t>
      </w:r>
      <w:r w:rsidR="00AB70FC">
        <w:rPr>
          <w:rFonts w:asciiTheme="majorBidi" w:hAnsiTheme="majorBidi" w:cstheme="majorBidi" w:hint="cs"/>
          <w:sz w:val="28"/>
          <w:szCs w:val="28"/>
          <w:rtl/>
        </w:rPr>
        <w:t xml:space="preserve"> (1999), </w:t>
      </w:r>
      <w:r w:rsidR="00AB70FC">
        <w:rPr>
          <w:rFonts w:asciiTheme="majorBidi" w:hAnsiTheme="majorBidi" w:cstheme="majorBidi" w:hint="cs"/>
          <w:b/>
          <w:bCs/>
          <w:sz w:val="28"/>
          <w:szCs w:val="28"/>
          <w:rtl/>
        </w:rPr>
        <w:t>ליס</w:t>
      </w:r>
      <w:r w:rsidR="001578C4">
        <w:rPr>
          <w:rFonts w:asciiTheme="majorBidi" w:hAnsiTheme="majorBidi" w:cstheme="majorBidi" w:hint="cs"/>
          <w:b/>
          <w:bCs/>
          <w:sz w:val="28"/>
          <w:szCs w:val="28"/>
          <w:rtl/>
        </w:rPr>
        <w:t>י</w:t>
      </w:r>
      <w:r w:rsidR="00AB70FC">
        <w:rPr>
          <w:rFonts w:asciiTheme="majorBidi" w:hAnsiTheme="majorBidi" w:cstheme="majorBidi" w:hint="cs"/>
          <w:b/>
          <w:bCs/>
          <w:sz w:val="28"/>
          <w:szCs w:val="28"/>
          <w:rtl/>
        </w:rPr>
        <w:t>סטרטה</w:t>
      </w:r>
      <w:r w:rsidR="00BE35D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35DF" w:rsidRPr="00216814">
        <w:rPr>
          <w:rFonts w:asciiTheme="majorBidi" w:hAnsiTheme="majorBidi" w:cstheme="majorBidi" w:hint="cs"/>
          <w:b/>
          <w:bCs/>
          <w:sz w:val="28"/>
          <w:szCs w:val="28"/>
          <w:rtl/>
        </w:rPr>
        <w:t>2000</w:t>
      </w:r>
      <w:r w:rsidR="00BE35DF">
        <w:rPr>
          <w:rFonts w:asciiTheme="majorBidi" w:hAnsiTheme="majorBidi" w:cstheme="majorBidi" w:hint="cs"/>
          <w:sz w:val="28"/>
          <w:szCs w:val="28"/>
          <w:rtl/>
        </w:rPr>
        <w:t xml:space="preserve"> (2001)</w:t>
      </w:r>
      <w:r w:rsidR="00AB70FC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4E15E5">
        <w:rPr>
          <w:rFonts w:asciiTheme="majorBidi" w:hAnsiTheme="majorBidi" w:cstheme="majorBidi" w:hint="cs"/>
          <w:b/>
          <w:bCs/>
          <w:sz w:val="28"/>
          <w:szCs w:val="28"/>
          <w:rtl/>
        </w:rPr>
        <w:t>עקר בית</w:t>
      </w:r>
      <w:r w:rsidR="00AB70FC">
        <w:rPr>
          <w:rFonts w:asciiTheme="majorBidi" w:hAnsiTheme="majorBidi" w:cstheme="majorBidi" w:hint="cs"/>
          <w:sz w:val="28"/>
          <w:szCs w:val="28"/>
          <w:rtl/>
        </w:rPr>
        <w:t xml:space="preserve"> (2004),</w:t>
      </w:r>
      <w:r w:rsidR="004E15E5" w:rsidRPr="00EA2C6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E15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אוי אלוהים </w:t>
      </w:r>
      <w:r w:rsidR="00AB70FC">
        <w:rPr>
          <w:rFonts w:asciiTheme="majorBidi" w:hAnsiTheme="majorBidi" w:cstheme="majorBidi" w:hint="cs"/>
          <w:sz w:val="28"/>
          <w:szCs w:val="28"/>
          <w:rtl/>
        </w:rPr>
        <w:t xml:space="preserve">(2008) </w:t>
      </w:r>
      <w:r w:rsidR="004E15E5" w:rsidRPr="00CC1F31">
        <w:rPr>
          <w:rFonts w:asciiTheme="majorBidi" w:hAnsiTheme="majorBidi" w:cstheme="majorBidi" w:hint="cs"/>
          <w:sz w:val="28"/>
          <w:szCs w:val="28"/>
          <w:rtl/>
        </w:rPr>
        <w:t>ו</w:t>
      </w:r>
      <w:r w:rsidR="004E15E5">
        <w:rPr>
          <w:rFonts w:asciiTheme="majorBidi" w:hAnsiTheme="majorBidi" w:cstheme="majorBidi" w:hint="cs"/>
          <w:b/>
          <w:bCs/>
          <w:sz w:val="28"/>
          <w:szCs w:val="28"/>
          <w:rtl/>
        </w:rPr>
        <w:t>סוף טוב</w:t>
      </w:r>
      <w:r w:rsidR="00AB70F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24F61">
        <w:rPr>
          <w:rFonts w:asciiTheme="majorBidi" w:hAnsiTheme="majorBidi" w:cstheme="majorBidi" w:hint="cs"/>
          <w:sz w:val="28"/>
          <w:szCs w:val="28"/>
          <w:rtl/>
        </w:rPr>
        <w:t>(</w:t>
      </w:r>
      <w:r w:rsidR="00AB70FC">
        <w:rPr>
          <w:rFonts w:asciiTheme="majorBidi" w:hAnsiTheme="majorBidi" w:cstheme="majorBidi" w:hint="cs"/>
          <w:sz w:val="28"/>
          <w:szCs w:val="28"/>
          <w:rtl/>
        </w:rPr>
        <w:t>2011)</w:t>
      </w:r>
      <w:r w:rsidR="00D24F61">
        <w:rPr>
          <w:rFonts w:asciiTheme="majorBidi" w:hAnsiTheme="majorBidi" w:cstheme="majorBidi" w:hint="cs"/>
          <w:sz w:val="28"/>
          <w:szCs w:val="28"/>
          <w:rtl/>
        </w:rPr>
        <w:t xml:space="preserve"> (המחזות תורגמו לאנגלית ולשפות אחרות והוצגו בהצלחה </w:t>
      </w:r>
      <w:r w:rsidR="00D24F61">
        <w:rPr>
          <w:rFonts w:asciiTheme="majorBidi" w:hAnsiTheme="majorBidi" w:cstheme="majorBidi" w:hint="cs"/>
          <w:sz w:val="28"/>
          <w:szCs w:val="28"/>
          <w:rtl/>
        </w:rPr>
        <w:t>במדינות שונות)</w:t>
      </w:r>
      <w:r w:rsidR="004E15E5" w:rsidRPr="004E15E5">
        <w:rPr>
          <w:rFonts w:asciiTheme="majorBidi" w:hAnsiTheme="majorBidi" w:cstheme="majorBidi" w:hint="cs"/>
          <w:sz w:val="28"/>
          <w:szCs w:val="28"/>
          <w:rtl/>
        </w:rPr>
        <w:t>.</w:t>
      </w:r>
      <w:r w:rsidR="004E15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E15E5">
        <w:rPr>
          <w:rFonts w:asciiTheme="majorBidi" w:hAnsiTheme="majorBidi" w:cstheme="majorBidi" w:hint="cs"/>
          <w:sz w:val="28"/>
          <w:szCs w:val="28"/>
          <w:rtl/>
        </w:rPr>
        <w:t>מזי</w:t>
      </w:r>
      <w:r>
        <w:rPr>
          <w:rFonts w:asciiTheme="majorBidi" w:hAnsiTheme="majorBidi" w:cstheme="majorBidi" w:hint="cs"/>
          <w:sz w:val="28"/>
          <w:szCs w:val="28"/>
          <w:rtl/>
        </w:rPr>
        <w:t>"א וגוב</w:t>
      </w:r>
      <w:r w:rsidR="00EA2C6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מציעות אסתטיקה חדשה שניכרת בנרטיבים "נשיים", במבחר הדמויות ובדרכי עיצובן, בשינויים ז'אנריים, </w:t>
      </w:r>
      <w:r w:rsidR="00EA2C66">
        <w:rPr>
          <w:rFonts w:asciiTheme="majorBidi" w:hAnsiTheme="majorBidi" w:cstheme="majorBidi" w:hint="cs"/>
          <w:sz w:val="28"/>
          <w:szCs w:val="28"/>
          <w:rtl/>
        </w:rPr>
        <w:t xml:space="preserve">במערכות הסימנים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של ההצגות </w:t>
      </w:r>
      <w:r w:rsidR="00EA2C66">
        <w:rPr>
          <w:rFonts w:asciiTheme="majorBidi" w:hAnsiTheme="majorBidi" w:cstheme="majorBidi" w:hint="cs"/>
          <w:sz w:val="28"/>
          <w:szCs w:val="28"/>
          <w:rtl/>
        </w:rPr>
        <w:t>ובדרכי השיח 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במחזות. שינויים אלה מטמיעים את מאפייני התרבות הטלוויזיונית, בעיקר על הבמות ה"גדולות";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>מנגד נוצר</w:t>
      </w:r>
      <w:r w:rsidR="002E6C03">
        <w:rPr>
          <w:rFonts w:asciiTheme="majorBidi" w:hAnsiTheme="majorBidi" w:cstheme="majorBidi" w:hint="cs"/>
          <w:sz w:val="28"/>
          <w:szCs w:val="28"/>
          <w:rtl/>
        </w:rPr>
        <w:t>ה</w:t>
      </w:r>
      <w:r w:rsidR="009F2124">
        <w:rPr>
          <w:rFonts w:asciiTheme="majorBidi" w:hAnsiTheme="majorBidi" w:cstheme="majorBidi" w:hint="cs"/>
          <w:sz w:val="28"/>
          <w:szCs w:val="28"/>
          <w:rtl/>
        </w:rPr>
        <w:t>, בעיקר בשוליים של השדה הטלויזיוני,</w:t>
      </w:r>
      <w:r w:rsidR="002E6C0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אופוזיציה "מתגוננת" ומחדשת</w:t>
      </w:r>
      <w:r w:rsidR="002E6C03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1634EF">
        <w:rPr>
          <w:rFonts w:asciiTheme="majorBidi" w:hAnsiTheme="majorBidi" w:cstheme="majorBidi" w:hint="cs"/>
          <w:sz w:val="28"/>
          <w:szCs w:val="28"/>
          <w:rtl/>
        </w:rPr>
        <w:t>אנטי-טלוויזיו</w:t>
      </w:r>
      <w:r w:rsidR="004509B7">
        <w:rPr>
          <w:rFonts w:asciiTheme="majorBidi" w:hAnsiTheme="majorBidi" w:cstheme="majorBidi" w:hint="cs"/>
          <w:sz w:val="28"/>
          <w:szCs w:val="28"/>
          <w:rtl/>
        </w:rPr>
        <w:t>נ</w:t>
      </w:r>
      <w:r w:rsidR="001634EF">
        <w:rPr>
          <w:rFonts w:asciiTheme="majorBidi" w:hAnsiTheme="majorBidi" w:cstheme="majorBidi" w:hint="cs"/>
          <w:sz w:val="28"/>
          <w:szCs w:val="28"/>
          <w:rtl/>
        </w:rPr>
        <w:t>ית</w:t>
      </w:r>
      <w:r w:rsidR="0011456C">
        <w:rPr>
          <w:rFonts w:asciiTheme="majorBidi" w:hAnsiTheme="majorBidi" w:cstheme="majorBidi" w:hint="cs"/>
          <w:sz w:val="28"/>
          <w:szCs w:val="28"/>
          <w:rtl/>
        </w:rPr>
        <w:t xml:space="preserve"> במוצהר</w:t>
      </w:r>
      <w:r w:rsidR="001634EF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2E6C03">
        <w:rPr>
          <w:rFonts w:asciiTheme="majorBidi" w:hAnsiTheme="majorBidi" w:cstheme="majorBidi" w:hint="cs"/>
          <w:sz w:val="28"/>
          <w:szCs w:val="28"/>
          <w:rtl/>
        </w:rPr>
        <w:t>שאליה מחלחלים מאפיינים טלו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 w:rsidR="002E6C03">
        <w:rPr>
          <w:rFonts w:asciiTheme="majorBidi" w:hAnsiTheme="majorBidi" w:cstheme="majorBidi" w:hint="cs"/>
          <w:sz w:val="28"/>
          <w:szCs w:val="28"/>
          <w:rtl/>
        </w:rPr>
        <w:t xml:space="preserve">יזיוניים. </w:t>
      </w:r>
    </w:p>
    <w:p w:rsidR="007B6E60" w:rsidRPr="001D0031" w:rsidRDefault="00A0372F" w:rsidP="009F2124">
      <w:pPr>
        <w:spacing w:line="360" w:lineRule="auto"/>
        <w:ind w:left="43" w:firstLine="28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תיאטרון טלוויזיוני 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 xml:space="preserve">פונה לקהלים רחבים של חוקרים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ו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 xml:space="preserve">תלמידים שמתעניינים בשינויים שחלו ברפרטואר </w:t>
      </w:r>
      <w:r w:rsidR="00E97E6D">
        <w:rPr>
          <w:rFonts w:asciiTheme="majorBidi" w:hAnsiTheme="majorBidi" w:cstheme="majorBidi" w:hint="cs"/>
          <w:sz w:val="28"/>
          <w:szCs w:val="28"/>
          <w:rtl/>
        </w:rPr>
        <w:t xml:space="preserve">הדרמטי </w:t>
      </w:r>
      <w:r w:rsidR="00F435B5">
        <w:rPr>
          <w:rFonts w:asciiTheme="majorBidi" w:hAnsiTheme="majorBidi" w:cstheme="majorBidi" w:hint="cs"/>
          <w:sz w:val="28"/>
          <w:szCs w:val="28"/>
          <w:rtl/>
        </w:rPr>
        <w:t xml:space="preserve">הגלובלי 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 xml:space="preserve">משנות התשעים ואילך, </w:t>
      </w:r>
      <w:r w:rsidR="008D16ED">
        <w:rPr>
          <w:rFonts w:asciiTheme="majorBidi" w:hAnsiTheme="majorBidi" w:cstheme="majorBidi" w:hint="cs"/>
          <w:sz w:val="28"/>
          <w:szCs w:val="28"/>
          <w:rtl/>
        </w:rPr>
        <w:t>ב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>שינויים שחלו בתרבות הישראלית ו</w:t>
      </w:r>
      <w:r w:rsidR="0063223C">
        <w:rPr>
          <w:rFonts w:asciiTheme="majorBidi" w:hAnsiTheme="majorBidi" w:cstheme="majorBidi" w:hint="cs"/>
          <w:sz w:val="28"/>
          <w:szCs w:val="28"/>
          <w:rtl/>
        </w:rPr>
        <w:t>במיוחד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 xml:space="preserve"> בדיון הציבורי בישראל. למרות היותו סיכום מחקר </w:t>
      </w:r>
      <w:r w:rsidR="00B47EDD">
        <w:rPr>
          <w:rFonts w:asciiTheme="majorBidi" w:hAnsiTheme="majorBidi" w:cstheme="majorBidi" w:hint="cs"/>
          <w:sz w:val="28"/>
          <w:szCs w:val="28"/>
          <w:rtl/>
        </w:rPr>
        <w:t xml:space="preserve">(של רפרטואר עשיר ומגוון) 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 xml:space="preserve">הוא </w:t>
      </w:r>
      <w:r w:rsidR="00216814">
        <w:rPr>
          <w:rFonts w:asciiTheme="majorBidi" w:hAnsiTheme="majorBidi" w:cstheme="majorBidi" w:hint="cs"/>
          <w:sz w:val="28"/>
          <w:szCs w:val="28"/>
          <w:rtl/>
        </w:rPr>
        <w:t>כתוב במכוון בשפה בהירה נטולת ז'</w:t>
      </w:r>
      <w:r w:rsidR="007B6E60">
        <w:rPr>
          <w:rFonts w:asciiTheme="majorBidi" w:hAnsiTheme="majorBidi" w:cstheme="majorBidi" w:hint="cs"/>
          <w:sz w:val="28"/>
          <w:szCs w:val="28"/>
          <w:rtl/>
        </w:rPr>
        <w:t>רגון.</w:t>
      </w:r>
    </w:p>
    <w:p w:rsidR="00800455" w:rsidRDefault="00800455" w:rsidP="00C76DBF">
      <w:pPr>
        <w:spacing w:line="360" w:lineRule="auto"/>
        <w:ind w:left="43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1456C" w:rsidRDefault="0011456C" w:rsidP="00C76DBF">
      <w:pPr>
        <w:spacing w:line="360" w:lineRule="auto"/>
        <w:ind w:left="43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6A67" w:rsidRDefault="007C6A67" w:rsidP="00C76DBF">
      <w:pPr>
        <w:spacing w:line="360" w:lineRule="auto"/>
        <w:ind w:left="43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76DBF" w:rsidRPr="00E857FD" w:rsidRDefault="00C76DBF" w:rsidP="00C76DBF">
      <w:pPr>
        <w:spacing w:line="360" w:lineRule="auto"/>
        <w:ind w:left="43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857FD">
        <w:rPr>
          <w:rFonts w:asciiTheme="majorBidi" w:hAnsiTheme="majorBidi" w:cstheme="majorBidi" w:hint="cs"/>
          <w:b/>
          <w:bCs/>
          <w:sz w:val="32"/>
          <w:szCs w:val="32"/>
          <w:rtl/>
        </w:rPr>
        <w:t>תוכן עניינים</w:t>
      </w:r>
    </w:p>
    <w:p w:rsidR="00C76DBF" w:rsidRPr="007B7491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 w:rsidRPr="007B7491">
        <w:rPr>
          <w:rFonts w:asciiTheme="majorBidi" w:hAnsiTheme="majorBidi" w:cstheme="majorBidi" w:hint="eastAsia"/>
          <w:sz w:val="28"/>
          <w:szCs w:val="28"/>
          <w:rtl/>
        </w:rPr>
        <w:t>תודות</w:t>
      </w:r>
    </w:p>
    <w:p w:rsidR="00C76DBF" w:rsidRPr="007B7491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</w:rPr>
      </w:pPr>
      <w:r w:rsidRPr="007B7491">
        <w:rPr>
          <w:rFonts w:asciiTheme="majorBidi" w:hAnsiTheme="majorBidi" w:cstheme="majorBidi" w:hint="eastAsia"/>
          <w:sz w:val="28"/>
          <w:szCs w:val="28"/>
          <w:rtl/>
        </w:rPr>
        <w:t>מבוא</w:t>
      </w:r>
    </w:p>
    <w:p w:rsidR="00C76DBF" w:rsidRPr="005C1079" w:rsidRDefault="00C76DBF" w:rsidP="00C76DBF">
      <w:pPr>
        <w:spacing w:line="360" w:lineRule="auto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5C1079">
        <w:rPr>
          <w:rFonts w:asciiTheme="majorBidi" w:hAnsiTheme="majorBidi" w:cstheme="majorBidi" w:hint="eastAsia"/>
          <w:sz w:val="28"/>
          <w:szCs w:val="28"/>
          <w:u w:val="single"/>
          <w:rtl/>
        </w:rPr>
        <w:t>השפעות</w:t>
      </w:r>
      <w:r w:rsidRPr="005C1079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5C1079">
        <w:rPr>
          <w:rFonts w:asciiTheme="majorBidi" w:hAnsiTheme="majorBidi" w:cstheme="majorBidi" w:hint="eastAsia"/>
          <w:sz w:val="28"/>
          <w:szCs w:val="28"/>
          <w:u w:val="single"/>
          <w:rtl/>
        </w:rPr>
        <w:t>הטלוויזיה</w:t>
      </w:r>
      <w:r w:rsidRPr="005C1079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5C1079">
        <w:rPr>
          <w:rFonts w:asciiTheme="majorBidi" w:hAnsiTheme="majorBidi" w:cstheme="majorBidi" w:hint="eastAsia"/>
          <w:sz w:val="28"/>
          <w:szCs w:val="28"/>
          <w:u w:val="single"/>
          <w:rtl/>
        </w:rPr>
        <w:t>על</w:t>
      </w:r>
      <w:r w:rsidRPr="005C1079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5C1079">
        <w:rPr>
          <w:rFonts w:asciiTheme="majorBidi" w:hAnsiTheme="majorBidi" w:cstheme="majorBidi" w:hint="eastAsia"/>
          <w:sz w:val="28"/>
          <w:szCs w:val="28"/>
          <w:u w:val="single"/>
          <w:rtl/>
        </w:rPr>
        <w:t>התיאטרון</w:t>
      </w:r>
    </w:p>
    <w:p w:rsidR="00C76DBF" w:rsidRDefault="00C76DBF" w:rsidP="00C76DBF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857FD">
        <w:rPr>
          <w:rFonts w:asciiTheme="majorBidi" w:hAnsiTheme="majorBidi" w:cstheme="majorBidi" w:hint="cs"/>
          <w:sz w:val="28"/>
          <w:szCs w:val="28"/>
          <w:rtl/>
        </w:rPr>
        <w:t>דרמה: משותף, שונה ומשתנה</w:t>
      </w:r>
    </w:p>
    <w:p w:rsidR="00C76DBF" w:rsidRDefault="00C76DBF" w:rsidP="00C76DBF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השפעות הטלוויזיה על התיאטרון</w:t>
      </w:r>
    </w:p>
    <w:p w:rsidR="00C76DBF" w:rsidRDefault="00C76DBF" w:rsidP="00C76DBF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היסטוריה: מ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אדי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קינג </w:t>
      </w:r>
      <w:r w:rsidRPr="00E857FD">
        <w:rPr>
          <w:rFonts w:asciiTheme="majorBidi" w:hAnsiTheme="majorBidi" w:cstheme="majorBidi" w:hint="cs"/>
          <w:sz w:val="28"/>
          <w:szCs w:val="28"/>
          <w:rtl/>
        </w:rPr>
        <w:t>(1975) ל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זגורי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אימפריה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(2014)</w:t>
      </w:r>
    </w:p>
    <w:p w:rsidR="00C76DBF" w:rsidRDefault="00C76DBF" w:rsidP="00C76DBF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שדה התיאטרון בישראל בעידן הטלוויזיוני</w:t>
      </w:r>
    </w:p>
    <w:p w:rsidR="00C76DBF" w:rsidRPr="00671E81" w:rsidRDefault="00C76DBF" w:rsidP="00C76DBF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"</w:t>
      </w:r>
      <w:r w:rsidRPr="00671E81">
        <w:rPr>
          <w:rFonts w:asciiTheme="majorBidi" w:hAnsiTheme="majorBidi" w:cstheme="majorBidi" w:hint="cs"/>
          <w:sz w:val="28"/>
          <w:szCs w:val="28"/>
          <w:rtl/>
        </w:rPr>
        <w:t>אחרים</w:t>
      </w:r>
      <w:r>
        <w:rPr>
          <w:rFonts w:asciiTheme="majorBidi" w:hAnsiTheme="majorBidi" w:cstheme="majorBidi" w:hint="cs"/>
          <w:sz w:val="28"/>
          <w:szCs w:val="28"/>
          <w:rtl/>
        </w:rPr>
        <w:t>"</w:t>
      </w:r>
      <w:r w:rsidRPr="00671E81">
        <w:rPr>
          <w:rFonts w:asciiTheme="majorBidi" w:hAnsiTheme="majorBidi" w:cstheme="majorBidi" w:hint="cs"/>
          <w:sz w:val="28"/>
          <w:szCs w:val="28"/>
          <w:rtl/>
        </w:rPr>
        <w:t xml:space="preserve"> על הבמה ועל המרקע</w:t>
      </w:r>
    </w:p>
    <w:p w:rsidR="00C76DBF" w:rsidRDefault="00C76DBF" w:rsidP="00C76DB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C76DBF" w:rsidRPr="005C1079" w:rsidRDefault="00C76DBF" w:rsidP="00C76DBF">
      <w:pPr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5C1079">
        <w:rPr>
          <w:rFonts w:asciiTheme="majorBidi" w:hAnsiTheme="majorBidi" w:cstheme="majorBidi" w:hint="cs"/>
          <w:sz w:val="28"/>
          <w:szCs w:val="28"/>
          <w:u w:val="single"/>
          <w:rtl/>
        </w:rPr>
        <w:t>עדנה מזי"א וענת גוב</w:t>
      </w:r>
    </w:p>
    <w:p w:rsidR="00C76DBF" w:rsidRDefault="00C76DBF" w:rsidP="00C76DBF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משחקים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בחצר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האחורית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(1993)</w:t>
      </w:r>
    </w:p>
    <w:p w:rsidR="00C76DBF" w:rsidRDefault="00C76DBF" w:rsidP="00C76DBF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045A0">
        <w:rPr>
          <w:rFonts w:asciiTheme="majorBidi" w:hAnsiTheme="majorBidi" w:cstheme="majorBidi" w:hint="cs"/>
          <w:sz w:val="28"/>
          <w:szCs w:val="28"/>
          <w:rtl/>
        </w:rPr>
        <w:t>ת</w:t>
      </w:r>
      <w:r>
        <w:rPr>
          <w:rFonts w:asciiTheme="majorBidi" w:hAnsiTheme="majorBidi" w:cstheme="majorBidi" w:hint="cs"/>
          <w:sz w:val="28"/>
          <w:szCs w:val="28"/>
          <w:rtl/>
        </w:rPr>
        <w:t>י</w:t>
      </w:r>
      <w:r w:rsidRPr="00C045A0">
        <w:rPr>
          <w:rFonts w:asciiTheme="majorBidi" w:hAnsiTheme="majorBidi" w:cstheme="majorBidi" w:hint="cs"/>
          <w:sz w:val="28"/>
          <w:szCs w:val="28"/>
          <w:rtl/>
        </w:rPr>
        <w:t xml:space="preserve">אטרון נשים טלוויזיוני: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חברות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הכי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טובות</w:t>
      </w:r>
      <w:r w:rsidRPr="00C045A0" w:rsidDel="00C045A0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045A0">
        <w:rPr>
          <w:rFonts w:asciiTheme="majorBidi" w:hAnsiTheme="majorBidi" w:cstheme="majorBidi" w:hint="cs"/>
          <w:sz w:val="28"/>
          <w:szCs w:val="28"/>
          <w:rtl/>
        </w:rPr>
        <w:t>1999, 2006, 2009, 2013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C76DBF" w:rsidRPr="00C045A0" w:rsidRDefault="00C76DBF" w:rsidP="00BE35DF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045A0">
        <w:rPr>
          <w:rFonts w:asciiTheme="majorBidi" w:hAnsiTheme="majorBidi" w:cstheme="majorBidi" w:hint="cs"/>
          <w:sz w:val="28"/>
          <w:szCs w:val="28"/>
          <w:rtl/>
        </w:rPr>
        <w:t>קומדיית המצבים הת</w:t>
      </w:r>
      <w:r>
        <w:rPr>
          <w:rFonts w:asciiTheme="majorBidi" w:hAnsiTheme="majorBidi" w:cstheme="majorBidi" w:hint="cs"/>
          <w:sz w:val="28"/>
          <w:szCs w:val="28"/>
          <w:rtl/>
        </w:rPr>
        <w:t>י</w:t>
      </w:r>
      <w:r w:rsidRPr="00C045A0">
        <w:rPr>
          <w:rFonts w:asciiTheme="majorBidi" w:hAnsiTheme="majorBidi" w:cstheme="majorBidi" w:hint="cs"/>
          <w:sz w:val="28"/>
          <w:szCs w:val="28"/>
          <w:rtl/>
        </w:rPr>
        <w:t>אטרונית</w:t>
      </w:r>
      <w:r w:rsidR="001578C4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1578C4">
        <w:rPr>
          <w:rFonts w:asciiTheme="majorBidi" w:hAnsiTheme="majorBidi" w:cstheme="majorBidi" w:hint="cs"/>
          <w:b/>
          <w:bCs/>
          <w:sz w:val="28"/>
          <w:szCs w:val="28"/>
          <w:rtl/>
        </w:rPr>
        <w:t>ליסיסטרטה 2000</w:t>
      </w:r>
      <w:r w:rsidR="00BE35DF">
        <w:rPr>
          <w:rFonts w:asciiTheme="majorBidi" w:hAnsiTheme="majorBidi" w:cstheme="majorBidi" w:hint="cs"/>
          <w:sz w:val="28"/>
          <w:szCs w:val="28"/>
          <w:rtl/>
        </w:rPr>
        <w:t xml:space="preserve"> (2001)</w:t>
      </w:r>
      <w:r w:rsidR="001578C4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1578C4">
        <w:rPr>
          <w:rFonts w:asciiTheme="majorBidi" w:hAnsiTheme="majorBidi" w:cstheme="majorBidi" w:hint="cs"/>
          <w:b/>
          <w:bCs/>
          <w:sz w:val="28"/>
          <w:szCs w:val="28"/>
          <w:rtl/>
        </w:rPr>
        <w:t>עקר בית</w:t>
      </w:r>
      <w:r w:rsidR="001578C4">
        <w:rPr>
          <w:rFonts w:asciiTheme="majorBidi" w:hAnsiTheme="majorBidi" w:cstheme="majorBidi" w:hint="cs"/>
          <w:sz w:val="28"/>
          <w:szCs w:val="28"/>
          <w:rtl/>
        </w:rPr>
        <w:t xml:space="preserve"> (2004),</w:t>
      </w:r>
      <w:r w:rsidR="001578C4" w:rsidRPr="00EA2C6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578C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אוי אלוהים </w:t>
      </w:r>
      <w:r w:rsidR="001578C4">
        <w:rPr>
          <w:rFonts w:asciiTheme="majorBidi" w:hAnsiTheme="majorBidi" w:cstheme="majorBidi" w:hint="cs"/>
          <w:sz w:val="28"/>
          <w:szCs w:val="28"/>
          <w:rtl/>
        </w:rPr>
        <w:t>(2008)</w:t>
      </w:r>
    </w:p>
    <w:p w:rsidR="00C76DBF" w:rsidRDefault="00C76DBF" w:rsidP="00C76DBF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סוף</w:t>
      </w:r>
      <w:r w:rsidRPr="007B74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b/>
          <w:bCs/>
          <w:sz w:val="28"/>
          <w:szCs w:val="28"/>
          <w:rtl/>
        </w:rPr>
        <w:t>טוב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2173A6">
        <w:rPr>
          <w:rFonts w:asciiTheme="majorBidi" w:hAnsiTheme="majorBidi" w:cstheme="majorBidi" w:hint="cs"/>
          <w:sz w:val="28"/>
          <w:szCs w:val="28"/>
          <w:rtl/>
        </w:rPr>
        <w:t>2011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C76DBF" w:rsidRPr="000213B2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 w:rsidRPr="007B7491">
        <w:rPr>
          <w:rFonts w:asciiTheme="majorBidi" w:hAnsiTheme="majorBidi" w:cstheme="majorBidi" w:hint="eastAsia"/>
          <w:sz w:val="28"/>
          <w:szCs w:val="28"/>
          <w:rtl/>
        </w:rPr>
        <w:t>תיאטרון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B7491">
        <w:rPr>
          <w:rFonts w:asciiTheme="majorBidi" w:hAnsiTheme="majorBidi" w:cstheme="majorBidi" w:hint="eastAsia"/>
          <w:sz w:val="28"/>
          <w:szCs w:val="28"/>
          <w:rtl/>
        </w:rPr>
        <w:t>טלוויזיוני</w:t>
      </w:r>
    </w:p>
    <w:p w:rsidR="00C76DBF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הערות</w:t>
      </w:r>
    </w:p>
    <w:p w:rsidR="00C76DBF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 w:rsidRPr="007B7491">
        <w:rPr>
          <w:rFonts w:asciiTheme="majorBidi" w:hAnsiTheme="majorBidi" w:cstheme="majorBidi" w:hint="eastAsia"/>
          <w:sz w:val="28"/>
          <w:szCs w:val="28"/>
          <w:rtl/>
        </w:rPr>
        <w:t>ביבליוגרפיה</w:t>
      </w:r>
    </w:p>
    <w:p w:rsidR="00C76DBF" w:rsidRPr="007B7491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מפתח</w:t>
      </w:r>
    </w:p>
    <w:p w:rsidR="00C76DBF" w:rsidRDefault="00C76DBF" w:rsidP="00C76DBF">
      <w:pPr>
        <w:spacing w:line="360" w:lineRule="auto"/>
        <w:ind w:left="43"/>
        <w:rPr>
          <w:rFonts w:asciiTheme="majorBidi" w:hAnsiTheme="majorBidi" w:cstheme="majorBidi"/>
          <w:sz w:val="28"/>
          <w:szCs w:val="28"/>
          <w:rtl/>
        </w:rPr>
      </w:pPr>
    </w:p>
    <w:p w:rsidR="00D82D76" w:rsidRDefault="00D82D76"/>
    <w:sectPr w:rsidR="00D82D76" w:rsidSect="00CD6B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C05"/>
    <w:multiLevelType w:val="hybridMultilevel"/>
    <w:tmpl w:val="825A1FAC"/>
    <w:lvl w:ilvl="0" w:tplc="B892392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2EEE24C2"/>
    <w:multiLevelType w:val="hybridMultilevel"/>
    <w:tmpl w:val="BF0A7362"/>
    <w:lvl w:ilvl="0" w:tplc="C5749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17"/>
    <w:rsid w:val="00001339"/>
    <w:rsid w:val="00062A5B"/>
    <w:rsid w:val="00091170"/>
    <w:rsid w:val="000A569E"/>
    <w:rsid w:val="000E03B8"/>
    <w:rsid w:val="0011456C"/>
    <w:rsid w:val="00142D00"/>
    <w:rsid w:val="001578C4"/>
    <w:rsid w:val="001634EF"/>
    <w:rsid w:val="0019531D"/>
    <w:rsid w:val="00216814"/>
    <w:rsid w:val="00244F6E"/>
    <w:rsid w:val="002E6C03"/>
    <w:rsid w:val="003927D0"/>
    <w:rsid w:val="003A2215"/>
    <w:rsid w:val="0042001F"/>
    <w:rsid w:val="004509B7"/>
    <w:rsid w:val="004E15E5"/>
    <w:rsid w:val="00544A3D"/>
    <w:rsid w:val="005C1079"/>
    <w:rsid w:val="005E6F7E"/>
    <w:rsid w:val="005F619A"/>
    <w:rsid w:val="0063223C"/>
    <w:rsid w:val="006C1AB1"/>
    <w:rsid w:val="007B5409"/>
    <w:rsid w:val="007B6E60"/>
    <w:rsid w:val="007C6A67"/>
    <w:rsid w:val="007E20FE"/>
    <w:rsid w:val="00800455"/>
    <w:rsid w:val="008D16ED"/>
    <w:rsid w:val="008E4B8D"/>
    <w:rsid w:val="009021B2"/>
    <w:rsid w:val="0094724E"/>
    <w:rsid w:val="00947DB3"/>
    <w:rsid w:val="009F2124"/>
    <w:rsid w:val="00A003A7"/>
    <w:rsid w:val="00A0372F"/>
    <w:rsid w:val="00AB70FC"/>
    <w:rsid w:val="00B47EDD"/>
    <w:rsid w:val="00BB7829"/>
    <w:rsid w:val="00BE35DF"/>
    <w:rsid w:val="00C15B17"/>
    <w:rsid w:val="00C64FCB"/>
    <w:rsid w:val="00C76DBF"/>
    <w:rsid w:val="00C94FB8"/>
    <w:rsid w:val="00CC1F31"/>
    <w:rsid w:val="00CD69B3"/>
    <w:rsid w:val="00CD6B67"/>
    <w:rsid w:val="00CF18B3"/>
    <w:rsid w:val="00D24F61"/>
    <w:rsid w:val="00D82D76"/>
    <w:rsid w:val="00DB1D14"/>
    <w:rsid w:val="00E84A13"/>
    <w:rsid w:val="00E97E6D"/>
    <w:rsid w:val="00EA14C6"/>
    <w:rsid w:val="00EA2C66"/>
    <w:rsid w:val="00F35143"/>
    <w:rsid w:val="00F435B5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6694"/>
  <w15:docId w15:val="{1F282C09-A72C-4027-BA4F-B6170A49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17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68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6814"/>
  </w:style>
  <w:style w:type="character" w:customStyle="1" w:styleId="a6">
    <w:name w:val="טקסט הערה תו"/>
    <w:basedOn w:val="a0"/>
    <w:link w:val="a5"/>
    <w:uiPriority w:val="99"/>
    <w:semiHidden/>
    <w:rsid w:val="00216814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681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16814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21681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216814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FB0B-6E6F-400E-8223-515BCC27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2019-06-20T06:49:00Z</dcterms:created>
  <dcterms:modified xsi:type="dcterms:W3CDTF">2019-06-20T23:20:00Z</dcterms:modified>
</cp:coreProperties>
</file>