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F8AC7" w14:textId="77777777" w:rsidR="00C3542A" w:rsidRPr="00CD21CF" w:rsidRDefault="00C3542A" w:rsidP="00A037AA">
      <w:pPr>
        <w:spacing w:line="480" w:lineRule="auto"/>
        <w:jc w:val="center"/>
        <w:rPr>
          <w:b/>
          <w:bCs/>
          <w:color w:val="000000" w:themeColor="text1"/>
          <w:sz w:val="24"/>
          <w:szCs w:val="24"/>
          <w:rtl/>
        </w:rPr>
      </w:pPr>
      <w:r w:rsidRPr="00CD21CF">
        <w:rPr>
          <w:rFonts w:hint="cs"/>
          <w:b/>
          <w:bCs/>
          <w:color w:val="000000" w:themeColor="text1"/>
          <w:sz w:val="24"/>
          <w:szCs w:val="24"/>
          <w:rtl/>
        </w:rPr>
        <w:t>שלושה מלכים</w:t>
      </w:r>
      <w:r w:rsidR="00482D2D" w:rsidRPr="00CD21CF">
        <w:rPr>
          <w:rFonts w:hint="cs"/>
          <w:b/>
          <w:bCs/>
          <w:color w:val="000000" w:themeColor="text1"/>
          <w:sz w:val="24"/>
          <w:szCs w:val="24"/>
          <w:rtl/>
        </w:rPr>
        <w:t xml:space="preserve"> רשעים</w:t>
      </w:r>
      <w:r w:rsidRPr="00CD21CF">
        <w:rPr>
          <w:rFonts w:hint="cs"/>
          <w:b/>
          <w:bCs/>
          <w:color w:val="000000" w:themeColor="text1"/>
          <w:sz w:val="24"/>
          <w:szCs w:val="24"/>
          <w:rtl/>
        </w:rPr>
        <w:t xml:space="preserve"> </w:t>
      </w:r>
      <w:r w:rsidR="00482D2D" w:rsidRPr="00CD21CF">
        <w:rPr>
          <w:rFonts w:hint="cs"/>
          <w:b/>
          <w:bCs/>
          <w:color w:val="000000" w:themeColor="text1"/>
          <w:sz w:val="24"/>
          <w:szCs w:val="24"/>
          <w:rtl/>
        </w:rPr>
        <w:t>והבטחה אחת</w:t>
      </w:r>
      <w:r w:rsidRPr="00CD21CF">
        <w:rPr>
          <w:rFonts w:hint="cs"/>
          <w:b/>
          <w:bCs/>
          <w:color w:val="000000" w:themeColor="text1"/>
          <w:sz w:val="24"/>
          <w:szCs w:val="24"/>
          <w:rtl/>
        </w:rPr>
        <w:t xml:space="preserve">: </w:t>
      </w:r>
      <w:r w:rsidR="0050317D" w:rsidRPr="00CD21CF">
        <w:rPr>
          <w:rFonts w:hint="cs"/>
          <w:b/>
          <w:bCs/>
          <w:color w:val="000000" w:themeColor="text1"/>
          <w:sz w:val="24"/>
          <w:szCs w:val="24"/>
          <w:rtl/>
        </w:rPr>
        <w:t>עיון</w:t>
      </w:r>
      <w:r w:rsidRPr="00CD21CF">
        <w:rPr>
          <w:rFonts w:hint="cs"/>
          <w:b/>
          <w:bCs/>
          <w:color w:val="000000" w:themeColor="text1"/>
          <w:sz w:val="24"/>
          <w:szCs w:val="24"/>
          <w:rtl/>
        </w:rPr>
        <w:t xml:space="preserve"> נוסף </w:t>
      </w:r>
      <w:r w:rsidR="00BB2B4B" w:rsidRPr="00CD21CF">
        <w:rPr>
          <w:rFonts w:hint="cs"/>
          <w:b/>
          <w:bCs/>
          <w:color w:val="000000" w:themeColor="text1"/>
          <w:sz w:val="24"/>
          <w:szCs w:val="24"/>
          <w:rtl/>
        </w:rPr>
        <w:t>בדוקטרינת</w:t>
      </w:r>
      <w:r w:rsidR="00F74FB0" w:rsidRPr="00CD21CF">
        <w:rPr>
          <w:rFonts w:hint="cs"/>
          <w:b/>
          <w:bCs/>
          <w:color w:val="000000" w:themeColor="text1"/>
          <w:sz w:val="24"/>
          <w:szCs w:val="24"/>
          <w:rtl/>
        </w:rPr>
        <w:t xml:space="preserve"> הגמול</w:t>
      </w:r>
      <w:r w:rsidRPr="00CD21CF">
        <w:rPr>
          <w:rFonts w:hint="cs"/>
          <w:b/>
          <w:bCs/>
          <w:color w:val="000000" w:themeColor="text1"/>
          <w:sz w:val="24"/>
          <w:szCs w:val="24"/>
          <w:rtl/>
        </w:rPr>
        <w:t xml:space="preserve"> </w:t>
      </w:r>
      <w:r w:rsidR="00F74FB0" w:rsidRPr="00CD21CF">
        <w:rPr>
          <w:rFonts w:hint="cs"/>
          <w:b/>
          <w:bCs/>
          <w:color w:val="000000" w:themeColor="text1"/>
          <w:sz w:val="24"/>
          <w:szCs w:val="24"/>
          <w:rtl/>
        </w:rPr>
        <w:t>ו</w:t>
      </w:r>
      <w:r w:rsidR="00BB2B4B" w:rsidRPr="00CD21CF">
        <w:rPr>
          <w:rFonts w:hint="cs"/>
          <w:b/>
          <w:bCs/>
          <w:color w:val="000000" w:themeColor="text1"/>
          <w:sz w:val="24"/>
          <w:szCs w:val="24"/>
          <w:rtl/>
        </w:rPr>
        <w:t xml:space="preserve">בשאלת </w:t>
      </w:r>
      <w:r w:rsidRPr="00CD21CF">
        <w:rPr>
          <w:rFonts w:hint="cs"/>
          <w:b/>
          <w:bCs/>
          <w:color w:val="000000" w:themeColor="text1"/>
          <w:sz w:val="24"/>
          <w:szCs w:val="24"/>
          <w:rtl/>
        </w:rPr>
        <w:t>נצחיות שושלת בית דוד בספר דה״י</w:t>
      </w:r>
    </w:p>
    <w:p w14:paraId="311BBA5A" w14:textId="77777777" w:rsidR="00C876A4" w:rsidRPr="00CD21CF" w:rsidRDefault="00C876A4" w:rsidP="00A037AA">
      <w:pPr>
        <w:spacing w:line="480" w:lineRule="auto"/>
        <w:jc w:val="center"/>
        <w:rPr>
          <w:b/>
          <w:bCs/>
          <w:color w:val="000000" w:themeColor="text1"/>
          <w:sz w:val="24"/>
          <w:szCs w:val="24"/>
          <w:rtl/>
        </w:rPr>
      </w:pPr>
    </w:p>
    <w:p w14:paraId="0FC8E22B" w14:textId="77777777" w:rsidR="00CD21CF" w:rsidRPr="009C2BCB" w:rsidRDefault="00CD21CF" w:rsidP="00A037AA">
      <w:pPr>
        <w:spacing w:line="480" w:lineRule="auto"/>
        <w:rPr>
          <w:b/>
          <w:bCs/>
          <w:sz w:val="24"/>
          <w:szCs w:val="24"/>
          <w:rtl/>
        </w:rPr>
      </w:pPr>
      <w:r w:rsidRPr="009C2BCB">
        <w:rPr>
          <w:rFonts w:hint="cs"/>
          <w:b/>
          <w:bCs/>
          <w:sz w:val="24"/>
          <w:szCs w:val="24"/>
          <w:rtl/>
        </w:rPr>
        <w:t>מבוא</w:t>
      </w:r>
    </w:p>
    <w:p w14:paraId="28994C70" w14:textId="77777777" w:rsidR="0095767D" w:rsidRPr="00CD21CF" w:rsidRDefault="00F74FB0" w:rsidP="00A037AA">
      <w:pPr>
        <w:spacing w:line="480" w:lineRule="auto"/>
        <w:rPr>
          <w:sz w:val="24"/>
          <w:szCs w:val="24"/>
          <w:rtl/>
        </w:rPr>
      </w:pPr>
      <w:r w:rsidRPr="00CD21CF">
        <w:rPr>
          <w:rFonts w:hint="cs"/>
          <w:sz w:val="24"/>
          <w:szCs w:val="24"/>
          <w:rtl/>
        </w:rPr>
        <w:t>מתוך שלל הנושאים</w:t>
      </w:r>
      <w:r w:rsidR="0095767D" w:rsidRPr="00CD21CF">
        <w:rPr>
          <w:rFonts w:hint="cs"/>
          <w:sz w:val="24"/>
          <w:szCs w:val="24"/>
          <w:rtl/>
        </w:rPr>
        <w:t xml:space="preserve"> שהעסיקו את חוקרי ספר דברי הימים, שניים מהם ראויים לציון מיוחד: </w:t>
      </w:r>
      <w:r w:rsidR="00572A0C" w:rsidRPr="00CD21CF">
        <w:rPr>
          <w:rFonts w:hint="cs"/>
          <w:sz w:val="24"/>
          <w:szCs w:val="24"/>
          <w:rtl/>
        </w:rPr>
        <w:t>דו</w:t>
      </w:r>
      <w:r w:rsidR="000725EF" w:rsidRPr="00CD21CF">
        <w:rPr>
          <w:rFonts w:hint="cs"/>
          <w:sz w:val="24"/>
          <w:szCs w:val="24"/>
          <w:rtl/>
        </w:rPr>
        <w:t>ק</w:t>
      </w:r>
      <w:r w:rsidR="00572A0C" w:rsidRPr="00CD21CF">
        <w:rPr>
          <w:rFonts w:hint="cs"/>
          <w:sz w:val="24"/>
          <w:szCs w:val="24"/>
          <w:rtl/>
        </w:rPr>
        <w:t>טרינת</w:t>
      </w:r>
      <w:r w:rsidR="0095767D" w:rsidRPr="00CD21CF">
        <w:rPr>
          <w:rFonts w:hint="cs"/>
          <w:sz w:val="24"/>
          <w:szCs w:val="24"/>
          <w:rtl/>
        </w:rPr>
        <w:t xml:space="preserve"> הגמול</w:t>
      </w:r>
      <w:r w:rsidR="00572A0C" w:rsidRPr="00CD21CF">
        <w:rPr>
          <w:rFonts w:hint="cs"/>
          <w:sz w:val="24"/>
          <w:szCs w:val="24"/>
          <w:rtl/>
        </w:rPr>
        <w:t xml:space="preserve"> האישי והמידי</w:t>
      </w:r>
      <w:r w:rsidR="0095767D" w:rsidRPr="00CD21CF">
        <w:rPr>
          <w:rFonts w:hint="cs"/>
          <w:sz w:val="24"/>
          <w:szCs w:val="24"/>
          <w:rtl/>
        </w:rPr>
        <w:t xml:space="preserve"> </w:t>
      </w:r>
      <w:r w:rsidR="00C95CC5">
        <w:rPr>
          <w:rFonts w:hint="cs"/>
          <w:sz w:val="24"/>
          <w:szCs w:val="24"/>
          <w:rtl/>
        </w:rPr>
        <w:t xml:space="preserve">ושאלת נצחיות </w:t>
      </w:r>
      <w:r w:rsidR="0095767D" w:rsidRPr="00CD21CF">
        <w:rPr>
          <w:rFonts w:hint="cs"/>
          <w:sz w:val="24"/>
          <w:szCs w:val="24"/>
          <w:rtl/>
        </w:rPr>
        <w:t xml:space="preserve">שושלת בית דוד. </w:t>
      </w:r>
    </w:p>
    <w:p w14:paraId="1C161CBD" w14:textId="7043537C" w:rsidR="00CD21CF" w:rsidRPr="00CD21CF" w:rsidRDefault="00A03EA2" w:rsidP="00BC6796">
      <w:pPr>
        <w:spacing w:line="480" w:lineRule="auto"/>
        <w:rPr>
          <w:sz w:val="24"/>
          <w:szCs w:val="24"/>
          <w:rtl/>
        </w:rPr>
      </w:pPr>
      <w:r>
        <w:rPr>
          <w:rFonts w:eastAsia="David"/>
          <w:sz w:val="24"/>
          <w:szCs w:val="24"/>
          <w:rtl/>
          <w:lang w:val="he-IL"/>
        </w:rPr>
        <w:t>דוקטרינת הגמול קיבלה הד במחקר במיוחד לאחר מחקריה של שרה יפת</w:t>
      </w:r>
      <w:r w:rsidR="0095767D" w:rsidRPr="00CD21CF">
        <w:rPr>
          <w:rFonts w:hint="cs"/>
          <w:sz w:val="24"/>
          <w:szCs w:val="24"/>
          <w:rtl/>
        </w:rPr>
        <w:t>.</w:t>
      </w:r>
      <w:r w:rsidR="00CD21CF" w:rsidRPr="00CD21CF">
        <w:rPr>
          <w:rFonts w:hint="cs"/>
          <w:sz w:val="24"/>
          <w:szCs w:val="24"/>
          <w:rtl/>
        </w:rPr>
        <w:t xml:space="preserve"> יפת, בעקבות </w:t>
      </w:r>
      <w:proofErr w:type="spellStart"/>
      <w:r w:rsidR="00CD21CF" w:rsidRPr="00CD21CF">
        <w:rPr>
          <w:rFonts w:hint="cs"/>
          <w:sz w:val="24"/>
          <w:szCs w:val="24"/>
          <w:rtl/>
        </w:rPr>
        <w:t>ולהואזן</w:t>
      </w:r>
      <w:proofErr w:type="spellEnd"/>
      <w:r w:rsidR="00CD21CF" w:rsidRPr="00CD21CF">
        <w:rPr>
          <w:rFonts w:hint="cs"/>
          <w:sz w:val="24"/>
          <w:szCs w:val="24"/>
          <w:rtl/>
        </w:rPr>
        <w:t xml:space="preserve">, </w:t>
      </w:r>
      <w:r>
        <w:rPr>
          <w:rFonts w:hint="cs"/>
          <w:sz w:val="24"/>
          <w:szCs w:val="24"/>
          <w:rtl/>
        </w:rPr>
        <w:t>הראתה</w:t>
      </w:r>
      <w:r w:rsidR="00CD21CF" w:rsidRPr="00CD21CF">
        <w:rPr>
          <w:rFonts w:hint="cs"/>
          <w:sz w:val="24"/>
          <w:szCs w:val="24"/>
          <w:rtl/>
        </w:rPr>
        <w:t xml:space="preserve"> כי ספר דברי הימים מציג שיטה מדודה ועקבית באשר לעונש המושת על החוטאים או השכר הניתן לצדיקים. הגמול מצוין לרוב בסמיכות למעשה רע או טוב של המלך, עובדה שזיכתה את הדוקטרינה הזו בשם: ״גמול אישי ומידי״. ואכן מתוך כתובים רבים בספר, בדרך כלל ללא מקבילה לספרי שמואל/מלכים, משתקפת דוקטרינה זו.</w:t>
      </w:r>
      <w:r w:rsidR="00CD21CF" w:rsidRPr="00CD21CF">
        <w:rPr>
          <w:rStyle w:val="FootnoteReference"/>
          <w:sz w:val="24"/>
          <w:szCs w:val="24"/>
          <w:rtl/>
        </w:rPr>
        <w:footnoteReference w:id="1"/>
      </w:r>
      <w:r w:rsidR="00CD21CF" w:rsidRPr="00CD21CF">
        <w:rPr>
          <w:rFonts w:hint="cs"/>
          <w:sz w:val="24"/>
          <w:szCs w:val="24"/>
          <w:rtl/>
        </w:rPr>
        <w:t xml:space="preserve"> על מנת להטעים את קיומה בקרב השומעים</w:t>
      </w:r>
      <w:r>
        <w:rPr>
          <w:rFonts w:hint="cs"/>
          <w:sz w:val="24"/>
          <w:szCs w:val="24"/>
          <w:rtl/>
        </w:rPr>
        <w:t>,</w:t>
      </w:r>
      <w:r w:rsidR="00CD21CF" w:rsidRPr="00CD21CF">
        <w:rPr>
          <w:rFonts w:hint="cs"/>
          <w:sz w:val="24"/>
          <w:szCs w:val="24"/>
          <w:rtl/>
        </w:rPr>
        <w:t xml:space="preserve"> </w:t>
      </w:r>
      <w:r>
        <w:rPr>
          <w:rFonts w:hint="cs"/>
          <w:sz w:val="24"/>
          <w:szCs w:val="24"/>
          <w:rtl/>
        </w:rPr>
        <w:t xml:space="preserve">משתמש </w:t>
      </w:r>
      <w:proofErr w:type="spellStart"/>
      <w:r>
        <w:rPr>
          <w:rFonts w:hint="cs"/>
          <w:sz w:val="24"/>
          <w:szCs w:val="24"/>
          <w:rtl/>
        </w:rPr>
        <w:t>הכרוניסט</w:t>
      </w:r>
      <w:proofErr w:type="spellEnd"/>
      <w:r w:rsidR="00CD21CF" w:rsidRPr="00CD21CF">
        <w:rPr>
          <w:rFonts w:hint="cs"/>
          <w:sz w:val="24"/>
          <w:szCs w:val="24"/>
          <w:rtl/>
        </w:rPr>
        <w:t xml:space="preserve"> באוצר מילים קבוע</w:t>
      </w:r>
      <w:r>
        <w:rPr>
          <w:rFonts w:hint="cs"/>
          <w:sz w:val="24"/>
          <w:szCs w:val="24"/>
          <w:rtl/>
        </w:rPr>
        <w:t xml:space="preserve"> באופן שיוצר אחידות רעיונית קלה לזיהוי</w:t>
      </w:r>
      <w:r w:rsidR="00CD21CF" w:rsidRPr="00CD21CF">
        <w:rPr>
          <w:rFonts w:hint="cs"/>
          <w:sz w:val="24"/>
          <w:szCs w:val="24"/>
          <w:rtl/>
        </w:rPr>
        <w:t xml:space="preserve">. כך, למשל, השורשים </w:t>
      </w:r>
      <w:proofErr w:type="spellStart"/>
      <w:r w:rsidR="00CD21CF" w:rsidRPr="00CD21CF">
        <w:rPr>
          <w:rFonts w:hint="cs"/>
          <w:sz w:val="24"/>
          <w:szCs w:val="24"/>
          <w:rtl/>
        </w:rPr>
        <w:t>עז״ב</w:t>
      </w:r>
      <w:proofErr w:type="spellEnd"/>
      <w:r w:rsidR="00CD21CF" w:rsidRPr="00CD21CF">
        <w:rPr>
          <w:rFonts w:hint="cs"/>
          <w:sz w:val="24"/>
          <w:szCs w:val="24"/>
          <w:rtl/>
        </w:rPr>
        <w:t xml:space="preserve"> או </w:t>
      </w:r>
      <w:proofErr w:type="spellStart"/>
      <w:r w:rsidR="00CD21CF" w:rsidRPr="00CD21CF">
        <w:rPr>
          <w:rFonts w:hint="cs"/>
          <w:sz w:val="24"/>
          <w:szCs w:val="24"/>
          <w:rtl/>
        </w:rPr>
        <w:t>מע״ל</w:t>
      </w:r>
      <w:proofErr w:type="spellEnd"/>
      <w:r w:rsidR="00CD21CF" w:rsidRPr="00CD21CF">
        <w:rPr>
          <w:rFonts w:hint="cs"/>
          <w:sz w:val="24"/>
          <w:szCs w:val="24"/>
          <w:rtl/>
        </w:rPr>
        <w:t xml:space="preserve"> משמשים תדיר לתיאור מעשי חטא ואילו השורשים </w:t>
      </w:r>
      <w:proofErr w:type="spellStart"/>
      <w:r w:rsidR="00CD21CF" w:rsidRPr="00CD21CF">
        <w:rPr>
          <w:rFonts w:hint="cs"/>
          <w:sz w:val="24"/>
          <w:szCs w:val="24"/>
          <w:rtl/>
        </w:rPr>
        <w:t>דר״ש</w:t>
      </w:r>
      <w:proofErr w:type="spellEnd"/>
      <w:r w:rsidR="00CD21CF" w:rsidRPr="00CD21CF">
        <w:rPr>
          <w:rFonts w:hint="cs"/>
          <w:sz w:val="24"/>
          <w:szCs w:val="24"/>
          <w:rtl/>
        </w:rPr>
        <w:t xml:space="preserve"> או </w:t>
      </w:r>
      <w:proofErr w:type="spellStart"/>
      <w:r w:rsidR="00CD21CF" w:rsidRPr="00CD21CF">
        <w:rPr>
          <w:rFonts w:hint="cs"/>
          <w:sz w:val="24"/>
          <w:szCs w:val="24"/>
          <w:rtl/>
        </w:rPr>
        <w:t>שע״ן</w:t>
      </w:r>
      <w:proofErr w:type="spellEnd"/>
      <w:r w:rsidR="00CD21CF" w:rsidRPr="00CD21CF">
        <w:rPr>
          <w:rFonts w:hint="cs"/>
          <w:sz w:val="24"/>
          <w:szCs w:val="24"/>
          <w:rtl/>
        </w:rPr>
        <w:t xml:space="preserve"> משמשים תדיר לתיאור מעשים טובים.</w:t>
      </w:r>
      <w:r w:rsidR="00CD21CF" w:rsidRPr="00CD21CF">
        <w:rPr>
          <w:rStyle w:val="FootnoteReference"/>
          <w:sz w:val="24"/>
          <w:szCs w:val="24"/>
          <w:rtl/>
        </w:rPr>
        <w:footnoteReference w:id="2"/>
      </w:r>
      <w:r w:rsidR="00CD21CF" w:rsidRPr="00CD21CF">
        <w:rPr>
          <w:rFonts w:hint="cs"/>
          <w:sz w:val="24"/>
          <w:szCs w:val="24"/>
          <w:rtl/>
        </w:rPr>
        <w:t xml:space="preserve"> </w:t>
      </w:r>
    </w:p>
    <w:p w14:paraId="17592D0B" w14:textId="61E6A4B8" w:rsidR="00CD21CF" w:rsidRPr="00CD21CF" w:rsidRDefault="00CD21CF" w:rsidP="00BC6796">
      <w:pPr>
        <w:spacing w:line="480" w:lineRule="auto"/>
        <w:rPr>
          <w:sz w:val="24"/>
          <w:szCs w:val="24"/>
          <w:rtl/>
        </w:rPr>
      </w:pPr>
      <w:r w:rsidRPr="00CD21CF">
        <w:rPr>
          <w:rFonts w:hint="cs"/>
          <w:sz w:val="24"/>
          <w:szCs w:val="24"/>
          <w:rtl/>
        </w:rPr>
        <w:t xml:space="preserve">תפיסתה של </w:t>
      </w:r>
      <w:r w:rsidR="00A03EA2">
        <w:rPr>
          <w:rFonts w:hint="cs"/>
          <w:sz w:val="24"/>
          <w:szCs w:val="24"/>
          <w:rtl/>
        </w:rPr>
        <w:t>יפת לא התקבלה לגמרי במחקר ונשמעו</w:t>
      </w:r>
      <w:r w:rsidRPr="00CD21CF">
        <w:rPr>
          <w:rFonts w:hint="cs"/>
          <w:sz w:val="24"/>
          <w:szCs w:val="24"/>
          <w:rtl/>
        </w:rPr>
        <w:t xml:space="preserve"> כלפיה לא מעט ביקור</w:t>
      </w:r>
      <w:r w:rsidR="00A03EA2">
        <w:rPr>
          <w:rFonts w:hint="cs"/>
          <w:sz w:val="24"/>
          <w:szCs w:val="24"/>
          <w:rtl/>
        </w:rPr>
        <w:t>ו</w:t>
      </w:r>
      <w:r w:rsidRPr="00CD21CF">
        <w:rPr>
          <w:rFonts w:hint="cs"/>
          <w:sz w:val="24"/>
          <w:szCs w:val="24"/>
          <w:rtl/>
        </w:rPr>
        <w:t>ת. לרוב הוכח על ידי מבקריה כי הדוקטרינה הזו אינה משתקפת בכל מקרי</w:t>
      </w:r>
      <w:r w:rsidRPr="00CD21CF">
        <w:rPr>
          <w:sz w:val="24"/>
          <w:szCs w:val="24"/>
        </w:rPr>
        <w:t xml:space="preserve"> </w:t>
      </w:r>
      <w:r w:rsidRPr="00CD21CF">
        <w:rPr>
          <w:rFonts w:hint="cs"/>
          <w:sz w:val="24"/>
          <w:szCs w:val="24"/>
          <w:rtl/>
        </w:rPr>
        <w:t xml:space="preserve">הענישה או השכר בספר, ולעיתים ישנה סטייה מסוימת או משמעותית ממנה. </w:t>
      </w:r>
    </w:p>
    <w:p w14:paraId="5321C32E" w14:textId="77777777" w:rsidR="00A03EA2" w:rsidRDefault="00CD21CF" w:rsidP="00A03EA2">
      <w:pPr>
        <w:spacing w:line="480" w:lineRule="auto"/>
        <w:rPr>
          <w:sz w:val="24"/>
          <w:szCs w:val="24"/>
          <w:rtl/>
        </w:rPr>
      </w:pPr>
      <w:r w:rsidRPr="00CD21CF">
        <w:rPr>
          <w:rFonts w:hint="cs"/>
          <w:sz w:val="24"/>
          <w:szCs w:val="24"/>
          <w:rtl/>
        </w:rPr>
        <w:t>נושא נוסף</w:t>
      </w:r>
      <w:r w:rsidR="00A03EA2">
        <w:rPr>
          <w:rFonts w:hint="cs"/>
          <w:sz w:val="24"/>
          <w:szCs w:val="24"/>
          <w:rtl/>
        </w:rPr>
        <w:t xml:space="preserve"> </w:t>
      </w:r>
      <w:r w:rsidRPr="00CD21CF">
        <w:rPr>
          <w:rFonts w:hint="cs"/>
          <w:sz w:val="24"/>
          <w:szCs w:val="24"/>
          <w:rtl/>
        </w:rPr>
        <w:t xml:space="preserve">שתופס חלק נכבד במחקר הוא </w:t>
      </w:r>
      <w:r w:rsidR="00A03EA2">
        <w:rPr>
          <w:rFonts w:hint="cs"/>
          <w:sz w:val="24"/>
          <w:szCs w:val="24"/>
          <w:rtl/>
        </w:rPr>
        <w:t>העיסוק ב</w:t>
      </w:r>
      <w:r w:rsidRPr="00CD21CF">
        <w:rPr>
          <w:rFonts w:hint="cs"/>
          <w:sz w:val="24"/>
          <w:szCs w:val="24"/>
          <w:rtl/>
        </w:rPr>
        <w:t>שאלת נצחיותה של שושלת מלכות בית דוד ו</w:t>
      </w:r>
      <w:r w:rsidR="00A03EA2">
        <w:rPr>
          <w:rFonts w:hint="cs"/>
          <w:sz w:val="24"/>
          <w:szCs w:val="24"/>
          <w:rtl/>
        </w:rPr>
        <w:t xml:space="preserve">בשאלת </w:t>
      </w:r>
      <w:r w:rsidRPr="00CD21CF">
        <w:rPr>
          <w:rFonts w:hint="cs"/>
          <w:sz w:val="24"/>
          <w:szCs w:val="24"/>
          <w:rtl/>
        </w:rPr>
        <w:t>תחייתה מחדש לאחר הגלות.</w:t>
      </w:r>
      <w:r w:rsidRPr="00CD21CF">
        <w:rPr>
          <w:rStyle w:val="FootnoteReference"/>
          <w:sz w:val="24"/>
          <w:szCs w:val="24"/>
          <w:rtl/>
        </w:rPr>
        <w:footnoteReference w:id="3"/>
      </w:r>
      <w:r w:rsidRPr="00CD21CF">
        <w:rPr>
          <w:rFonts w:hint="cs"/>
          <w:sz w:val="24"/>
          <w:szCs w:val="24"/>
          <w:rtl/>
        </w:rPr>
        <w:t xml:space="preserve"> אפשר למנות לפחות חמש גישות מרכזיות בעניין זה.</w:t>
      </w:r>
    </w:p>
    <w:p w14:paraId="5149A0CA" w14:textId="684A1D9A" w:rsidR="00A03EA2" w:rsidRDefault="00CD21CF" w:rsidP="00BC6796">
      <w:pPr>
        <w:pStyle w:val="ListParagraph"/>
        <w:numPr>
          <w:ilvl w:val="0"/>
          <w:numId w:val="7"/>
        </w:numPr>
        <w:spacing w:line="480" w:lineRule="auto"/>
        <w:rPr>
          <w:sz w:val="24"/>
          <w:szCs w:val="24"/>
        </w:rPr>
      </w:pPr>
      <w:r w:rsidRPr="00A03EA2">
        <w:rPr>
          <w:rFonts w:hint="cs"/>
          <w:sz w:val="24"/>
          <w:szCs w:val="24"/>
          <w:rtl/>
        </w:rPr>
        <w:lastRenderedPageBreak/>
        <w:t xml:space="preserve"> הגישה הראשונה סבורה כי הבטחת השושלת מתקיימת הלכה למעשה </w:t>
      </w:r>
      <w:r w:rsidR="00A03EA2">
        <w:rPr>
          <w:rFonts w:hint="cs"/>
          <w:sz w:val="24"/>
          <w:szCs w:val="24"/>
          <w:rtl/>
        </w:rPr>
        <w:t>ב</w:t>
      </w:r>
      <w:r w:rsidRPr="00A03EA2">
        <w:rPr>
          <w:rFonts w:hint="cs"/>
          <w:sz w:val="24"/>
          <w:szCs w:val="24"/>
          <w:rtl/>
        </w:rPr>
        <w:t>תקופה הפרסית</w:t>
      </w:r>
      <w:r w:rsidR="00A03EA2">
        <w:rPr>
          <w:rFonts w:hint="cs"/>
          <w:sz w:val="24"/>
          <w:szCs w:val="24"/>
          <w:rtl/>
        </w:rPr>
        <w:t xml:space="preserve"> </w:t>
      </w:r>
      <w:r w:rsidRPr="00A03EA2">
        <w:rPr>
          <w:rFonts w:hint="cs"/>
          <w:sz w:val="24"/>
          <w:szCs w:val="24"/>
          <w:rtl/>
        </w:rPr>
        <w:t xml:space="preserve">בדמות הקהילה, בית המקדש והפולחן שמתקיים בתוכו. בכך מפקיעה גישה זו את העיסוק בדמות פרסונאלית מבית דוד הראויה לרשת את </w:t>
      </w:r>
      <w:r w:rsidR="00E44457" w:rsidRPr="00A03EA2">
        <w:rPr>
          <w:rFonts w:hint="cs"/>
          <w:sz w:val="24"/>
          <w:szCs w:val="24"/>
          <w:rtl/>
        </w:rPr>
        <w:t>המלוכה</w:t>
      </w:r>
      <w:r w:rsidRPr="00A03EA2">
        <w:rPr>
          <w:rFonts w:hint="cs"/>
          <w:sz w:val="24"/>
          <w:szCs w:val="24"/>
          <w:rtl/>
        </w:rPr>
        <w:t xml:space="preserve"> ומע</w:t>
      </w:r>
      <w:r w:rsidR="00E44457" w:rsidRPr="00A03EA2">
        <w:rPr>
          <w:rFonts w:hint="cs"/>
          <w:sz w:val="24"/>
          <w:szCs w:val="24"/>
          <w:rtl/>
        </w:rPr>
        <w:t>תיקה את מרכז הכובד למקדש ולקהילה</w:t>
      </w:r>
      <w:r w:rsidRPr="00A03EA2">
        <w:rPr>
          <w:rFonts w:hint="cs"/>
          <w:sz w:val="24"/>
          <w:szCs w:val="24"/>
          <w:rtl/>
        </w:rPr>
        <w:t xml:space="preserve">. </w:t>
      </w:r>
    </w:p>
    <w:p w14:paraId="10AA4080" w14:textId="77777777" w:rsidR="00A03EA2" w:rsidRDefault="00CD21CF" w:rsidP="00A03EA2">
      <w:pPr>
        <w:pStyle w:val="ListParagraph"/>
        <w:numPr>
          <w:ilvl w:val="0"/>
          <w:numId w:val="7"/>
        </w:numPr>
        <w:spacing w:line="480" w:lineRule="auto"/>
        <w:rPr>
          <w:sz w:val="24"/>
          <w:szCs w:val="24"/>
        </w:rPr>
      </w:pPr>
      <w:r w:rsidRPr="00A03EA2">
        <w:rPr>
          <w:rFonts w:hint="cs"/>
          <w:sz w:val="24"/>
          <w:szCs w:val="24"/>
          <w:rtl/>
        </w:rPr>
        <w:t>הגישה השנייה סבורה כי מימוש להבטחה הזו אפשר למצוא בדמותו של זרובבל, נצר לבית דוד, שעלה מבבל בשלהי המאה השישית לפנה״ס.</w:t>
      </w:r>
      <w:r w:rsidRPr="00CD21CF">
        <w:rPr>
          <w:rStyle w:val="FootnoteReference"/>
          <w:sz w:val="24"/>
          <w:szCs w:val="24"/>
          <w:rtl/>
        </w:rPr>
        <w:footnoteReference w:id="4"/>
      </w:r>
      <w:r w:rsidRPr="00A03EA2">
        <w:rPr>
          <w:rFonts w:hint="cs"/>
          <w:sz w:val="24"/>
          <w:szCs w:val="24"/>
          <w:rtl/>
        </w:rPr>
        <w:t xml:space="preserve"> </w:t>
      </w:r>
      <w:r w:rsidR="00A03EA2">
        <w:rPr>
          <w:rFonts w:hint="cs"/>
          <w:sz w:val="24"/>
          <w:szCs w:val="24"/>
          <w:rtl/>
        </w:rPr>
        <w:t xml:space="preserve">לדעתם </w:t>
      </w:r>
      <w:r w:rsidRPr="00A03EA2">
        <w:rPr>
          <w:rFonts w:hint="cs"/>
          <w:sz w:val="24"/>
          <w:szCs w:val="24"/>
          <w:rtl/>
        </w:rPr>
        <w:t xml:space="preserve">ההבטחה לשושלת בית דוד אינה תלויה ועומדת, אלא ממומשת כאן ועכשיו בדמותו של בשר ודם. </w:t>
      </w:r>
    </w:p>
    <w:p w14:paraId="6E791D2E" w14:textId="77777777" w:rsidR="00A03EA2" w:rsidRDefault="00CD21CF" w:rsidP="00A03EA2">
      <w:pPr>
        <w:pStyle w:val="ListParagraph"/>
        <w:numPr>
          <w:ilvl w:val="0"/>
          <w:numId w:val="7"/>
        </w:numPr>
        <w:spacing w:line="480" w:lineRule="auto"/>
        <w:rPr>
          <w:sz w:val="24"/>
          <w:szCs w:val="24"/>
        </w:rPr>
      </w:pPr>
      <w:r w:rsidRPr="00A03EA2">
        <w:rPr>
          <w:rFonts w:hint="cs"/>
          <w:sz w:val="24"/>
          <w:szCs w:val="24"/>
          <w:rtl/>
        </w:rPr>
        <w:t>הגישה השלישית, שהיא גישה משיחית במהותה, סבורה כי טרם נמצאה הדמות הראויה משושלת בית דוד שתחזיר עטרה ליושנה ועל כן בבסיסו של הספר קיימת משאלת לב לתחייתה מחדש של השושלת על ידי מלך מבית דוד.</w:t>
      </w:r>
      <w:r w:rsidRPr="00CD21CF">
        <w:rPr>
          <w:rStyle w:val="FootnoteReference"/>
          <w:sz w:val="24"/>
          <w:szCs w:val="24"/>
          <w:rtl/>
        </w:rPr>
        <w:footnoteReference w:id="5"/>
      </w:r>
      <w:r w:rsidRPr="00A03EA2">
        <w:rPr>
          <w:rFonts w:hint="cs"/>
          <w:sz w:val="24"/>
          <w:szCs w:val="24"/>
          <w:rtl/>
        </w:rPr>
        <w:t xml:space="preserve"> </w:t>
      </w:r>
    </w:p>
    <w:p w14:paraId="37614DC5" w14:textId="77777777" w:rsidR="00A03EA2" w:rsidRDefault="00CD21CF" w:rsidP="00A03EA2">
      <w:pPr>
        <w:pStyle w:val="ListParagraph"/>
        <w:numPr>
          <w:ilvl w:val="0"/>
          <w:numId w:val="7"/>
        </w:numPr>
        <w:spacing w:line="480" w:lineRule="auto"/>
        <w:rPr>
          <w:sz w:val="24"/>
          <w:szCs w:val="24"/>
        </w:rPr>
      </w:pPr>
      <w:r w:rsidRPr="00A03EA2">
        <w:rPr>
          <w:rFonts w:hint="cs"/>
          <w:sz w:val="24"/>
          <w:szCs w:val="24"/>
          <w:rtl/>
        </w:rPr>
        <w:t>הגישה הרביעית סבורה כי שאלת השושלת תלויה ועומדת ומצפה להתגשמותה בעתיד באמצעות ״קהילת המקדש״ האידיאלית.</w:t>
      </w:r>
      <w:r w:rsidRPr="00CD21CF">
        <w:rPr>
          <w:rStyle w:val="FootnoteReference"/>
          <w:sz w:val="24"/>
          <w:szCs w:val="24"/>
          <w:rtl/>
        </w:rPr>
        <w:footnoteReference w:id="6"/>
      </w:r>
      <w:r w:rsidRPr="00A03EA2">
        <w:rPr>
          <w:rFonts w:hint="cs"/>
          <w:sz w:val="24"/>
          <w:szCs w:val="24"/>
          <w:rtl/>
        </w:rPr>
        <w:t xml:space="preserve"> </w:t>
      </w:r>
    </w:p>
    <w:p w14:paraId="2AF15350" w14:textId="77777777" w:rsidR="00CD21CF" w:rsidRPr="00A03EA2" w:rsidRDefault="00CD21CF" w:rsidP="00A03EA2">
      <w:pPr>
        <w:pStyle w:val="ListParagraph"/>
        <w:numPr>
          <w:ilvl w:val="0"/>
          <w:numId w:val="7"/>
        </w:numPr>
        <w:spacing w:line="480" w:lineRule="auto"/>
        <w:rPr>
          <w:sz w:val="24"/>
          <w:szCs w:val="24"/>
          <w:rtl/>
        </w:rPr>
      </w:pPr>
      <w:r w:rsidRPr="00A03EA2">
        <w:rPr>
          <w:rFonts w:hint="cs"/>
          <w:sz w:val="24"/>
          <w:szCs w:val="24"/>
          <w:rtl/>
        </w:rPr>
        <w:t xml:space="preserve">הגישה חמישית סבורה כי ההבטחה לדוד </w:t>
      </w:r>
      <w:r w:rsidR="00A03EA2" w:rsidRPr="00A03EA2">
        <w:rPr>
          <w:rFonts w:hint="cs"/>
          <w:sz w:val="24"/>
          <w:szCs w:val="24"/>
          <w:rtl/>
        </w:rPr>
        <w:t xml:space="preserve">כבר </w:t>
      </w:r>
      <w:r w:rsidRPr="00A03EA2">
        <w:rPr>
          <w:rFonts w:hint="cs"/>
          <w:sz w:val="24"/>
          <w:szCs w:val="24"/>
          <w:rtl/>
        </w:rPr>
        <w:t>התגשמה בשלמה ובבניין בית המקדש, אך עדיין תלויה ועומדת הציפייה להתחדשות המלוכה וזו תלויה במעשיו של העם.</w:t>
      </w:r>
      <w:r w:rsidRPr="00CD21CF">
        <w:rPr>
          <w:rStyle w:val="FootnoteReference"/>
          <w:sz w:val="24"/>
          <w:szCs w:val="24"/>
          <w:rtl/>
        </w:rPr>
        <w:footnoteReference w:id="7"/>
      </w:r>
      <w:r w:rsidRPr="00A03EA2">
        <w:rPr>
          <w:rFonts w:hint="cs"/>
          <w:sz w:val="24"/>
          <w:szCs w:val="24"/>
          <w:rtl/>
        </w:rPr>
        <w:t xml:space="preserve"> </w:t>
      </w:r>
    </w:p>
    <w:p w14:paraId="0715E840" w14:textId="77777777" w:rsidR="00CD21CF" w:rsidRPr="00CD21CF" w:rsidRDefault="00CD21CF" w:rsidP="00B0226D">
      <w:pPr>
        <w:spacing w:line="480" w:lineRule="auto"/>
        <w:rPr>
          <w:sz w:val="24"/>
          <w:szCs w:val="24"/>
          <w:rtl/>
        </w:rPr>
      </w:pPr>
      <w:r w:rsidRPr="00CD21CF">
        <w:rPr>
          <w:rFonts w:hint="cs"/>
          <w:sz w:val="24"/>
          <w:szCs w:val="24"/>
          <w:rtl/>
        </w:rPr>
        <w:t xml:space="preserve">ראוי לציין: הן בדיון לגבי תורת הגמול והן בדיון לגבי הציפייה להתחדשות שושלת בית דוד נעשה במחקר שימוש במתודולוגיה דומה: ציטוט של כתובים מתוך הספר שיש בהם כדי להוכיח במישרין או בעקיפין את </w:t>
      </w:r>
      <w:r w:rsidRPr="00CD21CF">
        <w:rPr>
          <w:rFonts w:hint="cs"/>
          <w:sz w:val="24"/>
          <w:szCs w:val="24"/>
          <w:rtl/>
        </w:rPr>
        <w:lastRenderedPageBreak/>
        <w:t>התפיסה המדוברת</w:t>
      </w:r>
      <w:r w:rsidRPr="00CD21CF">
        <w:rPr>
          <w:sz w:val="24"/>
          <w:szCs w:val="24"/>
        </w:rPr>
        <w:t xml:space="preserve"> </w:t>
      </w:r>
      <w:r w:rsidR="00E44457">
        <w:rPr>
          <w:rFonts w:hint="cs"/>
          <w:sz w:val="24"/>
          <w:szCs w:val="24"/>
          <w:rtl/>
        </w:rPr>
        <w:t>או לחלופין להפריך את השיטות</w:t>
      </w:r>
      <w:r w:rsidRPr="00CD21CF">
        <w:rPr>
          <w:rFonts w:hint="cs"/>
          <w:sz w:val="24"/>
          <w:szCs w:val="24"/>
          <w:rtl/>
        </w:rPr>
        <w:t xml:space="preserve"> שכנגד.</w:t>
      </w:r>
      <w:r w:rsidRPr="00CD21CF">
        <w:rPr>
          <w:rStyle w:val="FootnoteReference"/>
          <w:sz w:val="24"/>
          <w:szCs w:val="24"/>
        </w:rPr>
        <w:t xml:space="preserve"> </w:t>
      </w:r>
      <w:r w:rsidRPr="00CD21CF">
        <w:rPr>
          <w:rStyle w:val="FootnoteReference"/>
          <w:sz w:val="24"/>
          <w:szCs w:val="24"/>
        </w:rPr>
        <w:footnoteReference w:id="8"/>
      </w:r>
      <w:r w:rsidRPr="00CD21CF">
        <w:rPr>
          <w:rFonts w:hint="cs"/>
          <w:sz w:val="24"/>
          <w:szCs w:val="24"/>
          <w:rtl/>
        </w:rPr>
        <w:t xml:space="preserve"> </w:t>
      </w:r>
      <w:r w:rsidR="00A03EA2">
        <w:rPr>
          <w:rFonts w:hint="cs"/>
          <w:sz w:val="24"/>
          <w:szCs w:val="24"/>
          <w:rtl/>
        </w:rPr>
        <w:t>ה</w:t>
      </w:r>
      <w:r w:rsidRPr="00CD21CF">
        <w:rPr>
          <w:rFonts w:hint="cs"/>
          <w:sz w:val="24"/>
          <w:szCs w:val="24"/>
          <w:rtl/>
        </w:rPr>
        <w:t xml:space="preserve">מתודולוגיה </w:t>
      </w:r>
      <w:r w:rsidR="00A03EA2">
        <w:rPr>
          <w:rFonts w:hint="cs"/>
          <w:sz w:val="24"/>
          <w:szCs w:val="24"/>
          <w:rtl/>
        </w:rPr>
        <w:t>ה</w:t>
      </w:r>
      <w:r w:rsidRPr="00CD21CF">
        <w:rPr>
          <w:rFonts w:hint="cs"/>
          <w:sz w:val="24"/>
          <w:szCs w:val="24"/>
          <w:rtl/>
        </w:rPr>
        <w:t>זו היא, כמובן, מקובלת מאוד במחקר ומהווה אבן יסוד בכל מחקר מקראי.</w:t>
      </w:r>
    </w:p>
    <w:p w14:paraId="6E7B9DF6" w14:textId="456CA383" w:rsidR="00CD21CF" w:rsidRPr="00CD21CF" w:rsidRDefault="009771C8" w:rsidP="00A03EA2">
      <w:pPr>
        <w:spacing w:line="480" w:lineRule="auto"/>
        <w:rPr>
          <w:sz w:val="24"/>
          <w:szCs w:val="24"/>
          <w:rtl/>
        </w:rPr>
      </w:pPr>
      <w:r>
        <w:rPr>
          <w:rFonts w:hint="cs"/>
          <w:sz w:val="24"/>
          <w:szCs w:val="24"/>
          <w:rtl/>
        </w:rPr>
        <w:t xml:space="preserve">להלן אבקש להוסיף נדבך נוסף בדיון על </w:t>
      </w:r>
      <w:r w:rsidR="00CD21CF" w:rsidRPr="00CD21CF">
        <w:rPr>
          <w:rFonts w:hint="cs"/>
          <w:sz w:val="24"/>
          <w:szCs w:val="24"/>
          <w:rtl/>
        </w:rPr>
        <w:t xml:space="preserve">שני הנושאים הללו אך מכיוון קצת שונה. במקום לצטט ולנתח את כלל הכתובים העוסקים באופן ישיר או עקיף בשני הנושאים </w:t>
      </w:r>
      <w:r w:rsidR="00A03EA2">
        <w:rPr>
          <w:rFonts w:hint="cs"/>
          <w:sz w:val="24"/>
          <w:szCs w:val="24"/>
          <w:rtl/>
        </w:rPr>
        <w:t>לעיל,</w:t>
      </w:r>
      <w:r w:rsidR="00CD21CF" w:rsidRPr="00CD21CF">
        <w:rPr>
          <w:rFonts w:hint="cs"/>
          <w:sz w:val="24"/>
          <w:szCs w:val="24"/>
          <w:rtl/>
        </w:rPr>
        <w:t xml:space="preserve"> אבקש לדון בהם באמצעות ניתוח כתובים ואירועים אך רק מתוך תקופת מלוכתם של שלושת המלכים הרשעים ביותר בספר דה״י: יהורם, אחזיהו ואחז.</w:t>
      </w:r>
      <w:r w:rsidR="00CD21CF" w:rsidRPr="00CD21CF">
        <w:rPr>
          <w:rStyle w:val="FootnoteReference"/>
          <w:sz w:val="24"/>
          <w:szCs w:val="24"/>
          <w:rtl/>
        </w:rPr>
        <w:footnoteReference w:id="9"/>
      </w:r>
      <w:r w:rsidR="00CD21CF" w:rsidRPr="00CD21CF">
        <w:rPr>
          <w:rFonts w:hint="cs"/>
          <w:sz w:val="24"/>
          <w:szCs w:val="24"/>
          <w:rtl/>
        </w:rPr>
        <w:t xml:space="preserve"> שלושת המלכים הללו נחשבים יוצאי דופן מיתר מלכי יהודה בספר משום שתקופתם מתאפיינת במעשים שליליים בלבד. מבחינה פולחנית ומדינית תקופת מלכותם של שלושת המלכים הללו מייצגת, כל אחד בזמנו, נקודת שפל חמורה מאוד. אני סבור אפוא כי מן הראוי לבחון את התפיסות באשר לגמול והשושלת דווקא בשעת משבר, כלומר בשעה שהמלך מבית דוד מצוי בשפל המדרגה. סבורני כי רק במציאות כזו שהמלך לא נושא </w:t>
      </w:r>
      <w:proofErr w:type="spellStart"/>
      <w:r w:rsidR="00CD21CF" w:rsidRPr="00CD21CF">
        <w:rPr>
          <w:rFonts w:hint="cs"/>
          <w:sz w:val="24"/>
          <w:szCs w:val="24"/>
          <w:rtl/>
        </w:rPr>
        <w:t>עימו</w:t>
      </w:r>
      <w:proofErr w:type="spellEnd"/>
      <w:r w:rsidR="00CD21CF" w:rsidRPr="00CD21CF">
        <w:rPr>
          <w:rFonts w:hint="cs"/>
          <w:sz w:val="24"/>
          <w:szCs w:val="24"/>
          <w:rtl/>
        </w:rPr>
        <w:t xml:space="preserve"> ולו נקודת זכות אחת, רק אז מתבקשת השאלה באיזו זכות הוא ממשיך למלוך ובאיזה זכות מלוכתו עוברת </w:t>
      </w:r>
      <w:r w:rsidR="00A03EA2" w:rsidRPr="00CD21CF">
        <w:rPr>
          <w:rFonts w:hint="cs"/>
          <w:sz w:val="24"/>
          <w:szCs w:val="24"/>
          <w:rtl/>
        </w:rPr>
        <w:t xml:space="preserve">בירושה </w:t>
      </w:r>
      <w:r w:rsidR="00CD21CF" w:rsidRPr="00CD21CF">
        <w:rPr>
          <w:rFonts w:hint="cs"/>
          <w:sz w:val="24"/>
          <w:szCs w:val="24"/>
          <w:rtl/>
        </w:rPr>
        <w:t xml:space="preserve">לבנו אחריו. אם נשתמש לרגע </w:t>
      </w:r>
      <w:r w:rsidR="00E44457">
        <w:rPr>
          <w:rFonts w:hint="cs"/>
          <w:sz w:val="24"/>
          <w:szCs w:val="24"/>
          <w:rtl/>
        </w:rPr>
        <w:t>בניסוח</w:t>
      </w:r>
      <w:r w:rsidR="00CD21CF" w:rsidRPr="00CD21CF">
        <w:rPr>
          <w:rFonts w:hint="cs"/>
          <w:sz w:val="24"/>
          <w:szCs w:val="24"/>
          <w:rtl/>
        </w:rPr>
        <w:t xml:space="preserve"> מתוך אוצר המילים </w:t>
      </w:r>
      <w:proofErr w:type="spellStart"/>
      <w:r w:rsidR="00CD21CF" w:rsidRPr="00CD21CF">
        <w:rPr>
          <w:rFonts w:hint="cs"/>
          <w:sz w:val="24"/>
          <w:szCs w:val="24"/>
          <w:rtl/>
        </w:rPr>
        <w:t>הכרוניסטי</w:t>
      </w:r>
      <w:proofErr w:type="spellEnd"/>
      <w:r w:rsidR="00CD21CF" w:rsidRPr="00CD21CF">
        <w:rPr>
          <w:rFonts w:hint="cs"/>
          <w:sz w:val="24"/>
          <w:szCs w:val="24"/>
          <w:rtl/>
        </w:rPr>
        <w:t xml:space="preserve">, השאלה דלעיל תנוסח כך: כיצד מתקיימים זה לצד זה ההבטחה לשושלת נצחית לבית דוד מצד אחד ודוקטרינת הגמול של </w:t>
      </w:r>
      <w:proofErr w:type="spellStart"/>
      <w:r w:rsidR="00CD21CF" w:rsidRPr="00CD21CF">
        <w:rPr>
          <w:rFonts w:hint="cs"/>
          <w:sz w:val="24"/>
          <w:szCs w:val="24"/>
          <w:rtl/>
        </w:rPr>
        <w:t>הכרוניסט</w:t>
      </w:r>
      <w:proofErr w:type="spellEnd"/>
      <w:r w:rsidR="00CD21CF" w:rsidRPr="00CD21CF">
        <w:rPr>
          <w:rFonts w:hint="cs"/>
          <w:sz w:val="24"/>
          <w:szCs w:val="24"/>
          <w:rtl/>
        </w:rPr>
        <w:t xml:space="preserve"> להעניש באופן אישי ומידי את החוטא מצד שני?</w:t>
      </w:r>
    </w:p>
    <w:p w14:paraId="1767E7D9" w14:textId="77777777" w:rsidR="00CD21CF" w:rsidRPr="00CD21CF" w:rsidRDefault="00CD21CF" w:rsidP="00A037AA">
      <w:pPr>
        <w:spacing w:line="480" w:lineRule="auto"/>
        <w:rPr>
          <w:sz w:val="24"/>
          <w:szCs w:val="24"/>
          <w:rtl/>
        </w:rPr>
      </w:pPr>
      <w:r w:rsidRPr="00CD21CF">
        <w:rPr>
          <w:rFonts w:hint="cs"/>
          <w:sz w:val="24"/>
          <w:szCs w:val="24"/>
          <w:rtl/>
        </w:rPr>
        <w:t>נתחיל את הדיון שלנו בסקירה מתומצת על יהורם, אחזיה ואחז - שלושת המלכים הרשעים ביותר בתולדות ממלכת יהודה.</w:t>
      </w:r>
    </w:p>
    <w:p w14:paraId="08361E84" w14:textId="77777777" w:rsidR="00CD21CF" w:rsidRDefault="00CD21CF" w:rsidP="00A037AA">
      <w:pPr>
        <w:spacing w:line="480" w:lineRule="auto"/>
        <w:rPr>
          <w:b/>
          <w:bCs/>
          <w:sz w:val="24"/>
          <w:szCs w:val="24"/>
        </w:rPr>
      </w:pPr>
    </w:p>
    <w:p w14:paraId="1F3D67A6" w14:textId="77777777" w:rsidR="00CD21CF" w:rsidRPr="00CD21CF" w:rsidRDefault="00CD21CF" w:rsidP="00A037AA">
      <w:pPr>
        <w:spacing w:line="480" w:lineRule="auto"/>
        <w:rPr>
          <w:b/>
          <w:bCs/>
          <w:sz w:val="24"/>
          <w:szCs w:val="24"/>
          <w:rtl/>
        </w:rPr>
      </w:pPr>
      <w:r w:rsidRPr="00CD21CF">
        <w:rPr>
          <w:rFonts w:hint="cs"/>
          <w:b/>
          <w:bCs/>
          <w:sz w:val="24"/>
          <w:szCs w:val="24"/>
          <w:rtl/>
        </w:rPr>
        <w:t>יהורם</w:t>
      </w:r>
    </w:p>
    <w:p w14:paraId="11BE1FE7" w14:textId="76EE24FD" w:rsidR="00CD21CF" w:rsidRPr="00CD21CF" w:rsidRDefault="00CD21CF" w:rsidP="00FC6989">
      <w:pPr>
        <w:spacing w:line="480" w:lineRule="auto"/>
        <w:rPr>
          <w:sz w:val="24"/>
          <w:szCs w:val="24"/>
          <w:rtl/>
        </w:rPr>
      </w:pPr>
      <w:r w:rsidRPr="00CD21CF">
        <w:rPr>
          <w:rFonts w:hint="cs"/>
          <w:sz w:val="24"/>
          <w:szCs w:val="24"/>
          <w:rtl/>
        </w:rPr>
        <w:t xml:space="preserve">יהורם </w:t>
      </w:r>
      <w:r w:rsidR="004A356B">
        <w:rPr>
          <w:rFonts w:hint="cs"/>
          <w:sz w:val="24"/>
          <w:szCs w:val="24"/>
          <w:rtl/>
        </w:rPr>
        <w:t>בן</w:t>
      </w:r>
      <w:r w:rsidRPr="00CD21CF">
        <w:rPr>
          <w:rFonts w:hint="cs"/>
          <w:sz w:val="24"/>
          <w:szCs w:val="24"/>
          <w:rtl/>
        </w:rPr>
        <w:t xml:space="preserve"> יהושפט הוא המלך הראשון מיהודה שתיאור תקופת מלכותו </w:t>
      </w:r>
      <w:r w:rsidR="004A356B" w:rsidRPr="00CD21CF">
        <w:rPr>
          <w:rFonts w:hint="cs"/>
          <w:sz w:val="24"/>
          <w:szCs w:val="24"/>
          <w:rtl/>
        </w:rPr>
        <w:t xml:space="preserve">הוא שלילי </w:t>
      </w:r>
      <w:r w:rsidR="004A356B">
        <w:rPr>
          <w:rFonts w:hint="cs"/>
          <w:sz w:val="24"/>
          <w:szCs w:val="24"/>
          <w:rtl/>
        </w:rPr>
        <w:t>מתחילה</w:t>
      </w:r>
      <w:r w:rsidRPr="00CD21CF">
        <w:rPr>
          <w:rFonts w:hint="cs"/>
          <w:sz w:val="24"/>
          <w:szCs w:val="24"/>
          <w:rtl/>
        </w:rPr>
        <w:t xml:space="preserve"> וע</w:t>
      </w:r>
      <w:r w:rsidR="004A356B">
        <w:rPr>
          <w:rFonts w:hint="cs"/>
          <w:sz w:val="24"/>
          <w:szCs w:val="24"/>
          <w:rtl/>
        </w:rPr>
        <w:t>ד סוף</w:t>
      </w:r>
      <w:r w:rsidRPr="00CD21CF">
        <w:rPr>
          <w:rFonts w:hint="cs"/>
          <w:sz w:val="24"/>
          <w:szCs w:val="24"/>
          <w:rtl/>
        </w:rPr>
        <w:t>.</w:t>
      </w:r>
      <w:r w:rsidRPr="00CD21CF">
        <w:rPr>
          <w:rStyle w:val="FootnoteReference"/>
          <w:sz w:val="24"/>
          <w:szCs w:val="24"/>
          <w:rtl/>
        </w:rPr>
        <w:footnoteReference w:id="10"/>
      </w:r>
      <w:r w:rsidRPr="00CD21CF">
        <w:rPr>
          <w:rFonts w:hint="cs"/>
          <w:sz w:val="24"/>
          <w:szCs w:val="24"/>
          <w:rtl/>
        </w:rPr>
        <w:t xml:space="preserve"> רשעותו </w:t>
      </w:r>
      <w:r w:rsidR="00FC6989">
        <w:rPr>
          <w:rFonts w:hint="cs"/>
          <w:sz w:val="24"/>
          <w:szCs w:val="24"/>
          <w:rtl/>
        </w:rPr>
        <w:t>נגרמה</w:t>
      </w:r>
      <w:r w:rsidRPr="00CD21CF">
        <w:rPr>
          <w:rFonts w:hint="cs"/>
          <w:sz w:val="24"/>
          <w:szCs w:val="24"/>
          <w:rtl/>
        </w:rPr>
        <w:t xml:space="preserve"> בעיני</w:t>
      </w:r>
      <w:r w:rsidR="00FC6989">
        <w:rPr>
          <w:rFonts w:hint="cs"/>
          <w:sz w:val="24"/>
          <w:szCs w:val="24"/>
          <w:rtl/>
        </w:rPr>
        <w:t>ו של</w:t>
      </w:r>
      <w:r w:rsidRPr="00CD21CF">
        <w:rPr>
          <w:rFonts w:hint="cs"/>
          <w:sz w:val="24"/>
          <w:szCs w:val="24"/>
          <w:rtl/>
        </w:rPr>
        <w:t xml:space="preserve"> </w:t>
      </w:r>
      <w:proofErr w:type="spellStart"/>
      <w:r w:rsidRPr="00CD21CF">
        <w:rPr>
          <w:rFonts w:hint="cs"/>
          <w:sz w:val="24"/>
          <w:szCs w:val="24"/>
          <w:rtl/>
        </w:rPr>
        <w:t>הכרוניסט</w:t>
      </w:r>
      <w:proofErr w:type="spellEnd"/>
      <w:r w:rsidRPr="00CD21CF">
        <w:rPr>
          <w:rFonts w:hint="cs"/>
          <w:sz w:val="24"/>
          <w:szCs w:val="24"/>
          <w:rtl/>
        </w:rPr>
        <w:t xml:space="preserve"> </w:t>
      </w:r>
      <w:r w:rsidR="00FC6989">
        <w:rPr>
          <w:rFonts w:hint="cs"/>
          <w:sz w:val="24"/>
          <w:szCs w:val="24"/>
          <w:rtl/>
        </w:rPr>
        <w:t xml:space="preserve">אודות </w:t>
      </w:r>
      <w:r w:rsidRPr="00CD21CF">
        <w:rPr>
          <w:rFonts w:hint="cs"/>
          <w:sz w:val="24"/>
          <w:szCs w:val="24"/>
          <w:rtl/>
        </w:rPr>
        <w:t xml:space="preserve">לקשרים האישיים </w:t>
      </w:r>
      <w:r w:rsidR="004A356B">
        <w:rPr>
          <w:rFonts w:hint="cs"/>
          <w:sz w:val="24"/>
          <w:szCs w:val="24"/>
          <w:rtl/>
        </w:rPr>
        <w:t>בינו לבין</w:t>
      </w:r>
      <w:r w:rsidRPr="00CD21CF">
        <w:rPr>
          <w:rFonts w:hint="cs"/>
          <w:sz w:val="24"/>
          <w:szCs w:val="24"/>
          <w:rtl/>
        </w:rPr>
        <w:t xml:space="preserve"> אחאב מלך ישראל שהובילו </w:t>
      </w:r>
      <w:r w:rsidR="00FC6989">
        <w:rPr>
          <w:rFonts w:hint="cs"/>
          <w:sz w:val="24"/>
          <w:szCs w:val="24"/>
          <w:rtl/>
        </w:rPr>
        <w:t xml:space="preserve">לקשרי </w:t>
      </w:r>
      <w:r w:rsidR="00FC6989">
        <w:rPr>
          <w:rFonts w:hint="cs"/>
          <w:sz w:val="24"/>
          <w:szCs w:val="24"/>
          <w:rtl/>
        </w:rPr>
        <w:lastRenderedPageBreak/>
        <w:t>נישואין</w:t>
      </w:r>
      <w:r w:rsidRPr="00CD21CF">
        <w:rPr>
          <w:rFonts w:hint="cs"/>
          <w:sz w:val="24"/>
          <w:szCs w:val="24"/>
          <w:rtl/>
        </w:rPr>
        <w:t xml:space="preserve"> בין </w:t>
      </w:r>
      <w:r w:rsidR="00FC6989">
        <w:rPr>
          <w:rFonts w:hint="cs"/>
          <w:sz w:val="24"/>
          <w:szCs w:val="24"/>
          <w:rtl/>
        </w:rPr>
        <w:t xml:space="preserve">בנו </w:t>
      </w:r>
      <w:r w:rsidRPr="00CD21CF">
        <w:rPr>
          <w:rFonts w:hint="cs"/>
          <w:sz w:val="24"/>
          <w:szCs w:val="24"/>
          <w:rtl/>
        </w:rPr>
        <w:t xml:space="preserve">יהורם לבין </w:t>
      </w:r>
      <w:r w:rsidR="00FC6989" w:rsidRPr="00CD21CF">
        <w:rPr>
          <w:rFonts w:hint="cs"/>
          <w:sz w:val="24"/>
          <w:szCs w:val="24"/>
          <w:rtl/>
        </w:rPr>
        <w:t>בתו של אחאב</w:t>
      </w:r>
      <w:r w:rsidR="00FC6989">
        <w:rPr>
          <w:rFonts w:hint="cs"/>
          <w:sz w:val="24"/>
          <w:szCs w:val="24"/>
          <w:rtl/>
        </w:rPr>
        <w:t>,</w:t>
      </w:r>
      <w:r w:rsidR="00FC6989" w:rsidRPr="00CD21CF">
        <w:rPr>
          <w:rFonts w:hint="cs"/>
          <w:sz w:val="24"/>
          <w:szCs w:val="24"/>
          <w:rtl/>
        </w:rPr>
        <w:t xml:space="preserve"> </w:t>
      </w:r>
      <w:r w:rsidRPr="00CD21CF">
        <w:rPr>
          <w:rFonts w:hint="cs"/>
          <w:sz w:val="24"/>
          <w:szCs w:val="24"/>
          <w:rtl/>
        </w:rPr>
        <w:t xml:space="preserve">עתליה. מציאות </w:t>
      </w:r>
      <w:r w:rsidR="00FC6989">
        <w:rPr>
          <w:rFonts w:hint="cs"/>
          <w:sz w:val="24"/>
          <w:szCs w:val="24"/>
          <w:rtl/>
        </w:rPr>
        <w:t>בעייתית זו אילצה</w:t>
      </w:r>
      <w:r w:rsidRPr="00CD21CF">
        <w:rPr>
          <w:rFonts w:hint="cs"/>
          <w:sz w:val="24"/>
          <w:szCs w:val="24"/>
          <w:rtl/>
        </w:rPr>
        <w:t xml:space="preserve"> הן את </w:t>
      </w:r>
      <w:proofErr w:type="spellStart"/>
      <w:r w:rsidRPr="00CD21CF">
        <w:rPr>
          <w:rFonts w:hint="cs"/>
          <w:sz w:val="24"/>
          <w:szCs w:val="24"/>
          <w:rtl/>
        </w:rPr>
        <w:t>הדויטרונומיסט</w:t>
      </w:r>
      <w:proofErr w:type="spellEnd"/>
      <w:r w:rsidRPr="00CD21CF">
        <w:rPr>
          <w:rFonts w:hint="cs"/>
          <w:sz w:val="24"/>
          <w:szCs w:val="24"/>
          <w:rtl/>
        </w:rPr>
        <w:t xml:space="preserve"> והן את </w:t>
      </w:r>
      <w:proofErr w:type="spellStart"/>
      <w:r w:rsidRPr="00CD21CF">
        <w:rPr>
          <w:rFonts w:hint="cs"/>
          <w:sz w:val="24"/>
          <w:szCs w:val="24"/>
          <w:rtl/>
        </w:rPr>
        <w:t>הכרוניסט</w:t>
      </w:r>
      <w:proofErr w:type="spellEnd"/>
      <w:r w:rsidRPr="00CD21CF">
        <w:rPr>
          <w:rFonts w:hint="cs"/>
          <w:sz w:val="24"/>
          <w:szCs w:val="24"/>
          <w:rtl/>
        </w:rPr>
        <w:t xml:space="preserve"> להזכיר מיד בתחילת הסיפור את הבטחת השושלת לבית דוד: ״וְלֹא אָבָה ה׳ לְהַשְׁחִית אֶת יְהוּדָה לְמַעַן דָּוִד עַבְדּו  כַּאֲשֶׁר אָמַר לוֹ לָתֵת לוֹ נִיר לְבָנָיו כָּל הַיָּמִים״ (מל״ב ח 19);״וְלֹא אָבָה ה׳ לְהַשְׁחִית אֶת בֵּית דָּוִיד לְמַעַן הַבְּרִית אֲשֶׁר כָּרַת לְדָוִיד וְכַאֲשֶׁר אָמַר לָתֵת לוֹ נִיר וּלְבָנָיו כָּל הַיָּמִים״ (דה״ב </w:t>
      </w:r>
      <w:proofErr w:type="spellStart"/>
      <w:r w:rsidRPr="00CD21CF">
        <w:rPr>
          <w:rFonts w:hint="cs"/>
          <w:sz w:val="24"/>
          <w:szCs w:val="24"/>
          <w:rtl/>
        </w:rPr>
        <w:t>כא</w:t>
      </w:r>
      <w:proofErr w:type="spellEnd"/>
      <w:r w:rsidRPr="00CD21CF">
        <w:rPr>
          <w:rFonts w:hint="cs"/>
          <w:sz w:val="24"/>
          <w:szCs w:val="24"/>
          <w:rtl/>
        </w:rPr>
        <w:t xml:space="preserve"> 7).</w:t>
      </w:r>
      <w:r w:rsidRPr="00CD21CF">
        <w:rPr>
          <w:rStyle w:val="FootnoteReference"/>
          <w:sz w:val="24"/>
          <w:szCs w:val="24"/>
          <w:rtl/>
        </w:rPr>
        <w:footnoteReference w:id="11"/>
      </w:r>
      <w:r w:rsidRPr="00CD21CF">
        <w:rPr>
          <w:rFonts w:hint="cs"/>
          <w:sz w:val="24"/>
          <w:szCs w:val="24"/>
          <w:rtl/>
        </w:rPr>
        <w:t xml:space="preserve"> ובלשון אחרת: </w:t>
      </w:r>
      <w:r w:rsidR="00FC6989" w:rsidRPr="00FC6989">
        <w:rPr>
          <w:sz w:val="24"/>
          <w:szCs w:val="24"/>
          <w:rtl/>
        </w:rPr>
        <w:t>יהיו חטאיו של יהורם חמורים כל שיהיו, אין בכוחם לבטל את ההבטחה לנצחיות השושלת של בית דוד</w:t>
      </w:r>
    </w:p>
    <w:p w14:paraId="45DA972B" w14:textId="1A5AEFD3" w:rsidR="00CD21CF" w:rsidRPr="00CD21CF" w:rsidRDefault="00CD21CF" w:rsidP="00BC6796">
      <w:pPr>
        <w:spacing w:line="480" w:lineRule="auto"/>
        <w:rPr>
          <w:sz w:val="24"/>
          <w:szCs w:val="24"/>
          <w:rtl/>
        </w:rPr>
      </w:pPr>
      <w:r w:rsidRPr="00CD21CF">
        <w:rPr>
          <w:rFonts w:hint="cs"/>
          <w:sz w:val="24"/>
          <w:szCs w:val="24"/>
          <w:rtl/>
        </w:rPr>
        <w:t xml:space="preserve">ובכל זאת, למרות הדמיון המסוים בין שני הניסוחים, דומה כי כל אחד מהם מבקש לשים במרכז דגשים שונים </w:t>
      </w:r>
      <w:r w:rsidR="00FC6989">
        <w:rPr>
          <w:rFonts w:hint="cs"/>
          <w:sz w:val="24"/>
          <w:szCs w:val="24"/>
          <w:rtl/>
        </w:rPr>
        <w:t>שיש בהם כדי לגרום ל</w:t>
      </w:r>
      <w:r w:rsidRPr="00CD21CF">
        <w:rPr>
          <w:rFonts w:hint="cs"/>
          <w:sz w:val="24"/>
          <w:szCs w:val="24"/>
          <w:rtl/>
        </w:rPr>
        <w:t>הבדל משמעותי ביניהם. כך, למשל, הנוסח במלכים מבקש להעמיד במרכזו את ממלכת יהודה שניצלת מכליה בגין חטאי המלך בעוד שהנוסח בדה״י שם במרכז דווקא את הצלת ״בית דוד״ כלומר את המלך</w:t>
      </w:r>
      <w:r w:rsidR="004F3492">
        <w:rPr>
          <w:rFonts w:hint="cs"/>
          <w:sz w:val="24"/>
          <w:szCs w:val="24"/>
          <w:rtl/>
        </w:rPr>
        <w:t xml:space="preserve"> נצר לשושלת בית דוד</w:t>
      </w:r>
      <w:r w:rsidRPr="00CD21CF">
        <w:rPr>
          <w:rFonts w:hint="cs"/>
          <w:sz w:val="24"/>
          <w:szCs w:val="24"/>
          <w:rtl/>
        </w:rPr>
        <w:t xml:space="preserve">. יש הסבורים כי השינוי </w:t>
      </w:r>
      <w:r w:rsidR="004F3492">
        <w:rPr>
          <w:rFonts w:hint="cs"/>
          <w:sz w:val="24"/>
          <w:szCs w:val="24"/>
          <w:rtl/>
        </w:rPr>
        <w:t>מתבקש</w:t>
      </w:r>
      <w:r w:rsidRPr="00CD21CF">
        <w:rPr>
          <w:rFonts w:hint="cs"/>
          <w:sz w:val="24"/>
          <w:szCs w:val="24"/>
          <w:rtl/>
        </w:rPr>
        <w:t xml:space="preserve"> משום שהשארת הנוסח כפי שהוא ״ולא אבה ה׳ להשחית את יהודה״ תעורר גיחוך בעיני הקוראים שהרי אלוהים כבר השחית את יהודה כאשר הגלה אותם לבבל</w:t>
      </w:r>
      <w:r w:rsidR="00BC6796">
        <w:rPr>
          <w:rFonts w:hint="cs"/>
          <w:sz w:val="24"/>
          <w:szCs w:val="24"/>
          <w:rtl/>
        </w:rPr>
        <w:t>.</w:t>
      </w:r>
      <w:r w:rsidRPr="00CD21CF">
        <w:rPr>
          <w:rFonts w:hint="cs"/>
          <w:sz w:val="24"/>
          <w:szCs w:val="24"/>
          <w:rtl/>
        </w:rPr>
        <w:t xml:space="preserve"> </w:t>
      </w:r>
      <w:r w:rsidR="004F3492">
        <w:rPr>
          <w:rFonts w:hint="cs"/>
          <w:sz w:val="24"/>
          <w:szCs w:val="24"/>
          <w:rtl/>
        </w:rPr>
        <w:t xml:space="preserve">אחרים סברו </w:t>
      </w:r>
      <w:r w:rsidRPr="00CD21CF">
        <w:rPr>
          <w:rFonts w:hint="cs"/>
          <w:sz w:val="24"/>
          <w:szCs w:val="24"/>
          <w:rtl/>
        </w:rPr>
        <w:t xml:space="preserve">כי השינוי מלמד על רצונו של </w:t>
      </w:r>
      <w:proofErr w:type="spellStart"/>
      <w:r w:rsidRPr="00CD21CF">
        <w:rPr>
          <w:rFonts w:hint="cs"/>
          <w:sz w:val="24"/>
          <w:szCs w:val="24"/>
          <w:rtl/>
        </w:rPr>
        <w:t>הכרוניסט</w:t>
      </w:r>
      <w:proofErr w:type="spellEnd"/>
      <w:r w:rsidRPr="00CD21CF">
        <w:rPr>
          <w:rFonts w:hint="cs"/>
          <w:sz w:val="24"/>
          <w:szCs w:val="24"/>
          <w:rtl/>
        </w:rPr>
        <w:t xml:space="preserve"> להדגיש כי לאחר </w:t>
      </w:r>
      <w:r w:rsidR="004F3492">
        <w:rPr>
          <w:rFonts w:hint="cs"/>
          <w:sz w:val="24"/>
          <w:szCs w:val="24"/>
          <w:rtl/>
        </w:rPr>
        <w:t>שיקומו (המסוים) של העם</w:t>
      </w:r>
      <w:r w:rsidRPr="00CD21CF">
        <w:rPr>
          <w:rFonts w:hint="cs"/>
          <w:sz w:val="24"/>
          <w:szCs w:val="24"/>
          <w:rtl/>
        </w:rPr>
        <w:t xml:space="preserve"> במדינת יהוד, נותר כעת לשקם את שושלת בית דוד ולהצמיח ממנה מלך. ויש הסבורים כי ההבדל נעוץ בתפיסת הגמול האישי של </w:t>
      </w:r>
      <w:proofErr w:type="spellStart"/>
      <w:r w:rsidRPr="00CD21CF">
        <w:rPr>
          <w:rFonts w:hint="cs"/>
          <w:sz w:val="24"/>
          <w:szCs w:val="24"/>
          <w:rtl/>
        </w:rPr>
        <w:t>הכרוניסט</w:t>
      </w:r>
      <w:proofErr w:type="spellEnd"/>
      <w:r w:rsidRPr="00CD21CF">
        <w:rPr>
          <w:rFonts w:hint="cs"/>
          <w:sz w:val="24"/>
          <w:szCs w:val="24"/>
          <w:rtl/>
        </w:rPr>
        <w:t xml:space="preserve"> שנוטה להעניש רק את האדם הפרטי בעבור חטאיו ולא את הציבור.</w:t>
      </w:r>
    </w:p>
    <w:p w14:paraId="71765D42" w14:textId="77777777" w:rsidR="004F3492" w:rsidRDefault="00CD21CF" w:rsidP="009A19CC">
      <w:pPr>
        <w:spacing w:line="480" w:lineRule="auto"/>
        <w:rPr>
          <w:sz w:val="24"/>
          <w:szCs w:val="24"/>
          <w:rtl/>
        </w:rPr>
      </w:pPr>
      <w:r w:rsidRPr="00CD21CF">
        <w:rPr>
          <w:rFonts w:hint="cs"/>
          <w:sz w:val="24"/>
          <w:szCs w:val="24"/>
          <w:rtl/>
        </w:rPr>
        <w:t>הבדל נוסף בין שני הניסוחים לעיל מצוי בטעם שבגינו ניצלים יהודה בספר מלכים או בית דוד בספר דה״י: ״למען דוד עבדו״ במלכים לעומת ״למען הברית אשר כרת לדוד״ בדה"י. כבר מעיון ראשוני בשני הניסוחים הללו ברור כי הקשר בין דוד לבין ה׳ על פי הנוסח בספר דה״י הוא מוצק יותר שכן הוא נשען על ברית שנכרתה ביניהם.</w:t>
      </w:r>
      <w:r w:rsidRPr="00CD21CF">
        <w:rPr>
          <w:rStyle w:val="FootnoteReference"/>
          <w:sz w:val="24"/>
          <w:szCs w:val="24"/>
          <w:rtl/>
        </w:rPr>
        <w:footnoteReference w:id="12"/>
      </w:r>
      <w:r w:rsidRPr="00CD21CF">
        <w:rPr>
          <w:rFonts w:hint="cs"/>
          <w:sz w:val="24"/>
          <w:szCs w:val="24"/>
          <w:rtl/>
        </w:rPr>
        <w:t xml:space="preserve"> לעומת זאת, הקשר בין דוד לבין ה׳ בספר מלכים נראה רופף יותר שכן הוא נשען על חסדו של האל כלפי דוד</w:t>
      </w:r>
      <w:r w:rsidR="004F3492">
        <w:rPr>
          <w:rFonts w:hint="cs"/>
          <w:sz w:val="24"/>
          <w:szCs w:val="24"/>
          <w:rtl/>
        </w:rPr>
        <w:t xml:space="preserve"> עבדו</w:t>
      </w:r>
      <w:r w:rsidRPr="00CD21CF">
        <w:rPr>
          <w:rFonts w:hint="cs"/>
          <w:sz w:val="24"/>
          <w:szCs w:val="24"/>
          <w:rtl/>
        </w:rPr>
        <w:t xml:space="preserve">, חסד שעלול להשתנות בהתאם לנסיבות. </w:t>
      </w:r>
    </w:p>
    <w:p w14:paraId="6DE61393" w14:textId="64E4AD67" w:rsidR="00CD21CF" w:rsidRPr="00CD21CF" w:rsidRDefault="00CD21CF" w:rsidP="009A19CC">
      <w:pPr>
        <w:spacing w:line="480" w:lineRule="auto"/>
        <w:rPr>
          <w:sz w:val="24"/>
          <w:szCs w:val="24"/>
          <w:rtl/>
        </w:rPr>
      </w:pPr>
      <w:r w:rsidRPr="00CD21CF">
        <w:rPr>
          <w:rFonts w:hint="cs"/>
          <w:sz w:val="24"/>
          <w:szCs w:val="24"/>
          <w:rtl/>
        </w:rPr>
        <w:lastRenderedPageBreak/>
        <w:t>לכאורה, היחס הזה בין שני הניסוחים הללו צריך לבא לידי ביטוי במידת העונש שהמלך החוטא ראוי להיענש בו: נוסחת החסד לא אמורה למנוע ענישה רחבה מיהורם ושושלתו ואילו נוסחת הברית אמורה למנוע כל עונש שיש לו קשר ישיר לשושלת.</w:t>
      </w:r>
      <w:r w:rsidRPr="00CD21CF">
        <w:rPr>
          <w:rStyle w:val="FootnoteReference"/>
          <w:sz w:val="24"/>
          <w:szCs w:val="24"/>
          <w:rtl/>
        </w:rPr>
        <w:footnoteReference w:id="13"/>
      </w:r>
      <w:r w:rsidRPr="00CD21CF">
        <w:rPr>
          <w:rFonts w:hint="cs"/>
          <w:sz w:val="24"/>
          <w:szCs w:val="24"/>
          <w:rtl/>
        </w:rPr>
        <w:t xml:space="preserve">  </w:t>
      </w:r>
    </w:p>
    <w:p w14:paraId="2E89EF21" w14:textId="65D1A631" w:rsidR="00CD21CF" w:rsidRPr="00CD21CF" w:rsidRDefault="00585E68" w:rsidP="00FC6989">
      <w:pPr>
        <w:spacing w:line="480" w:lineRule="auto"/>
        <w:rPr>
          <w:sz w:val="24"/>
          <w:szCs w:val="24"/>
          <w:rtl/>
        </w:rPr>
      </w:pPr>
      <w:r>
        <w:rPr>
          <w:rFonts w:hint="cs"/>
          <w:sz w:val="24"/>
          <w:szCs w:val="24"/>
          <w:rtl/>
        </w:rPr>
        <w:t>ברם</w:t>
      </w:r>
      <w:r w:rsidR="00CD21CF" w:rsidRPr="00CD21CF">
        <w:rPr>
          <w:rFonts w:hint="cs"/>
          <w:sz w:val="24"/>
          <w:szCs w:val="24"/>
          <w:rtl/>
        </w:rPr>
        <w:t xml:space="preserve">, חרף נוסחת החסד המופיעה בספר מלכים, </w:t>
      </w:r>
      <w:proofErr w:type="spellStart"/>
      <w:r w:rsidR="00CD21CF" w:rsidRPr="00CD21CF">
        <w:rPr>
          <w:rFonts w:hint="cs"/>
          <w:sz w:val="24"/>
          <w:szCs w:val="24"/>
          <w:rtl/>
        </w:rPr>
        <w:t>הדויטרונומיסט</w:t>
      </w:r>
      <w:proofErr w:type="spellEnd"/>
      <w:r w:rsidR="00CD21CF" w:rsidRPr="00CD21CF">
        <w:rPr>
          <w:rFonts w:hint="cs"/>
          <w:sz w:val="24"/>
          <w:szCs w:val="24"/>
          <w:rtl/>
        </w:rPr>
        <w:t xml:space="preserve"> </w:t>
      </w:r>
      <w:r w:rsidR="003912FA">
        <w:rPr>
          <w:rFonts w:hint="cs"/>
          <w:sz w:val="24"/>
          <w:szCs w:val="24"/>
          <w:rtl/>
        </w:rPr>
        <w:t xml:space="preserve">דווקא </w:t>
      </w:r>
      <w:r w:rsidR="00CD21CF" w:rsidRPr="00CD21CF">
        <w:rPr>
          <w:rFonts w:hint="cs"/>
          <w:sz w:val="24"/>
          <w:szCs w:val="24"/>
          <w:rtl/>
        </w:rPr>
        <w:t xml:space="preserve">בוחר לעבור לסדר היום על חטאיו של יהורם. למרות חטאיו הרבים </w:t>
      </w:r>
      <w:r w:rsidR="003912FA">
        <w:rPr>
          <w:rFonts w:hint="cs"/>
          <w:sz w:val="24"/>
          <w:szCs w:val="24"/>
          <w:rtl/>
        </w:rPr>
        <w:t xml:space="preserve">של יהורם </w:t>
      </w:r>
      <w:r w:rsidR="00CD21CF" w:rsidRPr="00CD21CF">
        <w:rPr>
          <w:rFonts w:hint="cs"/>
          <w:sz w:val="24"/>
          <w:szCs w:val="24"/>
          <w:rtl/>
        </w:rPr>
        <w:t xml:space="preserve">הוא מת מוות טבעי ונקבר עם אבותיו בעיר דוד. אין בספר מלכים כל רמז לעונש שהושת עליו או על </w:t>
      </w:r>
      <w:r w:rsidR="00FC6989">
        <w:rPr>
          <w:rFonts w:hint="cs"/>
          <w:sz w:val="24"/>
          <w:szCs w:val="24"/>
          <w:rtl/>
        </w:rPr>
        <w:t>צאצאיו</w:t>
      </w:r>
      <w:r w:rsidR="00CD21CF" w:rsidRPr="00CD21CF">
        <w:rPr>
          <w:rFonts w:hint="cs"/>
          <w:sz w:val="24"/>
          <w:szCs w:val="24"/>
          <w:rtl/>
        </w:rPr>
        <w:t>. התיאור בדה״י, לעומת זאת, רחוק מאוד מכך. מכתב, המגיע כביכול מאליהו הנביא, מזהיר את המלך כי חטאיו הרבים יובילו לעונש כבד מאוד.</w:t>
      </w:r>
      <w:r w:rsidR="00CD21CF" w:rsidRPr="00CD21CF">
        <w:rPr>
          <w:rStyle w:val="FootnoteReference"/>
          <w:sz w:val="24"/>
          <w:szCs w:val="24"/>
          <w:rtl/>
        </w:rPr>
        <w:footnoteReference w:id="14"/>
      </w:r>
      <w:r w:rsidR="00CD21CF" w:rsidRPr="00CD21CF">
        <w:rPr>
          <w:rFonts w:hint="cs"/>
          <w:sz w:val="24"/>
          <w:szCs w:val="24"/>
          <w:rtl/>
        </w:rPr>
        <w:t xml:space="preserve"> </w:t>
      </w:r>
      <w:r w:rsidR="003912FA">
        <w:rPr>
          <w:rFonts w:hint="cs"/>
          <w:sz w:val="24"/>
          <w:szCs w:val="24"/>
          <w:rtl/>
        </w:rPr>
        <w:t>ואכן</w:t>
      </w:r>
      <w:r w:rsidR="00CD21CF" w:rsidRPr="00CD21CF">
        <w:rPr>
          <w:rFonts w:hint="cs"/>
          <w:sz w:val="24"/>
          <w:szCs w:val="24"/>
          <w:rtl/>
        </w:rPr>
        <w:t xml:space="preserve"> לאחר המכתב מתאר </w:t>
      </w:r>
      <w:proofErr w:type="spellStart"/>
      <w:r w:rsidR="00CD21CF" w:rsidRPr="00CD21CF">
        <w:rPr>
          <w:rFonts w:hint="cs"/>
          <w:sz w:val="24"/>
          <w:szCs w:val="24"/>
          <w:rtl/>
        </w:rPr>
        <w:t>הכרוניסט</w:t>
      </w:r>
      <w:proofErr w:type="spellEnd"/>
      <w:r w:rsidR="00CD21CF" w:rsidRPr="00CD21CF">
        <w:rPr>
          <w:rFonts w:hint="cs"/>
          <w:sz w:val="24"/>
          <w:szCs w:val="24"/>
          <w:rtl/>
        </w:rPr>
        <w:t xml:space="preserve"> סדרה של עונשים חמורים שהושתו על יהורם: אדום וליבנה מורדים בו; הוא נענש במחלת מעיים קשה ממנה לא קם עוד, אך חמור מכל: כל בניו</w:t>
      </w:r>
      <w:r w:rsidR="00FC6989">
        <w:rPr>
          <w:rFonts w:hint="cs"/>
          <w:sz w:val="24"/>
          <w:szCs w:val="24"/>
          <w:rtl/>
        </w:rPr>
        <w:t xml:space="preserve"> נהרגים</w:t>
      </w:r>
      <w:r w:rsidR="00CD21CF" w:rsidRPr="00CD21CF">
        <w:rPr>
          <w:rFonts w:hint="cs"/>
          <w:sz w:val="24"/>
          <w:szCs w:val="24"/>
          <w:rtl/>
        </w:rPr>
        <w:t xml:space="preserve"> </w:t>
      </w:r>
      <w:r w:rsidR="003912FA" w:rsidRPr="00CD21CF">
        <w:rPr>
          <w:rFonts w:hint="cs"/>
          <w:sz w:val="24"/>
          <w:szCs w:val="24"/>
          <w:rtl/>
        </w:rPr>
        <w:t xml:space="preserve">בפלישת הפלישתים והערבים </w:t>
      </w:r>
      <w:r w:rsidR="00CD21CF" w:rsidRPr="00CD21CF">
        <w:rPr>
          <w:rFonts w:hint="cs"/>
          <w:sz w:val="24"/>
          <w:szCs w:val="24"/>
          <w:rtl/>
        </w:rPr>
        <w:t xml:space="preserve">למעט בנו הקטן. מתוך סדרת עונשים זו מן הראוי להתעכב על שניים: מחלת המעיים ומיתת הבנים. </w:t>
      </w:r>
      <w:r w:rsidR="003912FA" w:rsidRPr="00CD21CF">
        <w:rPr>
          <w:rFonts w:hint="cs"/>
          <w:sz w:val="24"/>
          <w:szCs w:val="24"/>
          <w:rtl/>
        </w:rPr>
        <w:t xml:space="preserve">כפי </w:t>
      </w:r>
      <w:r w:rsidR="003912FA">
        <w:rPr>
          <w:rFonts w:hint="cs"/>
          <w:sz w:val="24"/>
          <w:szCs w:val="24"/>
          <w:rtl/>
        </w:rPr>
        <w:t>ש</w:t>
      </w:r>
      <w:r w:rsidR="003912FA" w:rsidRPr="00CD21CF">
        <w:rPr>
          <w:rFonts w:hint="cs"/>
          <w:sz w:val="24"/>
          <w:szCs w:val="24"/>
          <w:rtl/>
        </w:rPr>
        <w:t xml:space="preserve">הוכיחה </w:t>
      </w:r>
      <w:proofErr w:type="spellStart"/>
      <w:r w:rsidR="003912FA" w:rsidRPr="00CD21CF">
        <w:rPr>
          <w:rFonts w:hint="cs"/>
          <w:sz w:val="24"/>
          <w:szCs w:val="24"/>
          <w:rtl/>
        </w:rPr>
        <w:t>זימרן</w:t>
      </w:r>
      <w:proofErr w:type="spellEnd"/>
      <w:r w:rsidR="003912FA" w:rsidRPr="00CD21CF">
        <w:rPr>
          <w:rFonts w:hint="cs"/>
          <w:sz w:val="24"/>
          <w:szCs w:val="24"/>
          <w:rtl/>
        </w:rPr>
        <w:t xml:space="preserve"> </w:t>
      </w:r>
      <w:r w:rsidR="003912FA">
        <w:rPr>
          <w:rFonts w:hint="cs"/>
          <w:sz w:val="24"/>
          <w:szCs w:val="24"/>
          <w:rtl/>
        </w:rPr>
        <w:t>מחלת המעיים</w:t>
      </w:r>
      <w:r w:rsidR="00CD21CF" w:rsidRPr="00CD21CF">
        <w:rPr>
          <w:rFonts w:hint="cs"/>
          <w:sz w:val="24"/>
          <w:szCs w:val="24"/>
          <w:rtl/>
        </w:rPr>
        <w:t xml:space="preserve"> הייתה באיברי ההולדה של יהורם באופן שלא היה יכול להביא עוד ילדים.</w:t>
      </w:r>
      <w:r w:rsidR="00CD21CF" w:rsidRPr="00CD21CF">
        <w:rPr>
          <w:rStyle w:val="FootnoteReference"/>
          <w:sz w:val="24"/>
          <w:szCs w:val="24"/>
          <w:rtl/>
        </w:rPr>
        <w:footnoteReference w:id="15"/>
      </w:r>
      <w:r w:rsidR="00CD21CF" w:rsidRPr="00CD21CF">
        <w:rPr>
          <w:rFonts w:hint="cs"/>
          <w:sz w:val="24"/>
          <w:szCs w:val="24"/>
          <w:rtl/>
        </w:rPr>
        <w:t xml:space="preserve"> לכך התווסף עונש חמור אחר בדמות הריגתם של בניו בפלישת הערבים.</w:t>
      </w:r>
      <w:r w:rsidR="00CD21CF" w:rsidRPr="00CD21CF">
        <w:rPr>
          <w:rStyle w:val="FootnoteReference"/>
          <w:sz w:val="24"/>
          <w:szCs w:val="24"/>
          <w:rtl/>
        </w:rPr>
        <w:footnoteReference w:id="16"/>
      </w:r>
      <w:r w:rsidR="00CD21CF" w:rsidRPr="00CD21CF">
        <w:rPr>
          <w:rFonts w:hint="cs"/>
          <w:sz w:val="24"/>
          <w:szCs w:val="24"/>
          <w:rtl/>
        </w:rPr>
        <w:t xml:space="preserve"> שני עונשים אלו עומדים בסתירה </w:t>
      </w:r>
      <w:r w:rsidR="00A048BE">
        <w:rPr>
          <w:rFonts w:hint="cs"/>
          <w:sz w:val="24"/>
          <w:szCs w:val="24"/>
          <w:rtl/>
        </w:rPr>
        <w:t>ל</w:t>
      </w:r>
      <w:r w:rsidR="00CD21CF" w:rsidRPr="00CD21CF">
        <w:rPr>
          <w:rFonts w:hint="cs"/>
          <w:sz w:val="24"/>
          <w:szCs w:val="24"/>
          <w:rtl/>
        </w:rPr>
        <w:t>נוסחת הברית.</w:t>
      </w:r>
      <w:r w:rsidR="00CD21CF" w:rsidRPr="00CD21CF">
        <w:rPr>
          <w:rStyle w:val="FootnoteReference"/>
          <w:sz w:val="24"/>
          <w:szCs w:val="24"/>
          <w:rtl/>
        </w:rPr>
        <w:footnoteReference w:id="17"/>
      </w:r>
      <w:r w:rsidR="00CD21CF" w:rsidRPr="00CD21CF">
        <w:rPr>
          <w:rFonts w:hint="cs"/>
          <w:sz w:val="24"/>
          <w:szCs w:val="24"/>
          <w:rtl/>
        </w:rPr>
        <w:t xml:space="preserve"> </w:t>
      </w:r>
      <w:r w:rsidR="005F435C">
        <w:rPr>
          <w:rFonts w:hint="cs"/>
          <w:sz w:val="24"/>
          <w:szCs w:val="24"/>
          <w:rtl/>
        </w:rPr>
        <w:t>ה</w:t>
      </w:r>
      <w:r w:rsidR="00CD21CF" w:rsidRPr="00CD21CF">
        <w:rPr>
          <w:rFonts w:hint="cs"/>
          <w:sz w:val="24"/>
          <w:szCs w:val="24"/>
          <w:rtl/>
        </w:rPr>
        <w:t xml:space="preserve">נוסחה </w:t>
      </w:r>
      <w:r w:rsidR="005F435C" w:rsidRPr="00CD21CF">
        <w:rPr>
          <w:rFonts w:hint="cs"/>
          <w:sz w:val="24"/>
          <w:szCs w:val="24"/>
          <w:rtl/>
        </w:rPr>
        <w:t>מייצרת</w:t>
      </w:r>
      <w:r w:rsidR="00CD21CF" w:rsidRPr="00CD21CF">
        <w:rPr>
          <w:rFonts w:hint="cs"/>
          <w:sz w:val="24"/>
          <w:szCs w:val="24"/>
          <w:rtl/>
        </w:rPr>
        <w:t xml:space="preserve"> ציפייה אצל הקורא כי הכתוב יעלים עין מיהורם החוטא או למצער יעניש אותו בעונש שאין לו השפעה ישירה על צאצאיו וממילא על המשך השושלת. במקום זאת</w:t>
      </w:r>
      <w:r w:rsidR="005F435C">
        <w:rPr>
          <w:rFonts w:hint="cs"/>
          <w:sz w:val="24"/>
          <w:szCs w:val="24"/>
          <w:rtl/>
        </w:rPr>
        <w:t xml:space="preserve"> נחשף הקורא לתיאור של עונשים </w:t>
      </w:r>
      <w:r w:rsidR="00CD21CF" w:rsidRPr="00CD21CF">
        <w:rPr>
          <w:rFonts w:hint="cs"/>
          <w:sz w:val="24"/>
          <w:szCs w:val="24"/>
          <w:rtl/>
        </w:rPr>
        <w:t>שסותר</w:t>
      </w:r>
      <w:r w:rsidR="005F435C">
        <w:rPr>
          <w:rFonts w:hint="cs"/>
          <w:sz w:val="24"/>
          <w:szCs w:val="24"/>
          <w:rtl/>
        </w:rPr>
        <w:t>ים</w:t>
      </w:r>
      <w:r w:rsidR="00CD21CF" w:rsidRPr="00CD21CF">
        <w:rPr>
          <w:rFonts w:hint="cs"/>
          <w:sz w:val="24"/>
          <w:szCs w:val="24"/>
          <w:rtl/>
        </w:rPr>
        <w:t xml:space="preserve"> באופן מהותי את נוסחת הברית. כיצד יוסבר אפוא הפער הזה בין נוסחת הברית שאמורה להעניק חסינות</w:t>
      </w:r>
      <w:r w:rsidR="00CD21CF" w:rsidRPr="00CD21CF">
        <w:rPr>
          <w:sz w:val="24"/>
          <w:szCs w:val="24"/>
        </w:rPr>
        <w:t xml:space="preserve"> </w:t>
      </w:r>
      <w:r w:rsidR="00CD21CF" w:rsidRPr="00CD21CF">
        <w:rPr>
          <w:rFonts w:hint="cs"/>
          <w:sz w:val="24"/>
          <w:szCs w:val="24"/>
          <w:rtl/>
        </w:rPr>
        <w:t>למלך ובעיקר לשושלתו לבין העונשים הכבדים שפוגעים לא רק ביהורם אלא אף בשושלת</w:t>
      </w:r>
      <w:r w:rsidR="005F435C">
        <w:rPr>
          <w:rFonts w:hint="cs"/>
          <w:sz w:val="24"/>
          <w:szCs w:val="24"/>
          <w:rtl/>
        </w:rPr>
        <w:t>ו</w:t>
      </w:r>
      <w:r w:rsidR="00CD21CF" w:rsidRPr="00CD21CF">
        <w:rPr>
          <w:rFonts w:hint="cs"/>
          <w:sz w:val="24"/>
          <w:szCs w:val="24"/>
          <w:rtl/>
        </w:rPr>
        <w:t xml:space="preserve"> בדמות</w:t>
      </w:r>
      <w:r w:rsidR="005F435C">
        <w:rPr>
          <w:rFonts w:hint="cs"/>
          <w:sz w:val="24"/>
          <w:szCs w:val="24"/>
          <w:rtl/>
        </w:rPr>
        <w:t>ם של</w:t>
      </w:r>
      <w:r w:rsidR="00CD21CF" w:rsidRPr="00CD21CF">
        <w:rPr>
          <w:rFonts w:hint="cs"/>
          <w:sz w:val="24"/>
          <w:szCs w:val="24"/>
          <w:rtl/>
        </w:rPr>
        <w:t xml:space="preserve"> מחלת המעיים והריגת בניו? לעת עתה נותיר את השאלה הזו ללא מענה ונשוב אליה לאחר סיום הדיון ב</w:t>
      </w:r>
      <w:r w:rsidR="009771C8">
        <w:rPr>
          <w:rFonts w:hint="cs"/>
          <w:sz w:val="24"/>
          <w:szCs w:val="24"/>
          <w:rtl/>
        </w:rPr>
        <w:t xml:space="preserve">מלכים </w:t>
      </w:r>
      <w:r w:rsidR="00CD21CF" w:rsidRPr="00CD21CF">
        <w:rPr>
          <w:rFonts w:hint="cs"/>
          <w:sz w:val="24"/>
          <w:szCs w:val="24"/>
          <w:rtl/>
        </w:rPr>
        <w:t>אחזיהו ואחז.</w:t>
      </w:r>
    </w:p>
    <w:p w14:paraId="7CA7A139" w14:textId="77777777" w:rsidR="00CD21CF" w:rsidRPr="00CD21CF" w:rsidRDefault="00CD21CF" w:rsidP="00A037AA">
      <w:pPr>
        <w:spacing w:line="480" w:lineRule="auto"/>
        <w:rPr>
          <w:sz w:val="24"/>
          <w:szCs w:val="24"/>
          <w:rtl/>
        </w:rPr>
      </w:pPr>
    </w:p>
    <w:p w14:paraId="45E0F88D" w14:textId="77777777" w:rsidR="00CD21CF" w:rsidRPr="00CD21CF" w:rsidRDefault="00CD21CF" w:rsidP="00A037AA">
      <w:pPr>
        <w:spacing w:line="480" w:lineRule="auto"/>
        <w:rPr>
          <w:b/>
          <w:bCs/>
          <w:sz w:val="24"/>
          <w:szCs w:val="24"/>
          <w:rtl/>
        </w:rPr>
      </w:pPr>
      <w:r w:rsidRPr="00CD21CF">
        <w:rPr>
          <w:rFonts w:hint="cs"/>
          <w:b/>
          <w:bCs/>
          <w:sz w:val="24"/>
          <w:szCs w:val="24"/>
          <w:rtl/>
        </w:rPr>
        <w:t>אחזיהו</w:t>
      </w:r>
    </w:p>
    <w:p w14:paraId="62AC01FA" w14:textId="6A843CE9" w:rsidR="00CD21CF" w:rsidRPr="00CD21CF" w:rsidRDefault="00CD21CF" w:rsidP="005F435C">
      <w:pPr>
        <w:spacing w:line="480" w:lineRule="auto"/>
        <w:rPr>
          <w:sz w:val="24"/>
          <w:szCs w:val="24"/>
          <w:rtl/>
        </w:rPr>
      </w:pPr>
      <w:r w:rsidRPr="00CD21CF">
        <w:rPr>
          <w:sz w:val="24"/>
          <w:szCs w:val="24"/>
          <w:rtl/>
        </w:rPr>
        <w:t>אחזיהו</w:t>
      </w:r>
      <w:r w:rsidRPr="00CD21CF">
        <w:rPr>
          <w:rFonts w:hint="cs"/>
          <w:sz w:val="24"/>
          <w:szCs w:val="24"/>
          <w:rtl/>
        </w:rPr>
        <w:t>,</w:t>
      </w:r>
      <w:r w:rsidRPr="00CD21CF">
        <w:rPr>
          <w:sz w:val="24"/>
          <w:szCs w:val="24"/>
          <w:rtl/>
        </w:rPr>
        <w:t xml:space="preserve"> </w:t>
      </w:r>
      <w:r w:rsidRPr="00CD21CF">
        <w:rPr>
          <w:rFonts w:hint="cs"/>
          <w:sz w:val="24"/>
          <w:szCs w:val="24"/>
          <w:rtl/>
        </w:rPr>
        <w:t xml:space="preserve">שעל פי הכתוב היה ״בנו הקטן״ של יהורם, מומלך על ידי יושבי ירושלים למלך. </w:t>
      </w:r>
      <w:proofErr w:type="spellStart"/>
      <w:r w:rsidRPr="00CD21CF">
        <w:rPr>
          <w:rFonts w:hint="cs"/>
          <w:sz w:val="24"/>
          <w:szCs w:val="24"/>
          <w:rtl/>
        </w:rPr>
        <w:t>הכרוניסט</w:t>
      </w:r>
      <w:proofErr w:type="spellEnd"/>
      <w:r w:rsidRPr="00CD21CF">
        <w:rPr>
          <w:rFonts w:hint="cs"/>
          <w:sz w:val="24"/>
          <w:szCs w:val="24"/>
          <w:rtl/>
        </w:rPr>
        <w:t xml:space="preserve"> חוזר שוב בפתיחת הסיפור על פלישת הערבים והריגת</w:t>
      </w:r>
      <w:r w:rsidR="005F435C">
        <w:rPr>
          <w:rFonts w:hint="cs"/>
          <w:sz w:val="24"/>
          <w:szCs w:val="24"/>
          <w:rtl/>
        </w:rPr>
        <w:t>ם של</w:t>
      </w:r>
      <w:r w:rsidRPr="00CD21CF">
        <w:rPr>
          <w:rFonts w:hint="cs"/>
          <w:sz w:val="24"/>
          <w:szCs w:val="24"/>
          <w:rtl/>
        </w:rPr>
        <w:t xml:space="preserve"> אחיו הגדולים, ויתכן כי החזרה הזו רומזת לכך כי המלכתו לא הייתה בחירה מועדפת, ורק בלית ברירה ובאין צאצא אחר בוגר יותר למלא את מקומו של יהורם - הומלך אחזיהו. מעמדו הרעוע של אחזיהו בעת המלכתו מודגש באמצעות ניגוד לאביו יהורם בארבעה אופנים: </w:t>
      </w:r>
    </w:p>
    <w:p w14:paraId="7BD4BBF8" w14:textId="279F9C61" w:rsidR="00CD21CF" w:rsidRPr="00CD21CF" w:rsidRDefault="005F435C" w:rsidP="005F435C">
      <w:pPr>
        <w:pStyle w:val="ListParagraph"/>
        <w:numPr>
          <w:ilvl w:val="0"/>
          <w:numId w:val="6"/>
        </w:numPr>
        <w:spacing w:line="480" w:lineRule="auto"/>
        <w:rPr>
          <w:sz w:val="24"/>
          <w:szCs w:val="24"/>
        </w:rPr>
      </w:pPr>
      <w:r>
        <w:rPr>
          <w:rFonts w:hint="cs"/>
          <w:sz w:val="24"/>
          <w:szCs w:val="24"/>
          <w:rtl/>
        </w:rPr>
        <w:t xml:space="preserve">יהורם סומן </w:t>
      </w:r>
      <w:r w:rsidR="00CD21CF" w:rsidRPr="00CD21CF">
        <w:rPr>
          <w:rFonts w:hint="cs"/>
          <w:sz w:val="24"/>
          <w:szCs w:val="24"/>
          <w:rtl/>
        </w:rPr>
        <w:t xml:space="preserve">כיורש עוד בחייו </w:t>
      </w:r>
      <w:r>
        <w:rPr>
          <w:rFonts w:hint="cs"/>
          <w:sz w:val="24"/>
          <w:szCs w:val="24"/>
          <w:rtl/>
        </w:rPr>
        <w:t xml:space="preserve">של אביו יהושפט. </w:t>
      </w:r>
      <w:r w:rsidR="00CD21CF" w:rsidRPr="00CD21CF">
        <w:rPr>
          <w:rFonts w:hint="cs"/>
          <w:sz w:val="24"/>
          <w:szCs w:val="24"/>
          <w:rtl/>
        </w:rPr>
        <w:t xml:space="preserve">עובדה </w:t>
      </w:r>
      <w:r>
        <w:rPr>
          <w:rFonts w:hint="cs"/>
          <w:sz w:val="24"/>
          <w:szCs w:val="24"/>
          <w:rtl/>
        </w:rPr>
        <w:t xml:space="preserve">זו </w:t>
      </w:r>
      <w:r w:rsidR="00CD21CF" w:rsidRPr="00CD21CF">
        <w:rPr>
          <w:rFonts w:hint="cs"/>
          <w:sz w:val="24"/>
          <w:szCs w:val="24"/>
          <w:rtl/>
        </w:rPr>
        <w:t xml:space="preserve">תרמה ללא ספק להאדרתו באופן אישי </w:t>
      </w:r>
      <w:r>
        <w:rPr>
          <w:rFonts w:hint="cs"/>
          <w:sz w:val="24"/>
          <w:szCs w:val="24"/>
          <w:rtl/>
        </w:rPr>
        <w:t>ול</w:t>
      </w:r>
      <w:r w:rsidR="00CD21CF" w:rsidRPr="00CD21CF">
        <w:rPr>
          <w:rFonts w:hint="cs"/>
          <w:sz w:val="24"/>
          <w:szCs w:val="24"/>
          <w:rtl/>
        </w:rPr>
        <w:t>יציבות</w:t>
      </w:r>
      <w:r>
        <w:rPr>
          <w:rFonts w:hint="cs"/>
          <w:sz w:val="24"/>
          <w:szCs w:val="24"/>
          <w:rtl/>
        </w:rPr>
        <w:t>ה של</w:t>
      </w:r>
      <w:r w:rsidR="00CD21CF" w:rsidRPr="00CD21CF">
        <w:rPr>
          <w:rFonts w:hint="cs"/>
          <w:sz w:val="24"/>
          <w:szCs w:val="24"/>
          <w:rtl/>
        </w:rPr>
        <w:t xml:space="preserve"> הממלכה; אחזיהו לעומתו הומלך בלית ברירה. </w:t>
      </w:r>
    </w:p>
    <w:p w14:paraId="2B3C055E" w14:textId="77777777" w:rsidR="00CD21CF" w:rsidRPr="00CD21CF" w:rsidRDefault="00CD21CF" w:rsidP="009A19CC">
      <w:pPr>
        <w:pStyle w:val="ListParagraph"/>
        <w:numPr>
          <w:ilvl w:val="0"/>
          <w:numId w:val="6"/>
        </w:numPr>
        <w:spacing w:line="480" w:lineRule="auto"/>
        <w:rPr>
          <w:sz w:val="24"/>
          <w:szCs w:val="24"/>
        </w:rPr>
      </w:pPr>
      <w:r w:rsidRPr="00CD21CF">
        <w:rPr>
          <w:rFonts w:hint="cs"/>
          <w:sz w:val="24"/>
          <w:szCs w:val="24"/>
          <w:rtl/>
        </w:rPr>
        <w:t xml:space="preserve">יהורם הוא הבן הבכור ואילו אחזיהו הוא קטן הבנים. </w:t>
      </w:r>
    </w:p>
    <w:p w14:paraId="38A6ACC2" w14:textId="1A42363B" w:rsidR="00CD21CF" w:rsidRPr="00CD21CF" w:rsidRDefault="00CD21CF" w:rsidP="005F435C">
      <w:pPr>
        <w:pStyle w:val="ListParagraph"/>
        <w:numPr>
          <w:ilvl w:val="0"/>
          <w:numId w:val="6"/>
        </w:numPr>
        <w:spacing w:line="480" w:lineRule="auto"/>
        <w:rPr>
          <w:sz w:val="24"/>
          <w:szCs w:val="24"/>
        </w:rPr>
      </w:pPr>
      <w:r w:rsidRPr="00CD21CF">
        <w:rPr>
          <w:rFonts w:hint="cs"/>
          <w:sz w:val="24"/>
          <w:szCs w:val="24"/>
          <w:rtl/>
        </w:rPr>
        <w:t xml:space="preserve">יהורם </w:t>
      </w:r>
      <w:r w:rsidR="005F435C">
        <w:rPr>
          <w:rFonts w:hint="cs"/>
          <w:sz w:val="24"/>
          <w:szCs w:val="24"/>
          <w:rtl/>
        </w:rPr>
        <w:t>מתחזק</w:t>
      </w:r>
      <w:r w:rsidRPr="00CD21CF">
        <w:rPr>
          <w:rFonts w:hint="cs"/>
          <w:sz w:val="24"/>
          <w:szCs w:val="24"/>
          <w:rtl/>
        </w:rPr>
        <w:t xml:space="preserve"> ״על ממלכת אביו״ </w:t>
      </w:r>
      <w:r w:rsidR="005F435C">
        <w:rPr>
          <w:rFonts w:hint="cs"/>
          <w:sz w:val="24"/>
          <w:szCs w:val="24"/>
          <w:rtl/>
        </w:rPr>
        <w:t>בכך שרצח את כל אחיו עד שנותר לבדו, ללא מתחרים</w:t>
      </w:r>
      <w:r w:rsidRPr="00CD21CF">
        <w:rPr>
          <w:rFonts w:hint="cs"/>
          <w:sz w:val="24"/>
          <w:szCs w:val="24"/>
          <w:rtl/>
        </w:rPr>
        <w:t xml:space="preserve">. אחזיהו נותר אף הוא לבדו אך בדידותו לא הייתה משום שהתחזק אלא משום שכל אחיו מתו. </w:t>
      </w:r>
    </w:p>
    <w:p w14:paraId="6D3E5E7F" w14:textId="7047AE12" w:rsidR="00CD21CF" w:rsidRPr="00CD21CF" w:rsidRDefault="00CD21CF" w:rsidP="00D55630">
      <w:pPr>
        <w:pStyle w:val="ListParagraph"/>
        <w:numPr>
          <w:ilvl w:val="0"/>
          <w:numId w:val="6"/>
        </w:numPr>
        <w:spacing w:line="480" w:lineRule="auto"/>
        <w:rPr>
          <w:sz w:val="24"/>
          <w:szCs w:val="24"/>
          <w:rtl/>
        </w:rPr>
      </w:pPr>
      <w:r w:rsidRPr="00CD21CF">
        <w:rPr>
          <w:rFonts w:hint="cs"/>
          <w:sz w:val="24"/>
          <w:szCs w:val="24"/>
          <w:rtl/>
        </w:rPr>
        <w:t>למרות נתוני הפתיחה של אחזיהו הוא ״מדביק״ מהר מאוד את הפער מאביו והולך אף הוא בדרכי בית אחאב. אמנם ראוי לשים לב כי בניגוד לאביו שפועל</w:t>
      </w:r>
      <w:r w:rsidR="005F435C">
        <w:rPr>
          <w:rFonts w:hint="cs"/>
          <w:sz w:val="24"/>
          <w:szCs w:val="24"/>
          <w:rtl/>
        </w:rPr>
        <w:t xml:space="preserve"> כל הזמן</w:t>
      </w:r>
      <w:r w:rsidRPr="00CD21CF">
        <w:rPr>
          <w:rFonts w:hint="cs"/>
          <w:sz w:val="24"/>
          <w:szCs w:val="24"/>
          <w:rtl/>
        </w:rPr>
        <w:t xml:space="preserve"> מדעתו, אחזיהו מובל על ידי בית אחאב. השורש </w:t>
      </w:r>
      <w:proofErr w:type="spellStart"/>
      <w:r w:rsidRPr="00CD21CF">
        <w:rPr>
          <w:rFonts w:hint="cs"/>
          <w:sz w:val="24"/>
          <w:szCs w:val="24"/>
          <w:rtl/>
        </w:rPr>
        <w:t>יע״ץ</w:t>
      </w:r>
      <w:proofErr w:type="spellEnd"/>
      <w:r w:rsidRPr="00CD21CF">
        <w:rPr>
          <w:rFonts w:hint="cs"/>
          <w:sz w:val="24"/>
          <w:szCs w:val="24"/>
          <w:rtl/>
        </w:rPr>
        <w:t xml:space="preserve"> חוזר </w:t>
      </w:r>
      <w:r w:rsidR="005F435C">
        <w:rPr>
          <w:rFonts w:hint="cs"/>
          <w:sz w:val="24"/>
          <w:szCs w:val="24"/>
          <w:rtl/>
        </w:rPr>
        <w:t xml:space="preserve">בהקשר זה </w:t>
      </w:r>
      <w:r w:rsidRPr="00CD21CF">
        <w:rPr>
          <w:rFonts w:hint="cs"/>
          <w:sz w:val="24"/>
          <w:szCs w:val="24"/>
          <w:rtl/>
        </w:rPr>
        <w:t>שלוש פעמים מיד בפתיחת הסיפור ומבטא יותר מכל את תלותו באנשים הסובבים אותו.</w:t>
      </w:r>
      <w:r w:rsidRPr="00CD21CF">
        <w:rPr>
          <w:rStyle w:val="FootnoteReference"/>
          <w:sz w:val="24"/>
          <w:szCs w:val="24"/>
          <w:rtl/>
        </w:rPr>
        <w:footnoteReference w:id="18"/>
      </w:r>
      <w:r w:rsidRPr="00CD21CF">
        <w:rPr>
          <w:rFonts w:hint="cs"/>
          <w:sz w:val="24"/>
          <w:szCs w:val="24"/>
          <w:rtl/>
        </w:rPr>
        <w:t xml:space="preserve"> </w:t>
      </w:r>
    </w:p>
    <w:p w14:paraId="0CBC2E0B" w14:textId="08EDD62A" w:rsidR="00CD21CF" w:rsidRPr="00CD21CF" w:rsidRDefault="00CD21CF" w:rsidP="00A037AA">
      <w:pPr>
        <w:spacing w:line="480" w:lineRule="auto"/>
        <w:rPr>
          <w:sz w:val="24"/>
          <w:szCs w:val="24"/>
          <w:rtl/>
        </w:rPr>
      </w:pPr>
      <w:r w:rsidRPr="00CD21CF">
        <w:rPr>
          <w:rFonts w:hint="cs"/>
          <w:sz w:val="24"/>
          <w:szCs w:val="24"/>
          <w:rtl/>
        </w:rPr>
        <w:t>החיבור בין יהושפט ובין אחאב לקראת המלחמה ברמות גלעד חוזר שוב אצל נכדו אחזיהו: הוא יוצא למלחמה ברמות גלעד יחד עם יורם מלך ישראל. התוצאות בשתי המלחמות הללו דומות להפליא: מלך ישראל נפצע במהלך המלחמה ואילו מלך יהודה יוצא ממנה ללא פגע. תוך כדי הביקור של אחזיהו אצל</w:t>
      </w:r>
      <w:r w:rsidR="005F435C">
        <w:rPr>
          <w:rFonts w:hint="cs"/>
          <w:sz w:val="24"/>
          <w:szCs w:val="24"/>
          <w:rtl/>
        </w:rPr>
        <w:t xml:space="preserve"> יורם</w:t>
      </w:r>
      <w:r w:rsidRPr="00CD21CF">
        <w:rPr>
          <w:rFonts w:hint="cs"/>
          <w:sz w:val="24"/>
          <w:szCs w:val="24"/>
          <w:rtl/>
        </w:rPr>
        <w:t xml:space="preserve"> מלך ישראל שמנומק על יד </w:t>
      </w:r>
      <w:proofErr w:type="spellStart"/>
      <w:r w:rsidRPr="00CD21CF">
        <w:rPr>
          <w:rFonts w:hint="cs"/>
          <w:sz w:val="24"/>
          <w:szCs w:val="24"/>
          <w:rtl/>
        </w:rPr>
        <w:t>הכרוניסט</w:t>
      </w:r>
      <w:proofErr w:type="spellEnd"/>
      <w:r w:rsidRPr="00CD21CF">
        <w:rPr>
          <w:rFonts w:hint="cs"/>
          <w:sz w:val="24"/>
          <w:szCs w:val="24"/>
          <w:rtl/>
        </w:rPr>
        <w:t xml:space="preserve"> ככוונת מכוון של ה׳: ״</w:t>
      </w:r>
      <w:proofErr w:type="spellStart"/>
      <w:r w:rsidRPr="00CD21CF">
        <w:rPr>
          <w:rFonts w:hint="cs"/>
          <w:sz w:val="24"/>
          <w:szCs w:val="24"/>
          <w:rtl/>
        </w:rPr>
        <w:t>ומאלהים</w:t>
      </w:r>
      <w:proofErr w:type="spellEnd"/>
      <w:r w:rsidRPr="00CD21CF">
        <w:rPr>
          <w:rFonts w:hint="cs"/>
          <w:sz w:val="24"/>
          <w:szCs w:val="24"/>
          <w:rtl/>
        </w:rPr>
        <w:t xml:space="preserve"> הייתה תבוסת אחזיהו לבוא אל יורם״ (</w:t>
      </w:r>
      <w:proofErr w:type="spellStart"/>
      <w:r w:rsidRPr="00CD21CF">
        <w:rPr>
          <w:rFonts w:hint="cs"/>
          <w:sz w:val="24"/>
          <w:szCs w:val="24"/>
          <w:rtl/>
        </w:rPr>
        <w:t>כב</w:t>
      </w:r>
      <w:proofErr w:type="spellEnd"/>
      <w:r w:rsidRPr="00CD21CF">
        <w:rPr>
          <w:rFonts w:hint="cs"/>
          <w:sz w:val="24"/>
          <w:szCs w:val="24"/>
          <w:rtl/>
        </w:rPr>
        <w:t xml:space="preserve"> 7) הוא ובני אחיו מתים בידי </w:t>
      </w:r>
      <w:proofErr w:type="spellStart"/>
      <w:r w:rsidRPr="00CD21CF">
        <w:rPr>
          <w:rFonts w:hint="cs"/>
          <w:sz w:val="24"/>
          <w:szCs w:val="24"/>
          <w:rtl/>
        </w:rPr>
        <w:t>יהוא</w:t>
      </w:r>
      <w:proofErr w:type="spellEnd"/>
      <w:r w:rsidRPr="00CD21CF">
        <w:rPr>
          <w:rFonts w:hint="cs"/>
          <w:sz w:val="24"/>
          <w:szCs w:val="24"/>
          <w:rtl/>
        </w:rPr>
        <w:t xml:space="preserve"> בן נמשי שנמשח על יד ה׳ ״להכרית את בית אחאב״. </w:t>
      </w:r>
    </w:p>
    <w:p w14:paraId="2A3F11DF" w14:textId="23CC8780" w:rsidR="00CD21CF" w:rsidRPr="00CD21CF" w:rsidRDefault="00CD21CF" w:rsidP="005F435C">
      <w:pPr>
        <w:spacing w:line="480" w:lineRule="auto"/>
        <w:rPr>
          <w:sz w:val="24"/>
          <w:szCs w:val="24"/>
          <w:rtl/>
        </w:rPr>
      </w:pPr>
      <w:r w:rsidRPr="00CD21CF">
        <w:rPr>
          <w:rFonts w:hint="cs"/>
          <w:sz w:val="24"/>
          <w:szCs w:val="24"/>
          <w:rtl/>
        </w:rPr>
        <w:t xml:space="preserve">זכויותיו של יהושפט טרם המלחמה ברמות גלעד סייעו </w:t>
      </w:r>
      <w:r w:rsidR="005F435C">
        <w:rPr>
          <w:rFonts w:hint="cs"/>
          <w:sz w:val="24"/>
          <w:szCs w:val="24"/>
          <w:rtl/>
        </w:rPr>
        <w:t>לו</w:t>
      </w:r>
      <w:r w:rsidRPr="00CD21CF">
        <w:rPr>
          <w:rFonts w:hint="cs"/>
          <w:sz w:val="24"/>
          <w:szCs w:val="24"/>
          <w:rtl/>
        </w:rPr>
        <w:t xml:space="preserve"> להינצל מזעמו של האל לאחר </w:t>
      </w:r>
      <w:r w:rsidR="005F435C">
        <w:rPr>
          <w:rFonts w:hint="cs"/>
          <w:sz w:val="24"/>
          <w:szCs w:val="24"/>
          <w:rtl/>
        </w:rPr>
        <w:t>ששיתף</w:t>
      </w:r>
      <w:r w:rsidRPr="00CD21CF">
        <w:rPr>
          <w:rFonts w:hint="cs"/>
          <w:sz w:val="24"/>
          <w:szCs w:val="24"/>
          <w:rtl/>
        </w:rPr>
        <w:t xml:space="preserve"> פעולה עם אחאב מלך ישראל</w:t>
      </w:r>
      <w:r w:rsidR="005F435C">
        <w:rPr>
          <w:rFonts w:hint="cs"/>
          <w:sz w:val="24"/>
          <w:szCs w:val="24"/>
          <w:rtl/>
        </w:rPr>
        <w:t>,</w:t>
      </w:r>
      <w:r w:rsidRPr="00CD21CF">
        <w:rPr>
          <w:rFonts w:hint="cs"/>
          <w:sz w:val="24"/>
          <w:szCs w:val="24"/>
          <w:rtl/>
        </w:rPr>
        <w:t xml:space="preserve"> כפי שמעיד הנביא: ״ובזאת עליך קצף מלפני ה׳ אבל דברים טובים נמצאו עמך״. באותו האופן מפאת זכויותיו של יהושפט ז</w:t>
      </w:r>
      <w:r w:rsidR="005F435C">
        <w:rPr>
          <w:rFonts w:hint="cs"/>
          <w:sz w:val="24"/>
          <w:szCs w:val="24"/>
          <w:rtl/>
        </w:rPr>
        <w:t>ו</w:t>
      </w:r>
      <w:r w:rsidRPr="00CD21CF">
        <w:rPr>
          <w:rFonts w:hint="cs"/>
          <w:sz w:val="24"/>
          <w:szCs w:val="24"/>
          <w:rtl/>
        </w:rPr>
        <w:t>כה אחזיהו בנו לקבורה: ״ויקברהו כי אמרו בן יהושפט הוא אשר דרש את ה׳ בכל לבבו״.</w:t>
      </w:r>
      <w:r w:rsidRPr="00CD21CF">
        <w:rPr>
          <w:rStyle w:val="FootnoteReference"/>
          <w:sz w:val="24"/>
          <w:szCs w:val="24"/>
          <w:rtl/>
        </w:rPr>
        <w:footnoteReference w:id="19"/>
      </w:r>
      <w:r w:rsidRPr="00CD21CF">
        <w:rPr>
          <w:rFonts w:hint="cs"/>
          <w:sz w:val="24"/>
          <w:szCs w:val="24"/>
          <w:rtl/>
        </w:rPr>
        <w:t xml:space="preserve"> </w:t>
      </w:r>
    </w:p>
    <w:p w14:paraId="509D627D" w14:textId="57AD9F07" w:rsidR="00CD21CF" w:rsidRPr="00CD21CF" w:rsidRDefault="00CD21CF" w:rsidP="004223D5">
      <w:pPr>
        <w:spacing w:line="480" w:lineRule="auto"/>
        <w:rPr>
          <w:sz w:val="24"/>
          <w:szCs w:val="24"/>
          <w:rtl/>
        </w:rPr>
      </w:pPr>
      <w:r w:rsidRPr="00CD21CF">
        <w:rPr>
          <w:rFonts w:hint="cs"/>
          <w:sz w:val="24"/>
          <w:szCs w:val="24"/>
          <w:rtl/>
        </w:rPr>
        <w:lastRenderedPageBreak/>
        <w:t xml:space="preserve">לאחר מותו קמה </w:t>
      </w:r>
      <w:proofErr w:type="spellStart"/>
      <w:r w:rsidRPr="00CD21CF">
        <w:rPr>
          <w:rFonts w:hint="cs"/>
          <w:sz w:val="24"/>
          <w:szCs w:val="24"/>
          <w:rtl/>
        </w:rPr>
        <w:t>עתליהו</w:t>
      </w:r>
      <w:proofErr w:type="spellEnd"/>
      <w:r w:rsidRPr="00CD21CF">
        <w:rPr>
          <w:rFonts w:hint="cs"/>
          <w:sz w:val="24"/>
          <w:szCs w:val="24"/>
          <w:rtl/>
        </w:rPr>
        <w:t xml:space="preserve"> אמו ומחסלת את כל בניו למעט יהואש שניצל על ידי </w:t>
      </w:r>
      <w:proofErr w:type="spellStart"/>
      <w:r w:rsidRPr="00CD21CF">
        <w:rPr>
          <w:rFonts w:hint="cs"/>
          <w:sz w:val="24"/>
          <w:szCs w:val="24"/>
          <w:rtl/>
        </w:rPr>
        <w:t>יהו</w:t>
      </w:r>
      <w:r w:rsidR="005F435C">
        <w:rPr>
          <w:rFonts w:hint="cs"/>
          <w:sz w:val="24"/>
          <w:szCs w:val="24"/>
          <w:rtl/>
        </w:rPr>
        <w:t>שבעת</w:t>
      </w:r>
      <w:proofErr w:type="spellEnd"/>
      <w:r w:rsidR="005F435C">
        <w:rPr>
          <w:rFonts w:hint="cs"/>
          <w:sz w:val="24"/>
          <w:szCs w:val="24"/>
          <w:rtl/>
        </w:rPr>
        <w:t xml:space="preserve"> בתו של יהורם. באקט הריגה זה</w:t>
      </w:r>
      <w:r w:rsidRPr="00CD21CF">
        <w:rPr>
          <w:rFonts w:hint="cs"/>
          <w:sz w:val="24"/>
          <w:szCs w:val="24"/>
          <w:rtl/>
        </w:rPr>
        <w:t xml:space="preserve"> של </w:t>
      </w:r>
      <w:r w:rsidR="005F435C">
        <w:rPr>
          <w:rFonts w:hint="cs"/>
          <w:sz w:val="24"/>
          <w:szCs w:val="24"/>
          <w:rtl/>
        </w:rPr>
        <w:t xml:space="preserve">כל </w:t>
      </w:r>
      <w:r w:rsidRPr="00CD21CF">
        <w:rPr>
          <w:rFonts w:hint="cs"/>
          <w:sz w:val="24"/>
          <w:szCs w:val="24"/>
          <w:rtl/>
        </w:rPr>
        <w:t xml:space="preserve">בני המלך, אנו חוזרים שוב לסיפור הריגת בניו של יהורם על ידי הערבים: בשני המקרים כל הילדים נרצחים למעט הילד הקטן שניצל. נשאלת השאלה האם מקרה הוא כי בשני הסיפורים הללו על יהורם ואחזיהו חוזר המוטיב של הרג כל הבנים למעט הקטן? </w:t>
      </w:r>
    </w:p>
    <w:p w14:paraId="40D84461" w14:textId="77777777" w:rsidR="0079421E" w:rsidRPr="00CD21CF" w:rsidRDefault="0079421E" w:rsidP="00A037AA">
      <w:pPr>
        <w:spacing w:line="480" w:lineRule="auto"/>
        <w:rPr>
          <w:sz w:val="24"/>
          <w:szCs w:val="24"/>
          <w:rtl/>
        </w:rPr>
      </w:pPr>
    </w:p>
    <w:p w14:paraId="43C41774" w14:textId="77777777" w:rsidR="00CD21CF" w:rsidRPr="00CD21CF" w:rsidRDefault="00CD21CF" w:rsidP="00A037AA">
      <w:pPr>
        <w:spacing w:line="480" w:lineRule="auto"/>
        <w:rPr>
          <w:b/>
          <w:bCs/>
          <w:sz w:val="24"/>
          <w:szCs w:val="24"/>
          <w:rtl/>
        </w:rPr>
      </w:pPr>
      <w:r w:rsidRPr="00CD21CF">
        <w:rPr>
          <w:rFonts w:hint="cs"/>
          <w:b/>
          <w:bCs/>
          <w:sz w:val="24"/>
          <w:szCs w:val="24"/>
          <w:rtl/>
        </w:rPr>
        <w:t>אחז</w:t>
      </w:r>
    </w:p>
    <w:p w14:paraId="54C48B4A" w14:textId="09A985D0" w:rsidR="00CD21CF" w:rsidRPr="00CD21CF" w:rsidRDefault="00CD21CF" w:rsidP="00DB2319">
      <w:pPr>
        <w:spacing w:line="480" w:lineRule="auto"/>
        <w:rPr>
          <w:sz w:val="24"/>
          <w:szCs w:val="24"/>
          <w:rtl/>
        </w:rPr>
      </w:pPr>
      <w:r w:rsidRPr="00CD21CF">
        <w:rPr>
          <w:rFonts w:hint="cs"/>
          <w:sz w:val="24"/>
          <w:szCs w:val="24"/>
          <w:rtl/>
        </w:rPr>
        <w:t>חוקרים רבים רואים באחז את המלך הרשע ביותר מבין כל מלכי יהודה בספר דה״י.</w:t>
      </w:r>
      <w:r w:rsidRPr="00CD21CF">
        <w:rPr>
          <w:rStyle w:val="FootnoteReference"/>
          <w:sz w:val="24"/>
          <w:szCs w:val="24"/>
          <w:rtl/>
        </w:rPr>
        <w:footnoteReference w:id="20"/>
      </w:r>
      <w:r w:rsidRPr="00CD21CF">
        <w:rPr>
          <w:rFonts w:hint="cs"/>
          <w:sz w:val="24"/>
          <w:szCs w:val="24"/>
          <w:rtl/>
        </w:rPr>
        <w:t xml:space="preserve"> כבר עמדו על כך כי </w:t>
      </w:r>
      <w:r w:rsidR="00DB2319">
        <w:rPr>
          <w:rFonts w:hint="cs"/>
          <w:sz w:val="24"/>
          <w:szCs w:val="24"/>
          <w:rtl/>
        </w:rPr>
        <w:t>הדגשת רשעותו</w:t>
      </w:r>
      <w:r w:rsidRPr="00CD21CF">
        <w:rPr>
          <w:rFonts w:hint="cs"/>
          <w:sz w:val="24"/>
          <w:szCs w:val="24"/>
          <w:rtl/>
        </w:rPr>
        <w:t xml:space="preserve"> </w:t>
      </w:r>
      <w:r w:rsidR="00DB2319">
        <w:rPr>
          <w:rFonts w:hint="cs"/>
          <w:sz w:val="24"/>
          <w:szCs w:val="24"/>
          <w:rtl/>
        </w:rPr>
        <w:t>נעשתה</w:t>
      </w:r>
      <w:r w:rsidRPr="00CD21CF">
        <w:rPr>
          <w:rFonts w:hint="cs"/>
          <w:sz w:val="24"/>
          <w:szCs w:val="24"/>
          <w:rtl/>
        </w:rPr>
        <w:t xml:space="preserve"> באופן מתוחכם</w:t>
      </w:r>
      <w:r w:rsidR="00DB2319">
        <w:rPr>
          <w:rFonts w:hint="cs"/>
          <w:sz w:val="24"/>
          <w:szCs w:val="24"/>
          <w:rtl/>
        </w:rPr>
        <w:t xml:space="preserve"> מאוד</w:t>
      </w:r>
      <w:r w:rsidRPr="00CD21CF">
        <w:rPr>
          <w:rFonts w:hint="cs"/>
          <w:sz w:val="24"/>
          <w:szCs w:val="24"/>
          <w:rtl/>
        </w:rPr>
        <w:t xml:space="preserve"> תוך כדי </w:t>
      </w:r>
      <w:r w:rsidR="00DB2319">
        <w:rPr>
          <w:rFonts w:hint="cs"/>
          <w:sz w:val="24"/>
          <w:szCs w:val="24"/>
          <w:rtl/>
        </w:rPr>
        <w:t>שימוש ב</w:t>
      </w:r>
      <w:r w:rsidRPr="00CD21CF">
        <w:rPr>
          <w:rFonts w:hint="cs"/>
          <w:sz w:val="24"/>
          <w:szCs w:val="24"/>
          <w:rtl/>
        </w:rPr>
        <w:t>כתיבה כאוטית ש</w:t>
      </w:r>
      <w:r w:rsidR="00DB2319">
        <w:rPr>
          <w:rFonts w:hint="cs"/>
          <w:sz w:val="24"/>
          <w:szCs w:val="24"/>
          <w:rtl/>
        </w:rPr>
        <w:t xml:space="preserve">משקפת </w:t>
      </w:r>
      <w:r w:rsidRPr="00CD21CF">
        <w:rPr>
          <w:rFonts w:hint="cs"/>
          <w:sz w:val="24"/>
          <w:szCs w:val="24"/>
          <w:rtl/>
        </w:rPr>
        <w:t>את התקופה הכאוטית שחטאיו גרמו.</w:t>
      </w:r>
      <w:r w:rsidRPr="00CD21CF">
        <w:rPr>
          <w:rStyle w:val="FootnoteReference"/>
          <w:sz w:val="24"/>
          <w:szCs w:val="24"/>
          <w:rtl/>
        </w:rPr>
        <w:footnoteReference w:id="21"/>
      </w:r>
      <w:r w:rsidRPr="00CD21CF">
        <w:rPr>
          <w:rFonts w:hint="cs"/>
          <w:sz w:val="24"/>
          <w:szCs w:val="24"/>
          <w:rtl/>
        </w:rPr>
        <w:t xml:space="preserve"> אחז חוטא בכל חטא אפשרי. הוא הולך בדרכם של מלכי ישראל; עושה מסכות לבעלים; הוא מבעיר את בניו באש; מזבח ומקטיר בבמות; זובח </w:t>
      </w:r>
      <w:proofErr w:type="spellStart"/>
      <w:r w:rsidRPr="00CD21CF">
        <w:rPr>
          <w:rFonts w:hint="cs"/>
          <w:sz w:val="24"/>
          <w:szCs w:val="24"/>
          <w:rtl/>
        </w:rPr>
        <w:t>לאלהי</w:t>
      </w:r>
      <w:proofErr w:type="spellEnd"/>
      <w:r w:rsidRPr="00CD21CF">
        <w:rPr>
          <w:rFonts w:hint="cs"/>
          <w:sz w:val="24"/>
          <w:szCs w:val="24"/>
          <w:rtl/>
        </w:rPr>
        <w:t xml:space="preserve"> </w:t>
      </w:r>
      <w:proofErr w:type="spellStart"/>
      <w:r w:rsidRPr="00CD21CF">
        <w:rPr>
          <w:rFonts w:hint="cs"/>
          <w:sz w:val="24"/>
          <w:szCs w:val="24"/>
          <w:rtl/>
        </w:rPr>
        <w:t>דרמשק</w:t>
      </w:r>
      <w:proofErr w:type="spellEnd"/>
      <w:r w:rsidRPr="00CD21CF">
        <w:rPr>
          <w:rFonts w:hint="cs"/>
          <w:sz w:val="24"/>
          <w:szCs w:val="24"/>
          <w:rtl/>
        </w:rPr>
        <w:t xml:space="preserve">; מקצץ את כלי בית המקדש; עושה לו מזבחות לעבודה זרה בירושלים וסוגר את דלתות ההיכל. להבדיל </w:t>
      </w:r>
      <w:r w:rsidR="00DB2319">
        <w:rPr>
          <w:rFonts w:hint="cs"/>
          <w:sz w:val="24"/>
          <w:szCs w:val="24"/>
          <w:rtl/>
        </w:rPr>
        <w:t>מיהורם ואחזיהו</w:t>
      </w:r>
      <w:r w:rsidRPr="00CD21CF">
        <w:rPr>
          <w:rFonts w:hint="cs"/>
          <w:sz w:val="24"/>
          <w:szCs w:val="24"/>
          <w:rtl/>
        </w:rPr>
        <w:t xml:space="preserve"> שאצלם מופיעה מסכת החטאים רק בתחילת הסיפור</w:t>
      </w:r>
      <w:r w:rsidR="00DB2319">
        <w:rPr>
          <w:rFonts w:hint="cs"/>
          <w:sz w:val="24"/>
          <w:szCs w:val="24"/>
          <w:rtl/>
        </w:rPr>
        <w:t>,</w:t>
      </w:r>
      <w:r w:rsidRPr="00CD21CF">
        <w:rPr>
          <w:rFonts w:hint="cs"/>
          <w:sz w:val="24"/>
          <w:szCs w:val="24"/>
          <w:rtl/>
        </w:rPr>
        <w:t xml:space="preserve"> אצל אחז היא מופיעה בתחילתו ובסופו ובכך נוצרת תחושה כי הוא מעולם לא הפסיק לחטוא. </w:t>
      </w:r>
    </w:p>
    <w:p w14:paraId="13208109" w14:textId="77777777" w:rsidR="00CD21CF" w:rsidRPr="00CD21CF" w:rsidRDefault="00CD21CF" w:rsidP="00A037AA">
      <w:pPr>
        <w:spacing w:line="480" w:lineRule="auto"/>
        <w:rPr>
          <w:sz w:val="24"/>
          <w:szCs w:val="24"/>
          <w:rtl/>
        </w:rPr>
      </w:pPr>
      <w:r w:rsidRPr="00CD21CF">
        <w:rPr>
          <w:rFonts w:hint="cs"/>
          <w:sz w:val="24"/>
          <w:szCs w:val="24"/>
          <w:rtl/>
        </w:rPr>
        <w:t xml:space="preserve">מסכת חטאים כה רבה מביאה עמה מסכת גדולה מאוד של עונשים. יש לשים לב כי </w:t>
      </w:r>
      <w:proofErr w:type="spellStart"/>
      <w:r w:rsidRPr="00CD21CF">
        <w:rPr>
          <w:rFonts w:hint="cs"/>
          <w:sz w:val="24"/>
          <w:szCs w:val="24"/>
          <w:rtl/>
        </w:rPr>
        <w:t>הכרוניסט</w:t>
      </w:r>
      <w:proofErr w:type="spellEnd"/>
      <w:r w:rsidRPr="00CD21CF">
        <w:rPr>
          <w:rFonts w:hint="cs"/>
          <w:sz w:val="24"/>
          <w:szCs w:val="24"/>
          <w:rtl/>
        </w:rPr>
        <w:t xml:space="preserve"> מקפיד לנמק בהסברים תיאולוגיים את העונשים הללו בהתאם לתורת הגמול: ״בעזבם את ה׳ </w:t>
      </w:r>
      <w:proofErr w:type="spellStart"/>
      <w:r w:rsidRPr="00CD21CF">
        <w:rPr>
          <w:rFonts w:hint="cs"/>
          <w:sz w:val="24"/>
          <w:szCs w:val="24"/>
          <w:rtl/>
        </w:rPr>
        <w:t>אלהי</w:t>
      </w:r>
      <w:proofErr w:type="spellEnd"/>
      <w:r w:rsidRPr="00CD21CF">
        <w:rPr>
          <w:rFonts w:hint="cs"/>
          <w:sz w:val="24"/>
          <w:szCs w:val="24"/>
          <w:rtl/>
        </w:rPr>
        <w:t xml:space="preserve"> </w:t>
      </w:r>
      <w:proofErr w:type="spellStart"/>
      <w:r w:rsidRPr="00CD21CF">
        <w:rPr>
          <w:rFonts w:hint="cs"/>
          <w:sz w:val="24"/>
          <w:szCs w:val="24"/>
          <w:rtl/>
        </w:rPr>
        <w:t>אבותם</w:t>
      </w:r>
      <w:proofErr w:type="spellEnd"/>
      <w:r w:rsidRPr="00CD21CF">
        <w:rPr>
          <w:rFonts w:hint="cs"/>
          <w:sz w:val="24"/>
          <w:szCs w:val="24"/>
          <w:rtl/>
        </w:rPr>
        <w:t xml:space="preserve">״; ״כי הכניע ה׳ את יהודה בעבור אחז מלך ישראל כי הפריע ביהודה ומעול מעל בה׳״. אחז מובס בידי מלך ארם ובידי מלך ישראל; בנו מעשיהו וכמה נושאי תפקיד בממלכה נהרגים; האדומים מכים בו; הפלישתים נוגסים חלקים נכבדים מממלכתו; האשורים שאליהם פנה לעזרה לוחצים אותו במקום לעזור לו. </w:t>
      </w:r>
    </w:p>
    <w:p w14:paraId="4ABC36BF" w14:textId="77777777" w:rsidR="00DB2319" w:rsidRDefault="00DB2319" w:rsidP="00DB2319">
      <w:pPr>
        <w:spacing w:line="480" w:lineRule="auto"/>
        <w:rPr>
          <w:sz w:val="24"/>
          <w:szCs w:val="24"/>
          <w:rtl/>
        </w:rPr>
      </w:pPr>
      <w:r>
        <w:rPr>
          <w:rFonts w:hint="cs"/>
          <w:sz w:val="24"/>
          <w:szCs w:val="24"/>
          <w:rtl/>
        </w:rPr>
        <w:t xml:space="preserve">יושם לב כי </w:t>
      </w:r>
      <w:r w:rsidR="00CD21CF" w:rsidRPr="00CD21CF">
        <w:rPr>
          <w:rFonts w:hint="cs"/>
          <w:sz w:val="24"/>
          <w:szCs w:val="24"/>
          <w:rtl/>
        </w:rPr>
        <w:t xml:space="preserve">כל  העונשים הללו מכוונים כלפי יהודה, באופן מפתיע וחריג אחז עצמו לא ניזוק. </w:t>
      </w:r>
      <w:proofErr w:type="spellStart"/>
      <w:r w:rsidR="00CD21CF" w:rsidRPr="00CD21CF">
        <w:rPr>
          <w:rFonts w:hint="cs"/>
          <w:sz w:val="24"/>
          <w:szCs w:val="24"/>
          <w:rtl/>
        </w:rPr>
        <w:t>הכרוניסט</w:t>
      </w:r>
      <w:proofErr w:type="spellEnd"/>
      <w:r w:rsidR="00CD21CF" w:rsidRPr="00CD21CF">
        <w:rPr>
          <w:rFonts w:hint="cs"/>
          <w:sz w:val="24"/>
          <w:szCs w:val="24"/>
          <w:rtl/>
        </w:rPr>
        <w:t xml:space="preserve"> לא בא </w:t>
      </w:r>
      <w:proofErr w:type="spellStart"/>
      <w:r w:rsidR="00CD21CF" w:rsidRPr="00CD21CF">
        <w:rPr>
          <w:rFonts w:hint="cs"/>
          <w:sz w:val="24"/>
          <w:szCs w:val="24"/>
          <w:rtl/>
        </w:rPr>
        <w:t>עימו</w:t>
      </w:r>
      <w:proofErr w:type="spellEnd"/>
      <w:r w:rsidR="00CD21CF" w:rsidRPr="00CD21CF">
        <w:rPr>
          <w:rFonts w:hint="cs"/>
          <w:sz w:val="24"/>
          <w:szCs w:val="24"/>
          <w:rtl/>
        </w:rPr>
        <w:t xml:space="preserve"> חשבון ואינו מקצר את ימיו במיתה בלתי צפויה, להפך: הוא מתאר את מיתתו של אחז בנוסחת ״וישכב עם אבותיו״ ששמורה בדרך כלל למלכים צדיקים או לפחות לאלו שיש להם זכויות. </w:t>
      </w:r>
      <w:r>
        <w:rPr>
          <w:rFonts w:hint="cs"/>
          <w:sz w:val="24"/>
          <w:szCs w:val="24"/>
          <w:rtl/>
        </w:rPr>
        <w:t>אין צורך לומר עד כמה חריגה התופעה הזו ביחס למלכים אחרים</w:t>
      </w:r>
      <w:r w:rsidR="00CD21CF" w:rsidRPr="00CD21CF">
        <w:rPr>
          <w:rFonts w:hint="cs"/>
          <w:sz w:val="24"/>
          <w:szCs w:val="24"/>
          <w:rtl/>
        </w:rPr>
        <w:t xml:space="preserve">. רובם </w:t>
      </w:r>
      <w:r>
        <w:rPr>
          <w:rFonts w:hint="cs"/>
          <w:sz w:val="24"/>
          <w:szCs w:val="24"/>
          <w:rtl/>
        </w:rPr>
        <w:t xml:space="preserve">המכריע </w:t>
      </w:r>
      <w:r w:rsidR="00CD21CF" w:rsidRPr="00CD21CF">
        <w:rPr>
          <w:rFonts w:hint="cs"/>
          <w:sz w:val="24"/>
          <w:szCs w:val="24"/>
          <w:rtl/>
        </w:rPr>
        <w:t xml:space="preserve">של מלכי יהודה שחטאו, בין אם רק בסוף חייהם ובין אם בכל חייהם, מתו שלא באופן טבעי. אפשר לציין בהקשר זה את אסא (דה״ב </w:t>
      </w:r>
      <w:proofErr w:type="spellStart"/>
      <w:r w:rsidR="00CD21CF" w:rsidRPr="00CD21CF">
        <w:rPr>
          <w:rFonts w:hint="cs"/>
          <w:sz w:val="24"/>
          <w:szCs w:val="24"/>
          <w:rtl/>
        </w:rPr>
        <w:t>טז</w:t>
      </w:r>
      <w:proofErr w:type="spellEnd"/>
      <w:r w:rsidR="00CD21CF" w:rsidRPr="00CD21CF">
        <w:rPr>
          <w:rFonts w:hint="cs"/>
          <w:sz w:val="24"/>
          <w:szCs w:val="24"/>
          <w:rtl/>
        </w:rPr>
        <w:t xml:space="preserve"> 12); יהורם </w:t>
      </w:r>
      <w:r w:rsidR="00CD21CF" w:rsidRPr="00CD21CF">
        <w:rPr>
          <w:rFonts w:hint="cs"/>
          <w:sz w:val="24"/>
          <w:szCs w:val="24"/>
          <w:rtl/>
        </w:rPr>
        <w:lastRenderedPageBreak/>
        <w:t>(</w:t>
      </w:r>
      <w:proofErr w:type="spellStart"/>
      <w:r w:rsidR="00CD21CF" w:rsidRPr="00CD21CF">
        <w:rPr>
          <w:rFonts w:hint="cs"/>
          <w:sz w:val="24"/>
          <w:szCs w:val="24"/>
          <w:rtl/>
        </w:rPr>
        <w:t>כא</w:t>
      </w:r>
      <w:proofErr w:type="spellEnd"/>
      <w:r w:rsidR="00CD21CF" w:rsidRPr="00CD21CF">
        <w:rPr>
          <w:rFonts w:hint="cs"/>
          <w:sz w:val="24"/>
          <w:szCs w:val="24"/>
          <w:rtl/>
        </w:rPr>
        <w:t xml:space="preserve"> 19); אחזיהו (</w:t>
      </w:r>
      <w:proofErr w:type="spellStart"/>
      <w:r w:rsidR="00CD21CF" w:rsidRPr="00CD21CF">
        <w:rPr>
          <w:rFonts w:hint="cs"/>
          <w:sz w:val="24"/>
          <w:szCs w:val="24"/>
          <w:rtl/>
        </w:rPr>
        <w:t>כב</w:t>
      </w:r>
      <w:proofErr w:type="spellEnd"/>
      <w:r w:rsidR="00CD21CF" w:rsidRPr="00CD21CF">
        <w:rPr>
          <w:rFonts w:hint="cs"/>
          <w:sz w:val="24"/>
          <w:szCs w:val="24"/>
          <w:rtl/>
        </w:rPr>
        <w:t xml:space="preserve"> 9); יהואש (כד 25); אמציהו (כה 27); עוזיהו (</w:t>
      </w:r>
      <w:proofErr w:type="spellStart"/>
      <w:r w:rsidR="00CD21CF" w:rsidRPr="00CD21CF">
        <w:rPr>
          <w:rFonts w:hint="cs"/>
          <w:sz w:val="24"/>
          <w:szCs w:val="24"/>
          <w:rtl/>
        </w:rPr>
        <w:t>כו</w:t>
      </w:r>
      <w:proofErr w:type="spellEnd"/>
      <w:r w:rsidR="00CD21CF" w:rsidRPr="00CD21CF">
        <w:rPr>
          <w:rFonts w:hint="cs"/>
          <w:sz w:val="24"/>
          <w:szCs w:val="24"/>
          <w:rtl/>
        </w:rPr>
        <w:t xml:space="preserve"> 21); אמון (לג 24). אפילו יאשיהו </w:t>
      </w:r>
      <w:r>
        <w:rPr>
          <w:rFonts w:hint="cs"/>
          <w:sz w:val="24"/>
          <w:szCs w:val="24"/>
          <w:rtl/>
        </w:rPr>
        <w:t xml:space="preserve">הצדיק הגדול </w:t>
      </w:r>
      <w:r w:rsidR="00CD21CF" w:rsidRPr="00CD21CF">
        <w:rPr>
          <w:rFonts w:hint="cs"/>
          <w:sz w:val="24"/>
          <w:szCs w:val="24"/>
          <w:rtl/>
        </w:rPr>
        <w:t>מת מוות לא טבעי מפני שיצא להילחם בפרעה נכה ולא שמע את דברי האלוהים.</w:t>
      </w:r>
      <w:r w:rsidR="00CD21CF" w:rsidRPr="00CD21CF">
        <w:rPr>
          <w:rStyle w:val="FootnoteReference"/>
          <w:sz w:val="24"/>
          <w:szCs w:val="24"/>
          <w:rtl/>
        </w:rPr>
        <w:footnoteReference w:id="22"/>
      </w:r>
      <w:r w:rsidR="00CD21CF" w:rsidRPr="00CD21CF">
        <w:rPr>
          <w:rFonts w:hint="cs"/>
          <w:sz w:val="24"/>
          <w:szCs w:val="24"/>
          <w:rtl/>
        </w:rPr>
        <w:t xml:space="preserve"> </w:t>
      </w:r>
    </w:p>
    <w:p w14:paraId="465866DF" w14:textId="1859F0F6" w:rsidR="00CD21CF" w:rsidRPr="00CD21CF" w:rsidRDefault="00CD21CF" w:rsidP="00DB2319">
      <w:pPr>
        <w:spacing w:line="480" w:lineRule="auto"/>
        <w:rPr>
          <w:sz w:val="24"/>
          <w:szCs w:val="24"/>
          <w:rtl/>
        </w:rPr>
      </w:pPr>
      <w:r w:rsidRPr="00CD21CF">
        <w:rPr>
          <w:rFonts w:hint="cs"/>
          <w:sz w:val="24"/>
          <w:szCs w:val="24"/>
          <w:rtl/>
        </w:rPr>
        <w:t xml:space="preserve">רק לאחר מותו בא </w:t>
      </w:r>
      <w:proofErr w:type="spellStart"/>
      <w:r w:rsidRPr="00CD21CF">
        <w:rPr>
          <w:rFonts w:hint="cs"/>
          <w:sz w:val="24"/>
          <w:szCs w:val="24"/>
          <w:rtl/>
        </w:rPr>
        <w:t>הכרוניסט</w:t>
      </w:r>
      <w:proofErr w:type="spellEnd"/>
      <w:r w:rsidRPr="00CD21CF">
        <w:rPr>
          <w:rFonts w:hint="cs"/>
          <w:sz w:val="24"/>
          <w:szCs w:val="24"/>
          <w:rtl/>
        </w:rPr>
        <w:t xml:space="preserve"> חשבון עם אחז כאשר קבע כי מקום קבורתו לא היה בקברות מלכי בית דוד בירושלים.</w:t>
      </w:r>
      <w:r w:rsidRPr="00CD21CF">
        <w:rPr>
          <w:rStyle w:val="FootnoteReference"/>
          <w:sz w:val="24"/>
          <w:szCs w:val="24"/>
          <w:rtl/>
        </w:rPr>
        <w:footnoteReference w:id="23"/>
      </w:r>
      <w:r w:rsidRPr="00CD21CF">
        <w:rPr>
          <w:rFonts w:hint="cs"/>
          <w:sz w:val="24"/>
          <w:szCs w:val="24"/>
          <w:rtl/>
        </w:rPr>
        <w:t xml:space="preserve"> </w:t>
      </w:r>
      <w:r w:rsidR="00DB2319" w:rsidRPr="00DB2319">
        <w:rPr>
          <w:sz w:val="24"/>
          <w:szCs w:val="24"/>
          <w:rtl/>
        </w:rPr>
        <w:t>אין מנוס מלחתום סקירה</w:t>
      </w:r>
      <w:r w:rsidR="00DB2319">
        <w:rPr>
          <w:rFonts w:hint="cs"/>
          <w:sz w:val="24"/>
          <w:szCs w:val="24"/>
          <w:rtl/>
        </w:rPr>
        <w:t xml:space="preserve"> קצרה</w:t>
      </w:r>
      <w:r w:rsidR="00DB2319" w:rsidRPr="00DB2319">
        <w:rPr>
          <w:sz w:val="24"/>
          <w:szCs w:val="24"/>
          <w:rtl/>
        </w:rPr>
        <w:t xml:space="preserve"> זו שוב בשאלה: מדוע זוכה אחז למיתה שרק </w:t>
      </w:r>
      <w:r w:rsidR="00DB2319">
        <w:rPr>
          <w:rFonts w:hint="cs"/>
          <w:sz w:val="24"/>
          <w:szCs w:val="24"/>
          <w:rtl/>
        </w:rPr>
        <w:t xml:space="preserve">מלכים </w:t>
      </w:r>
      <w:r w:rsidR="00DB2319" w:rsidRPr="00DB2319">
        <w:rPr>
          <w:sz w:val="24"/>
          <w:szCs w:val="24"/>
          <w:rtl/>
        </w:rPr>
        <w:t>מעטים זכו לה בספר דה״י?</w:t>
      </w:r>
    </w:p>
    <w:p w14:paraId="486F510D" w14:textId="77777777" w:rsidR="00CD21CF" w:rsidRPr="00CD21CF" w:rsidRDefault="00CD21CF" w:rsidP="004B1A51">
      <w:pPr>
        <w:spacing w:line="480" w:lineRule="auto"/>
        <w:rPr>
          <w:sz w:val="24"/>
          <w:szCs w:val="24"/>
          <w:rtl/>
        </w:rPr>
      </w:pPr>
    </w:p>
    <w:p w14:paraId="718549F8" w14:textId="77777777" w:rsidR="00CD21CF" w:rsidRPr="00CD21CF" w:rsidRDefault="00CD21CF" w:rsidP="00A037AA">
      <w:pPr>
        <w:spacing w:line="480" w:lineRule="auto"/>
        <w:rPr>
          <w:b/>
          <w:bCs/>
          <w:sz w:val="24"/>
          <w:szCs w:val="24"/>
          <w:rtl/>
        </w:rPr>
      </w:pPr>
      <w:r w:rsidRPr="00CD21CF">
        <w:rPr>
          <w:rFonts w:hint="cs"/>
          <w:b/>
          <w:bCs/>
          <w:sz w:val="24"/>
          <w:szCs w:val="24"/>
          <w:rtl/>
        </w:rPr>
        <w:t>יהורם, אחזיהו ואחז</w:t>
      </w:r>
    </w:p>
    <w:p w14:paraId="26BB57B1" w14:textId="110C0E10" w:rsidR="00443FC9" w:rsidRPr="00CD21CF" w:rsidRDefault="00DB2319" w:rsidP="00DB2319">
      <w:pPr>
        <w:spacing w:line="480" w:lineRule="auto"/>
        <w:rPr>
          <w:sz w:val="24"/>
          <w:szCs w:val="24"/>
          <w:rtl/>
        </w:rPr>
      </w:pPr>
      <w:r w:rsidRPr="00DB2319">
        <w:rPr>
          <w:sz w:val="24"/>
          <w:szCs w:val="24"/>
          <w:rtl/>
        </w:rPr>
        <w:t xml:space="preserve">בטבלה להלן </w:t>
      </w:r>
      <w:r>
        <w:rPr>
          <w:rFonts w:hint="cs"/>
          <w:sz w:val="24"/>
          <w:szCs w:val="24"/>
          <w:rtl/>
        </w:rPr>
        <w:t xml:space="preserve">מוצג </w:t>
      </w:r>
      <w:r w:rsidRPr="00DB2319">
        <w:rPr>
          <w:sz w:val="24"/>
          <w:szCs w:val="24"/>
          <w:rtl/>
        </w:rPr>
        <w:t>סיכום קצר של סיפור המסגרת של  כל אחד משלושת המלכים לעיל:</w:t>
      </w:r>
    </w:p>
    <w:tbl>
      <w:tblPr>
        <w:tblStyle w:val="TableGrid"/>
        <w:bidiVisual/>
        <w:tblW w:w="0" w:type="auto"/>
        <w:tblLook w:val="04A0" w:firstRow="1" w:lastRow="0" w:firstColumn="1" w:lastColumn="0" w:noHBand="0" w:noVBand="1"/>
      </w:tblPr>
      <w:tblGrid>
        <w:gridCol w:w="2057"/>
        <w:gridCol w:w="2551"/>
        <w:gridCol w:w="1600"/>
        <w:gridCol w:w="1633"/>
        <w:gridCol w:w="1169"/>
      </w:tblGrid>
      <w:tr w:rsidR="009771C8" w:rsidRPr="00CD21CF" w14:paraId="5D928197" w14:textId="77777777" w:rsidTr="009771C8">
        <w:tc>
          <w:tcPr>
            <w:tcW w:w="2057" w:type="dxa"/>
          </w:tcPr>
          <w:p w14:paraId="6A0D5E03" w14:textId="77777777" w:rsidR="009771C8" w:rsidRPr="00CD21CF" w:rsidRDefault="009771C8" w:rsidP="00A037AA">
            <w:pPr>
              <w:spacing w:line="480" w:lineRule="auto"/>
              <w:rPr>
                <w:sz w:val="24"/>
                <w:szCs w:val="24"/>
                <w:rtl/>
              </w:rPr>
            </w:pPr>
          </w:p>
        </w:tc>
        <w:tc>
          <w:tcPr>
            <w:tcW w:w="2551" w:type="dxa"/>
          </w:tcPr>
          <w:p w14:paraId="7C1FE4F5" w14:textId="5B5BC124" w:rsidR="009771C8" w:rsidRPr="00CD21CF" w:rsidRDefault="009771C8" w:rsidP="00A037AA">
            <w:pPr>
              <w:spacing w:line="480" w:lineRule="auto"/>
              <w:rPr>
                <w:sz w:val="24"/>
                <w:szCs w:val="24"/>
                <w:rtl/>
              </w:rPr>
            </w:pPr>
          </w:p>
        </w:tc>
        <w:tc>
          <w:tcPr>
            <w:tcW w:w="1600" w:type="dxa"/>
          </w:tcPr>
          <w:p w14:paraId="6E9F8C07" w14:textId="77777777" w:rsidR="009771C8" w:rsidRPr="00CD21CF" w:rsidRDefault="009771C8" w:rsidP="00A037AA">
            <w:pPr>
              <w:spacing w:line="480" w:lineRule="auto"/>
              <w:rPr>
                <w:b/>
                <w:bCs/>
                <w:sz w:val="24"/>
                <w:szCs w:val="24"/>
                <w:rtl/>
              </w:rPr>
            </w:pPr>
            <w:r w:rsidRPr="00CD21CF">
              <w:rPr>
                <w:rFonts w:hint="cs"/>
                <w:b/>
                <w:bCs/>
                <w:sz w:val="24"/>
                <w:szCs w:val="24"/>
                <w:rtl/>
              </w:rPr>
              <w:t>יהורם</w:t>
            </w:r>
          </w:p>
        </w:tc>
        <w:tc>
          <w:tcPr>
            <w:tcW w:w="1633" w:type="dxa"/>
          </w:tcPr>
          <w:p w14:paraId="79CBE0A6" w14:textId="77777777" w:rsidR="009771C8" w:rsidRPr="00CD21CF" w:rsidRDefault="009771C8" w:rsidP="00A037AA">
            <w:pPr>
              <w:spacing w:line="480" w:lineRule="auto"/>
              <w:rPr>
                <w:b/>
                <w:bCs/>
                <w:sz w:val="24"/>
                <w:szCs w:val="24"/>
                <w:rtl/>
              </w:rPr>
            </w:pPr>
            <w:r w:rsidRPr="00CD21CF">
              <w:rPr>
                <w:rFonts w:hint="cs"/>
                <w:b/>
                <w:bCs/>
                <w:sz w:val="24"/>
                <w:szCs w:val="24"/>
                <w:rtl/>
              </w:rPr>
              <w:t>אחזיהו</w:t>
            </w:r>
          </w:p>
        </w:tc>
        <w:tc>
          <w:tcPr>
            <w:tcW w:w="1169" w:type="dxa"/>
          </w:tcPr>
          <w:p w14:paraId="1D76471A" w14:textId="77777777" w:rsidR="009771C8" w:rsidRPr="00CD21CF" w:rsidRDefault="009771C8" w:rsidP="00A037AA">
            <w:pPr>
              <w:spacing w:line="480" w:lineRule="auto"/>
              <w:rPr>
                <w:b/>
                <w:bCs/>
                <w:sz w:val="24"/>
                <w:szCs w:val="24"/>
                <w:rtl/>
              </w:rPr>
            </w:pPr>
            <w:r w:rsidRPr="00CD21CF">
              <w:rPr>
                <w:rFonts w:hint="cs"/>
                <w:b/>
                <w:bCs/>
                <w:sz w:val="24"/>
                <w:szCs w:val="24"/>
                <w:rtl/>
              </w:rPr>
              <w:t>אחז</w:t>
            </w:r>
          </w:p>
        </w:tc>
      </w:tr>
      <w:tr w:rsidR="009771C8" w:rsidRPr="00CD21CF" w14:paraId="53DB4570" w14:textId="77777777" w:rsidTr="009771C8">
        <w:tc>
          <w:tcPr>
            <w:tcW w:w="2057" w:type="dxa"/>
          </w:tcPr>
          <w:p w14:paraId="3236CC53" w14:textId="14327312" w:rsidR="009771C8" w:rsidRPr="00CD21CF" w:rsidRDefault="009771C8" w:rsidP="00A037AA">
            <w:pPr>
              <w:spacing w:line="480" w:lineRule="auto"/>
              <w:rPr>
                <w:sz w:val="24"/>
                <w:szCs w:val="24"/>
                <w:rtl/>
              </w:rPr>
            </w:pPr>
            <w:r>
              <w:rPr>
                <w:rFonts w:hint="cs"/>
                <w:sz w:val="24"/>
                <w:szCs w:val="24"/>
                <w:rtl/>
              </w:rPr>
              <w:t>החטא</w:t>
            </w:r>
          </w:p>
        </w:tc>
        <w:tc>
          <w:tcPr>
            <w:tcW w:w="2551" w:type="dxa"/>
          </w:tcPr>
          <w:p w14:paraId="58827331" w14:textId="1DDC946D" w:rsidR="009771C8" w:rsidRPr="00CD21CF" w:rsidRDefault="009771C8" w:rsidP="00A037AA">
            <w:pPr>
              <w:spacing w:line="480" w:lineRule="auto"/>
              <w:rPr>
                <w:sz w:val="24"/>
                <w:szCs w:val="24"/>
                <w:rtl/>
              </w:rPr>
            </w:pPr>
            <w:r w:rsidRPr="00CD21CF">
              <w:rPr>
                <w:rFonts w:hint="cs"/>
                <w:sz w:val="24"/>
                <w:szCs w:val="24"/>
                <w:rtl/>
              </w:rPr>
              <w:t>״וילך בדרכי מלכי ישראל/אחאב״</w:t>
            </w:r>
          </w:p>
        </w:tc>
        <w:tc>
          <w:tcPr>
            <w:tcW w:w="1600" w:type="dxa"/>
          </w:tcPr>
          <w:p w14:paraId="1F8A09E0" w14:textId="77777777" w:rsidR="009771C8" w:rsidRPr="00CD21CF" w:rsidRDefault="009771C8" w:rsidP="00A037AA">
            <w:pPr>
              <w:spacing w:line="480" w:lineRule="auto"/>
              <w:rPr>
                <w:sz w:val="24"/>
                <w:szCs w:val="24"/>
                <w:rtl/>
              </w:rPr>
            </w:pPr>
            <w:proofErr w:type="spellStart"/>
            <w:r w:rsidRPr="00CD21CF">
              <w:rPr>
                <w:rFonts w:hint="cs"/>
                <w:sz w:val="24"/>
                <w:szCs w:val="24"/>
                <w:rtl/>
              </w:rPr>
              <w:t>כא</w:t>
            </w:r>
            <w:proofErr w:type="spellEnd"/>
            <w:r w:rsidRPr="00CD21CF">
              <w:rPr>
                <w:rFonts w:hint="cs"/>
                <w:sz w:val="24"/>
                <w:szCs w:val="24"/>
                <w:rtl/>
              </w:rPr>
              <w:t xml:space="preserve"> 6</w:t>
            </w:r>
          </w:p>
        </w:tc>
        <w:tc>
          <w:tcPr>
            <w:tcW w:w="1633" w:type="dxa"/>
          </w:tcPr>
          <w:p w14:paraId="0DA99F82" w14:textId="77777777" w:rsidR="009771C8" w:rsidRPr="00CD21CF" w:rsidRDefault="009771C8" w:rsidP="00A037AA">
            <w:pPr>
              <w:spacing w:line="480" w:lineRule="auto"/>
              <w:rPr>
                <w:sz w:val="24"/>
                <w:szCs w:val="24"/>
                <w:rtl/>
              </w:rPr>
            </w:pPr>
            <w:proofErr w:type="spellStart"/>
            <w:r w:rsidRPr="00CD21CF">
              <w:rPr>
                <w:rFonts w:hint="cs"/>
                <w:sz w:val="24"/>
                <w:szCs w:val="24"/>
                <w:rtl/>
              </w:rPr>
              <w:t>כב</w:t>
            </w:r>
            <w:proofErr w:type="spellEnd"/>
            <w:r w:rsidRPr="00CD21CF">
              <w:rPr>
                <w:rFonts w:hint="cs"/>
                <w:sz w:val="24"/>
                <w:szCs w:val="24"/>
                <w:rtl/>
              </w:rPr>
              <w:t xml:space="preserve"> 3</w:t>
            </w:r>
          </w:p>
        </w:tc>
        <w:tc>
          <w:tcPr>
            <w:tcW w:w="1169" w:type="dxa"/>
          </w:tcPr>
          <w:p w14:paraId="3F58FC7E" w14:textId="77777777" w:rsidR="009771C8" w:rsidRPr="00CD21CF" w:rsidRDefault="009771C8" w:rsidP="00A037AA">
            <w:pPr>
              <w:spacing w:line="480" w:lineRule="auto"/>
              <w:rPr>
                <w:sz w:val="24"/>
                <w:szCs w:val="24"/>
                <w:rtl/>
              </w:rPr>
            </w:pPr>
            <w:proofErr w:type="spellStart"/>
            <w:r w:rsidRPr="00CD21CF">
              <w:rPr>
                <w:rFonts w:hint="cs"/>
                <w:sz w:val="24"/>
                <w:szCs w:val="24"/>
                <w:rtl/>
              </w:rPr>
              <w:t>כח</w:t>
            </w:r>
            <w:proofErr w:type="spellEnd"/>
            <w:r w:rsidRPr="00CD21CF">
              <w:rPr>
                <w:rFonts w:hint="cs"/>
                <w:sz w:val="24"/>
                <w:szCs w:val="24"/>
                <w:rtl/>
              </w:rPr>
              <w:t xml:space="preserve"> 2</w:t>
            </w:r>
          </w:p>
        </w:tc>
      </w:tr>
      <w:tr w:rsidR="009771C8" w:rsidRPr="00CD21CF" w14:paraId="5E14F910" w14:textId="77777777" w:rsidTr="009771C8">
        <w:tc>
          <w:tcPr>
            <w:tcW w:w="2057" w:type="dxa"/>
            <w:vMerge w:val="restart"/>
          </w:tcPr>
          <w:p w14:paraId="49AF74E3" w14:textId="7B7BB276" w:rsidR="009771C8" w:rsidRPr="00CD21CF" w:rsidRDefault="009771C8" w:rsidP="00A037AA">
            <w:pPr>
              <w:spacing w:line="480" w:lineRule="auto"/>
              <w:rPr>
                <w:sz w:val="24"/>
                <w:szCs w:val="24"/>
                <w:rtl/>
              </w:rPr>
            </w:pPr>
            <w:r>
              <w:rPr>
                <w:rFonts w:hint="cs"/>
                <w:sz w:val="24"/>
                <w:szCs w:val="24"/>
                <w:rtl/>
              </w:rPr>
              <w:t>ועונשו</w:t>
            </w:r>
          </w:p>
        </w:tc>
        <w:tc>
          <w:tcPr>
            <w:tcW w:w="2551" w:type="dxa"/>
          </w:tcPr>
          <w:p w14:paraId="1E03C776" w14:textId="7B4964DD" w:rsidR="009771C8" w:rsidRPr="00CD21CF" w:rsidRDefault="009771C8" w:rsidP="00A037AA">
            <w:pPr>
              <w:spacing w:line="480" w:lineRule="auto"/>
              <w:rPr>
                <w:sz w:val="24"/>
                <w:szCs w:val="24"/>
                <w:rtl/>
              </w:rPr>
            </w:pPr>
            <w:r w:rsidRPr="00CD21CF">
              <w:rPr>
                <w:rFonts w:hint="cs"/>
                <w:sz w:val="24"/>
                <w:szCs w:val="24"/>
                <w:rtl/>
              </w:rPr>
              <w:t>תבוסה במלחמה</w:t>
            </w:r>
          </w:p>
        </w:tc>
        <w:tc>
          <w:tcPr>
            <w:tcW w:w="1600" w:type="dxa"/>
          </w:tcPr>
          <w:p w14:paraId="1207B151" w14:textId="77777777" w:rsidR="009771C8" w:rsidRPr="00CD21CF" w:rsidRDefault="009771C8" w:rsidP="00A037AA">
            <w:pPr>
              <w:spacing w:line="480" w:lineRule="auto"/>
              <w:rPr>
                <w:sz w:val="24"/>
                <w:szCs w:val="24"/>
                <w:rtl/>
              </w:rPr>
            </w:pPr>
            <w:proofErr w:type="spellStart"/>
            <w:r w:rsidRPr="00CD21CF">
              <w:rPr>
                <w:rFonts w:hint="cs"/>
                <w:sz w:val="24"/>
                <w:szCs w:val="24"/>
                <w:rtl/>
              </w:rPr>
              <w:t>כא</w:t>
            </w:r>
            <w:proofErr w:type="spellEnd"/>
            <w:r w:rsidRPr="00CD21CF">
              <w:rPr>
                <w:rFonts w:hint="cs"/>
                <w:sz w:val="24"/>
                <w:szCs w:val="24"/>
                <w:rtl/>
              </w:rPr>
              <w:t xml:space="preserve"> 17</w:t>
            </w:r>
          </w:p>
        </w:tc>
        <w:tc>
          <w:tcPr>
            <w:tcW w:w="1633" w:type="dxa"/>
          </w:tcPr>
          <w:p w14:paraId="4C2A33C9" w14:textId="77777777" w:rsidR="009771C8" w:rsidRPr="00CD21CF" w:rsidRDefault="009771C8" w:rsidP="00A037AA">
            <w:pPr>
              <w:spacing w:line="480" w:lineRule="auto"/>
              <w:rPr>
                <w:sz w:val="24"/>
                <w:szCs w:val="24"/>
                <w:rtl/>
              </w:rPr>
            </w:pPr>
            <w:proofErr w:type="spellStart"/>
            <w:r w:rsidRPr="00CD21CF">
              <w:rPr>
                <w:rFonts w:hint="cs"/>
                <w:sz w:val="24"/>
                <w:szCs w:val="24"/>
                <w:rtl/>
              </w:rPr>
              <w:t>כב</w:t>
            </w:r>
            <w:proofErr w:type="spellEnd"/>
            <w:r w:rsidRPr="00CD21CF">
              <w:rPr>
                <w:rFonts w:hint="cs"/>
                <w:sz w:val="24"/>
                <w:szCs w:val="24"/>
                <w:rtl/>
              </w:rPr>
              <w:t xml:space="preserve"> 5</w:t>
            </w:r>
          </w:p>
        </w:tc>
        <w:tc>
          <w:tcPr>
            <w:tcW w:w="1169" w:type="dxa"/>
          </w:tcPr>
          <w:p w14:paraId="0A118B2D" w14:textId="77777777" w:rsidR="009771C8" w:rsidRPr="00CD21CF" w:rsidRDefault="009771C8" w:rsidP="00A037AA">
            <w:pPr>
              <w:spacing w:line="480" w:lineRule="auto"/>
              <w:rPr>
                <w:sz w:val="24"/>
                <w:szCs w:val="24"/>
                <w:rtl/>
              </w:rPr>
            </w:pPr>
            <w:proofErr w:type="spellStart"/>
            <w:r w:rsidRPr="00CD21CF">
              <w:rPr>
                <w:rFonts w:hint="cs"/>
                <w:sz w:val="24"/>
                <w:szCs w:val="24"/>
                <w:rtl/>
              </w:rPr>
              <w:t>כח</w:t>
            </w:r>
            <w:proofErr w:type="spellEnd"/>
            <w:r w:rsidRPr="00CD21CF">
              <w:rPr>
                <w:rFonts w:hint="cs"/>
                <w:sz w:val="24"/>
                <w:szCs w:val="24"/>
                <w:rtl/>
              </w:rPr>
              <w:t xml:space="preserve"> 7-5</w:t>
            </w:r>
          </w:p>
        </w:tc>
      </w:tr>
      <w:tr w:rsidR="009771C8" w:rsidRPr="00CD21CF" w14:paraId="35F49C0E" w14:textId="77777777" w:rsidTr="009771C8">
        <w:tc>
          <w:tcPr>
            <w:tcW w:w="2057" w:type="dxa"/>
            <w:vMerge/>
          </w:tcPr>
          <w:p w14:paraId="5D2ED664" w14:textId="77777777" w:rsidR="009771C8" w:rsidRPr="00CD21CF" w:rsidRDefault="009771C8" w:rsidP="00A037AA">
            <w:pPr>
              <w:spacing w:line="480" w:lineRule="auto"/>
              <w:rPr>
                <w:sz w:val="24"/>
                <w:szCs w:val="24"/>
                <w:rtl/>
              </w:rPr>
            </w:pPr>
          </w:p>
        </w:tc>
        <w:tc>
          <w:tcPr>
            <w:tcW w:w="2551" w:type="dxa"/>
          </w:tcPr>
          <w:p w14:paraId="65A3D219" w14:textId="6B23F304" w:rsidR="009771C8" w:rsidRPr="00CD21CF" w:rsidRDefault="009771C8" w:rsidP="00A037AA">
            <w:pPr>
              <w:spacing w:line="480" w:lineRule="auto"/>
              <w:rPr>
                <w:sz w:val="24"/>
                <w:szCs w:val="24"/>
                <w:rtl/>
              </w:rPr>
            </w:pPr>
            <w:r w:rsidRPr="00CD21CF">
              <w:rPr>
                <w:rFonts w:hint="cs"/>
                <w:sz w:val="24"/>
                <w:szCs w:val="24"/>
                <w:rtl/>
              </w:rPr>
              <w:t>מות בניו של המלך</w:t>
            </w:r>
          </w:p>
        </w:tc>
        <w:tc>
          <w:tcPr>
            <w:tcW w:w="1600" w:type="dxa"/>
          </w:tcPr>
          <w:p w14:paraId="58BFE983" w14:textId="77777777" w:rsidR="009771C8" w:rsidRPr="00CD21CF" w:rsidRDefault="009771C8" w:rsidP="00A037AA">
            <w:pPr>
              <w:spacing w:line="480" w:lineRule="auto"/>
              <w:rPr>
                <w:sz w:val="24"/>
                <w:szCs w:val="24"/>
                <w:rtl/>
              </w:rPr>
            </w:pPr>
            <w:proofErr w:type="spellStart"/>
            <w:r w:rsidRPr="00CD21CF">
              <w:rPr>
                <w:rFonts w:hint="cs"/>
                <w:sz w:val="24"/>
                <w:szCs w:val="24"/>
                <w:rtl/>
              </w:rPr>
              <w:t>כא</w:t>
            </w:r>
            <w:proofErr w:type="spellEnd"/>
            <w:r w:rsidRPr="00CD21CF">
              <w:rPr>
                <w:rFonts w:hint="cs"/>
                <w:sz w:val="24"/>
                <w:szCs w:val="24"/>
                <w:rtl/>
              </w:rPr>
              <w:t xml:space="preserve"> 17, </w:t>
            </w:r>
            <w:proofErr w:type="spellStart"/>
            <w:r w:rsidRPr="00CD21CF">
              <w:rPr>
                <w:rFonts w:hint="cs"/>
                <w:sz w:val="24"/>
                <w:szCs w:val="24"/>
                <w:rtl/>
              </w:rPr>
              <w:t>כב</w:t>
            </w:r>
            <w:proofErr w:type="spellEnd"/>
            <w:r w:rsidRPr="00CD21CF">
              <w:rPr>
                <w:rFonts w:hint="cs"/>
                <w:sz w:val="24"/>
                <w:szCs w:val="24"/>
                <w:rtl/>
              </w:rPr>
              <w:t xml:space="preserve"> 1</w:t>
            </w:r>
          </w:p>
        </w:tc>
        <w:tc>
          <w:tcPr>
            <w:tcW w:w="1633" w:type="dxa"/>
          </w:tcPr>
          <w:p w14:paraId="556E3E06" w14:textId="77777777" w:rsidR="009771C8" w:rsidRPr="00CD21CF" w:rsidRDefault="009771C8" w:rsidP="00A037AA">
            <w:pPr>
              <w:spacing w:line="480" w:lineRule="auto"/>
              <w:rPr>
                <w:sz w:val="24"/>
                <w:szCs w:val="24"/>
                <w:rtl/>
              </w:rPr>
            </w:pPr>
            <w:proofErr w:type="spellStart"/>
            <w:r w:rsidRPr="00CD21CF">
              <w:rPr>
                <w:rFonts w:hint="cs"/>
                <w:sz w:val="24"/>
                <w:szCs w:val="24"/>
                <w:rtl/>
              </w:rPr>
              <w:t>כב</w:t>
            </w:r>
            <w:proofErr w:type="spellEnd"/>
            <w:r w:rsidRPr="00CD21CF">
              <w:rPr>
                <w:rFonts w:hint="cs"/>
                <w:sz w:val="24"/>
                <w:szCs w:val="24"/>
                <w:rtl/>
              </w:rPr>
              <w:t xml:space="preserve"> 10</w:t>
            </w:r>
          </w:p>
        </w:tc>
        <w:tc>
          <w:tcPr>
            <w:tcW w:w="1169" w:type="dxa"/>
          </w:tcPr>
          <w:p w14:paraId="014E5A8E" w14:textId="77777777" w:rsidR="009771C8" w:rsidRPr="00CD21CF" w:rsidRDefault="009771C8" w:rsidP="00A037AA">
            <w:pPr>
              <w:spacing w:line="480" w:lineRule="auto"/>
              <w:rPr>
                <w:sz w:val="24"/>
                <w:szCs w:val="24"/>
                <w:rtl/>
              </w:rPr>
            </w:pPr>
            <w:proofErr w:type="spellStart"/>
            <w:r w:rsidRPr="00CD21CF">
              <w:rPr>
                <w:rFonts w:hint="cs"/>
                <w:sz w:val="24"/>
                <w:szCs w:val="24"/>
                <w:rtl/>
              </w:rPr>
              <w:t>כח</w:t>
            </w:r>
            <w:proofErr w:type="spellEnd"/>
            <w:r w:rsidRPr="00CD21CF">
              <w:rPr>
                <w:rFonts w:hint="cs"/>
                <w:sz w:val="24"/>
                <w:szCs w:val="24"/>
                <w:rtl/>
              </w:rPr>
              <w:t xml:space="preserve"> 3, 7</w:t>
            </w:r>
          </w:p>
        </w:tc>
      </w:tr>
      <w:tr w:rsidR="009771C8" w:rsidRPr="00CD21CF" w14:paraId="76CC47D1" w14:textId="77777777" w:rsidTr="009771C8">
        <w:tc>
          <w:tcPr>
            <w:tcW w:w="2057" w:type="dxa"/>
            <w:vMerge/>
          </w:tcPr>
          <w:p w14:paraId="7D2E0D7F" w14:textId="77777777" w:rsidR="009771C8" w:rsidRPr="00CD21CF" w:rsidRDefault="009771C8" w:rsidP="00A037AA">
            <w:pPr>
              <w:spacing w:line="480" w:lineRule="auto"/>
              <w:rPr>
                <w:sz w:val="24"/>
                <w:szCs w:val="24"/>
                <w:rtl/>
              </w:rPr>
            </w:pPr>
          </w:p>
        </w:tc>
        <w:tc>
          <w:tcPr>
            <w:tcW w:w="2551" w:type="dxa"/>
          </w:tcPr>
          <w:p w14:paraId="04138DD9" w14:textId="68E39092" w:rsidR="009771C8" w:rsidRPr="00CD21CF" w:rsidRDefault="009771C8" w:rsidP="00A037AA">
            <w:pPr>
              <w:spacing w:line="480" w:lineRule="auto"/>
              <w:rPr>
                <w:sz w:val="24"/>
                <w:szCs w:val="24"/>
                <w:rtl/>
              </w:rPr>
            </w:pPr>
            <w:r w:rsidRPr="00CD21CF">
              <w:rPr>
                <w:rFonts w:hint="cs"/>
                <w:sz w:val="24"/>
                <w:szCs w:val="24"/>
                <w:rtl/>
              </w:rPr>
              <w:t>מיתה לא טבעית</w:t>
            </w:r>
          </w:p>
        </w:tc>
        <w:tc>
          <w:tcPr>
            <w:tcW w:w="1600" w:type="dxa"/>
          </w:tcPr>
          <w:p w14:paraId="7D3564B7" w14:textId="77777777" w:rsidR="009771C8" w:rsidRPr="00CD21CF" w:rsidRDefault="009771C8" w:rsidP="00A037AA">
            <w:pPr>
              <w:spacing w:line="480" w:lineRule="auto"/>
              <w:rPr>
                <w:sz w:val="24"/>
                <w:szCs w:val="24"/>
                <w:rtl/>
              </w:rPr>
            </w:pPr>
            <w:proofErr w:type="spellStart"/>
            <w:r w:rsidRPr="00CD21CF">
              <w:rPr>
                <w:rFonts w:hint="cs"/>
                <w:sz w:val="24"/>
                <w:szCs w:val="24"/>
                <w:rtl/>
              </w:rPr>
              <w:t>כא</w:t>
            </w:r>
            <w:proofErr w:type="spellEnd"/>
            <w:r w:rsidRPr="00CD21CF">
              <w:rPr>
                <w:rFonts w:hint="cs"/>
                <w:sz w:val="24"/>
                <w:szCs w:val="24"/>
                <w:rtl/>
              </w:rPr>
              <w:t xml:space="preserve"> 19</w:t>
            </w:r>
          </w:p>
        </w:tc>
        <w:tc>
          <w:tcPr>
            <w:tcW w:w="1633" w:type="dxa"/>
          </w:tcPr>
          <w:p w14:paraId="0465CB1A" w14:textId="77777777" w:rsidR="009771C8" w:rsidRPr="00CD21CF" w:rsidRDefault="009771C8" w:rsidP="00A037AA">
            <w:pPr>
              <w:spacing w:line="480" w:lineRule="auto"/>
              <w:rPr>
                <w:sz w:val="24"/>
                <w:szCs w:val="24"/>
                <w:rtl/>
              </w:rPr>
            </w:pPr>
            <w:proofErr w:type="spellStart"/>
            <w:r w:rsidRPr="00CD21CF">
              <w:rPr>
                <w:rFonts w:hint="cs"/>
                <w:sz w:val="24"/>
                <w:szCs w:val="24"/>
                <w:rtl/>
              </w:rPr>
              <w:t>כב</w:t>
            </w:r>
            <w:proofErr w:type="spellEnd"/>
            <w:r w:rsidRPr="00CD21CF">
              <w:rPr>
                <w:rFonts w:hint="cs"/>
                <w:sz w:val="24"/>
                <w:szCs w:val="24"/>
                <w:rtl/>
              </w:rPr>
              <w:t xml:space="preserve"> 9</w:t>
            </w:r>
          </w:p>
        </w:tc>
        <w:tc>
          <w:tcPr>
            <w:tcW w:w="1169" w:type="dxa"/>
          </w:tcPr>
          <w:p w14:paraId="502D596B" w14:textId="77777777" w:rsidR="009771C8" w:rsidRPr="00CD21CF" w:rsidRDefault="009771C8" w:rsidP="00A037AA">
            <w:pPr>
              <w:spacing w:line="480" w:lineRule="auto"/>
              <w:rPr>
                <w:sz w:val="24"/>
                <w:szCs w:val="24"/>
                <w:rtl/>
              </w:rPr>
            </w:pPr>
            <w:r w:rsidRPr="00CD21CF">
              <w:rPr>
                <w:rFonts w:hint="cs"/>
                <w:sz w:val="24"/>
                <w:szCs w:val="24"/>
                <w:rtl/>
              </w:rPr>
              <w:t xml:space="preserve"> -</w:t>
            </w:r>
          </w:p>
        </w:tc>
      </w:tr>
      <w:tr w:rsidR="009771C8" w:rsidRPr="00CD21CF" w14:paraId="3637B1A9" w14:textId="77777777" w:rsidTr="009771C8">
        <w:tc>
          <w:tcPr>
            <w:tcW w:w="2057" w:type="dxa"/>
            <w:vMerge/>
          </w:tcPr>
          <w:p w14:paraId="3382AEC9" w14:textId="77777777" w:rsidR="009771C8" w:rsidRPr="00CD21CF" w:rsidRDefault="009771C8" w:rsidP="00A037AA">
            <w:pPr>
              <w:spacing w:line="480" w:lineRule="auto"/>
              <w:rPr>
                <w:sz w:val="24"/>
                <w:szCs w:val="24"/>
                <w:rtl/>
              </w:rPr>
            </w:pPr>
          </w:p>
        </w:tc>
        <w:tc>
          <w:tcPr>
            <w:tcW w:w="2551" w:type="dxa"/>
          </w:tcPr>
          <w:p w14:paraId="15EC16FD" w14:textId="6AC8C6E2" w:rsidR="009771C8" w:rsidRPr="00CD21CF" w:rsidRDefault="009771C8" w:rsidP="00A037AA">
            <w:pPr>
              <w:spacing w:line="480" w:lineRule="auto"/>
              <w:rPr>
                <w:sz w:val="24"/>
                <w:szCs w:val="24"/>
                <w:rtl/>
              </w:rPr>
            </w:pPr>
            <w:r w:rsidRPr="00CD21CF">
              <w:rPr>
                <w:rFonts w:hint="cs"/>
                <w:sz w:val="24"/>
                <w:szCs w:val="24"/>
                <w:rtl/>
              </w:rPr>
              <w:t>״ויקברהו... ולא בקברות המלכים״</w:t>
            </w:r>
          </w:p>
        </w:tc>
        <w:tc>
          <w:tcPr>
            <w:tcW w:w="1600" w:type="dxa"/>
          </w:tcPr>
          <w:p w14:paraId="1D3A9758" w14:textId="77777777" w:rsidR="009771C8" w:rsidRPr="00CD21CF" w:rsidRDefault="009771C8" w:rsidP="00A037AA">
            <w:pPr>
              <w:spacing w:line="480" w:lineRule="auto"/>
              <w:rPr>
                <w:sz w:val="24"/>
                <w:szCs w:val="24"/>
                <w:rtl/>
              </w:rPr>
            </w:pPr>
            <w:proofErr w:type="spellStart"/>
            <w:r w:rsidRPr="00CD21CF">
              <w:rPr>
                <w:rFonts w:hint="cs"/>
                <w:sz w:val="24"/>
                <w:szCs w:val="24"/>
                <w:rtl/>
              </w:rPr>
              <w:t>כא</w:t>
            </w:r>
            <w:proofErr w:type="spellEnd"/>
            <w:r w:rsidRPr="00CD21CF">
              <w:rPr>
                <w:rFonts w:hint="cs"/>
                <w:sz w:val="24"/>
                <w:szCs w:val="24"/>
                <w:rtl/>
              </w:rPr>
              <w:t xml:space="preserve"> 20</w:t>
            </w:r>
          </w:p>
        </w:tc>
        <w:tc>
          <w:tcPr>
            <w:tcW w:w="1633" w:type="dxa"/>
          </w:tcPr>
          <w:p w14:paraId="6BCCBD9E" w14:textId="77777777" w:rsidR="009771C8" w:rsidRPr="00CD21CF" w:rsidRDefault="009771C8" w:rsidP="00A037AA">
            <w:pPr>
              <w:spacing w:line="480" w:lineRule="auto"/>
              <w:rPr>
                <w:sz w:val="24"/>
                <w:szCs w:val="24"/>
                <w:rtl/>
              </w:rPr>
            </w:pPr>
            <w:r w:rsidRPr="00CD21CF">
              <w:rPr>
                <w:rFonts w:hint="cs"/>
                <w:sz w:val="24"/>
                <w:szCs w:val="24"/>
                <w:rtl/>
              </w:rPr>
              <w:t>(</w:t>
            </w:r>
            <w:proofErr w:type="spellStart"/>
            <w:r w:rsidRPr="00CD21CF">
              <w:rPr>
                <w:rFonts w:hint="cs"/>
                <w:sz w:val="24"/>
                <w:szCs w:val="24"/>
                <w:rtl/>
              </w:rPr>
              <w:t>כב</w:t>
            </w:r>
            <w:proofErr w:type="spellEnd"/>
            <w:r w:rsidRPr="00CD21CF">
              <w:rPr>
                <w:rFonts w:hint="cs"/>
                <w:sz w:val="24"/>
                <w:szCs w:val="24"/>
                <w:rtl/>
              </w:rPr>
              <w:t xml:space="preserve"> 9)</w:t>
            </w:r>
          </w:p>
        </w:tc>
        <w:tc>
          <w:tcPr>
            <w:tcW w:w="1169" w:type="dxa"/>
          </w:tcPr>
          <w:p w14:paraId="28934E83" w14:textId="77777777" w:rsidR="009771C8" w:rsidRPr="00CD21CF" w:rsidRDefault="009771C8" w:rsidP="00A037AA">
            <w:pPr>
              <w:spacing w:line="480" w:lineRule="auto"/>
              <w:rPr>
                <w:sz w:val="24"/>
                <w:szCs w:val="24"/>
                <w:rtl/>
              </w:rPr>
            </w:pPr>
            <w:proofErr w:type="spellStart"/>
            <w:r w:rsidRPr="00CD21CF">
              <w:rPr>
                <w:rFonts w:hint="cs"/>
                <w:sz w:val="24"/>
                <w:szCs w:val="24"/>
                <w:rtl/>
              </w:rPr>
              <w:t>כח</w:t>
            </w:r>
            <w:proofErr w:type="spellEnd"/>
            <w:r w:rsidRPr="00CD21CF">
              <w:rPr>
                <w:rFonts w:hint="cs"/>
                <w:sz w:val="24"/>
                <w:szCs w:val="24"/>
                <w:rtl/>
              </w:rPr>
              <w:t xml:space="preserve"> 27</w:t>
            </w:r>
          </w:p>
        </w:tc>
      </w:tr>
    </w:tbl>
    <w:p w14:paraId="11A77178" w14:textId="77777777" w:rsidR="00CD21CF" w:rsidRPr="00CD21CF" w:rsidRDefault="00CD21CF" w:rsidP="00A037AA">
      <w:pPr>
        <w:spacing w:line="480" w:lineRule="auto"/>
        <w:rPr>
          <w:sz w:val="24"/>
          <w:szCs w:val="24"/>
          <w:rtl/>
        </w:rPr>
      </w:pPr>
    </w:p>
    <w:p w14:paraId="5FB8D099" w14:textId="596A85D0" w:rsidR="00CD21CF" w:rsidRPr="00CD21CF" w:rsidRDefault="00DB2319" w:rsidP="00DB2319">
      <w:pPr>
        <w:spacing w:line="480" w:lineRule="auto"/>
        <w:rPr>
          <w:sz w:val="24"/>
          <w:szCs w:val="24"/>
          <w:rtl/>
        </w:rPr>
      </w:pPr>
      <w:r>
        <w:rPr>
          <w:rFonts w:hint="cs"/>
          <w:sz w:val="24"/>
          <w:szCs w:val="24"/>
          <w:rtl/>
        </w:rPr>
        <w:t xml:space="preserve">אצל שלושתם נפתח הסיפור </w:t>
      </w:r>
      <w:r w:rsidR="00CD21CF" w:rsidRPr="00CD21CF">
        <w:rPr>
          <w:rFonts w:hint="cs"/>
          <w:sz w:val="24"/>
          <w:szCs w:val="24"/>
          <w:rtl/>
        </w:rPr>
        <w:t xml:space="preserve">בחטא (הליכה בדרכי מלכי ישראל או בית אחאב); ממשיך בעונש (תבוסה במלחמה, מות בני המלך); ומסתיים בקבורה שלא במקום קבורתם של מלכי בית דוד. </w:t>
      </w:r>
    </w:p>
    <w:p w14:paraId="50276CC6" w14:textId="42B37652" w:rsidR="00CD21CF" w:rsidRPr="00CD21CF" w:rsidRDefault="00DB2319" w:rsidP="00A037AA">
      <w:pPr>
        <w:spacing w:line="480" w:lineRule="auto"/>
        <w:rPr>
          <w:sz w:val="24"/>
          <w:szCs w:val="24"/>
          <w:rtl/>
        </w:rPr>
      </w:pPr>
      <w:r>
        <w:rPr>
          <w:rFonts w:hint="cs"/>
          <w:sz w:val="24"/>
          <w:szCs w:val="24"/>
          <w:rtl/>
        </w:rPr>
        <w:t>ללא ספק,</w:t>
      </w:r>
      <w:r w:rsidR="00CD21CF" w:rsidRPr="00CD21CF">
        <w:rPr>
          <w:rFonts w:hint="cs"/>
          <w:sz w:val="24"/>
          <w:szCs w:val="24"/>
          <w:rtl/>
        </w:rPr>
        <w:t xml:space="preserve"> לחלק מן הרכיבים הללו והסדר שבו הם מופיעים יש ביטוי גם אצל מלכים אחרים בספר ו</w:t>
      </w:r>
      <w:r>
        <w:rPr>
          <w:rFonts w:hint="cs"/>
          <w:sz w:val="24"/>
          <w:szCs w:val="24"/>
          <w:rtl/>
        </w:rPr>
        <w:t xml:space="preserve">על כן </w:t>
      </w:r>
      <w:r w:rsidR="00CD21CF" w:rsidRPr="00CD21CF">
        <w:rPr>
          <w:rFonts w:hint="cs"/>
          <w:sz w:val="24"/>
          <w:szCs w:val="24"/>
          <w:rtl/>
        </w:rPr>
        <w:t>אין בהם כל חדש. ובכל זאת ישנו רכיב אחד שהוא מיוחד רק לשלושת המלכים הללו: מיתת בניהם. כיצד יש להסביר תופעה זו?</w:t>
      </w:r>
    </w:p>
    <w:p w14:paraId="1384D70D" w14:textId="77777777" w:rsidR="00CD21CF" w:rsidRPr="00CD21CF" w:rsidRDefault="00CD21CF" w:rsidP="00A037AA">
      <w:pPr>
        <w:spacing w:line="480" w:lineRule="auto"/>
        <w:rPr>
          <w:sz w:val="24"/>
          <w:szCs w:val="24"/>
          <w:rtl/>
        </w:rPr>
      </w:pPr>
    </w:p>
    <w:p w14:paraId="6A3ACF82" w14:textId="77777777" w:rsidR="00CD21CF" w:rsidRPr="00CD21CF" w:rsidRDefault="00CD21CF" w:rsidP="00A037AA">
      <w:pPr>
        <w:spacing w:line="480" w:lineRule="auto"/>
        <w:rPr>
          <w:b/>
          <w:bCs/>
          <w:sz w:val="24"/>
          <w:szCs w:val="24"/>
          <w:rtl/>
        </w:rPr>
      </w:pPr>
      <w:r w:rsidRPr="00CD21CF">
        <w:rPr>
          <w:rFonts w:hint="cs"/>
          <w:b/>
          <w:bCs/>
          <w:sz w:val="24"/>
          <w:szCs w:val="24"/>
          <w:rtl/>
        </w:rPr>
        <w:t>מיתת הבנים</w:t>
      </w:r>
    </w:p>
    <w:p w14:paraId="6D379A7F" w14:textId="74A3EA46" w:rsidR="00CD21CF" w:rsidRPr="00CD21CF" w:rsidRDefault="00CD21CF" w:rsidP="00DB2319">
      <w:pPr>
        <w:spacing w:line="480" w:lineRule="auto"/>
        <w:rPr>
          <w:sz w:val="24"/>
          <w:szCs w:val="24"/>
          <w:rtl/>
        </w:rPr>
      </w:pPr>
      <w:r w:rsidRPr="00CD21CF">
        <w:rPr>
          <w:sz w:val="24"/>
          <w:szCs w:val="24"/>
        </w:rPr>
        <w:t xml:space="preserve"> </w:t>
      </w:r>
      <w:r w:rsidRPr="00CD21CF">
        <w:rPr>
          <w:rFonts w:hint="cs"/>
          <w:sz w:val="24"/>
          <w:szCs w:val="24"/>
          <w:rtl/>
        </w:rPr>
        <w:t>מו</w:t>
      </w:r>
      <w:r w:rsidR="00DB2319">
        <w:rPr>
          <w:rFonts w:hint="cs"/>
          <w:sz w:val="24"/>
          <w:szCs w:val="24"/>
          <w:rtl/>
        </w:rPr>
        <w:t>תם של בני המלך הוא כאמור מוטיב ש</w:t>
      </w:r>
      <w:r w:rsidRPr="00CD21CF">
        <w:rPr>
          <w:rFonts w:hint="cs"/>
          <w:sz w:val="24"/>
          <w:szCs w:val="24"/>
          <w:rtl/>
        </w:rPr>
        <w:t xml:space="preserve">חוזר </w:t>
      </w:r>
      <w:r w:rsidR="00DB2319">
        <w:rPr>
          <w:rFonts w:hint="cs"/>
          <w:sz w:val="24"/>
          <w:szCs w:val="24"/>
          <w:rtl/>
        </w:rPr>
        <w:t>רק אצל</w:t>
      </w:r>
      <w:r w:rsidRPr="00CD21CF">
        <w:rPr>
          <w:rFonts w:hint="cs"/>
          <w:sz w:val="24"/>
          <w:szCs w:val="24"/>
          <w:rtl/>
        </w:rPr>
        <w:t xml:space="preserve"> שלושת המלכים הללו. בניו של יהורם מתים תוך כדי פלישת הערבים; בני</w:t>
      </w:r>
      <w:r w:rsidR="00DB2319">
        <w:rPr>
          <w:rFonts w:hint="cs"/>
          <w:sz w:val="24"/>
          <w:szCs w:val="24"/>
          <w:rtl/>
        </w:rPr>
        <w:t>ו של אחזיהו נרצחים על ידי עתליה.</w:t>
      </w:r>
      <w:r w:rsidRPr="00CD21CF">
        <w:rPr>
          <w:rFonts w:hint="cs"/>
          <w:sz w:val="24"/>
          <w:szCs w:val="24"/>
          <w:rtl/>
        </w:rPr>
        <w:t xml:space="preserve"> לגבי אחז ישנם שני כתובים שעוסקים בכך: </w:t>
      </w:r>
    </w:p>
    <w:p w14:paraId="092EE60A" w14:textId="77777777" w:rsidR="00CD21CF" w:rsidRPr="00CD21CF" w:rsidRDefault="00CD21CF" w:rsidP="00F15FC7">
      <w:pPr>
        <w:pStyle w:val="ListParagraph"/>
        <w:numPr>
          <w:ilvl w:val="0"/>
          <w:numId w:val="4"/>
        </w:numPr>
        <w:spacing w:line="480" w:lineRule="auto"/>
        <w:rPr>
          <w:sz w:val="24"/>
          <w:szCs w:val="24"/>
          <w:rtl/>
        </w:rPr>
      </w:pPr>
      <w:r w:rsidRPr="00CD21CF">
        <w:rPr>
          <w:rFonts w:hint="cs"/>
          <w:sz w:val="24"/>
          <w:szCs w:val="24"/>
          <w:rtl/>
        </w:rPr>
        <w:lastRenderedPageBreak/>
        <w:t>הכתוב הראשון ״</w:t>
      </w:r>
      <w:r w:rsidRPr="0020503E">
        <w:rPr>
          <w:rFonts w:hint="cs"/>
          <w:i/>
          <w:iCs/>
          <w:sz w:val="24"/>
          <w:szCs w:val="24"/>
          <w:rtl/>
        </w:rPr>
        <w:t>ויבער</w:t>
      </w:r>
      <w:r w:rsidRPr="00CD21CF">
        <w:rPr>
          <w:rFonts w:hint="cs"/>
          <w:sz w:val="24"/>
          <w:szCs w:val="24"/>
          <w:rtl/>
        </w:rPr>
        <w:t xml:space="preserve"> את </w:t>
      </w:r>
      <w:r w:rsidRPr="0020503E">
        <w:rPr>
          <w:rFonts w:hint="cs"/>
          <w:i/>
          <w:iCs/>
          <w:sz w:val="24"/>
          <w:szCs w:val="24"/>
          <w:rtl/>
        </w:rPr>
        <w:t>בניו</w:t>
      </w:r>
      <w:r w:rsidRPr="00CD21CF">
        <w:rPr>
          <w:rFonts w:hint="cs"/>
          <w:sz w:val="24"/>
          <w:szCs w:val="24"/>
          <w:rtl/>
        </w:rPr>
        <w:t xml:space="preserve"> באש״ (</w:t>
      </w:r>
      <w:proofErr w:type="spellStart"/>
      <w:r w:rsidRPr="00CD21CF">
        <w:rPr>
          <w:rFonts w:hint="cs"/>
          <w:sz w:val="24"/>
          <w:szCs w:val="24"/>
          <w:rtl/>
        </w:rPr>
        <w:t>כח</w:t>
      </w:r>
      <w:proofErr w:type="spellEnd"/>
      <w:r w:rsidRPr="00CD21CF">
        <w:rPr>
          <w:rFonts w:hint="cs"/>
          <w:sz w:val="24"/>
          <w:szCs w:val="24"/>
          <w:rtl/>
        </w:rPr>
        <w:t xml:space="preserve"> 3)  מכיל בתוכו שני שינויים מהנוסח המופיע בספר מלכים: ״וגם את </w:t>
      </w:r>
      <w:r w:rsidRPr="0020503E">
        <w:rPr>
          <w:rFonts w:hint="cs"/>
          <w:i/>
          <w:iCs/>
          <w:sz w:val="24"/>
          <w:szCs w:val="24"/>
          <w:rtl/>
        </w:rPr>
        <w:t>בנו</w:t>
      </w:r>
      <w:r w:rsidRPr="00CD21CF">
        <w:rPr>
          <w:rFonts w:hint="cs"/>
          <w:sz w:val="24"/>
          <w:szCs w:val="24"/>
          <w:rtl/>
        </w:rPr>
        <w:t xml:space="preserve"> </w:t>
      </w:r>
      <w:r w:rsidRPr="0020503E">
        <w:rPr>
          <w:rFonts w:hint="cs"/>
          <w:i/>
          <w:iCs/>
          <w:sz w:val="24"/>
          <w:szCs w:val="24"/>
          <w:rtl/>
        </w:rPr>
        <w:t>העביר</w:t>
      </w:r>
      <w:r w:rsidRPr="00CD21CF">
        <w:rPr>
          <w:rFonts w:hint="cs"/>
          <w:sz w:val="24"/>
          <w:szCs w:val="24"/>
          <w:rtl/>
        </w:rPr>
        <w:t xml:space="preserve"> באש״ (מל״ב </w:t>
      </w:r>
      <w:proofErr w:type="spellStart"/>
      <w:r w:rsidRPr="00CD21CF">
        <w:rPr>
          <w:rFonts w:hint="cs"/>
          <w:sz w:val="24"/>
          <w:szCs w:val="24"/>
          <w:rtl/>
        </w:rPr>
        <w:t>טז</w:t>
      </w:r>
      <w:proofErr w:type="spellEnd"/>
      <w:r w:rsidRPr="00CD21CF">
        <w:rPr>
          <w:rFonts w:hint="cs"/>
          <w:sz w:val="24"/>
          <w:szCs w:val="24"/>
          <w:rtl/>
        </w:rPr>
        <w:t xml:space="preserve"> 3). חילופי הגרסאות הללו הניבו דעות שונות במחקר. יש שסברו כי הגרסה המקורית בדה״י הייתה ״ויעבר״ ורק שיבוש סופרים גרם לחילוף אותיות בין העי״ן לבין הבי״ת.</w:t>
      </w:r>
      <w:r w:rsidRPr="00CD21CF">
        <w:rPr>
          <w:rStyle w:val="FootnoteReference"/>
          <w:sz w:val="24"/>
          <w:szCs w:val="24"/>
          <w:rtl/>
        </w:rPr>
        <w:footnoteReference w:id="24"/>
      </w:r>
      <w:r w:rsidRPr="00CD21CF">
        <w:rPr>
          <w:rFonts w:hint="cs"/>
          <w:sz w:val="24"/>
          <w:szCs w:val="24"/>
          <w:rtl/>
        </w:rPr>
        <w:t xml:space="preserve"> מקובלת עלי דעתם של החוקרים הסבורים כי השינוי מבטא את המציאות שהייתה נהוגה בזמנו של אחז, כלומר שריפת ילדים ממש לשם עבודת המולך, וכי בעצם השינוי ביקש </w:t>
      </w:r>
      <w:proofErr w:type="spellStart"/>
      <w:r w:rsidRPr="00CD21CF">
        <w:rPr>
          <w:rFonts w:hint="cs"/>
          <w:sz w:val="24"/>
          <w:szCs w:val="24"/>
          <w:rtl/>
        </w:rPr>
        <w:t>הכרוניסט</w:t>
      </w:r>
      <w:proofErr w:type="spellEnd"/>
      <w:r w:rsidRPr="00CD21CF">
        <w:rPr>
          <w:rFonts w:hint="cs"/>
          <w:sz w:val="24"/>
          <w:szCs w:val="24"/>
          <w:rtl/>
        </w:rPr>
        <w:t xml:space="preserve"> לסלק את העמימות שיש במילה ״ויעבר״ שמצא במקורותיו.</w:t>
      </w:r>
      <w:r w:rsidRPr="00CD21CF">
        <w:rPr>
          <w:rStyle w:val="FootnoteReference"/>
          <w:sz w:val="24"/>
          <w:szCs w:val="24"/>
          <w:rtl/>
        </w:rPr>
        <w:footnoteReference w:id="25"/>
      </w:r>
      <w:r w:rsidRPr="00CD21CF">
        <w:rPr>
          <w:rFonts w:hint="cs"/>
          <w:sz w:val="24"/>
          <w:szCs w:val="24"/>
          <w:rtl/>
        </w:rPr>
        <w:t xml:space="preserve"> הריבוי ״בניו״ מסמל לדעת חוקרים נוהג קבוע של העניין.</w:t>
      </w:r>
      <w:r w:rsidRPr="00CD21CF">
        <w:rPr>
          <w:rStyle w:val="FootnoteReference"/>
          <w:sz w:val="24"/>
          <w:szCs w:val="24"/>
          <w:rtl/>
        </w:rPr>
        <w:footnoteReference w:id="26"/>
      </w:r>
      <w:r w:rsidRPr="00CD21CF">
        <w:rPr>
          <w:rFonts w:hint="cs"/>
          <w:sz w:val="24"/>
          <w:szCs w:val="24"/>
          <w:rtl/>
        </w:rPr>
        <w:t xml:space="preserve"> </w:t>
      </w:r>
    </w:p>
    <w:p w14:paraId="673BB053" w14:textId="77777777" w:rsidR="00CD21CF" w:rsidRPr="00CD21CF" w:rsidRDefault="00CD21CF" w:rsidP="00F15FC7">
      <w:pPr>
        <w:pStyle w:val="ListParagraph"/>
        <w:numPr>
          <w:ilvl w:val="0"/>
          <w:numId w:val="4"/>
        </w:numPr>
        <w:spacing w:line="480" w:lineRule="auto"/>
        <w:rPr>
          <w:sz w:val="24"/>
          <w:szCs w:val="24"/>
          <w:rtl/>
        </w:rPr>
      </w:pPr>
      <w:r w:rsidRPr="00CD21CF">
        <w:rPr>
          <w:rFonts w:hint="cs"/>
          <w:sz w:val="24"/>
          <w:szCs w:val="24"/>
          <w:rtl/>
        </w:rPr>
        <w:t>הכתוב השני הוא תיאור מותו של מעשיהו, כנראה בן נוסף של אחז, שנהרג בידי זכרי גיבור אפרים (</w:t>
      </w:r>
      <w:proofErr w:type="spellStart"/>
      <w:r w:rsidRPr="00CD21CF">
        <w:rPr>
          <w:rFonts w:hint="cs"/>
          <w:sz w:val="24"/>
          <w:szCs w:val="24"/>
          <w:rtl/>
        </w:rPr>
        <w:t>כח</w:t>
      </w:r>
      <w:proofErr w:type="spellEnd"/>
      <w:r w:rsidRPr="00CD21CF">
        <w:rPr>
          <w:rFonts w:hint="cs"/>
          <w:sz w:val="24"/>
          <w:szCs w:val="24"/>
          <w:rtl/>
        </w:rPr>
        <w:t xml:space="preserve"> 7).</w:t>
      </w:r>
      <w:r w:rsidRPr="00CD21CF">
        <w:rPr>
          <w:rStyle w:val="FootnoteReference"/>
          <w:sz w:val="24"/>
          <w:szCs w:val="24"/>
          <w:rtl/>
        </w:rPr>
        <w:footnoteReference w:id="27"/>
      </w:r>
    </w:p>
    <w:p w14:paraId="1D3C9036" w14:textId="77777777" w:rsidR="001C2815" w:rsidRDefault="00CD21CF" w:rsidP="00DB2319">
      <w:pPr>
        <w:spacing w:line="480" w:lineRule="auto"/>
        <w:rPr>
          <w:sz w:val="24"/>
          <w:szCs w:val="24"/>
          <w:rtl/>
        </w:rPr>
      </w:pPr>
      <w:r w:rsidRPr="00CD21CF">
        <w:rPr>
          <w:rFonts w:hint="cs"/>
          <w:sz w:val="24"/>
          <w:szCs w:val="24"/>
          <w:rtl/>
        </w:rPr>
        <w:t xml:space="preserve">מיתת הבנים יוצרת ללא ספק קונפליקט חריף מאוד עם הבטחת השושלת, שכן ללא הבנים לא תתכן </w:t>
      </w:r>
      <w:r w:rsidR="00DB2319">
        <w:rPr>
          <w:rFonts w:hint="cs"/>
          <w:sz w:val="24"/>
          <w:szCs w:val="24"/>
          <w:rtl/>
        </w:rPr>
        <w:t>המשכת</w:t>
      </w:r>
      <w:r w:rsidRPr="00CD21CF">
        <w:rPr>
          <w:rFonts w:hint="cs"/>
          <w:sz w:val="24"/>
          <w:szCs w:val="24"/>
          <w:rtl/>
        </w:rPr>
        <w:t xml:space="preserve"> השושלת. בנקודה זו מגיעה תורת הגמול של </w:t>
      </w:r>
      <w:proofErr w:type="spellStart"/>
      <w:r w:rsidRPr="00CD21CF">
        <w:rPr>
          <w:rFonts w:hint="cs"/>
          <w:sz w:val="24"/>
          <w:szCs w:val="24"/>
          <w:rtl/>
        </w:rPr>
        <w:t>הכרוניסט</w:t>
      </w:r>
      <w:proofErr w:type="spellEnd"/>
      <w:r w:rsidRPr="00CD21CF">
        <w:rPr>
          <w:rFonts w:hint="cs"/>
          <w:sz w:val="24"/>
          <w:szCs w:val="24"/>
          <w:rtl/>
        </w:rPr>
        <w:t xml:space="preserve"> לשיא התחכום. בהתייחסות לשאלה כיצד אפשר להעניש את המלך החוטא בעונש חמור מאוד מבלי לסכן את המשך השושלת, הולך </w:t>
      </w:r>
      <w:proofErr w:type="spellStart"/>
      <w:r w:rsidRPr="00CD21CF">
        <w:rPr>
          <w:rFonts w:hint="cs"/>
          <w:sz w:val="24"/>
          <w:szCs w:val="24"/>
          <w:rtl/>
        </w:rPr>
        <w:t>הכרוניסט</w:t>
      </w:r>
      <w:proofErr w:type="spellEnd"/>
      <w:r w:rsidRPr="00CD21CF">
        <w:rPr>
          <w:rFonts w:hint="cs"/>
          <w:sz w:val="24"/>
          <w:szCs w:val="24"/>
          <w:rtl/>
        </w:rPr>
        <w:t xml:space="preserve"> על חבל דק: מצד אחד הוא מערער את יציבות השושלת במידה קשה מאוד עד כדי הריגת בניו של המלך</w:t>
      </w:r>
      <w:r w:rsidR="001C2815">
        <w:rPr>
          <w:rFonts w:hint="cs"/>
          <w:sz w:val="24"/>
          <w:szCs w:val="24"/>
          <w:rtl/>
        </w:rPr>
        <w:t>;</w:t>
      </w:r>
      <w:r w:rsidRPr="00CD21CF">
        <w:rPr>
          <w:rFonts w:hint="cs"/>
          <w:sz w:val="24"/>
          <w:szCs w:val="24"/>
          <w:rtl/>
        </w:rPr>
        <w:t xml:space="preserve"> ומצד שני הוא משאיר בן אחד לפליטה בעקבות ההבטחה לשושלת נצחית. להבדיל </w:t>
      </w:r>
      <w:proofErr w:type="spellStart"/>
      <w:r w:rsidRPr="00CD21CF">
        <w:rPr>
          <w:rFonts w:hint="cs"/>
          <w:sz w:val="24"/>
          <w:szCs w:val="24"/>
          <w:rtl/>
        </w:rPr>
        <w:t>מהדויטרונומיסט</w:t>
      </w:r>
      <w:proofErr w:type="spellEnd"/>
      <w:r w:rsidRPr="00CD21CF">
        <w:rPr>
          <w:rFonts w:hint="cs"/>
          <w:sz w:val="24"/>
          <w:szCs w:val="24"/>
          <w:rtl/>
        </w:rPr>
        <w:t xml:space="preserve">, הוא אינו יכול לעבור לסדר היום כאשר שלושת המלכים הללו רומסים כל ימיהם ברגל גסה את חוקי האל ואת מצוותיו. הוא בוחר להעניש אותם אפילו במידה כזו שיש בה כדי לערער את הברית עם דוד. </w:t>
      </w:r>
    </w:p>
    <w:p w14:paraId="77E83DCF" w14:textId="7AED1C3A" w:rsidR="00CD21CF" w:rsidRPr="00CD21CF" w:rsidRDefault="001C2815" w:rsidP="001C2815">
      <w:pPr>
        <w:spacing w:line="480" w:lineRule="auto"/>
        <w:rPr>
          <w:sz w:val="24"/>
          <w:szCs w:val="24"/>
          <w:rtl/>
        </w:rPr>
      </w:pPr>
      <w:r>
        <w:rPr>
          <w:rFonts w:hint="cs"/>
          <w:sz w:val="24"/>
          <w:szCs w:val="24"/>
          <w:rtl/>
        </w:rPr>
        <w:t xml:space="preserve">דומה כי </w:t>
      </w:r>
      <w:r w:rsidR="00CD21CF" w:rsidRPr="00CD21CF">
        <w:rPr>
          <w:rFonts w:hint="cs"/>
          <w:sz w:val="24"/>
          <w:szCs w:val="24"/>
          <w:rtl/>
        </w:rPr>
        <w:t xml:space="preserve">הענשת ילדיהם של המלכים הללו סותרת את חוקיו שלו. </w:t>
      </w:r>
      <w:proofErr w:type="spellStart"/>
      <w:r w:rsidR="00CD21CF" w:rsidRPr="00CD21CF">
        <w:rPr>
          <w:rFonts w:hint="cs"/>
          <w:sz w:val="24"/>
          <w:szCs w:val="24"/>
          <w:rtl/>
        </w:rPr>
        <w:t>הכרוניסט</w:t>
      </w:r>
      <w:proofErr w:type="spellEnd"/>
      <w:r w:rsidR="00CD21CF" w:rsidRPr="00CD21CF">
        <w:rPr>
          <w:rFonts w:hint="cs"/>
          <w:sz w:val="24"/>
          <w:szCs w:val="24"/>
          <w:rtl/>
        </w:rPr>
        <w:t xml:space="preserve"> בוחר לצטט בשינויים מסוימים את הפסוק מתוך דברים כד 16: ״ככתוב בספר תורת משה אשר </w:t>
      </w:r>
      <w:proofErr w:type="spellStart"/>
      <w:r w:rsidR="00CD21CF" w:rsidRPr="00CD21CF">
        <w:rPr>
          <w:rFonts w:hint="cs"/>
          <w:sz w:val="24"/>
          <w:szCs w:val="24"/>
          <w:rtl/>
        </w:rPr>
        <w:t>צוה</w:t>
      </w:r>
      <w:proofErr w:type="spellEnd"/>
      <w:r w:rsidR="00CD21CF" w:rsidRPr="00CD21CF">
        <w:rPr>
          <w:rFonts w:hint="cs"/>
          <w:sz w:val="24"/>
          <w:szCs w:val="24"/>
          <w:rtl/>
        </w:rPr>
        <w:t xml:space="preserve"> ה׳ </w:t>
      </w:r>
      <w:proofErr w:type="spellStart"/>
      <w:r w:rsidR="00CD21CF" w:rsidRPr="00CD21CF">
        <w:rPr>
          <w:rFonts w:hint="cs"/>
          <w:sz w:val="24"/>
          <w:szCs w:val="24"/>
          <w:rtl/>
        </w:rPr>
        <w:t>לאמר</w:t>
      </w:r>
      <w:proofErr w:type="spellEnd"/>
      <w:r w:rsidR="00CD21CF" w:rsidRPr="00CD21CF">
        <w:rPr>
          <w:rFonts w:hint="cs"/>
          <w:sz w:val="24"/>
          <w:szCs w:val="24"/>
          <w:rtl/>
        </w:rPr>
        <w:t xml:space="preserve"> לא </w:t>
      </w:r>
      <w:r w:rsidR="00CD21CF" w:rsidRPr="00CD21CF">
        <w:rPr>
          <w:sz w:val="24"/>
          <w:szCs w:val="24"/>
          <w:rtl/>
        </w:rPr>
        <w:t>יָמוּתוּ</w:t>
      </w:r>
      <w:r w:rsidR="00CD21CF" w:rsidRPr="00CD21CF">
        <w:rPr>
          <w:rFonts w:hint="cs"/>
          <w:sz w:val="24"/>
          <w:szCs w:val="24"/>
          <w:rtl/>
        </w:rPr>
        <w:t xml:space="preserve"> אבות על בנים ובנים לא </w:t>
      </w:r>
      <w:r w:rsidR="00CD21CF" w:rsidRPr="00CD21CF">
        <w:rPr>
          <w:sz w:val="24"/>
          <w:szCs w:val="24"/>
          <w:rtl/>
        </w:rPr>
        <w:t>יָמוּתוּ</w:t>
      </w:r>
      <w:r w:rsidR="00CD21CF" w:rsidRPr="00CD21CF">
        <w:rPr>
          <w:rFonts w:hint="cs"/>
          <w:sz w:val="24"/>
          <w:szCs w:val="24"/>
          <w:rtl/>
        </w:rPr>
        <w:t xml:space="preserve"> על אבות כי איש בחטאו </w:t>
      </w:r>
      <w:r w:rsidR="00CD21CF" w:rsidRPr="00CD21CF">
        <w:rPr>
          <w:sz w:val="24"/>
          <w:szCs w:val="24"/>
          <w:rtl/>
        </w:rPr>
        <w:t>יָמוּתוּ</w:t>
      </w:r>
      <w:r w:rsidR="00CD21CF" w:rsidRPr="00CD21CF">
        <w:rPr>
          <w:rFonts w:hint="cs"/>
          <w:sz w:val="24"/>
          <w:szCs w:val="24"/>
          <w:rtl/>
        </w:rPr>
        <w:t xml:space="preserve">״ (דה״ב כה 4). לפנינו עיבוד מתוחכם לפסוק מתוך ספר דברים </w:t>
      </w:r>
      <w:r w:rsidR="00CD21CF" w:rsidRPr="00CD21CF">
        <w:rPr>
          <w:rFonts w:hint="cs"/>
          <w:sz w:val="24"/>
          <w:szCs w:val="24"/>
          <w:rtl/>
        </w:rPr>
        <w:lastRenderedPageBreak/>
        <w:t>שמדגיש את העונש האישי ובמיוחד את העובדה כי הבנים לא אמורים לשאת בחטאם של האבות. השינוי בין ״</w:t>
      </w:r>
      <w:r w:rsidR="00CD21CF" w:rsidRPr="00CD21CF">
        <w:rPr>
          <w:sz w:val="24"/>
          <w:szCs w:val="24"/>
          <w:rtl/>
        </w:rPr>
        <w:t>יוּמְתוּ</w:t>
      </w:r>
      <w:r w:rsidR="00CD21CF" w:rsidRPr="00CD21CF">
        <w:rPr>
          <w:rFonts w:hint="cs"/>
          <w:sz w:val="24"/>
          <w:szCs w:val="24"/>
          <w:rtl/>
        </w:rPr>
        <w:t>״ בבניין הופעל כפי שהוא מופיע בספר דברים</w:t>
      </w:r>
      <w:r w:rsidR="00CD21CF" w:rsidRPr="00CD21CF">
        <w:rPr>
          <w:sz w:val="24"/>
          <w:szCs w:val="24"/>
        </w:rPr>
        <w:t xml:space="preserve"> </w:t>
      </w:r>
      <w:r w:rsidR="00CD21CF" w:rsidRPr="00CD21CF">
        <w:rPr>
          <w:rFonts w:hint="cs"/>
          <w:sz w:val="24"/>
          <w:szCs w:val="24"/>
          <w:rtl/>
        </w:rPr>
        <w:t>לבין ״</w:t>
      </w:r>
      <w:r w:rsidR="00CD21CF" w:rsidRPr="00CD21CF">
        <w:rPr>
          <w:sz w:val="24"/>
          <w:szCs w:val="24"/>
          <w:rtl/>
        </w:rPr>
        <w:t>יָמוּתוּ</w:t>
      </w:r>
      <w:r w:rsidR="00CD21CF" w:rsidRPr="00CD21CF">
        <w:rPr>
          <w:rFonts w:hint="cs"/>
          <w:sz w:val="24"/>
          <w:szCs w:val="24"/>
          <w:rtl/>
        </w:rPr>
        <w:t xml:space="preserve">״ בבניין קל כפי שהוא מופיע בנוסח של </w:t>
      </w:r>
      <w:proofErr w:type="spellStart"/>
      <w:r w:rsidR="00CD21CF" w:rsidRPr="00CD21CF">
        <w:rPr>
          <w:rFonts w:hint="cs"/>
          <w:sz w:val="24"/>
          <w:szCs w:val="24"/>
          <w:rtl/>
        </w:rPr>
        <w:t>הכרוניסט</w:t>
      </w:r>
      <w:proofErr w:type="spellEnd"/>
      <w:r w:rsidR="00CD21CF" w:rsidRPr="00CD21CF">
        <w:rPr>
          <w:rFonts w:hint="cs"/>
          <w:sz w:val="24"/>
          <w:szCs w:val="24"/>
          <w:rtl/>
        </w:rPr>
        <w:t xml:space="preserve"> הוא לדעת יפת שינוי משמעותי: </w:t>
      </w:r>
    </w:p>
    <w:p w14:paraId="2398305A" w14:textId="77777777" w:rsidR="00CD21CF" w:rsidRPr="00CD21CF" w:rsidRDefault="00CD21CF" w:rsidP="00A037AA">
      <w:pPr>
        <w:spacing w:line="480" w:lineRule="auto"/>
        <w:ind w:left="567"/>
        <w:rPr>
          <w:sz w:val="24"/>
          <w:szCs w:val="24"/>
        </w:rPr>
      </w:pPr>
      <w:r w:rsidRPr="00CD21CF">
        <w:rPr>
          <w:sz w:val="24"/>
          <w:szCs w:val="24"/>
        </w:rPr>
        <w:t>Yet this small change extends the rule’s validity from the purely judicial execution of punishment to punishment in general. It is now not merely a legal ruling affecting the court but a statement of principal involving Providence – one feature of divine justice</w:t>
      </w:r>
      <w:r w:rsidRPr="00CD21CF">
        <w:rPr>
          <w:rFonts w:hint="cs"/>
          <w:sz w:val="24"/>
          <w:szCs w:val="24"/>
          <w:rtl/>
        </w:rPr>
        <w:t>.</w:t>
      </w:r>
    </w:p>
    <w:p w14:paraId="2083B3CE" w14:textId="55B4E4BD" w:rsidR="00CD21CF" w:rsidRPr="00CD21CF" w:rsidRDefault="00CD21CF" w:rsidP="009771C8">
      <w:pPr>
        <w:spacing w:line="480" w:lineRule="auto"/>
        <w:rPr>
          <w:sz w:val="24"/>
          <w:szCs w:val="24"/>
          <w:rtl/>
        </w:rPr>
      </w:pPr>
      <w:r w:rsidRPr="00CD21CF">
        <w:rPr>
          <w:rFonts w:hint="cs"/>
          <w:sz w:val="24"/>
          <w:szCs w:val="24"/>
          <w:rtl/>
        </w:rPr>
        <w:t xml:space="preserve">ובכל זאת כאשר מדובר במלך שאינו נושא ולו נקודת זכות אחת </w:t>
      </w:r>
      <w:r w:rsidRPr="00CD21CF">
        <w:rPr>
          <w:sz w:val="24"/>
          <w:szCs w:val="24"/>
          <w:rtl/>
        </w:rPr>
        <w:t>–</w:t>
      </w:r>
      <w:r w:rsidRPr="00CD21CF">
        <w:rPr>
          <w:rFonts w:hint="cs"/>
          <w:sz w:val="24"/>
          <w:szCs w:val="24"/>
          <w:rtl/>
        </w:rPr>
        <w:t xml:space="preserve"> </w:t>
      </w:r>
      <w:r w:rsidR="001C2815" w:rsidRPr="00CD21CF">
        <w:rPr>
          <w:rFonts w:hint="cs"/>
          <w:sz w:val="24"/>
          <w:szCs w:val="24"/>
          <w:rtl/>
        </w:rPr>
        <w:t xml:space="preserve">בוחר </w:t>
      </w:r>
      <w:proofErr w:type="spellStart"/>
      <w:r w:rsidRPr="00CD21CF">
        <w:rPr>
          <w:rFonts w:hint="cs"/>
          <w:sz w:val="24"/>
          <w:szCs w:val="24"/>
          <w:rtl/>
        </w:rPr>
        <w:t>הכרוניסט</w:t>
      </w:r>
      <w:proofErr w:type="spellEnd"/>
      <w:r w:rsidRPr="00CD21CF">
        <w:rPr>
          <w:rFonts w:hint="cs"/>
          <w:sz w:val="24"/>
          <w:szCs w:val="24"/>
          <w:rtl/>
        </w:rPr>
        <w:t xml:space="preserve"> להתעלם במופגן מהכלל שהוא עצמו קבע ולהעניש אף את הבנים. הענשת הבנים היא האמצעי החריף ביותר שאפשר לנקוט כלפי מלך שהוא בבחינת חוטא גמור. את הענשת המלך בלבד שומר </w:t>
      </w:r>
      <w:proofErr w:type="spellStart"/>
      <w:r w:rsidRPr="00CD21CF">
        <w:rPr>
          <w:rFonts w:hint="cs"/>
          <w:sz w:val="24"/>
          <w:szCs w:val="24"/>
          <w:rtl/>
        </w:rPr>
        <w:t>הכרוניסט</w:t>
      </w:r>
      <w:proofErr w:type="spellEnd"/>
      <w:r w:rsidRPr="00CD21CF">
        <w:rPr>
          <w:rFonts w:hint="cs"/>
          <w:sz w:val="24"/>
          <w:szCs w:val="24"/>
          <w:rtl/>
        </w:rPr>
        <w:t xml:space="preserve"> למלכים שחטאו אך נושאים עימם זכות כלשהי; מלך שהוא בבחינת חוטא גמור </w:t>
      </w:r>
      <w:r w:rsidR="001C2815">
        <w:rPr>
          <w:sz w:val="24"/>
          <w:szCs w:val="24"/>
          <w:rtl/>
        </w:rPr>
        <w:t>–</w:t>
      </w:r>
      <w:r w:rsidRPr="00CD21CF">
        <w:rPr>
          <w:rFonts w:hint="cs"/>
          <w:sz w:val="24"/>
          <w:szCs w:val="24"/>
          <w:rtl/>
        </w:rPr>
        <w:t xml:space="preserve"> </w:t>
      </w:r>
      <w:r w:rsidR="001C2815">
        <w:rPr>
          <w:rFonts w:hint="cs"/>
          <w:sz w:val="24"/>
          <w:szCs w:val="24"/>
          <w:rtl/>
        </w:rPr>
        <w:t xml:space="preserve">הוא </w:t>
      </w:r>
      <w:r w:rsidRPr="00CD21CF">
        <w:rPr>
          <w:rFonts w:hint="cs"/>
          <w:sz w:val="24"/>
          <w:szCs w:val="24"/>
          <w:rtl/>
        </w:rPr>
        <w:t xml:space="preserve">נענש </w:t>
      </w:r>
      <w:r w:rsidR="001C2815">
        <w:rPr>
          <w:rFonts w:hint="cs"/>
          <w:sz w:val="24"/>
          <w:szCs w:val="24"/>
          <w:rtl/>
        </w:rPr>
        <w:t>ו</w:t>
      </w:r>
      <w:r w:rsidR="001C2815" w:rsidRPr="00CD21CF">
        <w:rPr>
          <w:rFonts w:hint="cs"/>
          <w:sz w:val="24"/>
          <w:szCs w:val="24"/>
          <w:rtl/>
        </w:rPr>
        <w:t xml:space="preserve">צאצאיו </w:t>
      </w:r>
      <w:r w:rsidRPr="00CD21CF">
        <w:rPr>
          <w:rFonts w:hint="cs"/>
          <w:sz w:val="24"/>
          <w:szCs w:val="24"/>
          <w:rtl/>
        </w:rPr>
        <w:t>נענשים. אמנם, וכאן ב</w:t>
      </w:r>
      <w:r w:rsidR="001C2815">
        <w:rPr>
          <w:rFonts w:hint="cs"/>
          <w:sz w:val="24"/>
          <w:szCs w:val="24"/>
          <w:rtl/>
        </w:rPr>
        <w:t>א ליד ביטוי כוחה של ההבטחה לדוד,</w:t>
      </w:r>
      <w:r w:rsidRPr="00CD21CF">
        <w:rPr>
          <w:rFonts w:hint="cs"/>
          <w:sz w:val="24"/>
          <w:szCs w:val="24"/>
          <w:rtl/>
        </w:rPr>
        <w:t xml:space="preserve"> </w:t>
      </w:r>
      <w:r w:rsidR="009771C8">
        <w:rPr>
          <w:rFonts w:hint="cs"/>
          <w:sz w:val="24"/>
          <w:szCs w:val="24"/>
          <w:rtl/>
        </w:rPr>
        <w:t xml:space="preserve">הענשת </w:t>
      </w:r>
      <w:r w:rsidRPr="00CD21CF">
        <w:rPr>
          <w:rFonts w:hint="cs"/>
          <w:sz w:val="24"/>
          <w:szCs w:val="24"/>
          <w:rtl/>
        </w:rPr>
        <w:t>בניו של המלך</w:t>
      </w:r>
      <w:r w:rsidR="001C2815">
        <w:rPr>
          <w:rFonts w:hint="cs"/>
          <w:sz w:val="24"/>
          <w:szCs w:val="24"/>
          <w:rtl/>
        </w:rPr>
        <w:t xml:space="preserve"> כגמול על מעשיו היא מוגבלת, רוצה לומר:</w:t>
      </w:r>
      <w:r w:rsidRPr="00CD21CF">
        <w:rPr>
          <w:rFonts w:hint="cs"/>
          <w:sz w:val="24"/>
          <w:szCs w:val="24"/>
          <w:rtl/>
        </w:rPr>
        <w:t xml:space="preserve"> אפשר לערער את יציבות השושלת, לעיתים אפילו בצורה דרמטית, אך אין להשחית אותה לחלוטין. </w:t>
      </w:r>
    </w:p>
    <w:p w14:paraId="7795A7C5" w14:textId="17B81901" w:rsidR="00CD21CF" w:rsidRPr="00CD21CF" w:rsidRDefault="00CD21CF" w:rsidP="001C2815">
      <w:pPr>
        <w:spacing w:line="480" w:lineRule="auto"/>
        <w:rPr>
          <w:sz w:val="24"/>
          <w:szCs w:val="24"/>
          <w:rtl/>
        </w:rPr>
      </w:pPr>
      <w:r w:rsidRPr="00CD21CF">
        <w:rPr>
          <w:rFonts w:hint="cs"/>
          <w:sz w:val="24"/>
          <w:szCs w:val="24"/>
          <w:rtl/>
        </w:rPr>
        <w:t xml:space="preserve">התמונה המתקבלת בעקבות הניתוח לעיל סותר לטעמי את התפיסה שהוצגה בידי כמה </w:t>
      </w:r>
      <w:r w:rsidR="001C2815">
        <w:rPr>
          <w:rFonts w:hint="cs"/>
          <w:sz w:val="24"/>
          <w:szCs w:val="24"/>
          <w:rtl/>
        </w:rPr>
        <w:t xml:space="preserve">חוקרים כי בהצגת דמותו </w:t>
      </w:r>
      <w:r w:rsidR="009771C8">
        <w:rPr>
          <w:rFonts w:hint="cs"/>
          <w:sz w:val="24"/>
          <w:szCs w:val="24"/>
          <w:rtl/>
        </w:rPr>
        <w:t xml:space="preserve">הבעייתית </w:t>
      </w:r>
      <w:r w:rsidR="001C2815">
        <w:rPr>
          <w:rFonts w:hint="cs"/>
          <w:sz w:val="24"/>
          <w:szCs w:val="24"/>
          <w:rtl/>
        </w:rPr>
        <w:t xml:space="preserve">של יהורם לצד </w:t>
      </w:r>
      <w:r w:rsidRPr="00CD21CF">
        <w:rPr>
          <w:rFonts w:hint="cs"/>
          <w:sz w:val="24"/>
          <w:szCs w:val="24"/>
          <w:rtl/>
        </w:rPr>
        <w:t>הזכרת נוסחת הברית</w:t>
      </w:r>
      <w:r w:rsidR="001C2815">
        <w:rPr>
          <w:rFonts w:hint="cs"/>
          <w:sz w:val="24"/>
          <w:szCs w:val="24"/>
          <w:rtl/>
        </w:rPr>
        <w:t>,</w:t>
      </w:r>
      <w:r w:rsidRPr="00CD21CF">
        <w:rPr>
          <w:rFonts w:hint="cs"/>
          <w:sz w:val="24"/>
          <w:szCs w:val="24"/>
          <w:rtl/>
        </w:rPr>
        <w:t xml:space="preserve"> נוטה </w:t>
      </w:r>
      <w:proofErr w:type="spellStart"/>
      <w:r w:rsidRPr="00CD21CF">
        <w:rPr>
          <w:rFonts w:hint="cs"/>
          <w:sz w:val="24"/>
          <w:szCs w:val="24"/>
          <w:rtl/>
        </w:rPr>
        <w:t>הכרוניסט</w:t>
      </w:r>
      <w:proofErr w:type="spellEnd"/>
      <w:r w:rsidRPr="00CD21CF">
        <w:rPr>
          <w:rFonts w:hint="cs"/>
          <w:sz w:val="24"/>
          <w:szCs w:val="24"/>
          <w:rtl/>
        </w:rPr>
        <w:t xml:space="preserve"> לשלב בין שתי תפיסות עולם: בין התפיסה המקנה חשיבות לבית המלוכה של דוד ובין התפיסה המניחה שיש גמול אישי ומידי.</w:t>
      </w:r>
      <w:r w:rsidRPr="00CD21CF">
        <w:rPr>
          <w:rStyle w:val="FootnoteReference"/>
          <w:sz w:val="24"/>
          <w:szCs w:val="24"/>
          <w:rtl/>
        </w:rPr>
        <w:footnoteReference w:id="28"/>
      </w:r>
      <w:r w:rsidRPr="00CD21CF">
        <w:rPr>
          <w:rFonts w:hint="cs"/>
          <w:sz w:val="24"/>
          <w:szCs w:val="24"/>
          <w:rtl/>
        </w:rPr>
        <w:t xml:space="preserve"> לטעמי אין לדבר על שילוב של שתי תפיסות שהן כביכול שוות בחשיבותן אלא על שתי תפיסות שמשקלן משתנה בהתאם לתנאים. במקרים שבהם המלך הוא חוטא גמור </w:t>
      </w:r>
      <w:r w:rsidRPr="00CD21CF">
        <w:rPr>
          <w:sz w:val="24"/>
          <w:szCs w:val="24"/>
          <w:rtl/>
        </w:rPr>
        <w:t>–</w:t>
      </w:r>
      <w:r w:rsidRPr="00CD21CF">
        <w:rPr>
          <w:rFonts w:hint="cs"/>
          <w:sz w:val="24"/>
          <w:szCs w:val="24"/>
          <w:rtl/>
        </w:rPr>
        <w:t xml:space="preserve"> </w:t>
      </w:r>
      <w:r w:rsidR="001C2815">
        <w:rPr>
          <w:rFonts w:hint="cs"/>
          <w:sz w:val="24"/>
          <w:szCs w:val="24"/>
          <w:rtl/>
        </w:rPr>
        <w:t>תפיסת הגמול</w:t>
      </w:r>
      <w:r w:rsidRPr="00CD21CF">
        <w:rPr>
          <w:rFonts w:hint="cs"/>
          <w:sz w:val="24"/>
          <w:szCs w:val="24"/>
          <w:rtl/>
        </w:rPr>
        <w:t xml:space="preserve"> עולה בחשיבותה על התפיסה </w:t>
      </w:r>
      <w:r w:rsidR="001C2815">
        <w:rPr>
          <w:rFonts w:hint="cs"/>
          <w:sz w:val="24"/>
          <w:szCs w:val="24"/>
          <w:rtl/>
        </w:rPr>
        <w:t>המייחסת חשיבות ל</w:t>
      </w:r>
      <w:r w:rsidRPr="00CD21CF">
        <w:rPr>
          <w:rFonts w:hint="cs"/>
          <w:sz w:val="24"/>
          <w:szCs w:val="24"/>
          <w:rtl/>
        </w:rPr>
        <w:t xml:space="preserve">שושלת בית דוד. העובדה כי במקרים כאלו הוא בוחר להעניש גם את ילדיו של המלך, תומכת בסברה כי במקרים מסוימים </w:t>
      </w:r>
      <w:proofErr w:type="spellStart"/>
      <w:r w:rsidRPr="00CD21CF">
        <w:rPr>
          <w:rFonts w:hint="cs"/>
          <w:sz w:val="24"/>
          <w:szCs w:val="24"/>
          <w:rtl/>
        </w:rPr>
        <w:t>הכרוניסט</w:t>
      </w:r>
      <w:proofErr w:type="spellEnd"/>
      <w:r w:rsidRPr="00CD21CF">
        <w:rPr>
          <w:rFonts w:hint="cs"/>
          <w:sz w:val="24"/>
          <w:szCs w:val="24"/>
          <w:rtl/>
        </w:rPr>
        <w:t xml:space="preserve"> ביקש להקצין את תפיסת הגמול שלו על חשבון התפיסה המקנה חשיבות ל</w:t>
      </w:r>
      <w:r w:rsidR="001C2815">
        <w:rPr>
          <w:rFonts w:hint="cs"/>
          <w:sz w:val="24"/>
          <w:szCs w:val="24"/>
          <w:rtl/>
        </w:rPr>
        <w:t xml:space="preserve">שושלת </w:t>
      </w:r>
      <w:r w:rsidRPr="00CD21CF">
        <w:rPr>
          <w:rFonts w:hint="cs"/>
          <w:sz w:val="24"/>
          <w:szCs w:val="24"/>
          <w:rtl/>
        </w:rPr>
        <w:t xml:space="preserve">בית דוד, שאם לא כן מדוע לא הסתפק בעונש למלך בלבד. </w:t>
      </w:r>
    </w:p>
    <w:p w14:paraId="1D91D65D" w14:textId="33EC6296" w:rsidR="001C2815" w:rsidRDefault="00CD21CF" w:rsidP="009771C8">
      <w:pPr>
        <w:spacing w:line="480" w:lineRule="auto"/>
        <w:rPr>
          <w:sz w:val="24"/>
          <w:szCs w:val="24"/>
          <w:rtl/>
        </w:rPr>
      </w:pPr>
      <w:r w:rsidRPr="00CD21CF">
        <w:rPr>
          <w:rFonts w:hint="cs"/>
          <w:sz w:val="24"/>
          <w:szCs w:val="24"/>
          <w:rtl/>
        </w:rPr>
        <w:t xml:space="preserve">אחזיהו שורד את פלישת הערבים משום שבלעדיו שושלת בית דוד לא הייתה ממשיכה הלאה. בטרם הומלך, מזכיר </w:t>
      </w:r>
      <w:proofErr w:type="spellStart"/>
      <w:r w:rsidRPr="00CD21CF">
        <w:rPr>
          <w:rFonts w:hint="cs"/>
          <w:sz w:val="24"/>
          <w:szCs w:val="24"/>
          <w:rtl/>
        </w:rPr>
        <w:t>הכרוניסט</w:t>
      </w:r>
      <w:proofErr w:type="spellEnd"/>
      <w:r w:rsidRPr="00CD21CF">
        <w:rPr>
          <w:rFonts w:hint="cs"/>
          <w:sz w:val="24"/>
          <w:szCs w:val="24"/>
          <w:rtl/>
        </w:rPr>
        <w:t xml:space="preserve"> שוב את הנסיבות שהותירו אותו לבדו: ״כי כל הראשונים הרג הגדוד הבא בערבים למחנה״. בעצם ההזכרה הזו, ותוך כדי ציון העובדה שהיה הבן הקטן, יש כאמור כדי להעמיד </w:t>
      </w:r>
      <w:r w:rsidR="009771C8" w:rsidRPr="00CD21CF">
        <w:rPr>
          <w:rFonts w:hint="cs"/>
          <w:sz w:val="24"/>
          <w:szCs w:val="24"/>
          <w:rtl/>
        </w:rPr>
        <w:t xml:space="preserve">את כשירותו של אחזיהו למלוכה </w:t>
      </w:r>
      <w:r w:rsidRPr="00CD21CF">
        <w:rPr>
          <w:rFonts w:hint="cs"/>
          <w:sz w:val="24"/>
          <w:szCs w:val="24"/>
          <w:rtl/>
        </w:rPr>
        <w:t>באור בעייתי ולחדד עוד את הנקודה כי הומלך משום ״שהראשונים״ כלומר אחיו הראויים ממנו נרצחו.</w:t>
      </w:r>
      <w:r w:rsidRPr="00CD21CF">
        <w:rPr>
          <w:rStyle w:val="FootnoteReference"/>
          <w:sz w:val="24"/>
          <w:szCs w:val="24"/>
          <w:rtl/>
        </w:rPr>
        <w:footnoteReference w:id="29"/>
      </w:r>
      <w:r w:rsidRPr="00CD21CF">
        <w:rPr>
          <w:rFonts w:hint="cs"/>
          <w:sz w:val="24"/>
          <w:szCs w:val="24"/>
          <w:rtl/>
        </w:rPr>
        <w:t xml:space="preserve"> בכך מביע </w:t>
      </w:r>
      <w:proofErr w:type="spellStart"/>
      <w:r w:rsidRPr="00CD21CF">
        <w:rPr>
          <w:rFonts w:hint="cs"/>
          <w:sz w:val="24"/>
          <w:szCs w:val="24"/>
          <w:rtl/>
        </w:rPr>
        <w:t>הכרוניסט</w:t>
      </w:r>
      <w:proofErr w:type="spellEnd"/>
      <w:r w:rsidRPr="00CD21CF">
        <w:rPr>
          <w:rFonts w:hint="cs"/>
          <w:sz w:val="24"/>
          <w:szCs w:val="24"/>
          <w:rtl/>
        </w:rPr>
        <w:t xml:space="preserve"> את הסתייגותו ממלוכת אחזיהו ומהעובדה שהמשיך למלוך </w:t>
      </w:r>
      <w:r w:rsidRPr="00CD21CF">
        <w:rPr>
          <w:rFonts w:hint="cs"/>
          <w:sz w:val="24"/>
          <w:szCs w:val="24"/>
          <w:rtl/>
        </w:rPr>
        <w:lastRenderedPageBreak/>
        <w:t xml:space="preserve">לאחר אביו. טרם מותו של אחזיהו מציין </w:t>
      </w:r>
      <w:proofErr w:type="spellStart"/>
      <w:r w:rsidRPr="00CD21CF">
        <w:rPr>
          <w:rFonts w:hint="cs"/>
          <w:sz w:val="24"/>
          <w:szCs w:val="24"/>
          <w:rtl/>
        </w:rPr>
        <w:t>הכרוניסט</w:t>
      </w:r>
      <w:proofErr w:type="spellEnd"/>
      <w:r w:rsidRPr="00CD21CF">
        <w:rPr>
          <w:rFonts w:hint="cs"/>
          <w:sz w:val="24"/>
          <w:szCs w:val="24"/>
          <w:rtl/>
        </w:rPr>
        <w:t xml:space="preserve"> פרט נוסף: לא רק אחזיהו נהרג בידי </w:t>
      </w:r>
      <w:proofErr w:type="spellStart"/>
      <w:r w:rsidRPr="00CD21CF">
        <w:rPr>
          <w:rFonts w:hint="cs"/>
          <w:sz w:val="24"/>
          <w:szCs w:val="24"/>
          <w:rtl/>
        </w:rPr>
        <w:t>יהוא</w:t>
      </w:r>
      <w:proofErr w:type="spellEnd"/>
      <w:r w:rsidRPr="00CD21CF">
        <w:rPr>
          <w:rFonts w:hint="cs"/>
          <w:sz w:val="24"/>
          <w:szCs w:val="24"/>
          <w:rtl/>
        </w:rPr>
        <w:t xml:space="preserve"> אלא אפילו אחייניו. מותם של </w:t>
      </w:r>
      <w:r w:rsidR="0020503E">
        <w:rPr>
          <w:rFonts w:hint="cs"/>
          <w:sz w:val="24"/>
          <w:szCs w:val="24"/>
          <w:rtl/>
        </w:rPr>
        <w:t>האחרונים</w:t>
      </w:r>
      <w:r w:rsidRPr="00CD21CF">
        <w:rPr>
          <w:rFonts w:hint="cs"/>
          <w:sz w:val="24"/>
          <w:szCs w:val="24"/>
          <w:rtl/>
        </w:rPr>
        <w:t xml:space="preserve"> היא מכה נוספת לסיכוי ההישרדות של שושלת בית דוד שתלויה כעת אך ורק ביורשיו של אחזיהו. </w:t>
      </w:r>
      <w:r w:rsidR="0020503E">
        <w:rPr>
          <w:rFonts w:hint="cs"/>
          <w:sz w:val="24"/>
          <w:szCs w:val="24"/>
          <w:rtl/>
        </w:rPr>
        <w:t>ברם</w:t>
      </w:r>
      <w:r w:rsidRPr="00CD21CF">
        <w:rPr>
          <w:rFonts w:hint="cs"/>
          <w:sz w:val="24"/>
          <w:szCs w:val="24"/>
          <w:rtl/>
        </w:rPr>
        <w:t xml:space="preserve">, אחזיהו אינו לומד את הלקח מאביו, וחטאיו מובילים לכך כי ערעור השושלת שהחל </w:t>
      </w:r>
      <w:r w:rsidR="009771C8">
        <w:rPr>
          <w:rFonts w:hint="cs"/>
          <w:sz w:val="24"/>
          <w:szCs w:val="24"/>
          <w:rtl/>
        </w:rPr>
        <w:t>במות</w:t>
      </w:r>
      <w:r w:rsidRPr="00CD21CF">
        <w:rPr>
          <w:rFonts w:hint="cs"/>
          <w:sz w:val="24"/>
          <w:szCs w:val="24"/>
          <w:rtl/>
        </w:rPr>
        <w:t xml:space="preserve"> </w:t>
      </w:r>
      <w:r w:rsidRPr="009771C8">
        <w:rPr>
          <w:rFonts w:hint="cs"/>
          <w:color w:val="FF0000"/>
          <w:sz w:val="24"/>
          <w:szCs w:val="24"/>
          <w:rtl/>
        </w:rPr>
        <w:t xml:space="preserve">אחיו </w:t>
      </w:r>
      <w:r w:rsidR="001C2815">
        <w:rPr>
          <w:rFonts w:hint="cs"/>
          <w:sz w:val="24"/>
          <w:szCs w:val="24"/>
          <w:rtl/>
        </w:rPr>
        <w:t xml:space="preserve">ולאחר מכן </w:t>
      </w:r>
      <w:r w:rsidR="009771C8">
        <w:rPr>
          <w:rFonts w:hint="cs"/>
          <w:sz w:val="24"/>
          <w:szCs w:val="24"/>
          <w:rtl/>
        </w:rPr>
        <w:t>במות</w:t>
      </w:r>
      <w:r w:rsidR="001C2815">
        <w:rPr>
          <w:rFonts w:hint="cs"/>
          <w:sz w:val="24"/>
          <w:szCs w:val="24"/>
          <w:rtl/>
        </w:rPr>
        <w:t xml:space="preserve"> </w:t>
      </w:r>
      <w:r w:rsidRPr="00CD21CF">
        <w:rPr>
          <w:rFonts w:hint="cs"/>
          <w:sz w:val="24"/>
          <w:szCs w:val="24"/>
          <w:rtl/>
        </w:rPr>
        <w:t xml:space="preserve">ילדיהם ממשיך כעת ברציחת ילדיו שלו למעט יהואש התינוק. </w:t>
      </w:r>
    </w:p>
    <w:p w14:paraId="43522AC6" w14:textId="0D7A9776" w:rsidR="00CD21CF" w:rsidRPr="00CD21CF" w:rsidRDefault="00CD21CF" w:rsidP="001C2815">
      <w:pPr>
        <w:spacing w:line="480" w:lineRule="auto"/>
        <w:rPr>
          <w:sz w:val="24"/>
          <w:szCs w:val="24"/>
          <w:rtl/>
        </w:rPr>
      </w:pPr>
      <w:r w:rsidRPr="00CD21CF">
        <w:rPr>
          <w:rFonts w:hint="cs"/>
          <w:sz w:val="24"/>
          <w:szCs w:val="24"/>
          <w:rtl/>
        </w:rPr>
        <w:t xml:space="preserve">סיכום ימי מלוכתם של יהורם ואחזיהו מעלה כי בתקופתם הקצרה יחסית ישנם </w:t>
      </w:r>
      <w:r w:rsidR="001C2815">
        <w:rPr>
          <w:rFonts w:hint="cs"/>
          <w:sz w:val="24"/>
          <w:szCs w:val="24"/>
          <w:rtl/>
        </w:rPr>
        <w:t>לא פחות מ</w:t>
      </w:r>
      <w:r w:rsidRPr="00CD21CF">
        <w:rPr>
          <w:rFonts w:hint="cs"/>
          <w:sz w:val="24"/>
          <w:szCs w:val="24"/>
          <w:rtl/>
        </w:rPr>
        <w:t xml:space="preserve">ארבעה תיאורי רציחה או </w:t>
      </w:r>
      <w:r w:rsidR="001C2815">
        <w:rPr>
          <w:rFonts w:hint="cs"/>
          <w:sz w:val="24"/>
          <w:szCs w:val="24"/>
          <w:rtl/>
        </w:rPr>
        <w:t>הריגה של בנים או אחים הקשורים לשושלת בית דוד</w:t>
      </w:r>
      <w:r w:rsidRPr="00CD21CF">
        <w:rPr>
          <w:rFonts w:hint="cs"/>
          <w:sz w:val="24"/>
          <w:szCs w:val="24"/>
          <w:rtl/>
        </w:rPr>
        <w:t>.</w:t>
      </w:r>
    </w:p>
    <w:p w14:paraId="423FD1A9" w14:textId="2E95F090" w:rsidR="00CD21CF" w:rsidRPr="00CD21CF" w:rsidRDefault="001C2815" w:rsidP="00047EAA">
      <w:pPr>
        <w:pStyle w:val="ListParagraph"/>
        <w:numPr>
          <w:ilvl w:val="0"/>
          <w:numId w:val="3"/>
        </w:numPr>
        <w:spacing w:line="480" w:lineRule="auto"/>
        <w:rPr>
          <w:sz w:val="24"/>
          <w:szCs w:val="24"/>
        </w:rPr>
      </w:pPr>
      <w:r>
        <w:rPr>
          <w:rFonts w:hint="cs"/>
          <w:sz w:val="24"/>
          <w:szCs w:val="24"/>
          <w:rtl/>
        </w:rPr>
        <w:t>יהורם רוצח את אחיו</w:t>
      </w:r>
      <w:r w:rsidR="00CD21CF" w:rsidRPr="00CD21CF">
        <w:rPr>
          <w:rFonts w:hint="cs"/>
          <w:sz w:val="24"/>
          <w:szCs w:val="24"/>
          <w:rtl/>
        </w:rPr>
        <w:t xml:space="preserve"> (</w:t>
      </w:r>
      <w:proofErr w:type="spellStart"/>
      <w:r w:rsidR="00CD21CF" w:rsidRPr="00CD21CF">
        <w:rPr>
          <w:rFonts w:hint="cs"/>
          <w:sz w:val="24"/>
          <w:szCs w:val="24"/>
          <w:rtl/>
        </w:rPr>
        <w:t>כא</w:t>
      </w:r>
      <w:proofErr w:type="spellEnd"/>
      <w:r w:rsidR="00CD21CF" w:rsidRPr="00CD21CF">
        <w:rPr>
          <w:rFonts w:hint="cs"/>
          <w:sz w:val="24"/>
          <w:szCs w:val="24"/>
          <w:rtl/>
        </w:rPr>
        <w:t xml:space="preserve"> 4)</w:t>
      </w:r>
    </w:p>
    <w:p w14:paraId="255B112B" w14:textId="77777777" w:rsidR="00CD21CF" w:rsidRPr="00CD21CF" w:rsidRDefault="00CD21CF" w:rsidP="00047EAA">
      <w:pPr>
        <w:pStyle w:val="ListParagraph"/>
        <w:numPr>
          <w:ilvl w:val="0"/>
          <w:numId w:val="3"/>
        </w:numPr>
        <w:spacing w:line="480" w:lineRule="auto"/>
        <w:rPr>
          <w:sz w:val="24"/>
          <w:szCs w:val="24"/>
        </w:rPr>
      </w:pPr>
      <w:r w:rsidRPr="00CD21CF">
        <w:rPr>
          <w:sz w:val="24"/>
          <w:szCs w:val="24"/>
          <w:rtl/>
        </w:rPr>
        <w:t xml:space="preserve">בניו </w:t>
      </w:r>
      <w:r w:rsidRPr="00CD21CF">
        <w:rPr>
          <w:rFonts w:hint="cs"/>
          <w:sz w:val="24"/>
          <w:szCs w:val="24"/>
          <w:rtl/>
        </w:rPr>
        <w:t>של יהורם מתים על ידי הערבים (</w:t>
      </w:r>
      <w:proofErr w:type="spellStart"/>
      <w:r w:rsidRPr="00CD21CF">
        <w:rPr>
          <w:rFonts w:hint="cs"/>
          <w:sz w:val="24"/>
          <w:szCs w:val="24"/>
          <w:rtl/>
        </w:rPr>
        <w:t>כב</w:t>
      </w:r>
      <w:proofErr w:type="spellEnd"/>
      <w:r w:rsidRPr="00CD21CF">
        <w:rPr>
          <w:rFonts w:hint="cs"/>
          <w:sz w:val="24"/>
          <w:szCs w:val="24"/>
          <w:rtl/>
        </w:rPr>
        <w:t xml:space="preserve"> 1)</w:t>
      </w:r>
    </w:p>
    <w:p w14:paraId="31AE711E" w14:textId="77777777" w:rsidR="00CD21CF" w:rsidRPr="00CD21CF" w:rsidRDefault="00CD21CF" w:rsidP="00902EBF">
      <w:pPr>
        <w:pStyle w:val="ListParagraph"/>
        <w:numPr>
          <w:ilvl w:val="0"/>
          <w:numId w:val="3"/>
        </w:numPr>
        <w:spacing w:line="480" w:lineRule="auto"/>
        <w:rPr>
          <w:sz w:val="24"/>
          <w:szCs w:val="24"/>
        </w:rPr>
      </w:pPr>
      <w:r w:rsidRPr="00CD21CF">
        <w:rPr>
          <w:rFonts w:hint="cs"/>
          <w:sz w:val="24"/>
          <w:szCs w:val="24"/>
          <w:rtl/>
        </w:rPr>
        <w:t xml:space="preserve">אחייניו של אחזיהו מתים על ידי </w:t>
      </w:r>
      <w:proofErr w:type="spellStart"/>
      <w:r w:rsidRPr="00CD21CF">
        <w:rPr>
          <w:rFonts w:hint="cs"/>
          <w:sz w:val="24"/>
          <w:szCs w:val="24"/>
          <w:rtl/>
        </w:rPr>
        <w:t>יהוא</w:t>
      </w:r>
      <w:proofErr w:type="spellEnd"/>
      <w:r w:rsidRPr="00CD21CF">
        <w:rPr>
          <w:rFonts w:hint="cs"/>
          <w:sz w:val="24"/>
          <w:szCs w:val="24"/>
          <w:rtl/>
        </w:rPr>
        <w:t xml:space="preserve"> (</w:t>
      </w:r>
      <w:proofErr w:type="spellStart"/>
      <w:r w:rsidRPr="00CD21CF">
        <w:rPr>
          <w:rFonts w:hint="cs"/>
          <w:sz w:val="24"/>
          <w:szCs w:val="24"/>
          <w:rtl/>
        </w:rPr>
        <w:t>כב</w:t>
      </w:r>
      <w:proofErr w:type="spellEnd"/>
      <w:r w:rsidRPr="00CD21CF">
        <w:rPr>
          <w:rFonts w:hint="cs"/>
          <w:sz w:val="24"/>
          <w:szCs w:val="24"/>
          <w:rtl/>
        </w:rPr>
        <w:t xml:space="preserve"> 8)</w:t>
      </w:r>
    </w:p>
    <w:p w14:paraId="0C366537" w14:textId="77777777" w:rsidR="00CD21CF" w:rsidRPr="00CD21CF" w:rsidRDefault="00CD21CF" w:rsidP="00047EAA">
      <w:pPr>
        <w:pStyle w:val="ListParagraph"/>
        <w:numPr>
          <w:ilvl w:val="0"/>
          <w:numId w:val="3"/>
        </w:numPr>
        <w:spacing w:line="480" w:lineRule="auto"/>
        <w:rPr>
          <w:sz w:val="24"/>
          <w:szCs w:val="24"/>
          <w:rtl/>
        </w:rPr>
      </w:pPr>
      <w:r w:rsidRPr="00CD21CF">
        <w:rPr>
          <w:sz w:val="24"/>
          <w:szCs w:val="24"/>
          <w:rtl/>
        </w:rPr>
        <w:t>בני</w:t>
      </w:r>
      <w:r w:rsidRPr="00CD21CF">
        <w:rPr>
          <w:rFonts w:hint="cs"/>
          <w:sz w:val="24"/>
          <w:szCs w:val="24"/>
          <w:rtl/>
        </w:rPr>
        <w:t>ו</w:t>
      </w:r>
      <w:r w:rsidRPr="00CD21CF">
        <w:rPr>
          <w:sz w:val="24"/>
          <w:szCs w:val="24"/>
          <w:rtl/>
        </w:rPr>
        <w:t xml:space="preserve"> </w:t>
      </w:r>
      <w:r w:rsidRPr="00CD21CF">
        <w:rPr>
          <w:rFonts w:hint="cs"/>
          <w:sz w:val="24"/>
          <w:szCs w:val="24"/>
          <w:rtl/>
        </w:rPr>
        <w:t xml:space="preserve">של אחזיהו נרצחים על ידי </w:t>
      </w:r>
      <w:proofErr w:type="spellStart"/>
      <w:r w:rsidRPr="00CD21CF">
        <w:rPr>
          <w:rFonts w:hint="cs"/>
          <w:sz w:val="24"/>
          <w:szCs w:val="24"/>
          <w:rtl/>
        </w:rPr>
        <w:t>עתליהו</w:t>
      </w:r>
      <w:proofErr w:type="spellEnd"/>
      <w:r w:rsidRPr="00CD21CF">
        <w:rPr>
          <w:rFonts w:hint="cs"/>
          <w:sz w:val="24"/>
          <w:szCs w:val="24"/>
          <w:rtl/>
        </w:rPr>
        <w:t xml:space="preserve"> (</w:t>
      </w:r>
      <w:proofErr w:type="spellStart"/>
      <w:r w:rsidRPr="00CD21CF">
        <w:rPr>
          <w:rFonts w:hint="cs"/>
          <w:sz w:val="24"/>
          <w:szCs w:val="24"/>
          <w:rtl/>
        </w:rPr>
        <w:t>כב</w:t>
      </w:r>
      <w:proofErr w:type="spellEnd"/>
      <w:r w:rsidRPr="00CD21CF">
        <w:rPr>
          <w:rFonts w:hint="cs"/>
          <w:sz w:val="24"/>
          <w:szCs w:val="24"/>
          <w:rtl/>
        </w:rPr>
        <w:t xml:space="preserve"> 10).</w:t>
      </w:r>
    </w:p>
    <w:p w14:paraId="1DD5B63D" w14:textId="2AF864E5" w:rsidR="00CD21CF" w:rsidRPr="00CD21CF" w:rsidRDefault="00CD21CF" w:rsidP="001C2815">
      <w:pPr>
        <w:spacing w:line="480" w:lineRule="auto"/>
        <w:rPr>
          <w:sz w:val="24"/>
          <w:szCs w:val="24"/>
          <w:rtl/>
        </w:rPr>
      </w:pPr>
      <w:r w:rsidRPr="00CD21CF">
        <w:rPr>
          <w:rFonts w:hint="cs"/>
          <w:sz w:val="24"/>
          <w:szCs w:val="24"/>
          <w:rtl/>
        </w:rPr>
        <w:t xml:space="preserve">לאחר כל סדרת </w:t>
      </w:r>
      <w:r w:rsidR="001C2815">
        <w:rPr>
          <w:rFonts w:hint="cs"/>
          <w:sz w:val="24"/>
          <w:szCs w:val="24"/>
          <w:rtl/>
        </w:rPr>
        <w:t xml:space="preserve">הרציחות </w:t>
      </w:r>
      <w:r w:rsidRPr="00CD21CF">
        <w:rPr>
          <w:rFonts w:hint="cs"/>
          <w:sz w:val="24"/>
          <w:szCs w:val="24"/>
          <w:rtl/>
        </w:rPr>
        <w:t>הללו, נוצר</w:t>
      </w:r>
      <w:r w:rsidR="001C2815">
        <w:rPr>
          <w:rFonts w:hint="cs"/>
          <w:sz w:val="24"/>
          <w:szCs w:val="24"/>
          <w:rtl/>
        </w:rPr>
        <w:t xml:space="preserve"> אפוא</w:t>
      </w:r>
      <w:r w:rsidRPr="00CD21CF">
        <w:rPr>
          <w:rFonts w:hint="cs"/>
          <w:sz w:val="24"/>
          <w:szCs w:val="24"/>
          <w:rtl/>
        </w:rPr>
        <w:t xml:space="preserve"> מצב</w:t>
      </w:r>
      <w:r w:rsidR="001C2815">
        <w:rPr>
          <w:rFonts w:hint="cs"/>
          <w:sz w:val="24"/>
          <w:szCs w:val="24"/>
          <w:rtl/>
        </w:rPr>
        <w:t xml:space="preserve"> שברירי במיוחד:</w:t>
      </w:r>
      <w:r w:rsidRPr="00CD21CF">
        <w:rPr>
          <w:rFonts w:hint="cs"/>
          <w:sz w:val="24"/>
          <w:szCs w:val="24"/>
          <w:rtl/>
        </w:rPr>
        <w:t xml:space="preserve"> שושלת בית דוד תלויה </w:t>
      </w:r>
      <w:r w:rsidR="001C2815">
        <w:rPr>
          <w:rFonts w:hint="cs"/>
          <w:sz w:val="24"/>
          <w:szCs w:val="24"/>
          <w:rtl/>
        </w:rPr>
        <w:t xml:space="preserve">כעת </w:t>
      </w:r>
      <w:r w:rsidRPr="00CD21CF">
        <w:rPr>
          <w:rFonts w:hint="cs"/>
          <w:sz w:val="24"/>
          <w:szCs w:val="24"/>
          <w:rtl/>
        </w:rPr>
        <w:t xml:space="preserve">על חוט דק </w:t>
      </w:r>
      <w:r w:rsidR="001C2815" w:rsidRPr="00CD21CF">
        <w:rPr>
          <w:rFonts w:hint="cs"/>
          <w:sz w:val="24"/>
          <w:szCs w:val="24"/>
          <w:rtl/>
        </w:rPr>
        <w:t xml:space="preserve">אחד </w:t>
      </w:r>
      <w:r w:rsidRPr="00CD21CF">
        <w:rPr>
          <w:rFonts w:hint="cs"/>
          <w:sz w:val="24"/>
          <w:szCs w:val="24"/>
          <w:rtl/>
        </w:rPr>
        <w:t>בדמותו של יהואש התינוק</w:t>
      </w:r>
      <w:r w:rsidR="001C2815">
        <w:rPr>
          <w:rFonts w:hint="cs"/>
          <w:sz w:val="24"/>
          <w:szCs w:val="24"/>
          <w:rtl/>
        </w:rPr>
        <w:t>.</w:t>
      </w:r>
    </w:p>
    <w:p w14:paraId="2ABD1209" w14:textId="2DAF2548" w:rsidR="00CD21CF" w:rsidRPr="00CD21CF" w:rsidRDefault="00CD21CF" w:rsidP="00BC6796">
      <w:pPr>
        <w:spacing w:line="480" w:lineRule="auto"/>
        <w:rPr>
          <w:sz w:val="24"/>
          <w:szCs w:val="24"/>
          <w:rtl/>
        </w:rPr>
      </w:pPr>
      <w:r w:rsidRPr="00CD21CF">
        <w:rPr>
          <w:rFonts w:hint="cs"/>
          <w:sz w:val="24"/>
          <w:szCs w:val="24"/>
          <w:rtl/>
        </w:rPr>
        <w:t xml:space="preserve">להבדיל מהמעבר המהיר יחסית של המלוכה מיהורם לאחזיהו, לאחר רציחת בניו של אחזיהו יש צורך להמתין לא פחות משש שנים עד שיהואש, היורש היחיד, יהיה כשיר לשבת על כיסא הממלכה. לאחר שש שנים, מקבץ יהוידע הכהן לירושלים את הלויים ואת ראשי האבות: ״ויאמר להם הנה בן המלך </w:t>
      </w:r>
      <w:proofErr w:type="spellStart"/>
      <w:r w:rsidRPr="00CD21CF">
        <w:rPr>
          <w:rFonts w:hint="cs"/>
          <w:sz w:val="24"/>
          <w:szCs w:val="24"/>
          <w:rtl/>
        </w:rPr>
        <w:t>ימלך</w:t>
      </w:r>
      <w:proofErr w:type="spellEnd"/>
      <w:r w:rsidRPr="00CD21CF">
        <w:rPr>
          <w:rFonts w:hint="cs"/>
          <w:sz w:val="24"/>
          <w:szCs w:val="24"/>
          <w:rtl/>
        </w:rPr>
        <w:t xml:space="preserve"> כאשר דבר ה׳ על בני דוד״ (</w:t>
      </w:r>
      <w:proofErr w:type="spellStart"/>
      <w:r w:rsidRPr="00CD21CF">
        <w:rPr>
          <w:rFonts w:hint="cs"/>
          <w:sz w:val="24"/>
          <w:szCs w:val="24"/>
          <w:rtl/>
        </w:rPr>
        <w:t>כג</w:t>
      </w:r>
      <w:proofErr w:type="spellEnd"/>
      <w:r w:rsidRPr="00CD21CF">
        <w:rPr>
          <w:rFonts w:hint="cs"/>
          <w:sz w:val="24"/>
          <w:szCs w:val="24"/>
          <w:rtl/>
        </w:rPr>
        <w:t xml:space="preserve"> 3). לכאורה יש באמירה הזו ביטוי נוסף לחשיבותה של שושלת בית דוד ולנצחיותה, וכך אכן ראו אותה חוקרים שונים.</w:t>
      </w:r>
      <w:bookmarkStart w:id="0" w:name="_GoBack"/>
      <w:bookmarkEnd w:id="0"/>
      <w:r w:rsidRPr="00CD21CF">
        <w:rPr>
          <w:rFonts w:hint="cs"/>
          <w:sz w:val="24"/>
          <w:szCs w:val="24"/>
          <w:rtl/>
        </w:rPr>
        <w:t xml:space="preserve"> אמת, יש באמירה הזו ביטוי לחשיבות השושלת, אך לצד זה יתכן כי יש בה אמירה נוספת, </w:t>
      </w:r>
      <w:r w:rsidR="001C2815">
        <w:rPr>
          <w:rFonts w:hint="cs"/>
          <w:sz w:val="24"/>
          <w:szCs w:val="24"/>
          <w:rtl/>
        </w:rPr>
        <w:t xml:space="preserve">שמא </w:t>
      </w:r>
      <w:r w:rsidRPr="00CD21CF">
        <w:rPr>
          <w:rFonts w:hint="cs"/>
          <w:sz w:val="24"/>
          <w:szCs w:val="24"/>
          <w:rtl/>
        </w:rPr>
        <w:t xml:space="preserve">מסתייגת: מבין השורות ניתן </w:t>
      </w:r>
      <w:r w:rsidR="00E93319">
        <w:rPr>
          <w:rFonts w:hint="cs"/>
          <w:sz w:val="24"/>
          <w:szCs w:val="24"/>
          <w:rtl/>
        </w:rPr>
        <w:t>להבין</w:t>
      </w:r>
      <w:r w:rsidRPr="00CD21CF">
        <w:rPr>
          <w:rFonts w:hint="cs"/>
          <w:sz w:val="24"/>
          <w:szCs w:val="24"/>
          <w:rtl/>
        </w:rPr>
        <w:t xml:space="preserve"> כי גם יהואש הומלך בלית ברירה</w:t>
      </w:r>
      <w:r w:rsidR="00E93319">
        <w:rPr>
          <w:rFonts w:hint="cs"/>
          <w:sz w:val="24"/>
          <w:szCs w:val="24"/>
          <w:rtl/>
        </w:rPr>
        <w:t xml:space="preserve"> משום שהיה השריד האחרון לשושלת בית דוד ולא משום שהיה ראוי</w:t>
      </w:r>
      <w:r w:rsidRPr="00CD21CF">
        <w:rPr>
          <w:rFonts w:hint="cs"/>
          <w:sz w:val="24"/>
          <w:szCs w:val="24"/>
          <w:rtl/>
        </w:rPr>
        <w:t xml:space="preserve">. יתכן כי בעיניו של </w:t>
      </w:r>
      <w:proofErr w:type="spellStart"/>
      <w:r w:rsidRPr="00CD21CF">
        <w:rPr>
          <w:rFonts w:hint="cs"/>
          <w:sz w:val="24"/>
          <w:szCs w:val="24"/>
          <w:rtl/>
        </w:rPr>
        <w:t>הכרוניסט</w:t>
      </w:r>
      <w:proofErr w:type="spellEnd"/>
      <w:r w:rsidRPr="00CD21CF">
        <w:rPr>
          <w:rFonts w:hint="cs"/>
          <w:sz w:val="24"/>
          <w:szCs w:val="24"/>
          <w:rtl/>
        </w:rPr>
        <w:t xml:space="preserve"> המלך ה</w:t>
      </w:r>
      <w:r w:rsidR="00E93319">
        <w:rPr>
          <w:rFonts w:hint="cs"/>
          <w:sz w:val="24"/>
          <w:szCs w:val="24"/>
          <w:rtl/>
        </w:rPr>
        <w:t xml:space="preserve">יותר </w:t>
      </w:r>
      <w:r w:rsidRPr="00CD21CF">
        <w:rPr>
          <w:rFonts w:hint="cs"/>
          <w:sz w:val="24"/>
          <w:szCs w:val="24"/>
          <w:rtl/>
        </w:rPr>
        <w:t xml:space="preserve">ראוי למלוך באותה שעה </w:t>
      </w:r>
      <w:r w:rsidR="00E93319">
        <w:rPr>
          <w:rFonts w:hint="cs"/>
          <w:sz w:val="24"/>
          <w:szCs w:val="24"/>
          <w:rtl/>
        </w:rPr>
        <w:t>היה</w:t>
      </w:r>
      <w:r w:rsidRPr="00CD21CF">
        <w:rPr>
          <w:rFonts w:hint="cs"/>
          <w:sz w:val="24"/>
          <w:szCs w:val="24"/>
          <w:rtl/>
        </w:rPr>
        <w:t xml:space="preserve"> דווקא יהוידע הכהן. אין בכך</w:t>
      </w:r>
      <w:r w:rsidR="00E93319">
        <w:rPr>
          <w:rFonts w:hint="cs"/>
          <w:sz w:val="24"/>
          <w:szCs w:val="24"/>
          <w:rtl/>
        </w:rPr>
        <w:t xml:space="preserve"> כל </w:t>
      </w:r>
      <w:r w:rsidRPr="00CD21CF">
        <w:rPr>
          <w:rFonts w:hint="cs"/>
          <w:sz w:val="24"/>
          <w:szCs w:val="24"/>
          <w:rtl/>
        </w:rPr>
        <w:t xml:space="preserve"> פלא. כבר עמדו על כך </w:t>
      </w:r>
      <w:proofErr w:type="spellStart"/>
      <w:r w:rsidRPr="00CD21CF">
        <w:rPr>
          <w:rFonts w:hint="cs"/>
          <w:sz w:val="24"/>
          <w:szCs w:val="24"/>
          <w:rtl/>
        </w:rPr>
        <w:t>שהכרוניסט</w:t>
      </w:r>
      <w:proofErr w:type="spellEnd"/>
      <w:r w:rsidRPr="00CD21CF">
        <w:rPr>
          <w:rFonts w:hint="cs"/>
          <w:sz w:val="24"/>
          <w:szCs w:val="24"/>
          <w:rtl/>
        </w:rPr>
        <w:t xml:space="preserve"> עיצב את דמותו כאילו היה אחד ממלכי בית דוד.</w:t>
      </w:r>
      <w:r w:rsidRPr="00CD21CF">
        <w:rPr>
          <w:rStyle w:val="FootnoteReference"/>
          <w:sz w:val="24"/>
          <w:szCs w:val="24"/>
          <w:rtl/>
        </w:rPr>
        <w:footnoteReference w:id="30"/>
      </w:r>
      <w:r w:rsidRPr="00CD21CF">
        <w:rPr>
          <w:rFonts w:hint="cs"/>
          <w:sz w:val="24"/>
          <w:szCs w:val="24"/>
          <w:rtl/>
        </w:rPr>
        <w:t xml:space="preserve"> </w:t>
      </w:r>
    </w:p>
    <w:p w14:paraId="3269AEE0" w14:textId="2871D284" w:rsidR="00CD21CF" w:rsidRPr="00CD21CF" w:rsidRDefault="00CD21CF" w:rsidP="003025B3">
      <w:pPr>
        <w:spacing w:line="480" w:lineRule="auto"/>
        <w:rPr>
          <w:sz w:val="24"/>
          <w:szCs w:val="24"/>
          <w:rtl/>
        </w:rPr>
      </w:pPr>
      <w:r w:rsidRPr="00CD21CF">
        <w:rPr>
          <w:rFonts w:hint="cs"/>
          <w:sz w:val="24"/>
          <w:szCs w:val="24"/>
          <w:rtl/>
        </w:rPr>
        <w:t xml:space="preserve">המחיר הכבד שמשלמים יהורם ואחזיהו על מעשיהם הרעים חוזר שוב אצל אחז. אלא שאחז, המלך החוטא ביותר, מגדיל לעשות: הוא עצמו מערער את יציבות השושלת באמצעות הריגת בניו שלו. הוא מעלה אותם על המוקד והופך הרגל מגונה זה לנוהג קבוע. ואם אין </w:t>
      </w:r>
      <w:r w:rsidR="003025B3" w:rsidRPr="00CD21CF">
        <w:rPr>
          <w:rFonts w:hint="cs"/>
          <w:sz w:val="24"/>
          <w:szCs w:val="24"/>
          <w:rtl/>
        </w:rPr>
        <w:t xml:space="preserve">די </w:t>
      </w:r>
      <w:r w:rsidRPr="00CD21CF">
        <w:rPr>
          <w:rFonts w:hint="cs"/>
          <w:sz w:val="24"/>
          <w:szCs w:val="24"/>
          <w:rtl/>
        </w:rPr>
        <w:t xml:space="preserve">בכך </w:t>
      </w:r>
      <w:proofErr w:type="spellStart"/>
      <w:r w:rsidRPr="00CD21CF">
        <w:rPr>
          <w:rFonts w:hint="cs"/>
          <w:sz w:val="24"/>
          <w:szCs w:val="24"/>
          <w:rtl/>
        </w:rPr>
        <w:t>הכרוניסט</w:t>
      </w:r>
      <w:proofErr w:type="spellEnd"/>
      <w:r w:rsidRPr="00CD21CF">
        <w:rPr>
          <w:rFonts w:hint="cs"/>
          <w:sz w:val="24"/>
          <w:szCs w:val="24"/>
          <w:rtl/>
        </w:rPr>
        <w:t xml:space="preserve"> מתאר מאוחר יותר כי זכרי גיבור אפרים הורג גם את בנו מעשיהו. ראוי לשים לב כי תוארו של מעשיהו הוא ״בן המלך״. יש להניח כי הצירוף </w:t>
      </w:r>
      <w:r w:rsidRPr="00CD21CF">
        <w:rPr>
          <w:rFonts w:hint="cs"/>
          <w:sz w:val="24"/>
          <w:szCs w:val="24"/>
          <w:rtl/>
        </w:rPr>
        <w:lastRenderedPageBreak/>
        <w:t xml:space="preserve">הזה נושא בחובו גם תפקיד אדמיניסטרטיבי כלשהו בחצר המלך כפי </w:t>
      </w:r>
      <w:proofErr w:type="spellStart"/>
      <w:r w:rsidRPr="00CD21CF">
        <w:rPr>
          <w:rFonts w:hint="cs"/>
          <w:sz w:val="24"/>
          <w:szCs w:val="24"/>
          <w:rtl/>
        </w:rPr>
        <w:t>שמצינו</w:t>
      </w:r>
      <w:proofErr w:type="spellEnd"/>
      <w:r w:rsidRPr="00CD21CF">
        <w:rPr>
          <w:rFonts w:hint="cs"/>
          <w:sz w:val="24"/>
          <w:szCs w:val="24"/>
          <w:rtl/>
        </w:rPr>
        <w:t xml:space="preserve"> למשל אצל יואש בנו של אחאב (דה״ב </w:t>
      </w:r>
      <w:proofErr w:type="spellStart"/>
      <w:r w:rsidRPr="00CD21CF">
        <w:rPr>
          <w:rFonts w:hint="cs"/>
          <w:sz w:val="24"/>
          <w:szCs w:val="24"/>
          <w:rtl/>
        </w:rPr>
        <w:t>יח</w:t>
      </w:r>
      <w:proofErr w:type="spellEnd"/>
      <w:r w:rsidRPr="00CD21CF">
        <w:rPr>
          <w:rFonts w:hint="cs"/>
          <w:sz w:val="24"/>
          <w:szCs w:val="24"/>
          <w:rtl/>
        </w:rPr>
        <w:t xml:space="preserve"> 25). רוצה לומר, אם ביקש אחז להותיר את בנו מעשיהו בחיים על מנת שיירש אותו בבוא העת </w:t>
      </w:r>
      <w:r w:rsidRPr="00CD21CF">
        <w:rPr>
          <w:sz w:val="24"/>
          <w:szCs w:val="24"/>
          <w:rtl/>
        </w:rPr>
        <w:t>–</w:t>
      </w:r>
      <w:r w:rsidRPr="00CD21CF">
        <w:rPr>
          <w:rFonts w:hint="cs"/>
          <w:sz w:val="24"/>
          <w:szCs w:val="24"/>
          <w:rtl/>
        </w:rPr>
        <w:t xml:space="preserve"> תכנית זו לא התממשה ואף הוא נהרג.</w:t>
      </w:r>
    </w:p>
    <w:p w14:paraId="1B66856B" w14:textId="2DEF5642" w:rsidR="00CD21CF" w:rsidRPr="00CD21CF" w:rsidRDefault="00CD21CF" w:rsidP="00B0367A">
      <w:pPr>
        <w:spacing w:line="480" w:lineRule="auto"/>
        <w:rPr>
          <w:sz w:val="24"/>
          <w:szCs w:val="24"/>
          <w:rtl/>
        </w:rPr>
      </w:pPr>
      <w:r w:rsidRPr="00CD21CF">
        <w:rPr>
          <w:rFonts w:hint="cs"/>
          <w:sz w:val="24"/>
          <w:szCs w:val="24"/>
          <w:rtl/>
        </w:rPr>
        <w:t>מותם של בני אחז</w:t>
      </w:r>
      <w:r w:rsidR="00B0367A">
        <w:rPr>
          <w:rFonts w:hint="cs"/>
          <w:sz w:val="24"/>
          <w:szCs w:val="24"/>
          <w:rtl/>
        </w:rPr>
        <w:t>,</w:t>
      </w:r>
      <w:r w:rsidRPr="00CD21CF">
        <w:rPr>
          <w:rFonts w:hint="cs"/>
          <w:sz w:val="24"/>
          <w:szCs w:val="24"/>
          <w:rtl/>
        </w:rPr>
        <w:t xml:space="preserve"> בין אם על ידו ובין אם על ידי גורם חיצוני</w:t>
      </w:r>
      <w:r w:rsidR="00B0367A">
        <w:rPr>
          <w:rFonts w:hint="cs"/>
          <w:sz w:val="24"/>
          <w:szCs w:val="24"/>
          <w:rtl/>
        </w:rPr>
        <w:t>,</w:t>
      </w:r>
      <w:r w:rsidRPr="00CD21CF">
        <w:rPr>
          <w:rFonts w:hint="cs"/>
          <w:sz w:val="24"/>
          <w:szCs w:val="24"/>
          <w:rtl/>
        </w:rPr>
        <w:t xml:space="preserve"> </w:t>
      </w:r>
      <w:r w:rsidR="00B0367A">
        <w:rPr>
          <w:rFonts w:hint="cs"/>
          <w:sz w:val="24"/>
          <w:szCs w:val="24"/>
          <w:rtl/>
        </w:rPr>
        <w:t>הוא</w:t>
      </w:r>
      <w:r w:rsidRPr="00CD21CF">
        <w:rPr>
          <w:rFonts w:hint="cs"/>
          <w:sz w:val="24"/>
          <w:szCs w:val="24"/>
          <w:rtl/>
        </w:rPr>
        <w:t xml:space="preserve"> ללא ספק בעיה חמורה להמשך השושלת. בנוסף ניכרת החרפה ביחס של </w:t>
      </w:r>
      <w:proofErr w:type="spellStart"/>
      <w:r w:rsidRPr="00CD21CF">
        <w:rPr>
          <w:rFonts w:hint="cs"/>
          <w:sz w:val="24"/>
          <w:szCs w:val="24"/>
          <w:rtl/>
        </w:rPr>
        <w:t>הכרוניסט</w:t>
      </w:r>
      <w:proofErr w:type="spellEnd"/>
      <w:r w:rsidRPr="00CD21CF">
        <w:rPr>
          <w:rFonts w:hint="cs"/>
          <w:sz w:val="24"/>
          <w:szCs w:val="24"/>
          <w:rtl/>
        </w:rPr>
        <w:t xml:space="preserve"> אל המלך החוטא</w:t>
      </w:r>
      <w:r w:rsidR="00E93319">
        <w:rPr>
          <w:rFonts w:hint="cs"/>
          <w:sz w:val="24"/>
          <w:szCs w:val="24"/>
          <w:rtl/>
        </w:rPr>
        <w:t>. בניגוד לשני המלכים הקודמים אצל אחז</w:t>
      </w:r>
      <w:r w:rsidRPr="00CD21CF">
        <w:rPr>
          <w:rFonts w:hint="cs"/>
          <w:sz w:val="24"/>
          <w:szCs w:val="24"/>
          <w:rtl/>
        </w:rPr>
        <w:t xml:space="preserve"> </w:t>
      </w:r>
      <w:r w:rsidR="00E93319">
        <w:rPr>
          <w:rFonts w:hint="cs"/>
          <w:sz w:val="24"/>
          <w:szCs w:val="24"/>
          <w:rtl/>
        </w:rPr>
        <w:t xml:space="preserve">הוא נמנע מלציין </w:t>
      </w:r>
      <w:r w:rsidRPr="00CD21CF">
        <w:rPr>
          <w:rFonts w:hint="cs"/>
          <w:sz w:val="24"/>
          <w:szCs w:val="24"/>
          <w:rtl/>
        </w:rPr>
        <w:t xml:space="preserve">מי מבניו נותר בחיים על מנת לרשת את אביו ביום מן הימים. בהקשר זה יתכן כי אי המתתו של אחז במיתה משונה, כפי </w:t>
      </w:r>
      <w:proofErr w:type="spellStart"/>
      <w:r w:rsidRPr="00CD21CF">
        <w:rPr>
          <w:rFonts w:hint="cs"/>
          <w:sz w:val="24"/>
          <w:szCs w:val="24"/>
          <w:rtl/>
        </w:rPr>
        <w:t>שהכרוניסט</w:t>
      </w:r>
      <w:proofErr w:type="spellEnd"/>
      <w:r w:rsidRPr="00CD21CF">
        <w:rPr>
          <w:rFonts w:hint="cs"/>
          <w:sz w:val="24"/>
          <w:szCs w:val="24"/>
          <w:rtl/>
        </w:rPr>
        <w:t xml:space="preserve"> נוהג </w:t>
      </w:r>
      <w:r w:rsidR="00E93319">
        <w:rPr>
          <w:rFonts w:hint="cs"/>
          <w:sz w:val="24"/>
          <w:szCs w:val="24"/>
          <w:rtl/>
        </w:rPr>
        <w:t xml:space="preserve">לעשות </w:t>
      </w:r>
      <w:r w:rsidRPr="00CD21CF">
        <w:rPr>
          <w:rFonts w:hint="cs"/>
          <w:sz w:val="24"/>
          <w:szCs w:val="24"/>
          <w:rtl/>
        </w:rPr>
        <w:t>עם המלכים החוטאים</w:t>
      </w:r>
      <w:r w:rsidR="00757B6D">
        <w:rPr>
          <w:rFonts w:hint="cs"/>
          <w:sz w:val="24"/>
          <w:szCs w:val="24"/>
          <w:rtl/>
        </w:rPr>
        <w:t xml:space="preserve"> האחרים</w:t>
      </w:r>
      <w:r w:rsidRPr="00CD21CF">
        <w:rPr>
          <w:rFonts w:hint="cs"/>
          <w:sz w:val="24"/>
          <w:szCs w:val="24"/>
          <w:rtl/>
        </w:rPr>
        <w:t>, נועדה לשרת את התחושה אצל הקוראים והשומעים כי אחז נותר לבדו מבית דוד, וכי לאחר מותו יגיע הקץ על השושלת.</w:t>
      </w:r>
      <w:r w:rsidRPr="00CD21CF">
        <w:rPr>
          <w:rStyle w:val="FootnoteReference"/>
          <w:sz w:val="24"/>
          <w:szCs w:val="24"/>
          <w:rtl/>
        </w:rPr>
        <w:footnoteReference w:id="31"/>
      </w:r>
      <w:r w:rsidRPr="00CD21CF">
        <w:rPr>
          <w:rFonts w:hint="cs"/>
          <w:sz w:val="24"/>
          <w:szCs w:val="24"/>
          <w:rtl/>
        </w:rPr>
        <w:t xml:space="preserve"> במובן זה הישארותו של אחז כמוה כהישארותו של הבן הקטן לאחר רציחת כל הבנים האחרים, אך בהבדל </w:t>
      </w:r>
      <w:r w:rsidR="00E93319">
        <w:rPr>
          <w:rFonts w:hint="cs"/>
          <w:sz w:val="24"/>
          <w:szCs w:val="24"/>
          <w:rtl/>
        </w:rPr>
        <w:t>אחד</w:t>
      </w:r>
      <w:r w:rsidRPr="00CD21CF">
        <w:rPr>
          <w:rFonts w:hint="cs"/>
          <w:sz w:val="24"/>
          <w:szCs w:val="24"/>
          <w:rtl/>
        </w:rPr>
        <w:t>: הישארותו של הבן ה</w:t>
      </w:r>
      <w:r w:rsidR="00E93319">
        <w:rPr>
          <w:rFonts w:hint="cs"/>
          <w:sz w:val="24"/>
          <w:szCs w:val="24"/>
          <w:rtl/>
        </w:rPr>
        <w:t>קטן אמורה להצמיח מחדש את השושלת,</w:t>
      </w:r>
      <w:r w:rsidRPr="00CD21CF">
        <w:rPr>
          <w:rFonts w:hint="cs"/>
          <w:sz w:val="24"/>
          <w:szCs w:val="24"/>
          <w:rtl/>
        </w:rPr>
        <w:t xml:space="preserve"> </w:t>
      </w:r>
      <w:r w:rsidR="00E93319">
        <w:rPr>
          <w:rFonts w:hint="cs"/>
          <w:sz w:val="24"/>
          <w:szCs w:val="24"/>
          <w:rtl/>
        </w:rPr>
        <w:t xml:space="preserve">ואילו </w:t>
      </w:r>
      <w:r w:rsidRPr="00CD21CF">
        <w:rPr>
          <w:rFonts w:hint="cs"/>
          <w:sz w:val="24"/>
          <w:szCs w:val="24"/>
          <w:rtl/>
        </w:rPr>
        <w:t xml:space="preserve">הישארותו של אחז מביאה </w:t>
      </w:r>
      <w:r w:rsidR="00E93319">
        <w:rPr>
          <w:rFonts w:hint="cs"/>
          <w:sz w:val="24"/>
          <w:szCs w:val="24"/>
          <w:rtl/>
        </w:rPr>
        <w:t xml:space="preserve">למעשה </w:t>
      </w:r>
      <w:r w:rsidRPr="00CD21CF">
        <w:rPr>
          <w:rFonts w:hint="cs"/>
          <w:sz w:val="24"/>
          <w:szCs w:val="24"/>
          <w:rtl/>
        </w:rPr>
        <w:t xml:space="preserve">את השושלת לקיצה. </w:t>
      </w:r>
    </w:p>
    <w:p w14:paraId="47191CA2" w14:textId="31A5E739" w:rsidR="00CD21CF" w:rsidRPr="00CD21CF" w:rsidRDefault="00CD21CF" w:rsidP="00E93319">
      <w:pPr>
        <w:spacing w:line="480" w:lineRule="auto"/>
        <w:rPr>
          <w:sz w:val="24"/>
          <w:szCs w:val="24"/>
          <w:rtl/>
        </w:rPr>
      </w:pPr>
      <w:r w:rsidRPr="00CD21CF">
        <w:rPr>
          <w:sz w:val="24"/>
          <w:szCs w:val="24"/>
          <w:rtl/>
        </w:rPr>
        <w:t xml:space="preserve">שלושת </w:t>
      </w:r>
      <w:r w:rsidRPr="00CD21CF">
        <w:rPr>
          <w:rFonts w:hint="cs"/>
          <w:sz w:val="24"/>
          <w:szCs w:val="24"/>
          <w:rtl/>
        </w:rPr>
        <w:t xml:space="preserve">המלכים הרשעים הללו גורמים אפוא להמעטת חשיבות שושלת בית דוד באופן הדרגתי. חטאיו של יהורם גרמו לכך </w:t>
      </w:r>
      <w:r w:rsidR="00E93319">
        <w:rPr>
          <w:rFonts w:hint="cs"/>
          <w:sz w:val="24"/>
          <w:szCs w:val="24"/>
          <w:rtl/>
        </w:rPr>
        <w:t>ש</w:t>
      </w:r>
      <w:r w:rsidRPr="00CD21CF">
        <w:rPr>
          <w:rFonts w:hint="cs"/>
          <w:sz w:val="24"/>
          <w:szCs w:val="24"/>
          <w:rtl/>
        </w:rPr>
        <w:t>בניו ימותו ו</w:t>
      </w:r>
      <w:r w:rsidR="00E93319">
        <w:rPr>
          <w:rFonts w:hint="cs"/>
          <w:sz w:val="24"/>
          <w:szCs w:val="24"/>
          <w:rtl/>
        </w:rPr>
        <w:t>ש</w:t>
      </w:r>
      <w:r w:rsidRPr="00CD21CF">
        <w:rPr>
          <w:rFonts w:hint="cs"/>
          <w:sz w:val="24"/>
          <w:szCs w:val="24"/>
          <w:rtl/>
        </w:rPr>
        <w:t xml:space="preserve">אחזיה בנו הקטן יומלך בלית ברירה; חטאיו של אחזיהו גרמו לכך </w:t>
      </w:r>
      <w:r w:rsidR="00E93319">
        <w:rPr>
          <w:rFonts w:hint="cs"/>
          <w:sz w:val="24"/>
          <w:szCs w:val="24"/>
          <w:rtl/>
        </w:rPr>
        <w:t>ש</w:t>
      </w:r>
      <w:r w:rsidRPr="00CD21CF">
        <w:rPr>
          <w:rFonts w:hint="cs"/>
          <w:sz w:val="24"/>
          <w:szCs w:val="24"/>
          <w:rtl/>
        </w:rPr>
        <w:t>בניו ימותו ו</w:t>
      </w:r>
      <w:r w:rsidR="00E93319">
        <w:rPr>
          <w:rFonts w:hint="cs"/>
          <w:sz w:val="24"/>
          <w:szCs w:val="24"/>
          <w:rtl/>
        </w:rPr>
        <w:t>ש</w:t>
      </w:r>
      <w:r w:rsidRPr="00CD21CF">
        <w:rPr>
          <w:rFonts w:hint="cs"/>
          <w:sz w:val="24"/>
          <w:szCs w:val="24"/>
          <w:rtl/>
        </w:rPr>
        <w:t xml:space="preserve">במשך 6 שנים לא יהיה מלך מבית דוד עד למלוכת יהואש שאף הוא הומלך </w:t>
      </w:r>
      <w:r w:rsidR="003025B3">
        <w:rPr>
          <w:rFonts w:hint="cs"/>
          <w:sz w:val="24"/>
          <w:szCs w:val="24"/>
          <w:rtl/>
        </w:rPr>
        <w:t xml:space="preserve">כנראה </w:t>
      </w:r>
      <w:r w:rsidRPr="00CD21CF">
        <w:rPr>
          <w:rFonts w:hint="cs"/>
          <w:sz w:val="24"/>
          <w:szCs w:val="24"/>
          <w:rtl/>
        </w:rPr>
        <w:t xml:space="preserve">בלית ברירה; חטאיו החמורים מאוד של אחז גרמו לכך </w:t>
      </w:r>
      <w:r w:rsidR="00E93319">
        <w:rPr>
          <w:rFonts w:hint="cs"/>
          <w:sz w:val="24"/>
          <w:szCs w:val="24"/>
          <w:rtl/>
        </w:rPr>
        <w:t>ש</w:t>
      </w:r>
      <w:r w:rsidRPr="00CD21CF">
        <w:rPr>
          <w:rFonts w:hint="cs"/>
          <w:sz w:val="24"/>
          <w:szCs w:val="24"/>
          <w:rtl/>
        </w:rPr>
        <w:t>בניו ימותו ללא אזכור מפורש מי עוד נותר לרשת אותו.</w:t>
      </w:r>
    </w:p>
    <w:p w14:paraId="296C46A0" w14:textId="6CDD52ED" w:rsidR="00CD21CF" w:rsidRPr="00CD21CF" w:rsidRDefault="00CD21CF" w:rsidP="003025B3">
      <w:pPr>
        <w:spacing w:line="480" w:lineRule="auto"/>
        <w:rPr>
          <w:sz w:val="24"/>
          <w:szCs w:val="24"/>
          <w:rtl/>
        </w:rPr>
      </w:pPr>
      <w:r w:rsidRPr="00CD21CF">
        <w:rPr>
          <w:rFonts w:hint="cs"/>
          <w:sz w:val="24"/>
          <w:szCs w:val="24"/>
          <w:rtl/>
        </w:rPr>
        <w:t xml:space="preserve">כאן המקום לציין כי במקרים הפוכים שבהם המלך הוא צדיק ומלוכתו עומדת בפני כליה בוחר </w:t>
      </w:r>
      <w:proofErr w:type="spellStart"/>
      <w:r w:rsidRPr="00CD21CF">
        <w:rPr>
          <w:rFonts w:hint="cs"/>
          <w:sz w:val="24"/>
          <w:szCs w:val="24"/>
          <w:rtl/>
        </w:rPr>
        <w:t>הכרוניסט</w:t>
      </w:r>
      <w:proofErr w:type="spellEnd"/>
      <w:r w:rsidRPr="00CD21CF">
        <w:rPr>
          <w:rFonts w:hint="cs"/>
          <w:sz w:val="24"/>
          <w:szCs w:val="24"/>
          <w:rtl/>
        </w:rPr>
        <w:t xml:space="preserve"> להרחיב את הגמול האישי ולגמול למלך גם בהולדת ילדים. כך זוכים רחבעם, אביה ויהואש לתיאור מיוחד של הרחבת התא המשפחתי (דה"ב יא 23-18; </w:t>
      </w:r>
      <w:proofErr w:type="spellStart"/>
      <w:r w:rsidRPr="00CD21CF">
        <w:rPr>
          <w:rFonts w:hint="cs"/>
          <w:sz w:val="24"/>
          <w:szCs w:val="24"/>
          <w:rtl/>
        </w:rPr>
        <w:t>יג</w:t>
      </w:r>
      <w:proofErr w:type="spellEnd"/>
      <w:r w:rsidRPr="00CD21CF">
        <w:rPr>
          <w:rFonts w:hint="cs"/>
          <w:sz w:val="24"/>
          <w:szCs w:val="24"/>
          <w:rtl/>
        </w:rPr>
        <w:t xml:space="preserve"> 21; כד 3). אצל שלושת המלכים הללו עמדה שושלת בית דוד בפני כליה משני אויבים מרים ביותר: בית ירבעם ובית אחאב. הגמול של לידת ילדים לא רק שהוא מבטל את החשש מכליה אלא מעניק </w:t>
      </w:r>
      <w:r w:rsidR="003025B3">
        <w:rPr>
          <w:rFonts w:hint="cs"/>
          <w:sz w:val="24"/>
          <w:szCs w:val="24"/>
          <w:rtl/>
        </w:rPr>
        <w:t>הבטחה</w:t>
      </w:r>
      <w:r w:rsidRPr="00CD21CF">
        <w:rPr>
          <w:rFonts w:hint="cs"/>
          <w:sz w:val="24"/>
          <w:szCs w:val="24"/>
          <w:rtl/>
        </w:rPr>
        <w:t xml:space="preserve"> למלך כי השושלת תצמח אף יותר מכפי שציפה. </w:t>
      </w:r>
    </w:p>
    <w:p w14:paraId="39DE1E73" w14:textId="77777777" w:rsidR="00CD21CF" w:rsidRPr="00CD21CF" w:rsidRDefault="00CD21CF" w:rsidP="008677E4">
      <w:pPr>
        <w:spacing w:line="480" w:lineRule="auto"/>
        <w:rPr>
          <w:sz w:val="24"/>
          <w:szCs w:val="24"/>
          <w:rtl/>
        </w:rPr>
      </w:pPr>
      <w:r w:rsidRPr="00CD21CF">
        <w:rPr>
          <w:rFonts w:hint="cs"/>
          <w:sz w:val="24"/>
          <w:szCs w:val="24"/>
          <w:rtl/>
        </w:rPr>
        <w:t xml:space="preserve">המטוטלת של </w:t>
      </w:r>
      <w:proofErr w:type="spellStart"/>
      <w:r w:rsidRPr="00CD21CF">
        <w:rPr>
          <w:rFonts w:hint="cs"/>
          <w:sz w:val="24"/>
          <w:szCs w:val="24"/>
          <w:rtl/>
        </w:rPr>
        <w:t>הכרוניסט</w:t>
      </w:r>
      <w:proofErr w:type="spellEnd"/>
      <w:r w:rsidRPr="00CD21CF">
        <w:rPr>
          <w:rFonts w:hint="cs"/>
          <w:sz w:val="24"/>
          <w:szCs w:val="24"/>
          <w:rtl/>
        </w:rPr>
        <w:t xml:space="preserve"> נעה אפוא בין שני קטבים: אצל מלכים רשעים לגמרי נעה המטוטלת לכיוון הגמול  האישי והמשפחתי, ואילו אצל מלכים צדיקים שיש אצלם חשש להמשך השושלת נעה המטוטלת לכיוון ההבטחה לדוד בדמות ציון מיוחד של הרחבת המשפחה. כך או כך </w:t>
      </w:r>
      <w:proofErr w:type="spellStart"/>
      <w:r w:rsidRPr="00CD21CF">
        <w:rPr>
          <w:rFonts w:hint="cs"/>
          <w:sz w:val="24"/>
          <w:szCs w:val="24"/>
          <w:rtl/>
        </w:rPr>
        <w:t>הכרוניסט</w:t>
      </w:r>
      <w:proofErr w:type="spellEnd"/>
      <w:r w:rsidRPr="00CD21CF">
        <w:rPr>
          <w:rFonts w:hint="cs"/>
          <w:sz w:val="24"/>
          <w:szCs w:val="24"/>
          <w:rtl/>
        </w:rPr>
        <w:t xml:space="preserve"> אינו מבטל קוטב אחד על פני הקוטב השני. אצל מלכים רשעים במיוחד הוא בוחר אמנם בקוטב של הגמול אך מביא בחשבון גם את ההבטחה לדוד; אצל מלכים טובים הוא בוחר בקוטב של ההבטחה לדוד אך מביא בחשבון גם את הגמול. </w:t>
      </w:r>
    </w:p>
    <w:p w14:paraId="1942EFB5" w14:textId="675EF899" w:rsidR="00CD21CF" w:rsidRPr="00CD21CF" w:rsidRDefault="005942A4" w:rsidP="00D20CAC">
      <w:pPr>
        <w:spacing w:line="480" w:lineRule="auto"/>
        <w:rPr>
          <w:sz w:val="24"/>
          <w:szCs w:val="24"/>
          <w:rtl/>
        </w:rPr>
      </w:pPr>
      <w:r>
        <w:rPr>
          <w:rFonts w:hint="cs"/>
          <w:sz w:val="24"/>
          <w:szCs w:val="24"/>
          <w:rtl/>
        </w:rPr>
        <w:t xml:space="preserve">יש לומר על כן כי </w:t>
      </w:r>
      <w:r w:rsidR="00CD21CF" w:rsidRPr="00CD21CF">
        <w:rPr>
          <w:rFonts w:hint="cs"/>
          <w:sz w:val="24"/>
          <w:szCs w:val="24"/>
          <w:rtl/>
        </w:rPr>
        <w:t>ההתייחסות</w:t>
      </w:r>
      <w:r w:rsidR="00CD21CF" w:rsidRPr="00CD21CF">
        <w:rPr>
          <w:sz w:val="24"/>
          <w:szCs w:val="24"/>
          <w:rtl/>
        </w:rPr>
        <w:t xml:space="preserve"> </w:t>
      </w:r>
      <w:r w:rsidR="00CD21CF" w:rsidRPr="00CD21CF">
        <w:rPr>
          <w:rFonts w:hint="cs"/>
          <w:sz w:val="24"/>
          <w:szCs w:val="24"/>
          <w:rtl/>
        </w:rPr>
        <w:t xml:space="preserve">אל תורת הגמול ואל ההבטחה לדוד והיחס בין שני המוטיבים הללו בספר דברי הימים אינה נקבעת מראש, ואין לה מנגנון הפעלה אחד. העדפה של מוטיב אחד על פני השני היא תלוית </w:t>
      </w:r>
      <w:r w:rsidR="00CD21CF" w:rsidRPr="00CD21CF">
        <w:rPr>
          <w:rFonts w:hint="cs"/>
          <w:sz w:val="24"/>
          <w:szCs w:val="24"/>
          <w:rtl/>
        </w:rPr>
        <w:lastRenderedPageBreak/>
        <w:t xml:space="preserve">נסיבות. לעיתים ייעשה שימוש בהבטחה לדוד ולעיתים ייעשה שימוש בדוקטרינת הגמול האישי. הסתירה שיש בין הנושאים הללו </w:t>
      </w:r>
      <w:r w:rsidR="009D30C5">
        <w:rPr>
          <w:rFonts w:hint="cs"/>
          <w:sz w:val="24"/>
          <w:szCs w:val="24"/>
          <w:rtl/>
        </w:rPr>
        <w:t>באופן שכביכול</w:t>
      </w:r>
      <w:r w:rsidR="00CD21CF" w:rsidRPr="00CD21CF">
        <w:rPr>
          <w:rFonts w:hint="cs"/>
          <w:sz w:val="24"/>
          <w:szCs w:val="24"/>
          <w:rtl/>
        </w:rPr>
        <w:t xml:space="preserve"> אחד מבטל את השני, היא סתירה מדומה משום </w:t>
      </w:r>
      <w:r>
        <w:rPr>
          <w:rFonts w:hint="cs"/>
          <w:sz w:val="24"/>
          <w:szCs w:val="24"/>
          <w:rtl/>
        </w:rPr>
        <w:t>ש</w:t>
      </w:r>
      <w:r w:rsidR="00D20CAC">
        <w:rPr>
          <w:rFonts w:hint="cs"/>
          <w:sz w:val="24"/>
          <w:szCs w:val="24"/>
          <w:rtl/>
        </w:rPr>
        <w:t xml:space="preserve">כמעט </w:t>
      </w:r>
      <w:r>
        <w:rPr>
          <w:rFonts w:hint="cs"/>
          <w:sz w:val="24"/>
          <w:szCs w:val="24"/>
          <w:rtl/>
        </w:rPr>
        <w:t>לא יתכן מצב</w:t>
      </w:r>
      <w:r w:rsidR="00CD21CF" w:rsidRPr="00CD21CF">
        <w:rPr>
          <w:rFonts w:hint="cs"/>
          <w:sz w:val="24"/>
          <w:szCs w:val="24"/>
          <w:rtl/>
        </w:rPr>
        <w:t xml:space="preserve"> שבו שתי התפיסות הללו עומדות במצב של שיווין ביניהן. ברוב המכריע של המקרים, ועל פי שיקול דעתו של </w:t>
      </w:r>
      <w:proofErr w:type="spellStart"/>
      <w:r w:rsidR="00CD21CF" w:rsidRPr="00CD21CF">
        <w:rPr>
          <w:rFonts w:hint="cs"/>
          <w:sz w:val="24"/>
          <w:szCs w:val="24"/>
          <w:rtl/>
        </w:rPr>
        <w:t>הכרוניסט</w:t>
      </w:r>
      <w:proofErr w:type="spellEnd"/>
      <w:r w:rsidR="00CD21CF" w:rsidRPr="00CD21CF">
        <w:rPr>
          <w:rFonts w:hint="cs"/>
          <w:sz w:val="24"/>
          <w:szCs w:val="24"/>
          <w:rtl/>
        </w:rPr>
        <w:t>, קיימת עדיפות בולטת של תפיסה אחת על פני התפיסה השנייה באופן שמאפשר את קיומן יחד.</w:t>
      </w:r>
    </w:p>
    <w:p w14:paraId="37F2A2A2" w14:textId="77777777" w:rsidR="00CD21CF" w:rsidRPr="00CD21CF" w:rsidRDefault="00CD21CF" w:rsidP="002916BE">
      <w:pPr>
        <w:spacing w:line="480" w:lineRule="auto"/>
        <w:rPr>
          <w:sz w:val="24"/>
          <w:szCs w:val="24"/>
          <w:rtl/>
        </w:rPr>
      </w:pPr>
      <w:r w:rsidRPr="00CD21CF">
        <w:rPr>
          <w:rFonts w:hint="cs"/>
          <w:sz w:val="24"/>
          <w:szCs w:val="24"/>
          <w:rtl/>
        </w:rPr>
        <w:t xml:space="preserve">כעת נשאלת השאלה מדוע נהג כך </w:t>
      </w:r>
      <w:proofErr w:type="spellStart"/>
      <w:r w:rsidRPr="00CD21CF">
        <w:rPr>
          <w:rFonts w:hint="cs"/>
          <w:sz w:val="24"/>
          <w:szCs w:val="24"/>
          <w:rtl/>
        </w:rPr>
        <w:t>הכרוניסט</w:t>
      </w:r>
      <w:proofErr w:type="spellEnd"/>
      <w:r w:rsidRPr="00CD21CF">
        <w:rPr>
          <w:rFonts w:hint="cs"/>
          <w:sz w:val="24"/>
          <w:szCs w:val="24"/>
          <w:rtl/>
        </w:rPr>
        <w:t>?</w:t>
      </w:r>
    </w:p>
    <w:p w14:paraId="7255FD4F" w14:textId="189DEA81" w:rsidR="00712B50" w:rsidRPr="00CD21CF" w:rsidRDefault="00CD21CF" w:rsidP="00D20CAC">
      <w:pPr>
        <w:spacing w:line="480" w:lineRule="auto"/>
        <w:rPr>
          <w:sz w:val="24"/>
          <w:szCs w:val="24"/>
        </w:rPr>
      </w:pPr>
      <w:r w:rsidRPr="00CD21CF">
        <w:rPr>
          <w:rFonts w:hint="cs"/>
          <w:sz w:val="24"/>
          <w:szCs w:val="24"/>
          <w:rtl/>
        </w:rPr>
        <w:t xml:space="preserve"> יתכן כי </w:t>
      </w:r>
      <w:proofErr w:type="spellStart"/>
      <w:r w:rsidRPr="00CD21CF">
        <w:rPr>
          <w:rFonts w:hint="cs"/>
          <w:sz w:val="24"/>
          <w:szCs w:val="24"/>
          <w:rtl/>
        </w:rPr>
        <w:t>הכרוניסט</w:t>
      </w:r>
      <w:proofErr w:type="spellEnd"/>
      <w:r w:rsidRPr="00CD21CF">
        <w:rPr>
          <w:rFonts w:hint="cs"/>
          <w:sz w:val="24"/>
          <w:szCs w:val="24"/>
          <w:rtl/>
        </w:rPr>
        <w:t xml:space="preserve"> מבקש להעביר מסר לשומעיו וקוראיו כי אף אם בעבר, בטרם הגלות, חשיבותה של שושלת בית דוד הייתה כזו שהיא מסוגלת להעניק חסינות למלך ולמשפחתו, בתקופה הבתר-גלותית חשיבותה של השושלת </w:t>
      </w:r>
      <w:r w:rsidR="00D20CAC">
        <w:rPr>
          <w:rFonts w:hint="cs"/>
          <w:sz w:val="24"/>
          <w:szCs w:val="24"/>
          <w:rtl/>
        </w:rPr>
        <w:t>היא</w:t>
      </w:r>
      <w:r w:rsidRPr="00CD21CF">
        <w:rPr>
          <w:rFonts w:hint="cs"/>
          <w:sz w:val="24"/>
          <w:szCs w:val="24"/>
          <w:rtl/>
        </w:rPr>
        <w:t xml:space="preserve"> מוגבל</w:t>
      </w:r>
      <w:r w:rsidR="00D20CAC">
        <w:rPr>
          <w:rFonts w:hint="cs"/>
          <w:sz w:val="24"/>
          <w:szCs w:val="24"/>
          <w:rtl/>
        </w:rPr>
        <w:t>ת</w:t>
      </w:r>
      <w:r w:rsidRPr="00CD21CF">
        <w:rPr>
          <w:rFonts w:hint="cs"/>
          <w:sz w:val="24"/>
          <w:szCs w:val="24"/>
          <w:rtl/>
        </w:rPr>
        <w:t xml:space="preserve"> משום שהחשש מפני עונש גלות נוסף גובר על הרצון, שעדיין נותר, לייסד מחדש את השושלת. לשון אחרת: </w:t>
      </w:r>
      <w:proofErr w:type="spellStart"/>
      <w:r w:rsidRPr="00CD21CF">
        <w:rPr>
          <w:rFonts w:hint="cs"/>
          <w:sz w:val="24"/>
          <w:szCs w:val="24"/>
          <w:rtl/>
        </w:rPr>
        <w:t>הכרוניסט</w:t>
      </w:r>
      <w:proofErr w:type="spellEnd"/>
      <w:r w:rsidRPr="00CD21CF">
        <w:rPr>
          <w:rFonts w:hint="cs"/>
          <w:sz w:val="24"/>
          <w:szCs w:val="24"/>
          <w:rtl/>
        </w:rPr>
        <w:t xml:space="preserve"> מעמיד את תורת הגמול אל מול השושלת בקרב פנים אל פנים אצל מלכים רשעים שחפים מכל זכות -  ומכריע לטובת הגמול, משום שלדעתו הישארות בארץ ללא מלך עדיפה על פני גלות נוספת. כל מלך שיסטה מדרך הישר יבוא על עונשו, </w:t>
      </w:r>
      <w:r w:rsidR="00D20CAC">
        <w:rPr>
          <w:rFonts w:hint="cs"/>
          <w:sz w:val="24"/>
          <w:szCs w:val="24"/>
          <w:rtl/>
        </w:rPr>
        <w:t>אמנם</w:t>
      </w:r>
      <w:r w:rsidRPr="00CD21CF">
        <w:rPr>
          <w:rFonts w:hint="cs"/>
          <w:sz w:val="24"/>
          <w:szCs w:val="24"/>
          <w:rtl/>
        </w:rPr>
        <w:t xml:space="preserve"> אם הוא נושא </w:t>
      </w:r>
      <w:proofErr w:type="spellStart"/>
      <w:r w:rsidRPr="00CD21CF">
        <w:rPr>
          <w:rFonts w:hint="cs"/>
          <w:sz w:val="24"/>
          <w:szCs w:val="24"/>
          <w:rtl/>
        </w:rPr>
        <w:t>עימו</w:t>
      </w:r>
      <w:proofErr w:type="spellEnd"/>
      <w:r w:rsidRPr="00CD21CF">
        <w:rPr>
          <w:rFonts w:hint="cs"/>
          <w:sz w:val="24"/>
          <w:szCs w:val="24"/>
          <w:rtl/>
        </w:rPr>
        <w:t xml:space="preserve"> זכות יש לו לפחות חס</w:t>
      </w:r>
      <w:r w:rsidR="00D20CAC">
        <w:rPr>
          <w:rFonts w:hint="cs"/>
          <w:sz w:val="24"/>
          <w:szCs w:val="24"/>
          <w:rtl/>
        </w:rPr>
        <w:t xml:space="preserve">ינות מסוימת בכל הקשור לצאצאיו. מלכים שאין להם ולו זכות אחת </w:t>
      </w:r>
      <w:r w:rsidRPr="00CD21CF">
        <w:rPr>
          <w:rFonts w:hint="cs"/>
          <w:sz w:val="24"/>
          <w:szCs w:val="24"/>
          <w:rtl/>
        </w:rPr>
        <w:t>ייענשו בכל חומרת הדין והעונש יושת לא רק עליהם אלא אף על צאצאיה</w:t>
      </w:r>
      <w:r w:rsidRPr="00CD21CF">
        <w:rPr>
          <w:rFonts w:hint="eastAsia"/>
          <w:sz w:val="24"/>
          <w:szCs w:val="24"/>
          <w:rtl/>
        </w:rPr>
        <w:t>ם</w:t>
      </w:r>
      <w:r w:rsidRPr="00CD21CF">
        <w:rPr>
          <w:rFonts w:hint="cs"/>
          <w:sz w:val="24"/>
          <w:szCs w:val="24"/>
          <w:rtl/>
        </w:rPr>
        <w:t>. מבחינתו</w:t>
      </w:r>
      <w:r w:rsidR="00D20CAC">
        <w:rPr>
          <w:rFonts w:hint="cs"/>
          <w:sz w:val="24"/>
          <w:szCs w:val="24"/>
          <w:rtl/>
        </w:rPr>
        <w:t xml:space="preserve"> של </w:t>
      </w:r>
      <w:proofErr w:type="spellStart"/>
      <w:r w:rsidR="00D20CAC">
        <w:rPr>
          <w:rFonts w:hint="cs"/>
          <w:sz w:val="24"/>
          <w:szCs w:val="24"/>
          <w:rtl/>
        </w:rPr>
        <w:t>הכרוניסט</w:t>
      </w:r>
      <w:proofErr w:type="spellEnd"/>
      <w:r w:rsidRPr="00CD21CF">
        <w:rPr>
          <w:rFonts w:hint="cs"/>
          <w:sz w:val="24"/>
          <w:szCs w:val="24"/>
          <w:rtl/>
        </w:rPr>
        <w:t xml:space="preserve"> כל האמצעים כשרים על מנת לשכתב את ההיסטוריה ואת הכוחות הפועלים בה, במידה כזו שתהיה להם השפעה ישירה על השומעים והקוראים שלו.</w:t>
      </w:r>
      <w:r w:rsidRPr="00CD21CF">
        <w:rPr>
          <w:rStyle w:val="FootnoteReference"/>
          <w:sz w:val="24"/>
          <w:szCs w:val="24"/>
          <w:rtl/>
        </w:rPr>
        <w:footnoteReference w:id="32"/>
      </w:r>
      <w:r w:rsidRPr="00CD21CF">
        <w:rPr>
          <w:rFonts w:hint="cs"/>
          <w:sz w:val="24"/>
          <w:szCs w:val="24"/>
          <w:rtl/>
        </w:rPr>
        <w:t xml:space="preserve"> </w:t>
      </w:r>
      <w:r w:rsidR="00AE3DA1" w:rsidRPr="00CD21CF">
        <w:rPr>
          <w:rFonts w:hint="cs"/>
          <w:sz w:val="24"/>
          <w:szCs w:val="24"/>
          <w:rtl/>
        </w:rPr>
        <w:t xml:space="preserve">כשם </w:t>
      </w:r>
      <w:r w:rsidR="00D20CAC">
        <w:rPr>
          <w:rFonts w:hint="cs"/>
          <w:sz w:val="24"/>
          <w:szCs w:val="24"/>
          <w:rtl/>
        </w:rPr>
        <w:t>שהוא</w:t>
      </w:r>
      <w:r w:rsidR="00AE3DA1" w:rsidRPr="00CD21CF">
        <w:rPr>
          <w:rFonts w:hint="cs"/>
          <w:sz w:val="24"/>
          <w:szCs w:val="24"/>
          <w:rtl/>
        </w:rPr>
        <w:t xml:space="preserve"> מטעים מאוד את דמותם של דוד ושלמה כמלכים שחפים כמעט מכל רבב כך הוא מטעים את תורת הגמול האישית שלו באופן שלא מצינו לאורך המקרא. שני הכוחות הללו, כל אחד </w:t>
      </w:r>
      <w:r w:rsidR="002916BE" w:rsidRPr="00CD21CF">
        <w:rPr>
          <w:rFonts w:hint="cs"/>
          <w:sz w:val="24"/>
          <w:szCs w:val="24"/>
          <w:rtl/>
        </w:rPr>
        <w:t xml:space="preserve">בנקודת השיא שלו, חוברים יחד אל תוך מציאות היסטורית אחת כדי להדגים בפני העם את עיקרון המקל והגזר שיש </w:t>
      </w:r>
      <w:r w:rsidR="00653D19" w:rsidRPr="00CD21CF">
        <w:rPr>
          <w:rFonts w:hint="cs"/>
          <w:sz w:val="24"/>
          <w:szCs w:val="24"/>
          <w:rtl/>
        </w:rPr>
        <w:t>לו</w:t>
      </w:r>
      <w:r w:rsidR="002916BE" w:rsidRPr="00CD21CF">
        <w:rPr>
          <w:rFonts w:hint="cs"/>
          <w:sz w:val="24"/>
          <w:szCs w:val="24"/>
          <w:rtl/>
        </w:rPr>
        <w:t xml:space="preserve"> השפעה </w:t>
      </w:r>
      <w:r w:rsidR="00D20CAC">
        <w:rPr>
          <w:rFonts w:hint="cs"/>
          <w:sz w:val="24"/>
          <w:szCs w:val="24"/>
          <w:rtl/>
        </w:rPr>
        <w:t xml:space="preserve">מכרעת </w:t>
      </w:r>
      <w:r w:rsidR="002916BE" w:rsidRPr="00CD21CF">
        <w:rPr>
          <w:rFonts w:hint="cs"/>
          <w:sz w:val="24"/>
          <w:szCs w:val="24"/>
          <w:rtl/>
        </w:rPr>
        <w:t>כאן ועכשיו</w:t>
      </w:r>
      <w:r w:rsidR="00463F5A" w:rsidRPr="00CD21CF">
        <w:rPr>
          <w:rFonts w:hint="cs"/>
          <w:sz w:val="24"/>
          <w:szCs w:val="24"/>
          <w:rtl/>
        </w:rPr>
        <w:t xml:space="preserve"> על אופי החיים במדינת יהוד המתחדשת</w:t>
      </w:r>
      <w:r w:rsidR="002916BE" w:rsidRPr="00CD21CF">
        <w:rPr>
          <w:rFonts w:hint="cs"/>
          <w:sz w:val="24"/>
          <w:szCs w:val="24"/>
          <w:rtl/>
        </w:rPr>
        <w:t>.</w:t>
      </w:r>
      <w:r w:rsidR="00463F5A" w:rsidRPr="00CD21CF">
        <w:rPr>
          <w:rFonts w:hint="cs"/>
          <w:sz w:val="24"/>
          <w:szCs w:val="24"/>
          <w:rtl/>
        </w:rPr>
        <w:t xml:space="preserve"> </w:t>
      </w:r>
    </w:p>
    <w:sectPr w:rsidR="00712B50" w:rsidRPr="00CD21CF" w:rsidSect="005535A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4DE66" w14:textId="77777777" w:rsidR="00FF7C65" w:rsidRDefault="00FF7C65" w:rsidP="009C7B89">
      <w:r>
        <w:separator/>
      </w:r>
    </w:p>
  </w:endnote>
  <w:endnote w:type="continuationSeparator" w:id="0">
    <w:p w14:paraId="3FE5780A" w14:textId="77777777" w:rsidR="00FF7C65" w:rsidRDefault="00FF7C65" w:rsidP="009C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avid">
    <w:panose1 w:val="020E0502060401010101"/>
    <w:charset w:val="00"/>
    <w:family w:val="auto"/>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2C209" w14:textId="77777777" w:rsidR="00FF7C65" w:rsidRDefault="00FF7C65" w:rsidP="009C7B89">
      <w:r>
        <w:separator/>
      </w:r>
    </w:p>
  </w:footnote>
  <w:footnote w:type="continuationSeparator" w:id="0">
    <w:p w14:paraId="7ADAF07F" w14:textId="77777777" w:rsidR="00FF7C65" w:rsidRDefault="00FF7C65" w:rsidP="009C7B89">
      <w:r>
        <w:continuationSeparator/>
      </w:r>
    </w:p>
  </w:footnote>
  <w:footnote w:id="1">
    <w:p w14:paraId="5CF5CED4" w14:textId="77777777" w:rsidR="00CD21CF" w:rsidRPr="00CD21CF" w:rsidRDefault="00CD21CF" w:rsidP="008F2674">
      <w:pPr>
        <w:pStyle w:val="FootnoteText"/>
        <w:spacing w:line="480" w:lineRule="auto"/>
        <w:rPr>
          <w:rtl/>
        </w:rPr>
      </w:pPr>
      <w:r w:rsidRPr="00CD21CF">
        <w:rPr>
          <w:rStyle w:val="FootnoteReference"/>
        </w:rPr>
        <w:footnoteRef/>
      </w:r>
      <w:r w:rsidRPr="00CD21CF">
        <w:rPr>
          <w:rtl/>
        </w:rPr>
        <w:t xml:space="preserve"> </w:t>
      </w:r>
      <w:r w:rsidR="009411E3">
        <w:rPr>
          <w:rFonts w:hint="cs"/>
          <w:rtl/>
        </w:rPr>
        <w:t>אפשר לנסח את הכלל באופן הבא:</w:t>
      </w:r>
      <w:r w:rsidRPr="00CD21CF">
        <w:rPr>
          <w:rFonts w:hint="cs"/>
          <w:rtl/>
        </w:rPr>
        <w:t xml:space="preserve"> כאשר במצע חסר אחד משני הרכיבים של הגמול - חטא/עונש מעשה טוב/שכר </w:t>
      </w:r>
      <w:r w:rsidRPr="00CD21CF">
        <w:rPr>
          <w:rtl/>
        </w:rPr>
        <w:t>–</w:t>
      </w:r>
      <w:r w:rsidRPr="00CD21CF">
        <w:rPr>
          <w:rFonts w:hint="cs"/>
          <w:rtl/>
        </w:rPr>
        <w:t xml:space="preserve"> </w:t>
      </w:r>
      <w:proofErr w:type="spellStart"/>
      <w:r w:rsidRPr="00CD21CF">
        <w:rPr>
          <w:rFonts w:hint="cs"/>
          <w:rtl/>
        </w:rPr>
        <w:t>הכרוניסט</w:t>
      </w:r>
      <w:proofErr w:type="spellEnd"/>
      <w:r w:rsidRPr="00CD21CF">
        <w:rPr>
          <w:rFonts w:hint="cs"/>
          <w:rtl/>
        </w:rPr>
        <w:t xml:space="preserve"> ישלים אותו מדעתו.</w:t>
      </w:r>
      <w:r w:rsidRPr="00CD21CF">
        <w:t xml:space="preserve"> </w:t>
      </w:r>
      <w:r w:rsidRPr="00CD21CF">
        <w:rPr>
          <w:rFonts w:hint="cs"/>
          <w:rtl/>
        </w:rPr>
        <w:t xml:space="preserve">לעיתים </w:t>
      </w:r>
      <w:proofErr w:type="spellStart"/>
      <w:r w:rsidRPr="00CD21CF">
        <w:rPr>
          <w:rFonts w:hint="cs"/>
          <w:rtl/>
        </w:rPr>
        <w:t>הכרוניסט</w:t>
      </w:r>
      <w:proofErr w:type="spellEnd"/>
      <w:r w:rsidRPr="00CD21CF">
        <w:rPr>
          <w:rFonts w:hint="cs"/>
          <w:rtl/>
        </w:rPr>
        <w:t xml:space="preserve"> יוסיף את שני הרכיבים.</w:t>
      </w:r>
    </w:p>
  </w:footnote>
  <w:footnote w:id="2">
    <w:p w14:paraId="5D0C7048" w14:textId="77777777" w:rsidR="00CD21CF" w:rsidRPr="00CD21CF" w:rsidRDefault="00CD21CF" w:rsidP="008F2674">
      <w:pPr>
        <w:pStyle w:val="FootnoteText"/>
        <w:spacing w:line="480" w:lineRule="auto"/>
      </w:pPr>
      <w:r w:rsidRPr="00CD21CF">
        <w:rPr>
          <w:rStyle w:val="FootnoteReference"/>
        </w:rPr>
        <w:footnoteRef/>
      </w:r>
      <w:r w:rsidRPr="00CD21CF">
        <w:rPr>
          <w:rtl/>
        </w:rPr>
        <w:t xml:space="preserve"> </w:t>
      </w:r>
      <w:r w:rsidRPr="00CD21CF">
        <w:rPr>
          <w:rFonts w:hint="cs"/>
          <w:rtl/>
        </w:rPr>
        <w:t xml:space="preserve">השורש </w:t>
      </w:r>
      <w:proofErr w:type="spellStart"/>
      <w:r w:rsidRPr="00CD21CF">
        <w:rPr>
          <w:rFonts w:hint="cs"/>
          <w:rtl/>
        </w:rPr>
        <w:t>מע״ל</w:t>
      </w:r>
      <w:proofErr w:type="spellEnd"/>
      <w:r w:rsidRPr="00CD21CF">
        <w:rPr>
          <w:rFonts w:hint="cs"/>
          <w:rtl/>
        </w:rPr>
        <w:t xml:space="preserve"> מופיע בספר 14 פעמים בהקשר של עשיית חטאים, ראו: דה״א ב 7; ה 25; ט 1; י 13; </w:t>
      </w:r>
      <w:proofErr w:type="spellStart"/>
      <w:r w:rsidRPr="00CD21CF">
        <w:rPr>
          <w:rFonts w:hint="cs"/>
          <w:rtl/>
        </w:rPr>
        <w:t>יב</w:t>
      </w:r>
      <w:proofErr w:type="spellEnd"/>
      <w:r w:rsidRPr="00CD21CF">
        <w:rPr>
          <w:rFonts w:hint="cs"/>
          <w:rtl/>
        </w:rPr>
        <w:t xml:space="preserve"> 2; </w:t>
      </w:r>
      <w:proofErr w:type="spellStart"/>
      <w:r w:rsidRPr="00CD21CF">
        <w:rPr>
          <w:rFonts w:hint="cs"/>
          <w:rtl/>
        </w:rPr>
        <w:t>כו</w:t>
      </w:r>
      <w:proofErr w:type="spellEnd"/>
      <w:r w:rsidRPr="00CD21CF">
        <w:rPr>
          <w:rFonts w:hint="cs"/>
          <w:rtl/>
        </w:rPr>
        <w:t xml:space="preserve"> 16,18; </w:t>
      </w:r>
      <w:proofErr w:type="spellStart"/>
      <w:r w:rsidRPr="00CD21CF">
        <w:rPr>
          <w:rFonts w:hint="cs"/>
          <w:rtl/>
        </w:rPr>
        <w:t>כח</w:t>
      </w:r>
      <w:proofErr w:type="spellEnd"/>
      <w:r w:rsidRPr="00CD21CF">
        <w:rPr>
          <w:rFonts w:hint="cs"/>
          <w:rtl/>
        </w:rPr>
        <w:t xml:space="preserve"> 22, 19; </w:t>
      </w:r>
      <w:proofErr w:type="spellStart"/>
      <w:r w:rsidRPr="00CD21CF">
        <w:rPr>
          <w:rFonts w:hint="cs"/>
          <w:rtl/>
        </w:rPr>
        <w:t>כט</w:t>
      </w:r>
      <w:proofErr w:type="spellEnd"/>
      <w:r w:rsidRPr="00CD21CF">
        <w:rPr>
          <w:rFonts w:hint="cs"/>
          <w:rtl/>
        </w:rPr>
        <w:t xml:space="preserve"> 6,19; ל 7; לג 19; לו 14. השורש </w:t>
      </w:r>
      <w:proofErr w:type="spellStart"/>
      <w:r w:rsidRPr="00CD21CF">
        <w:rPr>
          <w:rFonts w:hint="cs"/>
          <w:rtl/>
        </w:rPr>
        <w:t>דר״ש</w:t>
      </w:r>
      <w:proofErr w:type="spellEnd"/>
      <w:r w:rsidRPr="00CD21CF">
        <w:rPr>
          <w:rFonts w:hint="cs"/>
          <w:rtl/>
        </w:rPr>
        <w:t xml:space="preserve"> מופיע בספר 34 פעמים, רובם המכריע בהקשר לעבודת האל והליכה בדרכיו או אי הליכה בדרכיו. ראו במיוחד: דה״א </w:t>
      </w:r>
      <w:proofErr w:type="spellStart"/>
      <w:r w:rsidRPr="00CD21CF">
        <w:rPr>
          <w:rFonts w:hint="cs"/>
          <w:rtl/>
        </w:rPr>
        <w:t>כח</w:t>
      </w:r>
      <w:proofErr w:type="spellEnd"/>
      <w:r w:rsidRPr="00CD21CF">
        <w:rPr>
          <w:rFonts w:hint="cs"/>
          <w:rtl/>
        </w:rPr>
        <w:t xml:space="preserve"> 9; דה״ב </w:t>
      </w:r>
      <w:proofErr w:type="spellStart"/>
      <w:r w:rsidRPr="00CD21CF">
        <w:rPr>
          <w:rFonts w:hint="cs"/>
          <w:rtl/>
        </w:rPr>
        <w:t>יב</w:t>
      </w:r>
      <w:proofErr w:type="spellEnd"/>
      <w:r w:rsidRPr="00CD21CF">
        <w:rPr>
          <w:rFonts w:hint="cs"/>
          <w:rtl/>
        </w:rPr>
        <w:t xml:space="preserve"> 14; יד 3,6; טו 2, 13-12; </w:t>
      </w:r>
      <w:proofErr w:type="spellStart"/>
      <w:r w:rsidRPr="00CD21CF">
        <w:rPr>
          <w:rFonts w:hint="cs"/>
          <w:rtl/>
        </w:rPr>
        <w:t>יז</w:t>
      </w:r>
      <w:proofErr w:type="spellEnd"/>
      <w:r w:rsidRPr="00CD21CF">
        <w:rPr>
          <w:rFonts w:hint="cs"/>
          <w:rtl/>
        </w:rPr>
        <w:t xml:space="preserve"> 4; </w:t>
      </w:r>
      <w:proofErr w:type="spellStart"/>
      <w:r w:rsidRPr="00CD21CF">
        <w:rPr>
          <w:rFonts w:hint="cs"/>
          <w:rtl/>
        </w:rPr>
        <w:t>יט</w:t>
      </w:r>
      <w:proofErr w:type="spellEnd"/>
      <w:r w:rsidRPr="00CD21CF">
        <w:rPr>
          <w:rFonts w:hint="cs"/>
          <w:rtl/>
        </w:rPr>
        <w:t xml:space="preserve"> 3; </w:t>
      </w:r>
      <w:proofErr w:type="spellStart"/>
      <w:r w:rsidRPr="00CD21CF">
        <w:rPr>
          <w:rFonts w:hint="cs"/>
          <w:rtl/>
        </w:rPr>
        <w:t>כב</w:t>
      </w:r>
      <w:proofErr w:type="spellEnd"/>
      <w:r w:rsidRPr="00CD21CF">
        <w:rPr>
          <w:rFonts w:hint="cs"/>
          <w:rtl/>
        </w:rPr>
        <w:t xml:space="preserve"> 9; </w:t>
      </w:r>
      <w:proofErr w:type="spellStart"/>
      <w:r w:rsidRPr="00CD21CF">
        <w:rPr>
          <w:rFonts w:hint="cs"/>
          <w:rtl/>
        </w:rPr>
        <w:t>כו</w:t>
      </w:r>
      <w:proofErr w:type="spellEnd"/>
      <w:r w:rsidRPr="00CD21CF">
        <w:rPr>
          <w:rFonts w:hint="cs"/>
          <w:rtl/>
        </w:rPr>
        <w:t xml:space="preserve"> 5; ל 19; לא 21; לד 3. </w:t>
      </w:r>
    </w:p>
  </w:footnote>
  <w:footnote w:id="3">
    <w:p w14:paraId="467FC07E" w14:textId="77777777" w:rsidR="00CD21CF" w:rsidRPr="00CD21CF" w:rsidRDefault="00CD21CF" w:rsidP="008F2674">
      <w:pPr>
        <w:pStyle w:val="FootnoteText"/>
        <w:spacing w:line="480" w:lineRule="auto"/>
        <w:contextualSpacing/>
        <w:rPr>
          <w:color w:val="000000" w:themeColor="text1"/>
        </w:rPr>
      </w:pPr>
      <w:r w:rsidRPr="00CD21CF">
        <w:rPr>
          <w:rStyle w:val="FootnoteReference"/>
          <w:rFonts w:hint="cs"/>
          <w:color w:val="000000" w:themeColor="text1"/>
        </w:rPr>
        <w:footnoteRef/>
      </w:r>
      <w:r w:rsidR="006C13FD">
        <w:rPr>
          <w:rFonts w:hint="cs"/>
          <w:color w:val="000000" w:themeColor="text1"/>
          <w:rtl/>
        </w:rPr>
        <w:t xml:space="preserve"> </w:t>
      </w:r>
      <w:r w:rsidR="006C13FD">
        <w:rPr>
          <w:rFonts w:hint="cs"/>
          <w:color w:val="000000" w:themeColor="text1"/>
          <w:rtl/>
        </w:rPr>
        <w:t>ניתן להתרשם מהמגוון</w:t>
      </w:r>
      <w:r w:rsidRPr="00CD21CF">
        <w:rPr>
          <w:rFonts w:hint="cs"/>
          <w:color w:val="000000" w:themeColor="text1"/>
          <w:rtl/>
        </w:rPr>
        <w:t xml:space="preserve"> של הדעות בסוגיה זו החל משנות החמישים ועד לימינו בספרו של בריאן קלי, </w:t>
      </w:r>
      <w:r w:rsidRPr="00CD21CF">
        <w:rPr>
          <w:i/>
          <w:iCs/>
          <w:color w:val="000000" w:themeColor="text1"/>
        </w:rPr>
        <w:t>Retribution and Eschatology</w:t>
      </w:r>
      <w:r w:rsidRPr="00CD21CF">
        <w:rPr>
          <w:rFonts w:hint="cs"/>
          <w:color w:val="000000" w:themeColor="text1"/>
          <w:rtl/>
        </w:rPr>
        <w:t xml:space="preserve">, 135-154 ובמאמרו המעודכן יותר של בודה: </w:t>
      </w:r>
      <w:r w:rsidRPr="00CD21CF">
        <w:rPr>
          <w:rFonts w:hint="cs"/>
          <w:color w:val="000000" w:themeColor="text1"/>
        </w:rPr>
        <w:t>M</w:t>
      </w:r>
      <w:r w:rsidRPr="00CD21CF">
        <w:rPr>
          <w:color w:val="000000" w:themeColor="text1"/>
        </w:rPr>
        <w:t xml:space="preserve">ark </w:t>
      </w:r>
      <w:r w:rsidRPr="00CD21CF">
        <w:rPr>
          <w:rFonts w:hint="cs"/>
          <w:color w:val="000000" w:themeColor="text1"/>
        </w:rPr>
        <w:t xml:space="preserve">J. </w:t>
      </w:r>
      <w:proofErr w:type="spellStart"/>
      <w:r w:rsidRPr="00CD21CF">
        <w:rPr>
          <w:rFonts w:hint="cs"/>
          <w:color w:val="000000" w:themeColor="text1"/>
        </w:rPr>
        <w:t>Boda</w:t>
      </w:r>
      <w:proofErr w:type="spellEnd"/>
      <w:r w:rsidRPr="00CD21CF">
        <w:rPr>
          <w:rFonts w:hint="cs"/>
          <w:color w:val="000000" w:themeColor="text1"/>
        </w:rPr>
        <w:t xml:space="preserve">, </w:t>
      </w:r>
      <w:r w:rsidRPr="00CD21CF">
        <w:rPr>
          <w:color w:val="000000" w:themeColor="text1"/>
        </w:rPr>
        <w:t>“</w:t>
      </w:r>
      <w:r w:rsidRPr="00CD21CF">
        <w:rPr>
          <w:rFonts w:hint="cs"/>
          <w:color w:val="000000" w:themeColor="text1"/>
        </w:rPr>
        <w:t>Gazing through the Cloud of Incense: Davidic Dynasty and Temple Community in the Chronicle's Perspective</w:t>
      </w:r>
      <w:r w:rsidRPr="00CD21CF">
        <w:rPr>
          <w:color w:val="000000" w:themeColor="text1"/>
        </w:rPr>
        <w:t>,”</w:t>
      </w:r>
      <w:r w:rsidRPr="00CD21CF">
        <w:rPr>
          <w:rFonts w:hint="cs"/>
          <w:color w:val="000000" w:themeColor="text1"/>
        </w:rPr>
        <w:t xml:space="preserve"> </w:t>
      </w:r>
      <w:r w:rsidRPr="00CD21CF">
        <w:rPr>
          <w:color w:val="000000" w:themeColor="text1"/>
        </w:rPr>
        <w:t>i</w:t>
      </w:r>
      <w:r w:rsidRPr="00CD21CF">
        <w:rPr>
          <w:rFonts w:hint="cs"/>
          <w:color w:val="000000" w:themeColor="text1"/>
        </w:rPr>
        <w:t>n</w:t>
      </w:r>
      <w:r w:rsidRPr="00CD21CF">
        <w:rPr>
          <w:rFonts w:hint="cs"/>
          <w:i/>
          <w:iCs/>
          <w:color w:val="000000" w:themeColor="text1"/>
        </w:rPr>
        <w:t xml:space="preserve"> Chronicling the Chronicler: The Book of Chronicles and the Early Second Temple </w:t>
      </w:r>
      <w:r w:rsidRPr="00CD21CF">
        <w:rPr>
          <w:i/>
          <w:iCs/>
          <w:color w:val="000000" w:themeColor="text1"/>
        </w:rPr>
        <w:t xml:space="preserve">Historiography </w:t>
      </w:r>
      <w:r w:rsidRPr="00CD21CF">
        <w:rPr>
          <w:color w:val="000000" w:themeColor="text1"/>
        </w:rPr>
        <w:t>(</w:t>
      </w:r>
      <w:r w:rsidRPr="00CD21CF">
        <w:t>Winona Lake: Penn State University Press, 2013) 215-246:</w:t>
      </w:r>
      <w:r w:rsidRPr="00CD21CF">
        <w:rPr>
          <w:rFonts w:hint="cs"/>
          <w:color w:val="000000" w:themeColor="text1"/>
        </w:rPr>
        <w:t xml:space="preserve"> </w:t>
      </w:r>
      <w:r w:rsidRPr="00CD21CF">
        <w:rPr>
          <w:color w:val="000000" w:themeColor="text1"/>
        </w:rPr>
        <w:t>218</w:t>
      </w:r>
    </w:p>
  </w:footnote>
  <w:footnote w:id="4">
    <w:p w14:paraId="171080FC" w14:textId="7E5E9953" w:rsidR="00CD21CF" w:rsidRPr="00CD21CF" w:rsidRDefault="00CD21CF" w:rsidP="00BC6796">
      <w:pPr>
        <w:pStyle w:val="FootnoteText"/>
        <w:spacing w:line="480" w:lineRule="auto"/>
        <w:rPr>
          <w:rtl/>
        </w:rPr>
      </w:pPr>
      <w:r w:rsidRPr="00CD21CF">
        <w:rPr>
          <w:rStyle w:val="FootnoteReference"/>
          <w:rFonts w:hint="cs"/>
        </w:rPr>
        <w:footnoteRef/>
      </w:r>
      <w:r w:rsidRPr="00CD21CF">
        <w:rPr>
          <w:rFonts w:hint="cs"/>
          <w:rtl/>
        </w:rPr>
        <w:t xml:space="preserve"> </w:t>
      </w:r>
      <w:r w:rsidRPr="00CD21CF">
        <w:rPr>
          <w:rFonts w:hint="cs"/>
          <w:rtl/>
        </w:rPr>
        <w:t xml:space="preserve">זוהי דעתו של פרידמן והסכים </w:t>
      </w:r>
      <w:proofErr w:type="spellStart"/>
      <w:r w:rsidRPr="00CD21CF">
        <w:rPr>
          <w:rFonts w:hint="cs"/>
          <w:rtl/>
        </w:rPr>
        <w:t>עימו</w:t>
      </w:r>
      <w:proofErr w:type="spellEnd"/>
      <w:r w:rsidRPr="00CD21CF">
        <w:rPr>
          <w:rFonts w:hint="cs"/>
          <w:rtl/>
        </w:rPr>
        <w:t xml:space="preserve"> גם קרוס. לדעת קרוס ספר דברי הימים עבר עריכה משולשת. המהדורה הראשונה של מחבר ׳ספר דברי הימים הקדום׳</w:t>
      </w:r>
      <w:r w:rsidRPr="00CD21CF">
        <w:rPr>
          <w:rFonts w:hint="cs"/>
        </w:rPr>
        <w:t xml:space="preserve"> (Chr</w:t>
      </w:r>
      <w:r w:rsidRPr="00CD21CF">
        <w:rPr>
          <w:rFonts w:hint="cs"/>
          <w:vertAlign w:val="superscript"/>
        </w:rPr>
        <w:t>1</w:t>
      </w:r>
      <w:r w:rsidRPr="00CD21CF">
        <w:rPr>
          <w:rFonts w:hint="cs"/>
        </w:rPr>
        <w:t xml:space="preserve">) </w:t>
      </w:r>
      <w:r w:rsidRPr="00CD21CF">
        <w:rPr>
          <w:rFonts w:hint="cs"/>
          <w:rtl/>
        </w:rPr>
        <w:t>,כפי שקרוס מכנה אותו, כללה את הגרעין של רשימות היחס שבפרקים א-ט. רשימת היוחסין של בית דוד המופיעה בפרק ג, עודכן לדעתו באופן משני (עד שנת 400 לפנה"ס בקירוב) בידי</w:t>
      </w:r>
      <w:r w:rsidRPr="00CD21CF">
        <w:rPr>
          <w:rFonts w:hint="cs"/>
        </w:rPr>
        <w:t xml:space="preserve"> Chr</w:t>
      </w:r>
      <w:r w:rsidRPr="00CD21CF">
        <w:rPr>
          <w:rFonts w:hint="cs"/>
          <w:vertAlign w:val="superscript"/>
        </w:rPr>
        <w:t>3</w:t>
      </w:r>
      <w:r w:rsidRPr="00CD21CF">
        <w:rPr>
          <w:rFonts w:hint="cs"/>
        </w:rPr>
        <w:t xml:space="preserve"> </w:t>
      </w:r>
      <w:r w:rsidRPr="00CD21CF">
        <w:rPr>
          <w:rFonts w:hint="cs"/>
          <w:rtl/>
        </w:rPr>
        <w:t xml:space="preserve">בדרך של הוספת פסוקים ג </w:t>
      </w:r>
      <w:proofErr w:type="spellStart"/>
      <w:r w:rsidRPr="00CD21CF">
        <w:rPr>
          <w:rFonts w:hint="cs"/>
          <w:rtl/>
        </w:rPr>
        <w:t>יז</w:t>
      </w:r>
      <w:proofErr w:type="spellEnd"/>
      <w:r w:rsidRPr="00CD21CF">
        <w:rPr>
          <w:rFonts w:hint="cs"/>
          <w:rtl/>
        </w:rPr>
        <w:t xml:space="preserve">-כד. המהדורה הראשונה </w:t>
      </w:r>
      <w:r w:rsidRPr="00CD21CF">
        <w:rPr>
          <w:rFonts w:hint="cs"/>
        </w:rPr>
        <w:t>Chr</w:t>
      </w:r>
      <w:r w:rsidRPr="00CD21CF">
        <w:rPr>
          <w:rFonts w:hint="cs"/>
          <w:vertAlign w:val="superscript"/>
        </w:rPr>
        <w:t>1</w:t>
      </w:r>
      <w:r w:rsidRPr="00CD21CF">
        <w:rPr>
          <w:rFonts w:hint="cs"/>
          <w:rtl/>
        </w:rPr>
        <w:t xml:space="preserve"> כללה גם את דה״א א 1 - דה״ב לו </w:t>
      </w:r>
      <w:r w:rsidRPr="00CD21CF">
        <w:rPr>
          <w:rFonts w:hint="cs"/>
        </w:rPr>
        <w:t>21</w:t>
      </w:r>
      <w:r w:rsidRPr="00CD21CF">
        <w:rPr>
          <w:rFonts w:hint="cs"/>
          <w:rtl/>
        </w:rPr>
        <w:t xml:space="preserve"> (להוציא התערבויות קלות של עריכה מאוחרת). קרוס סבור כי </w:t>
      </w:r>
      <w:r w:rsidRPr="00CD21CF">
        <w:rPr>
          <w:rFonts w:eastAsia="Times New Roman" w:hint="cs"/>
          <w:color w:val="000000" w:themeColor="text1"/>
          <w:rtl/>
        </w:rPr>
        <w:t>חיבורו של בעל דברי הימים הקדום (</w:t>
      </w:r>
      <w:r w:rsidRPr="00CD21CF">
        <w:rPr>
          <w:rFonts w:eastAsia="Times New Roman" w:hint="cs"/>
          <w:color w:val="000000" w:themeColor="text1"/>
        </w:rPr>
        <w:t>Chr</w:t>
      </w:r>
      <w:r w:rsidRPr="00CD21CF">
        <w:rPr>
          <w:rFonts w:eastAsia="Times New Roman" w:hint="cs"/>
          <w:color w:val="000000" w:themeColor="text1"/>
          <w:vertAlign w:val="superscript"/>
        </w:rPr>
        <w:t>1</w:t>
      </w:r>
      <w:r w:rsidRPr="00CD21CF">
        <w:rPr>
          <w:rFonts w:eastAsia="Times New Roman" w:hint="cs"/>
          <w:color w:val="000000" w:themeColor="text1"/>
          <w:rtl/>
        </w:rPr>
        <w:t xml:space="preserve">) נועד לתמוך בתכנית של חידוש המלוכה בראשות זרובבל, של בניית המקדש מחדש ושל חידוש פולחנו בהנהגת יהושע הכהן הגדול. לתפיסה זו יש כמובן השפעה מכרעת על השערתם כי כתיבת הספר היה בשלהי המאה השישית. ראו: </w:t>
      </w:r>
      <w:r w:rsidRPr="00CD21CF">
        <w:rPr>
          <w:rFonts w:eastAsia="Times New Roman" w:hint="cs"/>
          <w:color w:val="000000" w:themeColor="text1"/>
        </w:rPr>
        <w:t>D</w:t>
      </w:r>
      <w:r w:rsidRPr="00CD21CF">
        <w:rPr>
          <w:rFonts w:eastAsia="Times New Roman"/>
          <w:color w:val="000000" w:themeColor="text1"/>
        </w:rPr>
        <w:t xml:space="preserve">avid </w:t>
      </w:r>
      <w:r w:rsidRPr="00CD21CF">
        <w:rPr>
          <w:rFonts w:eastAsia="Times New Roman" w:hint="cs"/>
          <w:color w:val="000000" w:themeColor="text1"/>
        </w:rPr>
        <w:t>N. Freedman, "The Chronicler's Purpose</w:t>
      </w:r>
      <w:r w:rsidRPr="00CD21CF">
        <w:rPr>
          <w:rFonts w:eastAsia="Times New Roman"/>
          <w:color w:val="000000" w:themeColor="text1"/>
        </w:rPr>
        <w:t>,</w:t>
      </w:r>
      <w:r w:rsidRPr="00CD21CF">
        <w:rPr>
          <w:rFonts w:eastAsia="Times New Roman" w:hint="cs"/>
          <w:color w:val="000000" w:themeColor="text1"/>
        </w:rPr>
        <w:t xml:space="preserve">" </w:t>
      </w:r>
      <w:r w:rsidRPr="00CD21CF">
        <w:rPr>
          <w:rFonts w:eastAsia="Times New Roman" w:hint="cs"/>
          <w:i/>
          <w:iCs/>
          <w:color w:val="000000" w:themeColor="text1"/>
        </w:rPr>
        <w:t>CBQ</w:t>
      </w:r>
      <w:r w:rsidRPr="00CD21CF">
        <w:rPr>
          <w:rFonts w:eastAsia="Times New Roman" w:hint="cs"/>
          <w:color w:val="000000" w:themeColor="text1"/>
        </w:rPr>
        <w:t xml:space="preserve"> 23 (1961) 432-442; F</w:t>
      </w:r>
      <w:r w:rsidRPr="00CD21CF">
        <w:rPr>
          <w:rFonts w:eastAsia="Times New Roman"/>
          <w:color w:val="000000" w:themeColor="text1"/>
        </w:rPr>
        <w:t xml:space="preserve">rank </w:t>
      </w:r>
      <w:r w:rsidRPr="00CD21CF">
        <w:rPr>
          <w:rFonts w:eastAsia="Times New Roman" w:hint="cs"/>
          <w:color w:val="000000" w:themeColor="text1"/>
        </w:rPr>
        <w:t xml:space="preserve">M. Cross, </w:t>
      </w:r>
      <w:r w:rsidRPr="00CD21CF">
        <w:rPr>
          <w:rFonts w:eastAsia="Times New Roman"/>
          <w:color w:val="000000" w:themeColor="text1"/>
        </w:rPr>
        <w:t>“</w:t>
      </w:r>
      <w:r w:rsidRPr="00CD21CF">
        <w:rPr>
          <w:rFonts w:eastAsia="Times New Roman" w:hint="cs"/>
          <w:color w:val="000000" w:themeColor="text1"/>
        </w:rPr>
        <w:t>A Reconstruction of the Judean Restoration</w:t>
      </w:r>
      <w:r w:rsidRPr="00CD21CF">
        <w:rPr>
          <w:rFonts w:eastAsia="Times New Roman"/>
          <w:color w:val="000000" w:themeColor="text1"/>
        </w:rPr>
        <w:t xml:space="preserve">,” </w:t>
      </w:r>
      <w:r w:rsidRPr="00CD21CF">
        <w:rPr>
          <w:rFonts w:eastAsia="Times New Roman" w:hint="cs"/>
          <w:i/>
          <w:iCs/>
          <w:color w:val="000000" w:themeColor="text1"/>
        </w:rPr>
        <w:t>JBL</w:t>
      </w:r>
      <w:r w:rsidRPr="00CD21CF">
        <w:rPr>
          <w:rFonts w:eastAsia="Times New Roman" w:hint="cs"/>
          <w:color w:val="000000" w:themeColor="text1"/>
        </w:rPr>
        <w:t xml:space="preserve"> 94 (1975) 4-18</w:t>
      </w:r>
      <w:r w:rsidRPr="00CD21CF">
        <w:rPr>
          <w:rFonts w:eastAsia="Times New Roman" w:hint="cs"/>
          <w:color w:val="000000" w:themeColor="text1"/>
          <w:rtl/>
        </w:rPr>
        <w:t xml:space="preserve">. דעתם של קרוס ופרידמן נתקבלה גם אצל חוקרים אחרים אם כי הם עדיין בבחינת מיעוט במחקר, ראו: </w:t>
      </w:r>
      <w:r w:rsidRPr="00CD21CF">
        <w:rPr>
          <w:rFonts w:eastAsia="Times New Roman" w:hint="cs"/>
          <w:color w:val="000000" w:themeColor="text1"/>
        </w:rPr>
        <w:t>J</w:t>
      </w:r>
      <w:r w:rsidRPr="00CD21CF">
        <w:rPr>
          <w:rFonts w:eastAsia="Times New Roman"/>
          <w:color w:val="000000" w:themeColor="text1"/>
        </w:rPr>
        <w:t xml:space="preserve">ames </w:t>
      </w:r>
      <w:r w:rsidRPr="00CD21CF">
        <w:rPr>
          <w:rFonts w:eastAsia="Times New Roman" w:hint="cs"/>
          <w:color w:val="000000" w:themeColor="text1"/>
        </w:rPr>
        <w:t xml:space="preserve">D. Newsome, </w:t>
      </w:r>
      <w:r w:rsidRPr="00CD21CF">
        <w:rPr>
          <w:rFonts w:eastAsia="Times New Roman"/>
          <w:color w:val="000000" w:themeColor="text1"/>
        </w:rPr>
        <w:t>“</w:t>
      </w:r>
      <w:r w:rsidRPr="00CD21CF">
        <w:rPr>
          <w:rFonts w:eastAsia="Times New Roman" w:hint="cs"/>
          <w:color w:val="000000" w:themeColor="text1"/>
        </w:rPr>
        <w:t>Toward a New Understanding of the Chronicler and His Purpose</w:t>
      </w:r>
      <w:r w:rsidRPr="00CD21CF">
        <w:rPr>
          <w:rFonts w:eastAsia="Times New Roman"/>
          <w:color w:val="000000" w:themeColor="text1"/>
        </w:rPr>
        <w:t>,”</w:t>
      </w:r>
      <w:r w:rsidRPr="00CD21CF">
        <w:rPr>
          <w:rFonts w:eastAsia="Times New Roman" w:hint="cs"/>
          <w:color w:val="000000" w:themeColor="text1"/>
        </w:rPr>
        <w:t xml:space="preserve"> </w:t>
      </w:r>
      <w:r w:rsidRPr="00CD21CF">
        <w:rPr>
          <w:rFonts w:eastAsia="Times New Roman" w:hint="cs"/>
          <w:i/>
          <w:iCs/>
          <w:color w:val="000000" w:themeColor="text1"/>
        </w:rPr>
        <w:t>JBL</w:t>
      </w:r>
      <w:r w:rsidRPr="00CD21CF">
        <w:rPr>
          <w:rFonts w:eastAsia="Times New Roman" w:hint="cs"/>
          <w:color w:val="000000" w:themeColor="text1"/>
        </w:rPr>
        <w:t xml:space="preserve"> 94 (1975)</w:t>
      </w:r>
      <w:r w:rsidRPr="00CD21CF">
        <w:rPr>
          <w:rFonts w:eastAsia="Times New Roman"/>
          <w:color w:val="000000" w:themeColor="text1"/>
        </w:rPr>
        <w:t xml:space="preserve"> 201-217:</w:t>
      </w:r>
      <w:r w:rsidRPr="00CD21CF">
        <w:rPr>
          <w:rFonts w:eastAsia="Times New Roman" w:hint="cs"/>
          <w:color w:val="000000" w:themeColor="text1"/>
        </w:rPr>
        <w:t xml:space="preserve"> 215-217;</w:t>
      </w:r>
      <w:r w:rsidRPr="00CD21CF">
        <w:rPr>
          <w:rFonts w:eastAsia="Times New Roman" w:hint="cs"/>
          <w:color w:val="000000" w:themeColor="text1"/>
          <w:rtl/>
        </w:rPr>
        <w:t> </w:t>
      </w:r>
    </w:p>
  </w:footnote>
  <w:footnote w:id="5">
    <w:p w14:paraId="6F310675" w14:textId="59D416CB" w:rsidR="00CD21CF" w:rsidRPr="00CD21CF" w:rsidRDefault="00CD21CF" w:rsidP="00BC6796">
      <w:pPr>
        <w:pStyle w:val="FootnoteText"/>
        <w:spacing w:line="480" w:lineRule="auto"/>
      </w:pPr>
      <w:r w:rsidRPr="00CD21CF">
        <w:rPr>
          <w:rStyle w:val="FootnoteReference"/>
          <w:rFonts w:hint="cs"/>
        </w:rPr>
        <w:footnoteRef/>
      </w:r>
      <w:r w:rsidRPr="00CD21CF">
        <w:rPr>
          <w:rFonts w:hint="cs"/>
          <w:rtl/>
        </w:rPr>
        <w:t xml:space="preserve"> </w:t>
      </w:r>
      <w:r w:rsidRPr="00CD21CF">
        <w:rPr>
          <w:rFonts w:hint="cs"/>
          <w:rtl/>
        </w:rPr>
        <w:t>פון-</w:t>
      </w:r>
      <w:proofErr w:type="spellStart"/>
      <w:r w:rsidRPr="00CD21CF">
        <w:rPr>
          <w:rFonts w:hint="cs"/>
          <w:rtl/>
        </w:rPr>
        <w:t>ראד</w:t>
      </w:r>
      <w:proofErr w:type="spellEnd"/>
      <w:r w:rsidRPr="00CD21CF">
        <w:rPr>
          <w:rFonts w:hint="cs"/>
          <w:rtl/>
        </w:rPr>
        <w:t xml:space="preserve"> סבור למשל כי ההתעניינות של </w:t>
      </w:r>
      <w:proofErr w:type="spellStart"/>
      <w:r w:rsidRPr="00CD21CF">
        <w:rPr>
          <w:rFonts w:hint="cs"/>
          <w:rtl/>
        </w:rPr>
        <w:t>הכרוניסט</w:t>
      </w:r>
      <w:proofErr w:type="spellEnd"/>
      <w:r w:rsidRPr="00CD21CF">
        <w:rPr>
          <w:rFonts w:hint="cs"/>
          <w:rtl/>
        </w:rPr>
        <w:t xml:space="preserve"> הייתה </w:t>
      </w:r>
      <w:r w:rsidRPr="00CD21CF">
        <w:rPr>
          <w:rFonts w:hint="cs"/>
        </w:rPr>
        <w:t>"</w:t>
      </w:r>
      <w:proofErr w:type="spellStart"/>
      <w:r w:rsidRPr="00CD21CF">
        <w:rPr>
          <w:rFonts w:hint="cs"/>
        </w:rPr>
        <w:t>sondern</w:t>
      </w:r>
      <w:proofErr w:type="spellEnd"/>
      <w:r w:rsidRPr="00CD21CF">
        <w:rPr>
          <w:rFonts w:hint="cs"/>
        </w:rPr>
        <w:t xml:space="preserve"> der </w:t>
      </w:r>
      <w:proofErr w:type="spellStart"/>
      <w:r w:rsidRPr="00CD21CF">
        <w:rPr>
          <w:rFonts w:hint="cs"/>
        </w:rPr>
        <w:t>Davisdsthron</w:t>
      </w:r>
      <w:proofErr w:type="spellEnd"/>
      <w:r w:rsidRPr="00CD21CF">
        <w:rPr>
          <w:rFonts w:hint="cs"/>
        </w:rPr>
        <w:t xml:space="preserve"> </w:t>
      </w:r>
      <w:proofErr w:type="spellStart"/>
      <w:r w:rsidRPr="00CD21CF">
        <w:rPr>
          <w:rFonts w:hint="cs"/>
        </w:rPr>
        <w:t>unter</w:t>
      </w:r>
      <w:proofErr w:type="spellEnd"/>
      <w:r w:rsidRPr="00CD21CF">
        <w:rPr>
          <w:rFonts w:hint="cs"/>
        </w:rPr>
        <w:t xml:space="preserve"> </w:t>
      </w:r>
      <w:proofErr w:type="spellStart"/>
      <w:r w:rsidRPr="00CD21CF">
        <w:rPr>
          <w:rFonts w:hint="cs"/>
        </w:rPr>
        <w:t>Gericht</w:t>
      </w:r>
      <w:proofErr w:type="spellEnd"/>
      <w:r w:rsidRPr="00CD21CF">
        <w:rPr>
          <w:rFonts w:hint="cs"/>
        </w:rPr>
        <w:t xml:space="preserve"> und </w:t>
      </w:r>
      <w:proofErr w:type="spellStart"/>
      <w:r w:rsidRPr="00CD21CF">
        <w:rPr>
          <w:rFonts w:hint="cs"/>
        </w:rPr>
        <w:t>Gnade</w:t>
      </w:r>
      <w:proofErr w:type="spellEnd"/>
      <w:r w:rsidRPr="00CD21CF">
        <w:rPr>
          <w:rFonts w:hint="cs"/>
        </w:rPr>
        <w:t xml:space="preserve"> </w:t>
      </w:r>
      <w:proofErr w:type="spellStart"/>
      <w:r w:rsidRPr="00CD21CF">
        <w:rPr>
          <w:rFonts w:hint="cs"/>
        </w:rPr>
        <w:t>Jahwes</w:t>
      </w:r>
      <w:proofErr w:type="spellEnd"/>
      <w:r w:rsidRPr="00CD21CF">
        <w:rPr>
          <w:rFonts w:hint="cs"/>
        </w:rPr>
        <w:t xml:space="preserve"> </w:t>
      </w:r>
      <w:proofErr w:type="spellStart"/>
      <w:r w:rsidRPr="00CD21CF">
        <w:rPr>
          <w:rFonts w:hint="cs"/>
        </w:rPr>
        <w:t>im</w:t>
      </w:r>
      <w:proofErr w:type="spellEnd"/>
      <w:r w:rsidRPr="00CD21CF">
        <w:rPr>
          <w:rFonts w:hint="cs"/>
        </w:rPr>
        <w:t xml:space="preserve"> </w:t>
      </w:r>
      <w:proofErr w:type="spellStart"/>
      <w:r w:rsidRPr="00CD21CF">
        <w:rPr>
          <w:rFonts w:hint="cs"/>
        </w:rPr>
        <w:t>Wandel</w:t>
      </w:r>
      <w:proofErr w:type="spellEnd"/>
      <w:r w:rsidRPr="00CD21CF">
        <w:rPr>
          <w:rFonts w:hint="cs"/>
        </w:rPr>
        <w:t xml:space="preserve"> der </w:t>
      </w:r>
      <w:proofErr w:type="spellStart"/>
      <w:r w:rsidRPr="00CD21CF">
        <w:rPr>
          <w:rFonts w:hint="cs"/>
        </w:rPr>
        <w:t>Zeiten</w:t>
      </w:r>
      <w:proofErr w:type="spellEnd"/>
      <w:r w:rsidRPr="00CD21CF">
        <w:rPr>
          <w:rFonts w:hint="cs"/>
        </w:rPr>
        <w:t>"</w:t>
      </w:r>
      <w:r w:rsidR="00BC6796">
        <w:rPr>
          <w:rFonts w:hint="cs"/>
          <w:rtl/>
        </w:rPr>
        <w:t xml:space="preserve">, </w:t>
      </w:r>
      <w:r w:rsidRPr="00CD21CF">
        <w:rPr>
          <w:rFonts w:hint="cs"/>
          <w:rtl/>
        </w:rPr>
        <w:t xml:space="preserve"> </w:t>
      </w:r>
    </w:p>
  </w:footnote>
  <w:footnote w:id="6">
    <w:p w14:paraId="46D19836" w14:textId="77777777" w:rsidR="00CD21CF" w:rsidRPr="00CD21CF" w:rsidRDefault="00CD21CF" w:rsidP="006340C6">
      <w:pPr>
        <w:pStyle w:val="FootnoteText"/>
        <w:spacing w:line="480" w:lineRule="auto"/>
      </w:pPr>
      <w:r w:rsidRPr="00CD21CF">
        <w:rPr>
          <w:rStyle w:val="FootnoteReference"/>
          <w:rFonts w:hint="cs"/>
        </w:rPr>
        <w:footnoteRef/>
      </w:r>
      <w:r w:rsidRPr="00CD21CF">
        <w:rPr>
          <w:rFonts w:hint="cs"/>
          <w:rtl/>
        </w:rPr>
        <w:t xml:space="preserve"> ראו:  </w:t>
      </w:r>
      <w:r w:rsidRPr="00CD21CF">
        <w:rPr>
          <w:rFonts w:hint="cs"/>
        </w:rPr>
        <w:t>R</w:t>
      </w:r>
      <w:r w:rsidRPr="00CD21CF">
        <w:t>udolf</w:t>
      </w:r>
      <w:r w:rsidRPr="00CD21CF">
        <w:rPr>
          <w:rFonts w:hint="cs"/>
        </w:rPr>
        <w:t xml:space="preserve"> </w:t>
      </w:r>
      <w:proofErr w:type="spellStart"/>
      <w:r w:rsidRPr="00CD21CF">
        <w:rPr>
          <w:rFonts w:hint="cs"/>
        </w:rPr>
        <w:t>Mosis</w:t>
      </w:r>
      <w:proofErr w:type="spellEnd"/>
      <w:r w:rsidRPr="00CD21CF">
        <w:rPr>
          <w:rFonts w:hint="cs"/>
          <w:i/>
          <w:iCs/>
        </w:rPr>
        <w:t xml:space="preserve">, </w:t>
      </w:r>
      <w:proofErr w:type="spellStart"/>
      <w:r w:rsidRPr="00CD21CF">
        <w:rPr>
          <w:rFonts w:hint="cs"/>
          <w:i/>
          <w:iCs/>
        </w:rPr>
        <w:t>Untersuchungen</w:t>
      </w:r>
      <w:proofErr w:type="spellEnd"/>
      <w:r w:rsidRPr="00CD21CF">
        <w:rPr>
          <w:rFonts w:hint="cs"/>
          <w:i/>
          <w:iCs/>
        </w:rPr>
        <w:t xml:space="preserve"> </w:t>
      </w:r>
      <w:proofErr w:type="spellStart"/>
      <w:r w:rsidRPr="00CD21CF">
        <w:rPr>
          <w:rFonts w:hint="cs"/>
          <w:i/>
          <w:iCs/>
        </w:rPr>
        <w:t>zur</w:t>
      </w:r>
      <w:proofErr w:type="spellEnd"/>
      <w:r w:rsidRPr="00CD21CF">
        <w:rPr>
          <w:rFonts w:hint="cs"/>
          <w:i/>
          <w:iCs/>
        </w:rPr>
        <w:t xml:space="preserve"> </w:t>
      </w:r>
      <w:proofErr w:type="spellStart"/>
      <w:r w:rsidRPr="00CD21CF">
        <w:rPr>
          <w:rFonts w:hint="cs"/>
          <w:i/>
          <w:iCs/>
        </w:rPr>
        <w:t>Theologie</w:t>
      </w:r>
      <w:proofErr w:type="spellEnd"/>
      <w:r w:rsidRPr="00CD21CF">
        <w:rPr>
          <w:rFonts w:hint="cs"/>
          <w:i/>
          <w:iCs/>
        </w:rPr>
        <w:t xml:space="preserve"> des </w:t>
      </w:r>
      <w:proofErr w:type="spellStart"/>
      <w:r w:rsidRPr="00CD21CF">
        <w:rPr>
          <w:rFonts w:hint="cs"/>
          <w:i/>
          <w:iCs/>
        </w:rPr>
        <w:t>chronistischen</w:t>
      </w:r>
      <w:proofErr w:type="spellEnd"/>
      <w:r w:rsidRPr="00CD21CF">
        <w:rPr>
          <w:rFonts w:hint="cs"/>
          <w:i/>
          <w:iCs/>
        </w:rPr>
        <w:t xml:space="preserve"> </w:t>
      </w:r>
      <w:proofErr w:type="spellStart"/>
      <w:r w:rsidRPr="00CD21CF">
        <w:rPr>
          <w:rFonts w:hint="cs"/>
          <w:i/>
          <w:iCs/>
        </w:rPr>
        <w:t>Geschichtswerkes</w:t>
      </w:r>
      <w:proofErr w:type="spellEnd"/>
      <w:r w:rsidRPr="00CD21CF">
        <w:rPr>
          <w:rFonts w:hint="cs"/>
        </w:rPr>
        <w:t xml:space="preserve"> </w:t>
      </w:r>
      <w:r w:rsidRPr="00CD21CF">
        <w:t>(</w:t>
      </w:r>
      <w:r w:rsidRPr="00CD21CF">
        <w:rPr>
          <w:rFonts w:hint="cs"/>
        </w:rPr>
        <w:t>Freiburg</w:t>
      </w:r>
      <w:r w:rsidRPr="00CD21CF">
        <w:t xml:space="preserve">: Harder, </w:t>
      </w:r>
      <w:r w:rsidRPr="00CD21CF">
        <w:rPr>
          <w:rFonts w:hint="cs"/>
        </w:rPr>
        <w:t>1973</w:t>
      </w:r>
      <w:r w:rsidRPr="00CD21CF">
        <w:t>)</w:t>
      </w:r>
    </w:p>
  </w:footnote>
  <w:footnote w:id="7">
    <w:p w14:paraId="71C9240F" w14:textId="77777777" w:rsidR="00CD21CF" w:rsidRPr="00CD21CF" w:rsidRDefault="00CD21CF" w:rsidP="008F2674">
      <w:pPr>
        <w:pStyle w:val="FootnoteText"/>
        <w:spacing w:line="480" w:lineRule="auto"/>
        <w:contextualSpacing/>
        <w:rPr>
          <w:color w:val="000000" w:themeColor="text1"/>
          <w:rtl/>
        </w:rPr>
      </w:pPr>
      <w:r w:rsidRPr="00CD21CF">
        <w:rPr>
          <w:rStyle w:val="FootnoteReference"/>
          <w:rFonts w:hint="cs"/>
          <w:color w:val="000000" w:themeColor="text1"/>
        </w:rPr>
        <w:footnoteRef/>
      </w:r>
      <w:r w:rsidRPr="00CD21CF">
        <w:rPr>
          <w:rFonts w:hint="cs"/>
          <w:color w:val="000000" w:themeColor="text1"/>
        </w:rPr>
        <w:t xml:space="preserve"> ,</w:t>
      </w:r>
      <w:r w:rsidRPr="00CD21CF">
        <w:rPr>
          <w:rFonts w:hint="cs"/>
          <w:color w:val="000000" w:themeColor="text1"/>
          <w:rtl/>
        </w:rPr>
        <w:t xml:space="preserve"> תפיסה זו מיוחסת </w:t>
      </w:r>
      <w:proofErr w:type="spellStart"/>
      <w:r w:rsidRPr="00CD21CF">
        <w:rPr>
          <w:rFonts w:hint="cs"/>
          <w:color w:val="000000" w:themeColor="text1"/>
          <w:rtl/>
        </w:rPr>
        <w:t>לויליאמסון</w:t>
      </w:r>
      <w:proofErr w:type="spellEnd"/>
      <w:r w:rsidRPr="00CD21CF">
        <w:rPr>
          <w:rFonts w:hint="cs"/>
          <w:color w:val="000000" w:themeColor="text1"/>
          <w:rtl/>
        </w:rPr>
        <w:t xml:space="preserve"> שדוחה את התפיסה המשיחית מבית מדרשו של פון </w:t>
      </w:r>
      <w:proofErr w:type="spellStart"/>
      <w:r w:rsidRPr="00CD21CF">
        <w:rPr>
          <w:rFonts w:hint="cs"/>
          <w:color w:val="000000" w:themeColor="text1"/>
          <w:rtl/>
        </w:rPr>
        <w:t>ראד</w:t>
      </w:r>
      <w:proofErr w:type="spellEnd"/>
      <w:r w:rsidR="006C13FD">
        <w:rPr>
          <w:rFonts w:hint="cs"/>
          <w:color w:val="000000" w:themeColor="text1"/>
          <w:rtl/>
        </w:rPr>
        <w:t xml:space="preserve"> ומעדיף לאפיין את הציפייה הזו </w:t>
      </w:r>
      <w:proofErr w:type="gramStart"/>
      <w:r w:rsidR="006C13FD">
        <w:rPr>
          <w:rFonts w:hint="cs"/>
          <w:color w:val="000000" w:themeColor="text1"/>
          <w:rtl/>
        </w:rPr>
        <w:t>כ</w:t>
      </w:r>
      <w:r w:rsidRPr="00CD21CF">
        <w:rPr>
          <w:rFonts w:hint="cs"/>
          <w:color w:val="000000" w:themeColor="text1"/>
        </w:rPr>
        <w:t>”royalist</w:t>
      </w:r>
      <w:proofErr w:type="gramEnd"/>
      <w:r w:rsidRPr="00CD21CF">
        <w:rPr>
          <w:rFonts w:hint="cs"/>
          <w:color w:val="000000" w:themeColor="text1"/>
        </w:rPr>
        <w:t>”</w:t>
      </w:r>
      <w:r w:rsidRPr="00CD21CF">
        <w:rPr>
          <w:rFonts w:hint="cs"/>
          <w:color w:val="000000" w:themeColor="text1"/>
          <w:rtl/>
        </w:rPr>
        <w:t xml:space="preserve"> ראו: </w:t>
      </w:r>
      <w:r w:rsidRPr="00CD21CF">
        <w:rPr>
          <w:rFonts w:hint="cs"/>
          <w:color w:val="000000" w:themeColor="text1"/>
        </w:rPr>
        <w:t>H</w:t>
      </w:r>
      <w:r w:rsidRPr="00CD21CF">
        <w:rPr>
          <w:color w:val="000000" w:themeColor="text1"/>
        </w:rPr>
        <w:t xml:space="preserve">ugh </w:t>
      </w:r>
      <w:r w:rsidRPr="00CD21CF">
        <w:rPr>
          <w:rFonts w:hint="cs"/>
          <w:color w:val="000000" w:themeColor="text1"/>
        </w:rPr>
        <w:t>G.</w:t>
      </w:r>
      <w:r w:rsidRPr="00CD21CF">
        <w:rPr>
          <w:color w:val="000000" w:themeColor="text1"/>
        </w:rPr>
        <w:t xml:space="preserve"> </w:t>
      </w:r>
      <w:r w:rsidRPr="00CD21CF">
        <w:rPr>
          <w:rFonts w:hint="cs"/>
          <w:color w:val="000000" w:themeColor="text1"/>
        </w:rPr>
        <w:t>M. Williamson, “Eschatology in Chronicles</w:t>
      </w:r>
      <w:r w:rsidRPr="00CD21CF">
        <w:rPr>
          <w:color w:val="000000" w:themeColor="text1"/>
        </w:rPr>
        <w:t>,</w:t>
      </w:r>
      <w:r w:rsidRPr="00CD21CF">
        <w:rPr>
          <w:rFonts w:hint="cs"/>
          <w:color w:val="000000" w:themeColor="text1"/>
        </w:rPr>
        <w:t xml:space="preserve">” </w:t>
      </w:r>
      <w:proofErr w:type="spellStart"/>
      <w:r w:rsidRPr="00CD21CF">
        <w:rPr>
          <w:rFonts w:hint="cs"/>
          <w:i/>
          <w:iCs/>
          <w:color w:val="000000" w:themeColor="text1"/>
        </w:rPr>
        <w:t>TynBul</w:t>
      </w:r>
      <w:proofErr w:type="spellEnd"/>
      <w:r w:rsidRPr="00CD21CF">
        <w:rPr>
          <w:rFonts w:hint="cs"/>
          <w:i/>
          <w:iCs/>
          <w:color w:val="000000" w:themeColor="text1"/>
        </w:rPr>
        <w:t xml:space="preserve"> </w:t>
      </w:r>
      <w:r w:rsidRPr="00CD21CF">
        <w:rPr>
          <w:rFonts w:hint="cs"/>
          <w:color w:val="000000" w:themeColor="text1"/>
        </w:rPr>
        <w:t>28 (1977) 115-145</w:t>
      </w:r>
      <w:r w:rsidRPr="00CD21CF">
        <w:rPr>
          <w:rFonts w:hint="cs"/>
          <w:color w:val="000000" w:themeColor="text1"/>
          <w:rtl/>
        </w:rPr>
        <w:t xml:space="preserve">. </w:t>
      </w:r>
    </w:p>
  </w:footnote>
  <w:footnote w:id="8">
    <w:p w14:paraId="4C79487D" w14:textId="77777777" w:rsidR="00CD21CF" w:rsidRPr="00CD21CF" w:rsidRDefault="00CD21CF" w:rsidP="006340C6">
      <w:pPr>
        <w:pStyle w:val="FootnoteText"/>
        <w:spacing w:line="480" w:lineRule="auto"/>
      </w:pPr>
      <w:r w:rsidRPr="00CD21CF">
        <w:rPr>
          <w:rStyle w:val="FootnoteReference"/>
          <w:rFonts w:hint="cs"/>
        </w:rPr>
        <w:footnoteRef/>
      </w:r>
      <w:r w:rsidRPr="00CD21CF">
        <w:rPr>
          <w:rFonts w:hint="cs"/>
          <w:rtl/>
        </w:rPr>
        <w:t xml:space="preserve"> כך, למשל, הפסוקים הללו </w:t>
      </w:r>
      <w:r w:rsidRPr="00CD21CF">
        <w:t xml:space="preserve">1 </w:t>
      </w:r>
      <w:proofErr w:type="spellStart"/>
      <w:r w:rsidRPr="00CD21CF">
        <w:t>Chr</w:t>
      </w:r>
      <w:proofErr w:type="spellEnd"/>
      <w:r w:rsidRPr="00CD21CF">
        <w:t xml:space="preserve"> 17:1-27; 22:6-13; 28:2-10; 2 </w:t>
      </w:r>
      <w:proofErr w:type="spellStart"/>
      <w:r w:rsidRPr="00CD21CF">
        <w:t>Chr</w:t>
      </w:r>
      <w:proofErr w:type="spellEnd"/>
      <w:r w:rsidRPr="00CD21CF">
        <w:t xml:space="preserve"> 1:8-10; 6:3-17, 40-42; 7:17-22; 13:1-22; 21:2-7; 23:1-3</w:t>
      </w:r>
      <w:r w:rsidRPr="00CD21CF">
        <w:rPr>
          <w:rFonts w:hint="cs"/>
          <w:rtl/>
        </w:rPr>
        <w:t xml:space="preserve">  - שימשו מקורות לעיון כמעט בידי כל חוקר שעסק בסוגית הציפייה להתחדשות שושלת בית דוד. ראו לאחרונה: </w:t>
      </w:r>
      <w:proofErr w:type="spellStart"/>
      <w:r w:rsidRPr="00CD21CF">
        <w:t>Sunwoo</w:t>
      </w:r>
      <w:proofErr w:type="spellEnd"/>
      <w:r w:rsidRPr="00CD21CF">
        <w:rPr>
          <w:rFonts w:hint="cs"/>
        </w:rPr>
        <w:t xml:space="preserve"> Hwang, </w:t>
      </w:r>
      <w:r w:rsidRPr="00CD21CF">
        <w:rPr>
          <w:rFonts w:hint="cs"/>
          <w:i/>
          <w:iCs/>
        </w:rPr>
        <w:t>The Hope for the Restoration of the Davidic Kingdom in the Light of the Davidic Covenant in Chronicles</w:t>
      </w:r>
      <w:r w:rsidRPr="00CD21CF">
        <w:rPr>
          <w:rFonts w:hint="cs"/>
        </w:rPr>
        <w:t xml:space="preserve"> </w:t>
      </w:r>
      <w:r w:rsidRPr="00CD21CF">
        <w:t>(</w:t>
      </w:r>
      <w:proofErr w:type="spellStart"/>
      <w:r w:rsidRPr="00CD21CF">
        <w:rPr>
          <w:rFonts w:hint="cs"/>
        </w:rPr>
        <w:t>kkkkk</w:t>
      </w:r>
      <w:proofErr w:type="spellEnd"/>
      <w:r w:rsidRPr="00CD21CF">
        <w:t>:</w:t>
      </w:r>
      <w:r w:rsidRPr="00CD21CF">
        <w:rPr>
          <w:rFonts w:ascii="Arial" w:hAnsi="Arial" w:cs="Arial"/>
          <w:color w:val="777777"/>
          <w:shd w:val="clear" w:color="auto" w:fill="FFFFFF"/>
        </w:rPr>
        <w:t xml:space="preserve"> </w:t>
      </w:r>
      <w:r w:rsidRPr="00CD21CF">
        <w:t xml:space="preserve">Edwin </w:t>
      </w:r>
      <w:proofErr w:type="spellStart"/>
      <w:r w:rsidRPr="00CD21CF">
        <w:t>Mellen</w:t>
      </w:r>
      <w:proofErr w:type="spellEnd"/>
      <w:r w:rsidRPr="00CD21CF">
        <w:t xml:space="preserve"> Press</w:t>
      </w:r>
      <w:r w:rsidRPr="00CD21CF">
        <w:rPr>
          <w:rFonts w:hint="cs"/>
        </w:rPr>
        <w:t xml:space="preserve"> 2014.</w:t>
      </w:r>
    </w:p>
  </w:footnote>
  <w:footnote w:id="9">
    <w:p w14:paraId="63DEB2C2" w14:textId="77777777" w:rsidR="00CD21CF" w:rsidRPr="00CD21CF" w:rsidRDefault="00CD21CF" w:rsidP="008F2674">
      <w:pPr>
        <w:pStyle w:val="FootnoteText"/>
        <w:spacing w:line="480" w:lineRule="auto"/>
        <w:contextualSpacing/>
        <w:rPr>
          <w:color w:val="000000" w:themeColor="text1"/>
        </w:rPr>
      </w:pPr>
      <w:r w:rsidRPr="00CD21CF">
        <w:rPr>
          <w:rStyle w:val="FootnoteReference"/>
          <w:rFonts w:hint="cs"/>
          <w:color w:val="000000" w:themeColor="text1"/>
        </w:rPr>
        <w:footnoteRef/>
      </w:r>
      <w:r w:rsidRPr="00CD21CF">
        <w:rPr>
          <w:rFonts w:hint="cs"/>
          <w:color w:val="000000" w:themeColor="text1"/>
        </w:rPr>
        <w:t xml:space="preserve"> </w:t>
      </w:r>
      <w:r w:rsidRPr="00CD21CF">
        <w:rPr>
          <w:rFonts w:hint="cs"/>
          <w:color w:val="000000" w:themeColor="text1"/>
          <w:rtl/>
        </w:rPr>
        <w:t xml:space="preserve"> הניתוח לא יכלול את ארבעת מלכי יהודה האחרונים משום ש</w:t>
      </w:r>
      <w:r w:rsidR="00E03E15">
        <w:rPr>
          <w:rFonts w:hint="cs"/>
          <w:color w:val="000000" w:themeColor="text1"/>
          <w:rtl/>
        </w:rPr>
        <w:t xml:space="preserve">לטעמי </w:t>
      </w:r>
      <w:r w:rsidRPr="00CD21CF">
        <w:rPr>
          <w:rFonts w:hint="cs"/>
          <w:color w:val="000000" w:themeColor="text1"/>
          <w:rtl/>
        </w:rPr>
        <w:t xml:space="preserve">ביאשיהו מסתיימת למעשה שושלת המלוכה הישראלית. ראו: </w:t>
      </w:r>
      <w:proofErr w:type="spellStart"/>
      <w:r w:rsidRPr="00CD21CF">
        <w:rPr>
          <w:rFonts w:hint="cs"/>
          <w:color w:val="000000" w:themeColor="text1"/>
        </w:rPr>
        <w:t>I</w:t>
      </w:r>
      <w:r w:rsidRPr="00CD21CF">
        <w:rPr>
          <w:color w:val="000000" w:themeColor="text1"/>
        </w:rPr>
        <w:t>tzhak</w:t>
      </w:r>
      <w:proofErr w:type="spellEnd"/>
      <w:r w:rsidRPr="00CD21CF">
        <w:rPr>
          <w:rFonts w:hint="cs"/>
          <w:color w:val="000000" w:themeColor="text1"/>
        </w:rPr>
        <w:t xml:space="preserve"> Amar, “Saul and Josiah's Deaths in Chronicles (1 Chr. 10; 2 Chr. 35:20-27)</w:t>
      </w:r>
      <w:r w:rsidRPr="00CD21CF">
        <w:rPr>
          <w:color w:val="000000" w:themeColor="text1"/>
        </w:rPr>
        <w:t>,</w:t>
      </w:r>
      <w:r w:rsidRPr="00CD21CF">
        <w:rPr>
          <w:rFonts w:hint="cs"/>
          <w:color w:val="000000" w:themeColor="text1"/>
        </w:rPr>
        <w:t xml:space="preserve">” </w:t>
      </w:r>
      <w:r w:rsidRPr="00CD21CF">
        <w:rPr>
          <w:rFonts w:hint="cs"/>
          <w:i/>
          <w:iCs/>
          <w:color w:val="000000" w:themeColor="text1"/>
        </w:rPr>
        <w:t xml:space="preserve">Beit </w:t>
      </w:r>
      <w:proofErr w:type="spellStart"/>
      <w:r w:rsidRPr="00CD21CF">
        <w:rPr>
          <w:rFonts w:hint="cs"/>
          <w:i/>
          <w:iCs/>
          <w:color w:val="000000" w:themeColor="text1"/>
        </w:rPr>
        <w:t>Mikra</w:t>
      </w:r>
      <w:proofErr w:type="spellEnd"/>
      <w:r w:rsidRPr="00CD21CF">
        <w:rPr>
          <w:rFonts w:hint="cs"/>
          <w:color w:val="000000" w:themeColor="text1"/>
        </w:rPr>
        <w:t xml:space="preserve"> 62 (2017)</w:t>
      </w:r>
      <w:r w:rsidRPr="00CD21CF">
        <w:rPr>
          <w:color w:val="000000" w:themeColor="text1"/>
        </w:rPr>
        <w:t xml:space="preserve"> </w:t>
      </w:r>
      <w:r w:rsidRPr="00CD21CF">
        <w:rPr>
          <w:rFonts w:hint="cs"/>
          <w:color w:val="000000" w:themeColor="text1"/>
        </w:rPr>
        <w:t>80-108 (Hebrew)</w:t>
      </w:r>
    </w:p>
  </w:footnote>
  <w:footnote w:id="10">
    <w:p w14:paraId="717CA406" w14:textId="77777777" w:rsidR="00CD21CF" w:rsidRPr="00CD21CF" w:rsidRDefault="00CD21CF" w:rsidP="00BD27B4">
      <w:pPr>
        <w:pStyle w:val="FootnoteText"/>
        <w:spacing w:line="480" w:lineRule="auto"/>
      </w:pPr>
      <w:r w:rsidRPr="00CD21CF">
        <w:rPr>
          <w:rStyle w:val="FootnoteReference"/>
          <w:rFonts w:hint="cs"/>
        </w:rPr>
        <w:footnoteRef/>
      </w:r>
      <w:r w:rsidRPr="00CD21CF">
        <w:rPr>
          <w:rFonts w:hint="cs"/>
          <w:rtl/>
        </w:rPr>
        <w:t xml:space="preserve"> תיאור מלכותו של יהורם משופע בספר דברי הימים בפרטים שאין להם מקבילה במצע, עובדה שתורמת להעצמת הדמות השלילית שלו. ראו </w:t>
      </w:r>
      <w:r w:rsidRPr="00CD21CF">
        <w:rPr>
          <w:rFonts w:hint="cs"/>
        </w:rPr>
        <w:t>C</w:t>
      </w:r>
      <w:r w:rsidRPr="00CD21CF">
        <w:t xml:space="preserve">ristopher </w:t>
      </w:r>
      <w:r w:rsidRPr="00CD21CF">
        <w:rPr>
          <w:rFonts w:hint="cs"/>
        </w:rPr>
        <w:t xml:space="preserve">T. </w:t>
      </w:r>
      <w:proofErr w:type="spellStart"/>
      <w:r w:rsidRPr="00CD21CF">
        <w:rPr>
          <w:rFonts w:hint="cs"/>
        </w:rPr>
        <w:t>Begg</w:t>
      </w:r>
      <w:proofErr w:type="spellEnd"/>
      <w:r w:rsidRPr="00CD21CF">
        <w:rPr>
          <w:rFonts w:hint="cs"/>
        </w:rPr>
        <w:t xml:space="preserve">, “Constructing a Monster: The Chronicler’s </w:t>
      </w:r>
      <w:proofErr w:type="spellStart"/>
      <w:r w:rsidRPr="00CD21CF">
        <w:rPr>
          <w:rFonts w:hint="cs"/>
          <w:i/>
          <w:iCs/>
        </w:rPr>
        <w:t>Sondergut</w:t>
      </w:r>
      <w:proofErr w:type="spellEnd"/>
      <w:r w:rsidRPr="00CD21CF">
        <w:rPr>
          <w:rFonts w:hint="cs"/>
        </w:rPr>
        <w:t xml:space="preserve"> in 2 Chronicles 21</w:t>
      </w:r>
      <w:r w:rsidRPr="00CD21CF">
        <w:t>,</w:t>
      </w:r>
      <w:r w:rsidRPr="00CD21CF">
        <w:rPr>
          <w:rFonts w:hint="cs"/>
        </w:rPr>
        <w:t xml:space="preserve">” </w:t>
      </w:r>
      <w:r w:rsidRPr="00CD21CF">
        <w:rPr>
          <w:rFonts w:hint="cs"/>
          <w:i/>
          <w:iCs/>
        </w:rPr>
        <w:t>ABR</w:t>
      </w:r>
      <w:r w:rsidRPr="00CD21CF">
        <w:rPr>
          <w:rFonts w:hint="cs"/>
        </w:rPr>
        <w:t xml:space="preserve"> 37 (1989) 35-51; L</w:t>
      </w:r>
      <w:r w:rsidRPr="00CD21CF">
        <w:t>ouis</w:t>
      </w:r>
      <w:r w:rsidRPr="00CD21CF">
        <w:rPr>
          <w:rFonts w:hint="cs"/>
        </w:rPr>
        <w:t xml:space="preserve"> </w:t>
      </w:r>
      <w:proofErr w:type="spellStart"/>
      <w:r w:rsidRPr="00CD21CF">
        <w:rPr>
          <w:rFonts w:hint="cs"/>
        </w:rPr>
        <w:t>Jonker</w:t>
      </w:r>
      <w:proofErr w:type="spellEnd"/>
      <w:r w:rsidRPr="00CD21CF">
        <w:rPr>
          <w:rFonts w:hint="cs"/>
        </w:rPr>
        <w:t>, “Textual Identity in the Books of Chronicles</w:t>
      </w:r>
      <w:r w:rsidRPr="00CD21CF">
        <w:t>,</w:t>
      </w:r>
      <w:r w:rsidRPr="00CD21CF">
        <w:rPr>
          <w:rFonts w:hint="cs"/>
        </w:rPr>
        <w:t>”</w:t>
      </w:r>
      <w:r w:rsidRPr="00CD21CF">
        <w:t xml:space="preserve"> in </w:t>
      </w:r>
      <w:r w:rsidRPr="00CD21CF">
        <w:rPr>
          <w:rFonts w:hint="cs"/>
          <w:i/>
          <w:iCs/>
        </w:rPr>
        <w:t>Community Identity in Judean Historiography: Biblical and Comparative Perspectives</w:t>
      </w:r>
      <w:r w:rsidRPr="00CD21CF">
        <w:rPr>
          <w:rFonts w:hint="cs"/>
        </w:rPr>
        <w:t>,</w:t>
      </w:r>
      <w:r w:rsidRPr="00CD21CF">
        <w:t xml:space="preserve"> eds. </w:t>
      </w:r>
      <w:r w:rsidRPr="00CD21CF">
        <w:rPr>
          <w:rFonts w:hint="cs"/>
        </w:rPr>
        <w:t>G</w:t>
      </w:r>
      <w:r w:rsidRPr="00CD21CF">
        <w:t xml:space="preserve">ary </w:t>
      </w:r>
      <w:r w:rsidRPr="00CD21CF">
        <w:rPr>
          <w:rFonts w:hint="cs"/>
        </w:rPr>
        <w:t xml:space="preserve">N. </w:t>
      </w:r>
      <w:proofErr w:type="spellStart"/>
      <w:r w:rsidRPr="00CD21CF">
        <w:rPr>
          <w:rFonts w:hint="cs"/>
        </w:rPr>
        <w:t>Knoppers</w:t>
      </w:r>
      <w:proofErr w:type="spellEnd"/>
      <w:r w:rsidRPr="00CD21CF">
        <w:rPr>
          <w:rFonts w:hint="cs"/>
        </w:rPr>
        <w:t xml:space="preserve"> and </w:t>
      </w:r>
      <w:r w:rsidRPr="00CD21CF">
        <w:t>Kenneth A.</w:t>
      </w:r>
      <w:r w:rsidRPr="00CD21CF">
        <w:rPr>
          <w:rFonts w:hint="cs"/>
        </w:rPr>
        <w:t xml:space="preserve"> </w:t>
      </w:r>
      <w:proofErr w:type="spellStart"/>
      <w:r w:rsidRPr="00CD21CF">
        <w:rPr>
          <w:rFonts w:hint="cs"/>
        </w:rPr>
        <w:t>Ristau</w:t>
      </w:r>
      <w:proofErr w:type="spellEnd"/>
      <w:r w:rsidRPr="00CD21CF">
        <w:rPr>
          <w:rFonts w:hint="cs"/>
        </w:rPr>
        <w:t xml:space="preserve"> (Winona Lake</w:t>
      </w:r>
      <w:r w:rsidRPr="00CD21CF">
        <w:t>:</w:t>
      </w:r>
      <w:r w:rsidRPr="00CD21CF">
        <w:rPr>
          <w:rFonts w:ascii="Georgia" w:hAnsi="Georgia"/>
          <w:b/>
          <w:bCs/>
          <w:color w:val="000000"/>
          <w:shd w:val="clear" w:color="auto" w:fill="FFFFFF"/>
        </w:rPr>
        <w:t xml:space="preserve"> </w:t>
      </w:r>
      <w:proofErr w:type="spellStart"/>
      <w:r w:rsidRPr="00CD21CF">
        <w:t>Eisenbrauns</w:t>
      </w:r>
      <w:proofErr w:type="spellEnd"/>
      <w:r w:rsidRPr="00CD21CF">
        <w:t>,</w:t>
      </w:r>
      <w:r w:rsidRPr="00CD21CF">
        <w:rPr>
          <w:rFonts w:hint="cs"/>
        </w:rPr>
        <w:t xml:space="preserve"> 2009</w:t>
      </w:r>
      <w:r w:rsidRPr="00CD21CF">
        <w:t>)</w:t>
      </w:r>
      <w:r w:rsidRPr="00CD21CF">
        <w:rPr>
          <w:rFonts w:hint="cs"/>
        </w:rPr>
        <w:t xml:space="preserve"> 206-217</w:t>
      </w:r>
    </w:p>
  </w:footnote>
  <w:footnote w:id="11">
    <w:p w14:paraId="55AD7B6E" w14:textId="0628C9C8" w:rsidR="00CD21CF" w:rsidRPr="00CD21CF" w:rsidRDefault="00CD21CF" w:rsidP="009771C8">
      <w:pPr>
        <w:pStyle w:val="FootnoteText"/>
        <w:spacing w:line="480" w:lineRule="auto"/>
        <w:rPr>
          <w:color w:val="000000" w:themeColor="text1"/>
        </w:rPr>
      </w:pPr>
      <w:r w:rsidRPr="00CD21CF">
        <w:rPr>
          <w:rStyle w:val="FootnoteReference"/>
          <w:rFonts w:hint="cs"/>
          <w:color w:val="000000" w:themeColor="text1"/>
        </w:rPr>
        <w:footnoteRef/>
      </w:r>
      <w:r w:rsidRPr="00CD21CF">
        <w:rPr>
          <w:rFonts w:hint="cs"/>
          <w:color w:val="000000" w:themeColor="text1"/>
          <w:rtl/>
        </w:rPr>
        <w:t xml:space="preserve"> יצוין כי פסוק זה משמש בידי חוקרים שונים הוכחה ניצחת למידת החשיבות </w:t>
      </w:r>
      <w:proofErr w:type="spellStart"/>
      <w:r w:rsidRPr="00CD21CF">
        <w:rPr>
          <w:rFonts w:hint="cs"/>
          <w:color w:val="000000" w:themeColor="text1"/>
          <w:rtl/>
        </w:rPr>
        <w:t>שהכרוניסט</w:t>
      </w:r>
      <w:proofErr w:type="spellEnd"/>
      <w:r w:rsidRPr="00CD21CF">
        <w:rPr>
          <w:rFonts w:hint="cs"/>
          <w:color w:val="000000" w:themeColor="text1"/>
          <w:rtl/>
        </w:rPr>
        <w:t xml:space="preserve"> רואה בשושלת בית דוד ובנצחיות ההבטחה לדוד חרף מעשים רעים מצד מלכים שונים. ראו למשל רודולף, </w:t>
      </w:r>
      <w:proofErr w:type="spellStart"/>
      <w:r w:rsidRPr="00CD21CF">
        <w:rPr>
          <w:rFonts w:hint="cs"/>
          <w:i/>
          <w:iCs/>
        </w:rPr>
        <w:t>Chronikbücher</w:t>
      </w:r>
      <w:proofErr w:type="spellEnd"/>
      <w:r w:rsidR="00E03E15">
        <w:rPr>
          <w:rFonts w:hint="cs"/>
          <w:color w:val="000000" w:themeColor="text1"/>
          <w:rtl/>
        </w:rPr>
        <w:t>, עמ׳ 265-266.</w:t>
      </w:r>
      <w:r w:rsidRPr="00CD21CF">
        <w:rPr>
          <w:rFonts w:hint="cs"/>
          <w:color w:val="000000" w:themeColor="text1"/>
          <w:rtl/>
        </w:rPr>
        <w:t xml:space="preserve"> וראו </w:t>
      </w:r>
      <w:r w:rsidR="00E03E15">
        <w:rPr>
          <w:rFonts w:hint="cs"/>
          <w:color w:val="000000" w:themeColor="text1"/>
          <w:rtl/>
        </w:rPr>
        <w:t xml:space="preserve">עוד </w:t>
      </w:r>
      <w:r w:rsidRPr="00CD21CF">
        <w:rPr>
          <w:rFonts w:hint="cs"/>
          <w:color w:val="000000" w:themeColor="text1"/>
          <w:rtl/>
        </w:rPr>
        <w:t xml:space="preserve">בדברי הסיכום של </w:t>
      </w:r>
      <w:r w:rsidR="009771C8" w:rsidRPr="00CD21CF">
        <w:rPr>
          <w:rFonts w:hint="cs"/>
        </w:rPr>
        <w:t>Hwang</w:t>
      </w:r>
      <w:r w:rsidRPr="00CD21CF">
        <w:rPr>
          <w:rFonts w:hint="cs"/>
          <w:color w:val="000000" w:themeColor="text1"/>
          <w:rtl/>
        </w:rPr>
        <w:t xml:space="preserve">: </w:t>
      </w:r>
      <w:r w:rsidRPr="00CD21CF">
        <w:rPr>
          <w:rFonts w:hint="cs"/>
          <w:color w:val="000000" w:themeColor="text1"/>
        </w:rPr>
        <w:t xml:space="preserve">“2 </w:t>
      </w:r>
      <w:proofErr w:type="spellStart"/>
      <w:r w:rsidRPr="00CD21CF">
        <w:rPr>
          <w:rFonts w:hint="cs"/>
          <w:color w:val="000000" w:themeColor="text1"/>
        </w:rPr>
        <w:t>Chr</w:t>
      </w:r>
      <w:proofErr w:type="spellEnd"/>
      <w:r w:rsidRPr="00CD21CF">
        <w:rPr>
          <w:rFonts w:hint="cs"/>
          <w:color w:val="000000" w:themeColor="text1"/>
        </w:rPr>
        <w:t xml:space="preserve"> 21:7 witnesses the Chronicler’s firm belief in the renewal of the Davidic dynasty based on the Davidic covenant. In the midst of the full-scale negative assessment of </w:t>
      </w:r>
      <w:proofErr w:type="spellStart"/>
      <w:r w:rsidRPr="00CD21CF">
        <w:rPr>
          <w:rFonts w:hint="cs"/>
          <w:color w:val="000000" w:themeColor="text1"/>
        </w:rPr>
        <w:t>Jehoram</w:t>
      </w:r>
      <w:proofErr w:type="spellEnd"/>
      <w:r w:rsidRPr="00CD21CF">
        <w:rPr>
          <w:rFonts w:hint="cs"/>
          <w:color w:val="000000" w:themeColor="text1"/>
        </w:rPr>
        <w:t>, the Chronicler explicitly mentions that God is not willing to destroy the Davidic kingdom because he made a covenant with David”</w:t>
      </w:r>
      <w:r w:rsidRPr="00CD21CF">
        <w:rPr>
          <w:rFonts w:hint="cs"/>
          <w:color w:val="000000" w:themeColor="text1"/>
          <w:rtl/>
        </w:rPr>
        <w:t>. להלן אבקש להציע פרשנות נוספת של הפסוק.</w:t>
      </w:r>
    </w:p>
  </w:footnote>
  <w:footnote w:id="12">
    <w:p w14:paraId="6C8ABE26" w14:textId="77777777" w:rsidR="00CD21CF" w:rsidRPr="00CD21CF" w:rsidRDefault="00CD21CF" w:rsidP="00BE1795">
      <w:pPr>
        <w:pStyle w:val="FootnoteText"/>
        <w:spacing w:line="480" w:lineRule="auto"/>
      </w:pPr>
      <w:r w:rsidRPr="00CD21CF">
        <w:rPr>
          <w:rStyle w:val="FootnoteReference"/>
          <w:rFonts w:hint="cs"/>
        </w:rPr>
        <w:footnoteRef/>
      </w:r>
      <w:r w:rsidRPr="00CD21CF">
        <w:rPr>
          <w:rFonts w:hint="cs"/>
          <w:rtl/>
        </w:rPr>
        <w:t xml:space="preserve"> </w:t>
      </w:r>
      <w:r w:rsidRPr="00CD21CF">
        <w:rPr>
          <w:rFonts w:hint="cs"/>
          <w:rtl/>
        </w:rPr>
        <w:t xml:space="preserve">במחקר מבחינים בין שני סוגים של ברית: </w:t>
      </w:r>
      <w:r w:rsidRPr="00CD21CF">
        <w:rPr>
          <w:rFonts w:hint="cs"/>
        </w:rPr>
        <w:t>“grant”</w:t>
      </w:r>
      <w:r w:rsidRPr="00CD21CF">
        <w:rPr>
          <w:rFonts w:hint="cs"/>
          <w:rtl/>
        </w:rPr>
        <w:t xml:space="preserve">  ו-</w:t>
      </w:r>
      <w:r w:rsidRPr="00CD21CF">
        <w:rPr>
          <w:rFonts w:hint="cs"/>
        </w:rPr>
        <w:t>“suzerain-vassal” treaty</w:t>
      </w:r>
      <w:r w:rsidRPr="00CD21CF">
        <w:rPr>
          <w:rFonts w:hint="cs"/>
          <w:rtl/>
        </w:rPr>
        <w:t xml:space="preserve">. </w:t>
      </w:r>
      <w:r w:rsidR="00E03E15">
        <w:rPr>
          <w:rFonts w:hint="cs"/>
          <w:rtl/>
        </w:rPr>
        <w:t>על ההבדלים ביניהם ראו</w:t>
      </w:r>
      <w:r w:rsidRPr="00CD21CF">
        <w:rPr>
          <w:rFonts w:hint="cs"/>
          <w:rtl/>
        </w:rPr>
        <w:t>:</w:t>
      </w:r>
      <w:r w:rsidRPr="00CD21CF">
        <w:rPr>
          <w:rFonts w:hint="cs"/>
        </w:rPr>
        <w:t xml:space="preserve"> </w:t>
      </w:r>
      <w:r w:rsidRPr="00CD21CF">
        <w:rPr>
          <w:rFonts w:hint="cs"/>
          <w:rtl/>
        </w:rPr>
        <w:t xml:space="preserve"> </w:t>
      </w:r>
      <w:r w:rsidRPr="00CD21CF">
        <w:t>Michael </w:t>
      </w:r>
      <w:r w:rsidRPr="00CD21CF">
        <w:rPr>
          <w:rFonts w:hint="cs"/>
        </w:rPr>
        <w:t xml:space="preserve">A. </w:t>
      </w:r>
      <w:proofErr w:type="spellStart"/>
      <w:r w:rsidRPr="00CD21CF">
        <w:rPr>
          <w:rFonts w:hint="cs"/>
        </w:rPr>
        <w:t>Grisanti</w:t>
      </w:r>
      <w:proofErr w:type="spellEnd"/>
      <w:r w:rsidRPr="00CD21CF">
        <w:rPr>
          <w:rFonts w:hint="cs"/>
        </w:rPr>
        <w:t>, “The Davidic covenant</w:t>
      </w:r>
      <w:r w:rsidRPr="00CD21CF">
        <w:t>,</w:t>
      </w:r>
      <w:r w:rsidRPr="00CD21CF">
        <w:rPr>
          <w:rFonts w:hint="cs"/>
        </w:rPr>
        <w:t xml:space="preserve">” </w:t>
      </w:r>
      <w:r w:rsidRPr="00CD21CF">
        <w:rPr>
          <w:rFonts w:hint="cs"/>
          <w:i/>
          <w:iCs/>
        </w:rPr>
        <w:t>TMSJ</w:t>
      </w:r>
      <w:r w:rsidRPr="00CD21CF">
        <w:rPr>
          <w:rFonts w:hint="cs"/>
        </w:rPr>
        <w:t xml:space="preserve"> 10 (1999)</w:t>
      </w:r>
      <w:r w:rsidRPr="00CD21CF">
        <w:t xml:space="preserve"> 233-250:</w:t>
      </w:r>
      <w:r w:rsidRPr="00CD21CF">
        <w:rPr>
          <w:rFonts w:hint="cs"/>
        </w:rPr>
        <w:t xml:space="preserve"> </w:t>
      </w:r>
      <w:proofErr w:type="gramStart"/>
      <w:r w:rsidRPr="00CD21CF">
        <w:rPr>
          <w:rFonts w:hint="cs"/>
        </w:rPr>
        <w:t xml:space="preserve">235 </w:t>
      </w:r>
      <w:r w:rsidRPr="00CD21CF">
        <w:rPr>
          <w:rFonts w:hint="cs"/>
          <w:rtl/>
        </w:rPr>
        <w:t>.</w:t>
      </w:r>
      <w:proofErr w:type="gramEnd"/>
      <w:r w:rsidRPr="00CD21CF">
        <w:rPr>
          <w:rFonts w:hint="cs"/>
          <w:rtl/>
        </w:rPr>
        <w:t xml:space="preserve"> והשוו לדיון אצל </w:t>
      </w:r>
      <w:r w:rsidRPr="00CD21CF">
        <w:t>Michael </w:t>
      </w:r>
      <w:proofErr w:type="spellStart"/>
      <w:r w:rsidRPr="00CD21CF">
        <w:rPr>
          <w:rFonts w:hint="cs"/>
        </w:rPr>
        <w:t>Avioz</w:t>
      </w:r>
      <w:proofErr w:type="spellEnd"/>
      <w:r w:rsidRPr="00CD21CF">
        <w:rPr>
          <w:rFonts w:hint="cs"/>
        </w:rPr>
        <w:t>, “The Davidic Covenant in 2 Samuel 7: Conditional or Unconditional?</w:t>
      </w:r>
      <w:r w:rsidRPr="00CD21CF">
        <w:t>,</w:t>
      </w:r>
      <w:r w:rsidRPr="00CD21CF">
        <w:rPr>
          <w:rFonts w:hint="cs"/>
        </w:rPr>
        <w:t>” in</w:t>
      </w:r>
      <w:r w:rsidRPr="00CD21CF">
        <w:rPr>
          <w:rFonts w:hint="cs"/>
          <w:i/>
          <w:iCs/>
        </w:rPr>
        <w:t xml:space="preserve"> The Ancient Near East in the 12th–10th Centuries BCE: Culture and History</w:t>
      </w:r>
      <w:r w:rsidRPr="00CD21CF">
        <w:rPr>
          <w:rFonts w:hint="cs"/>
        </w:rPr>
        <w:t>,</w:t>
      </w:r>
      <w:r w:rsidRPr="00CD21CF">
        <w:t xml:space="preserve"> eds. </w:t>
      </w:r>
      <w:proofErr w:type="spellStart"/>
      <w:r w:rsidRPr="00CD21CF">
        <w:rPr>
          <w:rFonts w:hint="cs"/>
        </w:rPr>
        <w:t>G</w:t>
      </w:r>
      <w:r w:rsidRPr="00CD21CF">
        <w:t>ershon</w:t>
      </w:r>
      <w:proofErr w:type="spellEnd"/>
      <w:r w:rsidRPr="00CD21CF">
        <w:rPr>
          <w:rFonts w:hint="cs"/>
        </w:rPr>
        <w:t xml:space="preserve"> </w:t>
      </w:r>
      <w:proofErr w:type="spellStart"/>
      <w:r w:rsidRPr="00CD21CF">
        <w:rPr>
          <w:rFonts w:hint="cs"/>
        </w:rPr>
        <w:t>Galil</w:t>
      </w:r>
      <w:proofErr w:type="spellEnd"/>
      <w:r w:rsidRPr="00CD21CF">
        <w:rPr>
          <w:rFonts w:hint="cs"/>
        </w:rPr>
        <w:t xml:space="preserve"> et al</w:t>
      </w:r>
      <w:r w:rsidRPr="00CD21CF">
        <w:t>.</w:t>
      </w:r>
      <w:r w:rsidRPr="00CD21CF">
        <w:rPr>
          <w:rFonts w:hint="cs"/>
        </w:rPr>
        <w:t xml:space="preserve"> </w:t>
      </w:r>
      <w:r w:rsidRPr="00CD21CF">
        <w:t>(</w:t>
      </w:r>
      <w:proofErr w:type="spellStart"/>
      <w:r w:rsidRPr="00CD21CF">
        <w:rPr>
          <w:rFonts w:hint="cs"/>
        </w:rPr>
        <w:t>Münster</w:t>
      </w:r>
      <w:proofErr w:type="spellEnd"/>
      <w:r w:rsidRPr="00CD21CF">
        <w:t>: Ugarit-</w:t>
      </w:r>
      <w:proofErr w:type="spellStart"/>
      <w:r w:rsidRPr="00CD21CF">
        <w:t>Verlag</w:t>
      </w:r>
      <w:proofErr w:type="spellEnd"/>
      <w:r w:rsidRPr="00CD21CF">
        <w:t>,</w:t>
      </w:r>
      <w:r w:rsidRPr="00CD21CF">
        <w:rPr>
          <w:rFonts w:hint="cs"/>
        </w:rPr>
        <w:t xml:space="preserve"> 2012</w:t>
      </w:r>
      <w:r w:rsidRPr="00CD21CF">
        <w:t>)</w:t>
      </w:r>
      <w:r w:rsidRPr="00CD21CF">
        <w:rPr>
          <w:rFonts w:hint="cs"/>
        </w:rPr>
        <w:t xml:space="preserve"> 43-51</w:t>
      </w:r>
    </w:p>
  </w:footnote>
  <w:footnote w:id="13">
    <w:p w14:paraId="21AD99AA" w14:textId="77777777" w:rsidR="00CD21CF" w:rsidRPr="00CD21CF" w:rsidRDefault="00CD21CF" w:rsidP="00D81719">
      <w:pPr>
        <w:pStyle w:val="FootnoteText"/>
        <w:spacing w:line="480" w:lineRule="auto"/>
        <w:contextualSpacing/>
        <w:rPr>
          <w:color w:val="000000" w:themeColor="text1"/>
          <w:rtl/>
        </w:rPr>
      </w:pPr>
      <w:r w:rsidRPr="00CD21CF">
        <w:rPr>
          <w:rStyle w:val="FootnoteReference"/>
          <w:rFonts w:hint="cs"/>
          <w:color w:val="000000" w:themeColor="text1"/>
        </w:rPr>
        <w:footnoteRef/>
      </w:r>
      <w:r w:rsidRPr="00CD21CF">
        <w:rPr>
          <w:rFonts w:hint="cs"/>
          <w:color w:val="000000" w:themeColor="text1"/>
        </w:rPr>
        <w:t xml:space="preserve"> </w:t>
      </w:r>
      <w:r w:rsidRPr="00CD21CF">
        <w:rPr>
          <w:rFonts w:hint="cs"/>
          <w:color w:val="000000" w:themeColor="text1"/>
          <w:rtl/>
        </w:rPr>
        <w:t xml:space="preserve"> השוו: </w:t>
      </w:r>
      <w:r w:rsidRPr="00CD21CF">
        <w:rPr>
          <w:rFonts w:hint="cs"/>
          <w:color w:val="000000" w:themeColor="text1"/>
        </w:rPr>
        <w:t>E</w:t>
      </w:r>
      <w:r w:rsidRPr="00CD21CF">
        <w:rPr>
          <w:color w:val="000000" w:themeColor="text1"/>
        </w:rPr>
        <w:t>hud</w:t>
      </w:r>
      <w:r w:rsidRPr="00CD21CF">
        <w:rPr>
          <w:rFonts w:hint="cs"/>
          <w:color w:val="000000" w:themeColor="text1"/>
        </w:rPr>
        <w:t xml:space="preserve"> Ben-</w:t>
      </w:r>
      <w:proofErr w:type="spellStart"/>
      <w:r w:rsidRPr="00CD21CF">
        <w:rPr>
          <w:rFonts w:hint="cs"/>
          <w:color w:val="000000" w:themeColor="text1"/>
        </w:rPr>
        <w:t>Zvi</w:t>
      </w:r>
      <w:proofErr w:type="spellEnd"/>
      <w:r w:rsidRPr="00CD21CF">
        <w:rPr>
          <w:rFonts w:hint="cs"/>
          <w:color w:val="000000" w:themeColor="text1"/>
        </w:rPr>
        <w:t xml:space="preserve">, </w:t>
      </w:r>
      <w:r w:rsidRPr="00CD21CF">
        <w:rPr>
          <w:rFonts w:hint="cs"/>
          <w:i/>
          <w:iCs/>
          <w:color w:val="000000" w:themeColor="text1"/>
        </w:rPr>
        <w:t>History, Literature and Theology in the Book of Chronicles</w:t>
      </w:r>
      <w:r w:rsidRPr="00CD21CF">
        <w:rPr>
          <w:rFonts w:hint="cs"/>
          <w:color w:val="000000" w:themeColor="text1"/>
        </w:rPr>
        <w:t xml:space="preserve"> </w:t>
      </w:r>
      <w:r w:rsidRPr="00CD21CF">
        <w:rPr>
          <w:color w:val="000000" w:themeColor="text1"/>
        </w:rPr>
        <w:t>(</w:t>
      </w:r>
      <w:r w:rsidRPr="00CD21CF">
        <w:rPr>
          <w:rFonts w:hint="cs"/>
          <w:color w:val="000000" w:themeColor="text1"/>
        </w:rPr>
        <w:t>London</w:t>
      </w:r>
      <w:r w:rsidRPr="00CD21CF">
        <w:rPr>
          <w:color w:val="000000" w:themeColor="text1"/>
        </w:rPr>
        <w:t>:</w:t>
      </w:r>
      <w:r w:rsidRPr="00CD21CF">
        <w:rPr>
          <w:rFonts w:ascii="Arial" w:hAnsi="Arial" w:cs="Arial"/>
          <w:color w:val="333333"/>
          <w:shd w:val="clear" w:color="auto" w:fill="FFFFFF"/>
        </w:rPr>
        <w:t xml:space="preserve"> </w:t>
      </w:r>
      <w:r w:rsidRPr="00CD21CF">
        <w:rPr>
          <w:color w:val="000000" w:themeColor="text1"/>
        </w:rPr>
        <w:t>Routledge,</w:t>
      </w:r>
      <w:r w:rsidRPr="00CD21CF">
        <w:rPr>
          <w:rFonts w:hint="cs"/>
          <w:color w:val="000000" w:themeColor="text1"/>
        </w:rPr>
        <w:t xml:space="preserve"> 2006</w:t>
      </w:r>
      <w:r w:rsidRPr="00CD21CF">
        <w:rPr>
          <w:color w:val="000000" w:themeColor="text1"/>
        </w:rPr>
        <w:t>)</w:t>
      </w:r>
      <w:r w:rsidRPr="00CD21CF">
        <w:rPr>
          <w:rFonts w:hint="cs"/>
          <w:color w:val="000000" w:themeColor="text1"/>
        </w:rPr>
        <w:t xml:space="preserve"> 165</w:t>
      </w:r>
    </w:p>
  </w:footnote>
  <w:footnote w:id="14">
    <w:p w14:paraId="1BECCAEE" w14:textId="77777777" w:rsidR="00CD21CF" w:rsidRPr="00CD21CF" w:rsidRDefault="00CD21CF" w:rsidP="008F2674">
      <w:pPr>
        <w:pStyle w:val="FootnoteText"/>
        <w:spacing w:line="480" w:lineRule="auto"/>
        <w:rPr>
          <w:rtl/>
        </w:rPr>
      </w:pPr>
      <w:r w:rsidRPr="00CD21CF">
        <w:rPr>
          <w:rStyle w:val="FootnoteReference"/>
          <w:rFonts w:hint="cs"/>
        </w:rPr>
        <w:footnoteRef/>
      </w:r>
      <w:r w:rsidRPr="00CD21CF">
        <w:rPr>
          <w:rFonts w:hint="cs"/>
          <w:rtl/>
        </w:rPr>
        <w:t xml:space="preserve"> המכתב מאליהו מעלה שאלות רבות הנוגעות לזמן (האם אליהו חי בתקופת יהורם?) למקום (מה לאליהו הנביא הצפוני וליהורם המלך הדרומי?) ולצורה (מדוע לא נפגש אליהו עם יהורם פנים אל פנים?), ראו  </w:t>
      </w:r>
      <w:proofErr w:type="spellStart"/>
      <w:r w:rsidRPr="00CD21CF">
        <w:rPr>
          <w:rFonts w:hint="cs"/>
        </w:rPr>
        <w:t>Y</w:t>
      </w:r>
      <w:r w:rsidRPr="00CD21CF">
        <w:t>igal</w:t>
      </w:r>
      <w:proofErr w:type="spellEnd"/>
      <w:r w:rsidRPr="00CD21CF">
        <w:rPr>
          <w:rFonts w:hint="cs"/>
        </w:rPr>
        <w:t xml:space="preserve"> Levin, </w:t>
      </w:r>
      <w:r w:rsidRPr="00CD21CF">
        <w:rPr>
          <w:rFonts w:hint="cs"/>
          <w:i/>
          <w:iCs/>
        </w:rPr>
        <w:t>The Chronicles of the Kings of Judah: 2 Chronicles 10-36</w:t>
      </w:r>
      <w:r w:rsidRPr="00CD21CF">
        <w:rPr>
          <w:rFonts w:hint="cs"/>
        </w:rPr>
        <w:t xml:space="preserve"> </w:t>
      </w:r>
      <w:r w:rsidRPr="00CD21CF">
        <w:t>(</w:t>
      </w:r>
      <w:r w:rsidRPr="00CD21CF">
        <w:rPr>
          <w:rFonts w:hint="cs"/>
        </w:rPr>
        <w:t>London</w:t>
      </w:r>
      <w:r w:rsidRPr="00CD21CF">
        <w:t>: Bloomsbury,</w:t>
      </w:r>
      <w:r w:rsidRPr="00CD21CF">
        <w:rPr>
          <w:rFonts w:hint="cs"/>
        </w:rPr>
        <w:t xml:space="preserve"> 2017</w:t>
      </w:r>
      <w:r w:rsidRPr="00CD21CF">
        <w:t>)</w:t>
      </w:r>
      <w:r w:rsidR="00443FC9">
        <w:t>,</w:t>
      </w:r>
      <w:r w:rsidRPr="00CD21CF">
        <w:rPr>
          <w:rFonts w:hint="cs"/>
        </w:rPr>
        <w:t xml:space="preserve"> 173</w:t>
      </w:r>
    </w:p>
  </w:footnote>
  <w:footnote w:id="15">
    <w:p w14:paraId="6631BA77" w14:textId="77777777" w:rsidR="00CD21CF" w:rsidRPr="00CD21CF" w:rsidRDefault="00CD21CF" w:rsidP="008F2674">
      <w:pPr>
        <w:pStyle w:val="FootnoteText"/>
        <w:spacing w:line="480" w:lineRule="auto"/>
        <w:rPr>
          <w:color w:val="000000" w:themeColor="text1"/>
        </w:rPr>
      </w:pPr>
      <w:r w:rsidRPr="00CD21CF">
        <w:rPr>
          <w:rStyle w:val="FootnoteReference"/>
          <w:rFonts w:hint="cs"/>
          <w:color w:val="000000" w:themeColor="text1"/>
        </w:rPr>
        <w:footnoteRef/>
      </w:r>
      <w:r w:rsidRPr="00CD21CF">
        <w:rPr>
          <w:rFonts w:hint="cs"/>
          <w:color w:val="000000" w:themeColor="text1"/>
          <w:rtl/>
        </w:rPr>
        <w:t xml:space="preserve"> ראו: </w:t>
      </w:r>
      <w:proofErr w:type="spellStart"/>
      <w:r w:rsidRPr="00CD21CF">
        <w:rPr>
          <w:rFonts w:hint="cs"/>
          <w:color w:val="000000" w:themeColor="text1"/>
        </w:rPr>
        <w:t>Y</w:t>
      </w:r>
      <w:r w:rsidRPr="00CD21CF">
        <w:rPr>
          <w:color w:val="000000" w:themeColor="text1"/>
        </w:rPr>
        <w:t>isca</w:t>
      </w:r>
      <w:proofErr w:type="spellEnd"/>
      <w:r w:rsidRPr="00CD21CF">
        <w:rPr>
          <w:rFonts w:hint="cs"/>
          <w:color w:val="000000" w:themeColor="text1"/>
        </w:rPr>
        <w:t xml:space="preserve"> </w:t>
      </w:r>
      <w:proofErr w:type="spellStart"/>
      <w:r w:rsidRPr="00CD21CF">
        <w:rPr>
          <w:rFonts w:hint="cs"/>
          <w:color w:val="000000" w:themeColor="text1"/>
        </w:rPr>
        <w:t>Zimran</w:t>
      </w:r>
      <w:proofErr w:type="spellEnd"/>
      <w:r w:rsidRPr="00CD21CF">
        <w:rPr>
          <w:rFonts w:hint="cs"/>
          <w:color w:val="000000" w:themeColor="text1"/>
        </w:rPr>
        <w:t>, “’The Covenant Made with David’: The King and the Kingdom in 2 Chronicles 21</w:t>
      </w:r>
      <w:r w:rsidRPr="00CD21CF">
        <w:rPr>
          <w:color w:val="000000" w:themeColor="text1"/>
        </w:rPr>
        <w:t>,</w:t>
      </w:r>
      <w:r w:rsidRPr="00CD21CF">
        <w:rPr>
          <w:rFonts w:hint="cs"/>
          <w:color w:val="000000" w:themeColor="text1"/>
        </w:rPr>
        <w:t xml:space="preserve">” </w:t>
      </w:r>
      <w:r w:rsidRPr="00CD21CF">
        <w:rPr>
          <w:rFonts w:hint="cs"/>
          <w:i/>
          <w:iCs/>
          <w:color w:val="000000" w:themeColor="text1"/>
        </w:rPr>
        <w:t>VT</w:t>
      </w:r>
      <w:r w:rsidRPr="00CD21CF">
        <w:rPr>
          <w:rFonts w:hint="cs"/>
          <w:color w:val="000000" w:themeColor="text1"/>
        </w:rPr>
        <w:t xml:space="preserve"> 64 (2014)</w:t>
      </w:r>
      <w:r w:rsidRPr="00CD21CF">
        <w:rPr>
          <w:color w:val="000000" w:themeColor="text1"/>
        </w:rPr>
        <w:t xml:space="preserve"> 305-325:</w:t>
      </w:r>
      <w:r w:rsidRPr="00CD21CF">
        <w:rPr>
          <w:rFonts w:hint="cs"/>
          <w:color w:val="000000" w:themeColor="text1"/>
        </w:rPr>
        <w:t xml:space="preserve"> 319</w:t>
      </w:r>
      <w:r w:rsidRPr="00CD21CF">
        <w:rPr>
          <w:rFonts w:hint="cs"/>
          <w:color w:val="000000" w:themeColor="text1"/>
          <w:rtl/>
        </w:rPr>
        <w:t>.</w:t>
      </w:r>
    </w:p>
  </w:footnote>
  <w:footnote w:id="16">
    <w:p w14:paraId="1CCB554D" w14:textId="77777777" w:rsidR="00CD21CF" w:rsidRPr="00CD21CF" w:rsidRDefault="00CD21CF" w:rsidP="008F2674">
      <w:pPr>
        <w:pStyle w:val="FootnoteText"/>
        <w:spacing w:line="480" w:lineRule="auto"/>
      </w:pPr>
      <w:r w:rsidRPr="00CD21CF">
        <w:rPr>
          <w:rStyle w:val="FootnoteReference"/>
          <w:rFonts w:hint="cs"/>
        </w:rPr>
        <w:footnoteRef/>
      </w:r>
      <w:r w:rsidRPr="00CD21CF">
        <w:rPr>
          <w:rFonts w:hint="cs"/>
          <w:rtl/>
        </w:rPr>
        <w:t xml:space="preserve"> בתיאור הראשוני של פלישת הערבים והפלישתים יש לכאורה ביטוי רק ללקיחתם בשבי של בניו (</w:t>
      </w:r>
      <w:proofErr w:type="spellStart"/>
      <w:r w:rsidRPr="00CD21CF">
        <w:rPr>
          <w:rFonts w:hint="cs"/>
          <w:rtl/>
        </w:rPr>
        <w:t>כא</w:t>
      </w:r>
      <w:proofErr w:type="spellEnd"/>
      <w:r w:rsidRPr="00CD21CF">
        <w:rPr>
          <w:rFonts w:hint="cs"/>
          <w:rtl/>
        </w:rPr>
        <w:t xml:space="preserve"> 17) רק לאחר מכן אנו נחשפים לעובדה כי כולם נהרגו (</w:t>
      </w:r>
      <w:proofErr w:type="spellStart"/>
      <w:r w:rsidRPr="00CD21CF">
        <w:rPr>
          <w:rFonts w:hint="cs"/>
          <w:rtl/>
        </w:rPr>
        <w:t>כב</w:t>
      </w:r>
      <w:proofErr w:type="spellEnd"/>
      <w:r w:rsidRPr="00CD21CF">
        <w:rPr>
          <w:rFonts w:hint="cs"/>
          <w:rtl/>
        </w:rPr>
        <w:t xml:space="preserve"> 1). </w:t>
      </w:r>
    </w:p>
  </w:footnote>
  <w:footnote w:id="17">
    <w:p w14:paraId="3F943E4B" w14:textId="77777777" w:rsidR="00CD21CF" w:rsidRPr="00CD21CF" w:rsidRDefault="00CD21CF" w:rsidP="008F2674">
      <w:pPr>
        <w:pStyle w:val="FootnoteText"/>
        <w:spacing w:line="480" w:lineRule="auto"/>
      </w:pPr>
      <w:r w:rsidRPr="00CD21CF">
        <w:rPr>
          <w:rStyle w:val="FootnoteReference"/>
          <w:rFonts w:hint="cs"/>
        </w:rPr>
        <w:footnoteRef/>
      </w:r>
      <w:r w:rsidRPr="00CD21CF">
        <w:rPr>
          <w:rFonts w:hint="cs"/>
          <w:rtl/>
        </w:rPr>
        <w:t xml:space="preserve"> </w:t>
      </w:r>
      <w:proofErr w:type="spellStart"/>
      <w:r w:rsidRPr="00CD21CF">
        <w:rPr>
          <w:rFonts w:hint="cs"/>
          <w:rtl/>
        </w:rPr>
        <w:t>זימרן</w:t>
      </w:r>
      <w:proofErr w:type="spellEnd"/>
      <w:r w:rsidRPr="00CD21CF">
        <w:rPr>
          <w:rFonts w:hint="cs"/>
          <w:rtl/>
        </w:rPr>
        <w:t xml:space="preserve"> הראתה כי מחלת המעיים של יהורם מתקשרת היטב לחזון נתן בנוסח הדויטרונומיסטי שלו: ״אשר יצא ממעיך״ (שמ״ב ז). הנוסח של </w:t>
      </w:r>
      <w:proofErr w:type="spellStart"/>
      <w:r w:rsidRPr="00CD21CF">
        <w:rPr>
          <w:rFonts w:hint="cs"/>
          <w:rtl/>
        </w:rPr>
        <w:t>הכרוניסט</w:t>
      </w:r>
      <w:proofErr w:type="spellEnd"/>
      <w:r w:rsidRPr="00CD21CF">
        <w:rPr>
          <w:rFonts w:hint="cs"/>
          <w:rtl/>
        </w:rPr>
        <w:t xml:space="preserve"> במקרה זה </w:t>
      </w:r>
      <w:r w:rsidR="00B02A42">
        <w:rPr>
          <w:rFonts w:hint="cs"/>
          <w:rtl/>
        </w:rPr>
        <w:t>הוא</w:t>
      </w:r>
      <w:r w:rsidRPr="00CD21CF">
        <w:rPr>
          <w:rFonts w:hint="cs"/>
          <w:rtl/>
        </w:rPr>
        <w:t xml:space="preserve"> </w:t>
      </w:r>
      <w:proofErr w:type="spellStart"/>
      <w:r w:rsidRPr="00CD21CF">
        <w:rPr>
          <w:rFonts w:hint="cs"/>
          <w:rtl/>
        </w:rPr>
        <w:t>ל״אשר</w:t>
      </w:r>
      <w:proofErr w:type="spellEnd"/>
      <w:r w:rsidRPr="00CD21CF">
        <w:rPr>
          <w:rFonts w:hint="cs"/>
          <w:rtl/>
        </w:rPr>
        <w:t xml:space="preserve"> יהיה מבניך״. </w:t>
      </w:r>
      <w:proofErr w:type="spellStart"/>
      <w:r w:rsidRPr="00CD21CF">
        <w:rPr>
          <w:rFonts w:hint="cs"/>
          <w:rtl/>
        </w:rPr>
        <w:t>אביעוז</w:t>
      </w:r>
      <w:proofErr w:type="spellEnd"/>
      <w:r w:rsidRPr="00CD21CF">
        <w:rPr>
          <w:rFonts w:hint="cs"/>
          <w:rtl/>
        </w:rPr>
        <w:t xml:space="preserve"> מצדו רואה בחילוף עי</w:t>
      </w:r>
      <w:r w:rsidR="00A135DE">
        <w:rPr>
          <w:rFonts w:hint="cs"/>
          <w:rtl/>
        </w:rPr>
        <w:t xml:space="preserve">דון של הנוסח משום כבודו של דוד, </w:t>
      </w:r>
      <w:r w:rsidRPr="00CD21CF">
        <w:rPr>
          <w:rFonts w:hint="cs"/>
          <w:rtl/>
        </w:rPr>
        <w:t xml:space="preserve">ראו:  </w:t>
      </w:r>
      <w:r w:rsidR="00443FC9">
        <w:rPr>
          <w:rFonts w:hint="cs"/>
        </w:rPr>
        <w:t xml:space="preserve"> .M</w:t>
      </w:r>
      <w:r w:rsidR="00443FC9">
        <w:t>ichael</w:t>
      </w:r>
      <w:r w:rsidRPr="00CD21CF">
        <w:rPr>
          <w:rFonts w:hint="cs"/>
        </w:rPr>
        <w:t xml:space="preserve"> </w:t>
      </w:r>
      <w:proofErr w:type="spellStart"/>
      <w:r w:rsidRPr="00CD21CF">
        <w:rPr>
          <w:rFonts w:hint="cs"/>
        </w:rPr>
        <w:t>Avioz</w:t>
      </w:r>
      <w:proofErr w:type="spellEnd"/>
      <w:r w:rsidRPr="00CD21CF">
        <w:rPr>
          <w:rFonts w:hint="cs"/>
        </w:rPr>
        <w:t xml:space="preserve">, </w:t>
      </w:r>
      <w:r w:rsidRPr="00C0715B">
        <w:rPr>
          <w:rFonts w:hint="cs"/>
          <w:i/>
          <w:iCs/>
        </w:rPr>
        <w:t xml:space="preserve">Nathan's Oracle (2 Samuel 7) and Its Interpreters </w:t>
      </w:r>
      <w:r w:rsidRPr="00CD21CF">
        <w:t>(</w:t>
      </w:r>
      <w:r w:rsidRPr="00CD21CF">
        <w:rPr>
          <w:rFonts w:hint="cs"/>
        </w:rPr>
        <w:t>Bern</w:t>
      </w:r>
      <w:r w:rsidRPr="00CD21CF">
        <w:t>:</w:t>
      </w:r>
      <w:r w:rsidR="00443FC9">
        <w:t xml:space="preserve"> </w:t>
      </w:r>
      <w:r w:rsidRPr="00CD21CF">
        <w:t>Peter Lang,</w:t>
      </w:r>
      <w:r w:rsidRPr="00CD21CF">
        <w:rPr>
          <w:rFonts w:hint="cs"/>
        </w:rPr>
        <w:t xml:space="preserve"> 2005</w:t>
      </w:r>
      <w:r w:rsidRPr="00CD21CF">
        <w:t>),</w:t>
      </w:r>
      <w:r w:rsidRPr="00CD21CF">
        <w:rPr>
          <w:rFonts w:hint="cs"/>
        </w:rPr>
        <w:t xml:space="preserve"> 129</w:t>
      </w:r>
      <w:r w:rsidRPr="00CD21CF">
        <w:rPr>
          <w:rFonts w:hint="cs"/>
          <w:rtl/>
        </w:rPr>
        <w:t xml:space="preserve"> </w:t>
      </w:r>
    </w:p>
  </w:footnote>
  <w:footnote w:id="18">
    <w:p w14:paraId="35269C7D" w14:textId="61B188AB" w:rsidR="00CD21CF" w:rsidRPr="00CD21CF" w:rsidRDefault="00CD21CF" w:rsidP="005F435C">
      <w:pPr>
        <w:pStyle w:val="FootnoteText"/>
        <w:spacing w:line="480" w:lineRule="auto"/>
        <w:contextualSpacing/>
        <w:rPr>
          <w:color w:val="000000" w:themeColor="text1"/>
          <w:rtl/>
        </w:rPr>
      </w:pPr>
      <w:r w:rsidRPr="00CD21CF">
        <w:rPr>
          <w:rStyle w:val="FootnoteReference"/>
          <w:rFonts w:hint="cs"/>
          <w:color w:val="000000" w:themeColor="text1"/>
        </w:rPr>
        <w:footnoteRef/>
      </w:r>
      <w:r w:rsidRPr="00CD21CF">
        <w:rPr>
          <w:rFonts w:hint="cs"/>
          <w:color w:val="000000" w:themeColor="text1"/>
        </w:rPr>
        <w:t xml:space="preserve"> </w:t>
      </w:r>
      <w:r w:rsidRPr="00CD21CF">
        <w:rPr>
          <w:rFonts w:hint="cs"/>
          <w:color w:val="000000" w:themeColor="text1"/>
          <w:rtl/>
        </w:rPr>
        <w:t xml:space="preserve">השורש </w:t>
      </w:r>
      <w:proofErr w:type="spellStart"/>
      <w:r w:rsidRPr="00CD21CF">
        <w:rPr>
          <w:rFonts w:hint="cs"/>
          <w:color w:val="000000" w:themeColor="text1"/>
          <w:rtl/>
        </w:rPr>
        <w:t>יע"ץ</w:t>
      </w:r>
      <w:proofErr w:type="spellEnd"/>
      <w:r w:rsidRPr="00CD21CF">
        <w:rPr>
          <w:rFonts w:hint="cs"/>
          <w:color w:val="000000" w:themeColor="text1"/>
          <w:rtl/>
        </w:rPr>
        <w:t xml:space="preserve"> חוזר פעמים רבות בספר דברי הימים, אך </w:t>
      </w:r>
      <w:r w:rsidR="005F435C">
        <w:rPr>
          <w:rFonts w:hint="cs"/>
          <w:color w:val="000000" w:themeColor="text1"/>
          <w:rtl/>
        </w:rPr>
        <w:t>אצל אחזיהו</w:t>
      </w:r>
      <w:r w:rsidRPr="00CD21CF">
        <w:rPr>
          <w:rFonts w:hint="cs"/>
          <w:color w:val="000000" w:themeColor="text1"/>
          <w:rtl/>
        </w:rPr>
        <w:t xml:space="preserve"> בולט ההבדל </w:t>
      </w:r>
      <w:r w:rsidR="005F435C">
        <w:rPr>
          <w:rFonts w:hint="cs"/>
          <w:color w:val="000000" w:themeColor="text1"/>
          <w:rtl/>
        </w:rPr>
        <w:t>ביחס</w:t>
      </w:r>
      <w:r w:rsidRPr="00CD21CF">
        <w:rPr>
          <w:rFonts w:hint="cs"/>
          <w:color w:val="000000" w:themeColor="text1"/>
          <w:rtl/>
        </w:rPr>
        <w:t xml:space="preserve"> לדוד ורחבעם שאף אצלם מופיע הפועל (דה"א </w:t>
      </w:r>
      <w:proofErr w:type="spellStart"/>
      <w:r w:rsidRPr="00CD21CF">
        <w:rPr>
          <w:rFonts w:hint="cs"/>
          <w:color w:val="000000" w:themeColor="text1"/>
          <w:rtl/>
        </w:rPr>
        <w:t>יג</w:t>
      </w:r>
      <w:proofErr w:type="spellEnd"/>
      <w:r w:rsidRPr="00CD21CF">
        <w:rPr>
          <w:rFonts w:hint="cs"/>
          <w:color w:val="000000" w:themeColor="text1"/>
          <w:rtl/>
        </w:rPr>
        <w:t xml:space="preserve"> 1; דה"ב י 6). אצל שני האחרונים מופיע הפועל ״ויועץ״ כלומר הם אלו שיזמו את הפניה לעצת יועציהם ואילו אצל אחזיהו מופיע</w:t>
      </w:r>
      <w:r w:rsidR="001E3552">
        <w:rPr>
          <w:rFonts w:hint="cs"/>
          <w:color w:val="000000" w:themeColor="text1"/>
          <w:rtl/>
        </w:rPr>
        <w:t>ים</w:t>
      </w:r>
      <w:r w:rsidRPr="00CD21CF">
        <w:rPr>
          <w:rFonts w:hint="cs"/>
          <w:color w:val="000000" w:themeColor="text1"/>
          <w:rtl/>
        </w:rPr>
        <w:t xml:space="preserve"> הפעלים "יועצתו" או "יועצים" שמדגישים את תלותו ביועציו ואת העובדה כי יעצו לו אף מבלי שביקש.</w:t>
      </w:r>
    </w:p>
  </w:footnote>
  <w:footnote w:id="19">
    <w:p w14:paraId="254E27B3" w14:textId="77777777" w:rsidR="00CD21CF" w:rsidRPr="00CD21CF" w:rsidRDefault="00CD21CF" w:rsidP="008F2674">
      <w:pPr>
        <w:pStyle w:val="FootnoteText"/>
        <w:spacing w:line="480" w:lineRule="auto"/>
      </w:pPr>
      <w:r w:rsidRPr="00CD21CF">
        <w:rPr>
          <w:rStyle w:val="FootnoteReference"/>
        </w:rPr>
        <w:footnoteRef/>
      </w:r>
      <w:r w:rsidRPr="00CD21CF">
        <w:rPr>
          <w:rtl/>
        </w:rPr>
        <w:t xml:space="preserve"> </w:t>
      </w:r>
      <w:r w:rsidRPr="00CD21CF">
        <w:rPr>
          <w:rFonts w:hint="cs"/>
          <w:rtl/>
        </w:rPr>
        <w:t xml:space="preserve">בכך מובדל אחזיה מיתר בית אחאב שלא הובאו לקבורה כפי שניבא עליהם אליהו (מל״א </w:t>
      </w:r>
      <w:proofErr w:type="spellStart"/>
      <w:r w:rsidRPr="00CD21CF">
        <w:rPr>
          <w:rFonts w:hint="cs"/>
          <w:rtl/>
        </w:rPr>
        <w:t>כא</w:t>
      </w:r>
      <w:proofErr w:type="spellEnd"/>
      <w:r w:rsidRPr="00CD21CF">
        <w:rPr>
          <w:rFonts w:hint="cs"/>
          <w:rtl/>
        </w:rPr>
        <w:t xml:space="preserve"> 24).</w:t>
      </w:r>
    </w:p>
  </w:footnote>
  <w:footnote w:id="20">
    <w:p w14:paraId="4255D206" w14:textId="77777777" w:rsidR="00CD21CF" w:rsidRPr="00CD21CF" w:rsidRDefault="00CD21CF" w:rsidP="00E44457">
      <w:pPr>
        <w:pStyle w:val="FootnoteText"/>
        <w:spacing w:line="480" w:lineRule="auto"/>
        <w:rPr>
          <w:color w:val="000000" w:themeColor="text1"/>
        </w:rPr>
      </w:pPr>
      <w:r w:rsidRPr="00CD21CF">
        <w:rPr>
          <w:rStyle w:val="FootnoteReference"/>
          <w:rFonts w:hint="cs"/>
          <w:color w:val="000000" w:themeColor="text1"/>
        </w:rPr>
        <w:footnoteRef/>
      </w:r>
      <w:r w:rsidRPr="00CD21CF">
        <w:rPr>
          <w:rFonts w:hint="cs"/>
          <w:color w:val="000000" w:themeColor="text1"/>
          <w:rtl/>
        </w:rPr>
        <w:t xml:space="preserve"> על אודות דמותו של אחז בדה"י ראו:  </w:t>
      </w:r>
      <w:r w:rsidR="00E44457">
        <w:rPr>
          <w:rFonts w:hint="cs"/>
          <w:color w:val="000000" w:themeColor="text1"/>
        </w:rPr>
        <w:t>E</w:t>
      </w:r>
      <w:r w:rsidR="00E44457">
        <w:rPr>
          <w:color w:val="000000" w:themeColor="text1"/>
        </w:rPr>
        <w:t>hud Ben-</w:t>
      </w:r>
      <w:proofErr w:type="spellStart"/>
      <w:r w:rsidR="00E44457">
        <w:rPr>
          <w:color w:val="000000" w:themeColor="text1"/>
        </w:rPr>
        <w:t>Zvi</w:t>
      </w:r>
      <w:proofErr w:type="spellEnd"/>
      <w:r w:rsidR="00E44457">
        <w:rPr>
          <w:color w:val="000000" w:themeColor="text1"/>
        </w:rPr>
        <w:t xml:space="preserve">, </w:t>
      </w:r>
      <w:r w:rsidR="00E44457" w:rsidRPr="00E44457">
        <w:rPr>
          <w:color w:val="000000" w:themeColor="text1"/>
        </w:rPr>
        <w:t xml:space="preserve">“A Gateway to the Chronicler's Teaching: The Account of the Reign of Ahaz in 2 </w:t>
      </w:r>
      <w:proofErr w:type="spellStart"/>
      <w:r w:rsidR="00E44457" w:rsidRPr="00E44457">
        <w:rPr>
          <w:color w:val="000000" w:themeColor="text1"/>
        </w:rPr>
        <w:t>Chr</w:t>
      </w:r>
      <w:proofErr w:type="spellEnd"/>
      <w:r w:rsidR="00E44457" w:rsidRPr="00E44457">
        <w:rPr>
          <w:color w:val="000000" w:themeColor="text1"/>
        </w:rPr>
        <w:t xml:space="preserve"> 28,1-27,” </w:t>
      </w:r>
      <w:r w:rsidR="00E44457">
        <w:rPr>
          <w:i/>
          <w:iCs/>
          <w:color w:val="000000" w:themeColor="text1"/>
        </w:rPr>
        <w:t xml:space="preserve">SJOT </w:t>
      </w:r>
      <w:r w:rsidR="00E44457" w:rsidRPr="00E44457">
        <w:rPr>
          <w:color w:val="000000" w:themeColor="text1"/>
        </w:rPr>
        <w:t>7 (1993) 216-</w:t>
      </w:r>
      <w:r w:rsidR="00E44457">
        <w:rPr>
          <w:color w:val="000000" w:themeColor="text1"/>
        </w:rPr>
        <w:t>2</w:t>
      </w:r>
      <w:r w:rsidR="00E44457" w:rsidRPr="00E44457">
        <w:rPr>
          <w:color w:val="000000" w:themeColor="text1"/>
        </w:rPr>
        <w:t>49</w:t>
      </w:r>
      <w:r w:rsidR="00E44457">
        <w:rPr>
          <w:color w:val="000000" w:themeColor="text1"/>
        </w:rPr>
        <w:t>;</w:t>
      </w:r>
      <w:r w:rsidR="00E44457" w:rsidRPr="00E44457">
        <w:rPr>
          <w:rFonts w:hint="cs"/>
          <w:color w:val="000000" w:themeColor="text1"/>
        </w:rPr>
        <w:t xml:space="preserve"> </w:t>
      </w:r>
      <w:r w:rsidRPr="00CD21CF">
        <w:rPr>
          <w:rFonts w:hint="cs"/>
          <w:color w:val="000000" w:themeColor="text1"/>
        </w:rPr>
        <w:t>A</w:t>
      </w:r>
      <w:r w:rsidRPr="00CD21CF">
        <w:rPr>
          <w:color w:val="000000" w:themeColor="text1"/>
        </w:rPr>
        <w:t>mir</w:t>
      </w:r>
      <w:r w:rsidRPr="00CD21CF">
        <w:rPr>
          <w:rFonts w:hint="cs"/>
          <w:color w:val="000000" w:themeColor="text1"/>
        </w:rPr>
        <w:t xml:space="preserve"> </w:t>
      </w:r>
      <w:proofErr w:type="spellStart"/>
      <w:r w:rsidRPr="00CD21CF">
        <w:rPr>
          <w:rFonts w:hint="cs"/>
          <w:color w:val="000000" w:themeColor="text1"/>
        </w:rPr>
        <w:t>Eitan</w:t>
      </w:r>
      <w:proofErr w:type="spellEnd"/>
      <w:r w:rsidRPr="00CD21CF">
        <w:rPr>
          <w:rFonts w:hint="cs"/>
          <w:color w:val="000000" w:themeColor="text1"/>
        </w:rPr>
        <w:t xml:space="preserve">, “The Character and Times of Ahaz in the Book of Chronicles as a Test of the Creditability of the Chronicler: An Exercise in Dynamic Reading”, </w:t>
      </w:r>
      <w:proofErr w:type="spellStart"/>
      <w:r w:rsidRPr="00CD21CF">
        <w:rPr>
          <w:rFonts w:hint="cs"/>
          <w:i/>
          <w:iCs/>
          <w:color w:val="000000" w:themeColor="text1"/>
        </w:rPr>
        <w:t>Shnaton</w:t>
      </w:r>
      <w:proofErr w:type="spellEnd"/>
      <w:r w:rsidRPr="00CD21CF">
        <w:rPr>
          <w:rFonts w:hint="cs"/>
          <w:color w:val="000000" w:themeColor="text1"/>
        </w:rPr>
        <w:t xml:space="preserve"> 16 (2006), pp. 43-69 (Hebrew)</w:t>
      </w:r>
      <w:r w:rsidRPr="00CD21CF">
        <w:rPr>
          <w:color w:val="000000" w:themeColor="text1"/>
        </w:rPr>
        <w:t>;</w:t>
      </w:r>
      <w:r w:rsidRPr="00CD21CF">
        <w:rPr>
          <w:rFonts w:hint="cs"/>
          <w:color w:val="000000" w:themeColor="text1"/>
        </w:rPr>
        <w:t xml:space="preserve"> </w:t>
      </w:r>
      <w:proofErr w:type="spellStart"/>
      <w:r w:rsidRPr="00CD21CF">
        <w:rPr>
          <w:rFonts w:hint="cs"/>
        </w:rPr>
        <w:t>I</w:t>
      </w:r>
      <w:r w:rsidRPr="00CD21CF">
        <w:t>tzhak</w:t>
      </w:r>
      <w:proofErr w:type="spellEnd"/>
      <w:r w:rsidRPr="00CD21CF">
        <w:t xml:space="preserve"> </w:t>
      </w:r>
      <w:r w:rsidRPr="00CD21CF">
        <w:rPr>
          <w:rFonts w:hint="cs"/>
        </w:rPr>
        <w:t>Amar, “Chaotic Writing as a Literary Element in the Story of Ahaz in 2 Chronicles 28</w:t>
      </w:r>
      <w:r w:rsidRPr="00CD21CF">
        <w:t>,</w:t>
      </w:r>
      <w:r w:rsidRPr="00CD21CF">
        <w:rPr>
          <w:rFonts w:hint="cs"/>
        </w:rPr>
        <w:t xml:space="preserve">” </w:t>
      </w:r>
      <w:r w:rsidRPr="00CD21CF">
        <w:rPr>
          <w:rFonts w:hint="cs"/>
          <w:i/>
          <w:iCs/>
        </w:rPr>
        <w:t>VT</w:t>
      </w:r>
      <w:r w:rsidRPr="00CD21CF">
        <w:rPr>
          <w:rFonts w:hint="cs"/>
        </w:rPr>
        <w:t xml:space="preserve"> 66 (2016) 349-364.  </w:t>
      </w:r>
    </w:p>
  </w:footnote>
  <w:footnote w:id="21">
    <w:p w14:paraId="7166FB68" w14:textId="77777777" w:rsidR="00CD21CF" w:rsidRPr="00CD21CF" w:rsidRDefault="00CD21CF" w:rsidP="008F2674">
      <w:pPr>
        <w:pStyle w:val="FootnoteText"/>
        <w:spacing w:line="480" w:lineRule="auto"/>
        <w:rPr>
          <w:rtl/>
        </w:rPr>
      </w:pPr>
      <w:r w:rsidRPr="00CD21CF">
        <w:rPr>
          <w:rStyle w:val="FootnoteReference"/>
          <w:rFonts w:hint="cs"/>
        </w:rPr>
        <w:footnoteRef/>
      </w:r>
      <w:r w:rsidRPr="00CD21CF">
        <w:rPr>
          <w:rFonts w:hint="cs"/>
          <w:rtl/>
        </w:rPr>
        <w:t xml:space="preserve"> עמר, "</w:t>
      </w:r>
      <w:r w:rsidRPr="00CD21CF">
        <w:rPr>
          <w:rFonts w:hint="cs"/>
        </w:rPr>
        <w:t>Chaotic Writing</w:t>
      </w:r>
      <w:r w:rsidRPr="00CD21CF">
        <w:rPr>
          <w:rFonts w:hint="cs"/>
          <w:rtl/>
        </w:rPr>
        <w:t>".</w:t>
      </w:r>
    </w:p>
  </w:footnote>
  <w:footnote w:id="22">
    <w:p w14:paraId="16C7ACB6" w14:textId="77777777" w:rsidR="00CD21CF" w:rsidRPr="00CD21CF" w:rsidRDefault="00CD21CF" w:rsidP="008F2674">
      <w:pPr>
        <w:pStyle w:val="FootnoteText"/>
        <w:spacing w:line="480" w:lineRule="auto"/>
        <w:contextualSpacing/>
        <w:rPr>
          <w:color w:val="000000" w:themeColor="text1"/>
          <w:rtl/>
        </w:rPr>
      </w:pPr>
      <w:r w:rsidRPr="00CD21CF">
        <w:rPr>
          <w:rStyle w:val="FootnoteReference"/>
          <w:rFonts w:hint="cs"/>
          <w:color w:val="000000" w:themeColor="text1"/>
        </w:rPr>
        <w:footnoteRef/>
      </w:r>
      <w:r w:rsidRPr="00CD21CF">
        <w:rPr>
          <w:rFonts w:hint="cs"/>
          <w:color w:val="000000" w:themeColor="text1"/>
        </w:rPr>
        <w:t xml:space="preserve"> </w:t>
      </w:r>
      <w:r w:rsidRPr="00CD21CF">
        <w:rPr>
          <w:rFonts w:hint="cs"/>
          <w:color w:val="000000" w:themeColor="text1"/>
          <w:rtl/>
        </w:rPr>
        <w:t xml:space="preserve"> כך יש לפרש לטעמי את הפסוקית ״ולא שמע אל דברי נכו מפי </w:t>
      </w:r>
      <w:proofErr w:type="spellStart"/>
      <w:r w:rsidRPr="00CD21CF">
        <w:rPr>
          <w:rFonts w:hint="cs"/>
          <w:color w:val="000000" w:themeColor="text1"/>
          <w:rtl/>
        </w:rPr>
        <w:t>אלהים</w:t>
      </w:r>
      <w:proofErr w:type="spellEnd"/>
      <w:r w:rsidRPr="00CD21CF">
        <w:rPr>
          <w:rFonts w:hint="cs"/>
          <w:color w:val="000000" w:themeColor="text1"/>
          <w:rtl/>
        </w:rPr>
        <w:t>״ (לה 22). דומה כי המשפט הזה מזכיר את הנימוק לתבוסתו של אחזיהו: ״</w:t>
      </w:r>
      <w:proofErr w:type="spellStart"/>
      <w:r w:rsidRPr="00CD21CF">
        <w:rPr>
          <w:rFonts w:hint="cs"/>
          <w:color w:val="000000" w:themeColor="text1"/>
          <w:rtl/>
        </w:rPr>
        <w:t>ומאלהים</w:t>
      </w:r>
      <w:proofErr w:type="spellEnd"/>
      <w:r w:rsidRPr="00CD21CF">
        <w:rPr>
          <w:rFonts w:hint="cs"/>
          <w:color w:val="000000" w:themeColor="text1"/>
          <w:rtl/>
        </w:rPr>
        <w:t xml:space="preserve"> </w:t>
      </w:r>
      <w:proofErr w:type="spellStart"/>
      <w:r w:rsidRPr="00CD21CF">
        <w:rPr>
          <w:rFonts w:hint="cs"/>
          <w:color w:val="000000" w:themeColor="text1"/>
          <w:rtl/>
        </w:rPr>
        <w:t>היתה</w:t>
      </w:r>
      <w:proofErr w:type="spellEnd"/>
      <w:r w:rsidRPr="00CD21CF">
        <w:rPr>
          <w:rFonts w:hint="cs"/>
          <w:color w:val="000000" w:themeColor="text1"/>
          <w:rtl/>
        </w:rPr>
        <w:t xml:space="preserve"> תבוסת אחזיהו לבוא את יורם״. </w:t>
      </w:r>
    </w:p>
  </w:footnote>
  <w:footnote w:id="23">
    <w:p w14:paraId="05397333" w14:textId="77777777" w:rsidR="00CD21CF" w:rsidRPr="00CD21CF" w:rsidRDefault="00CD21CF" w:rsidP="008F2674">
      <w:pPr>
        <w:pStyle w:val="FootnoteText"/>
        <w:spacing w:line="480" w:lineRule="auto"/>
      </w:pPr>
      <w:r w:rsidRPr="00CD21CF">
        <w:rPr>
          <w:rStyle w:val="FootnoteReference"/>
          <w:rFonts w:hint="cs"/>
        </w:rPr>
        <w:footnoteRef/>
      </w:r>
      <w:r w:rsidRPr="00CD21CF">
        <w:rPr>
          <w:rFonts w:hint="cs"/>
          <w:rtl/>
        </w:rPr>
        <w:t xml:space="preserve"> יפת</w:t>
      </w:r>
      <w:r w:rsidRPr="00DD1559">
        <w:rPr>
          <w:rFonts w:hint="cs"/>
          <w:i/>
          <w:iCs/>
          <w:rtl/>
        </w:rPr>
        <w:t>,</w:t>
      </w:r>
      <w:r w:rsidR="00DD1559" w:rsidRPr="00DD1559">
        <w:rPr>
          <w:i/>
          <w:iCs/>
        </w:rPr>
        <w:t>&amp; II Chronicles</w:t>
      </w:r>
      <w:r w:rsidR="00443FC9">
        <w:rPr>
          <w:i/>
          <w:iCs/>
        </w:rPr>
        <w:t xml:space="preserve"> </w:t>
      </w:r>
      <w:r w:rsidRPr="00DD1559">
        <w:rPr>
          <w:rFonts w:hint="cs"/>
          <w:i/>
          <w:iCs/>
          <w:rtl/>
        </w:rPr>
        <w:t xml:space="preserve"> </w:t>
      </w:r>
      <w:r w:rsidR="00DD1559" w:rsidRPr="00DD1559">
        <w:rPr>
          <w:i/>
          <w:iCs/>
        </w:rPr>
        <w:t>I</w:t>
      </w:r>
      <w:r w:rsidR="00DD1559">
        <w:t xml:space="preserve"> </w:t>
      </w:r>
      <w:r w:rsidRPr="00CD21CF">
        <w:rPr>
          <w:rFonts w:hint="cs"/>
          <w:rtl/>
        </w:rPr>
        <w:t>, 909.</w:t>
      </w:r>
    </w:p>
  </w:footnote>
  <w:footnote w:id="24">
    <w:p w14:paraId="08051E08" w14:textId="77777777" w:rsidR="00CD21CF" w:rsidRPr="00CD21CF" w:rsidRDefault="00CD21CF" w:rsidP="008223C3">
      <w:pPr>
        <w:pStyle w:val="FootnoteText"/>
        <w:spacing w:line="480" w:lineRule="auto"/>
        <w:contextualSpacing/>
        <w:rPr>
          <w:color w:val="000000" w:themeColor="text1"/>
        </w:rPr>
      </w:pPr>
      <w:r w:rsidRPr="00CD21CF">
        <w:rPr>
          <w:rStyle w:val="FootnoteReference"/>
          <w:rFonts w:hint="cs"/>
          <w:color w:val="000000" w:themeColor="text1"/>
        </w:rPr>
        <w:footnoteRef/>
      </w:r>
      <w:r w:rsidRPr="00CD21CF">
        <w:rPr>
          <w:rFonts w:hint="cs"/>
          <w:color w:val="000000" w:themeColor="text1"/>
          <w:rtl/>
        </w:rPr>
        <w:t xml:space="preserve"> ראו:</w:t>
      </w:r>
      <w:r w:rsidRPr="00CD21CF">
        <w:rPr>
          <w:rFonts w:hint="cs"/>
          <w:color w:val="000000" w:themeColor="text1"/>
        </w:rPr>
        <w:t xml:space="preserve"> S</w:t>
      </w:r>
      <w:r w:rsidRPr="00CD21CF">
        <w:rPr>
          <w:color w:val="000000" w:themeColor="text1"/>
        </w:rPr>
        <w:t>ara</w:t>
      </w:r>
      <w:r w:rsidRPr="00CD21CF">
        <w:rPr>
          <w:rFonts w:hint="cs"/>
          <w:color w:val="000000" w:themeColor="text1"/>
        </w:rPr>
        <w:t xml:space="preserve"> </w:t>
      </w:r>
      <w:proofErr w:type="spellStart"/>
      <w:r w:rsidRPr="00CD21CF">
        <w:rPr>
          <w:rFonts w:hint="cs"/>
          <w:color w:val="000000" w:themeColor="text1"/>
        </w:rPr>
        <w:t>Japhet</w:t>
      </w:r>
      <w:proofErr w:type="spellEnd"/>
      <w:r w:rsidRPr="00CD21CF">
        <w:rPr>
          <w:rFonts w:hint="cs"/>
          <w:color w:val="000000" w:themeColor="text1"/>
        </w:rPr>
        <w:t>, “Interchanges of Verbal Roots in Parallel Texts in Chronicles</w:t>
      </w:r>
      <w:r w:rsidRPr="00CD21CF">
        <w:rPr>
          <w:color w:val="000000" w:themeColor="text1"/>
        </w:rPr>
        <w:t>,</w:t>
      </w:r>
      <w:r w:rsidRPr="00CD21CF">
        <w:rPr>
          <w:rFonts w:hint="cs"/>
          <w:color w:val="000000" w:themeColor="text1"/>
        </w:rPr>
        <w:t xml:space="preserve">” </w:t>
      </w:r>
      <w:r w:rsidRPr="00CD21CF">
        <w:rPr>
          <w:rFonts w:hint="cs"/>
          <w:i/>
          <w:iCs/>
          <w:color w:val="000000" w:themeColor="text1"/>
        </w:rPr>
        <w:t>Hebrew Studies</w:t>
      </w:r>
      <w:r w:rsidRPr="00CD21CF">
        <w:rPr>
          <w:rFonts w:hint="cs"/>
          <w:color w:val="000000" w:themeColor="text1"/>
        </w:rPr>
        <w:t xml:space="preserve"> 28 (1987)</w:t>
      </w:r>
      <w:r w:rsidRPr="00CD21CF">
        <w:rPr>
          <w:color w:val="000000" w:themeColor="text1"/>
        </w:rPr>
        <w:t xml:space="preserve"> 9-50:</w:t>
      </w:r>
      <w:r w:rsidRPr="00CD21CF">
        <w:rPr>
          <w:rFonts w:hint="cs"/>
          <w:color w:val="000000" w:themeColor="text1"/>
        </w:rPr>
        <w:t xml:space="preserve"> 48</w:t>
      </w:r>
      <w:r w:rsidRPr="00CD21CF">
        <w:rPr>
          <w:rFonts w:hint="cs"/>
          <w:color w:val="000000" w:themeColor="text1"/>
          <w:rtl/>
        </w:rPr>
        <w:t xml:space="preserve">.  יפת נשענת במסקנתה </w:t>
      </w:r>
      <w:r w:rsidR="00DD1559">
        <w:rPr>
          <w:rFonts w:hint="cs"/>
          <w:color w:val="000000" w:themeColor="text1"/>
          <w:rtl/>
        </w:rPr>
        <w:t>הן</w:t>
      </w:r>
      <w:r w:rsidRPr="00CD21CF">
        <w:rPr>
          <w:rFonts w:hint="cs"/>
          <w:color w:val="000000" w:themeColor="text1"/>
          <w:rtl/>
        </w:rPr>
        <w:t xml:space="preserve"> על מטבע הלשון המצוי בתלמוד </w:t>
      </w:r>
      <w:r w:rsidR="00DD1559">
        <w:rPr>
          <w:rFonts w:hint="cs"/>
          <w:color w:val="000000" w:themeColor="text1"/>
          <w:rtl/>
        </w:rPr>
        <w:t xml:space="preserve">הן </w:t>
      </w:r>
      <w:r w:rsidRPr="00CD21CF">
        <w:rPr>
          <w:rFonts w:hint="cs"/>
          <w:color w:val="000000" w:themeColor="text1"/>
          <w:rtl/>
        </w:rPr>
        <w:t>על נוסחת השבעים המקבילה.</w:t>
      </w:r>
    </w:p>
  </w:footnote>
  <w:footnote w:id="25">
    <w:p w14:paraId="475DDCB7" w14:textId="77777777" w:rsidR="00CD21CF" w:rsidRPr="00CD21CF" w:rsidRDefault="00CD21CF" w:rsidP="008F2674">
      <w:pPr>
        <w:pStyle w:val="FootnoteText"/>
        <w:spacing w:line="480" w:lineRule="auto"/>
        <w:contextualSpacing/>
        <w:rPr>
          <w:color w:val="000000" w:themeColor="text1"/>
        </w:rPr>
      </w:pPr>
      <w:r w:rsidRPr="00CD21CF">
        <w:rPr>
          <w:rStyle w:val="FootnoteReference"/>
          <w:rFonts w:hint="cs"/>
          <w:color w:val="000000" w:themeColor="text1"/>
        </w:rPr>
        <w:footnoteRef/>
      </w:r>
      <w:r w:rsidRPr="00CD21CF">
        <w:rPr>
          <w:rFonts w:hint="cs"/>
          <w:color w:val="000000" w:themeColor="text1"/>
          <w:rtl/>
        </w:rPr>
        <w:t xml:space="preserve"> ראו איתן,</w:t>
      </w:r>
      <w:r w:rsidRPr="00CD21CF">
        <w:rPr>
          <w:rFonts w:hint="cs"/>
          <w:color w:val="000000" w:themeColor="text1"/>
        </w:rPr>
        <w:t xml:space="preserve">” The Character and Times of Ahaz” </w:t>
      </w:r>
      <w:r w:rsidRPr="00CD21CF">
        <w:rPr>
          <w:rFonts w:hint="cs"/>
          <w:color w:val="000000" w:themeColor="text1"/>
          <w:rtl/>
        </w:rPr>
        <w:t>: 48. איתן מקיש מדברי מיכה ו 7 - ״</w:t>
      </w:r>
      <w:proofErr w:type="spellStart"/>
      <w:r w:rsidRPr="00CD21CF">
        <w:rPr>
          <w:rFonts w:hint="cs"/>
          <w:color w:val="000000" w:themeColor="text1"/>
          <w:rtl/>
        </w:rPr>
        <w:t>הֲיִרְצֶה</w:t>
      </w:r>
      <w:proofErr w:type="spellEnd"/>
      <w:r w:rsidRPr="00CD21CF">
        <w:rPr>
          <w:rFonts w:hint="cs"/>
          <w:color w:val="000000" w:themeColor="text1"/>
          <w:rtl/>
        </w:rPr>
        <w:t xml:space="preserve"> ה׳ בְּאַלְפֵי אֵילִים בְּרִבְבוֹת נַחֲלֵי-שָׁמֶן </w:t>
      </w:r>
      <w:proofErr w:type="spellStart"/>
      <w:r w:rsidRPr="00CD21CF">
        <w:rPr>
          <w:rFonts w:hint="cs"/>
          <w:color w:val="000000" w:themeColor="text1"/>
          <w:rtl/>
        </w:rPr>
        <w:t>הַאֶתֵּן</w:t>
      </w:r>
      <w:proofErr w:type="spellEnd"/>
      <w:r w:rsidRPr="00CD21CF">
        <w:rPr>
          <w:rFonts w:hint="cs"/>
          <w:color w:val="000000" w:themeColor="text1"/>
          <w:rtl/>
        </w:rPr>
        <w:t xml:space="preserve"> בְּכוֹרִי פִּשְׁעִי פְּרִי בִטְנִי חַטַּאת נַפְשִׁי״ </w:t>
      </w:r>
      <w:r w:rsidRPr="00CD21CF">
        <w:rPr>
          <w:color w:val="000000" w:themeColor="text1"/>
          <w:rtl/>
        </w:rPr>
        <w:t>–</w:t>
      </w:r>
      <w:r w:rsidRPr="00CD21CF">
        <w:rPr>
          <w:rFonts w:hint="cs"/>
          <w:color w:val="000000" w:themeColor="text1"/>
          <w:rtl/>
        </w:rPr>
        <w:t xml:space="preserve"> העוסקים בהעלאת ילדים לקרבן לזמנו של אחז. וראו עוד: </w:t>
      </w:r>
      <w:r w:rsidRPr="00CD21CF">
        <w:rPr>
          <w:color w:val="000000" w:themeColor="text1"/>
        </w:rPr>
        <w:t xml:space="preserve">Samuel </w:t>
      </w:r>
      <w:proofErr w:type="spellStart"/>
      <w:r w:rsidRPr="00CD21CF">
        <w:rPr>
          <w:color w:val="000000" w:themeColor="text1"/>
        </w:rPr>
        <w:t>Vargon</w:t>
      </w:r>
      <w:proofErr w:type="spellEnd"/>
      <w:r w:rsidRPr="00CD21CF">
        <w:rPr>
          <w:color w:val="000000" w:themeColor="text1"/>
        </w:rPr>
        <w:t xml:space="preserve">, “The </w:t>
      </w:r>
      <w:proofErr w:type="spellStart"/>
      <w:r w:rsidRPr="00CD21CF">
        <w:rPr>
          <w:i/>
          <w:iCs/>
          <w:color w:val="000000" w:themeColor="text1"/>
        </w:rPr>
        <w:t>riv</w:t>
      </w:r>
      <w:proofErr w:type="spellEnd"/>
      <w:r w:rsidRPr="00CD21CF">
        <w:rPr>
          <w:i/>
          <w:iCs/>
          <w:color w:val="000000" w:themeColor="text1"/>
        </w:rPr>
        <w:t xml:space="preserve"> </w:t>
      </w:r>
      <w:r w:rsidRPr="00CD21CF">
        <w:rPr>
          <w:color w:val="000000" w:themeColor="text1"/>
        </w:rPr>
        <w:t xml:space="preserve">with the Inhabitants of Judea in the Time of Ahaz (Mic. 6:1-8),” </w:t>
      </w:r>
      <w:r w:rsidRPr="00CD21CF">
        <w:rPr>
          <w:i/>
          <w:iCs/>
          <w:color w:val="000000" w:themeColor="text1"/>
        </w:rPr>
        <w:t>In the Bible Lands: Studies in Biblical Prophecy, History and Historiography</w:t>
      </w:r>
      <w:r w:rsidRPr="00CD21CF">
        <w:rPr>
          <w:color w:val="000000" w:themeColor="text1"/>
        </w:rPr>
        <w:t xml:space="preserve"> (Ramat-</w:t>
      </w:r>
      <w:proofErr w:type="spellStart"/>
      <w:r w:rsidR="00DD1559" w:rsidRPr="00CD21CF">
        <w:rPr>
          <w:color w:val="000000" w:themeColor="text1"/>
        </w:rPr>
        <w:t>Gan</w:t>
      </w:r>
      <w:proofErr w:type="spellEnd"/>
      <w:r w:rsidR="00DD1559" w:rsidRPr="00CD21CF">
        <w:rPr>
          <w:color w:val="000000" w:themeColor="text1"/>
        </w:rPr>
        <w:t>: Bar</w:t>
      </w:r>
      <w:r w:rsidR="00443FC9">
        <w:rPr>
          <w:color w:val="000000" w:themeColor="text1"/>
        </w:rPr>
        <w:t>-</w:t>
      </w:r>
      <w:proofErr w:type="spellStart"/>
      <w:r w:rsidRPr="00CD21CF">
        <w:rPr>
          <w:color w:val="000000" w:themeColor="text1"/>
        </w:rPr>
        <w:t>Ilan</w:t>
      </w:r>
      <w:proofErr w:type="spellEnd"/>
      <w:r w:rsidRPr="00CD21CF">
        <w:rPr>
          <w:color w:val="000000" w:themeColor="text1"/>
        </w:rPr>
        <w:t xml:space="preserve"> University Press, 2015) 233-244:243.</w:t>
      </w:r>
    </w:p>
  </w:footnote>
  <w:footnote w:id="26">
    <w:p w14:paraId="76E94114" w14:textId="77777777" w:rsidR="00CD21CF" w:rsidRPr="00CD21CF" w:rsidRDefault="00CD21CF" w:rsidP="008223C3">
      <w:pPr>
        <w:pStyle w:val="FootnoteText"/>
        <w:spacing w:line="480" w:lineRule="auto"/>
        <w:rPr>
          <w:b/>
          <w:bCs/>
        </w:rPr>
      </w:pPr>
      <w:r w:rsidRPr="00CD21CF">
        <w:rPr>
          <w:rStyle w:val="FootnoteReference"/>
          <w:rFonts w:hint="cs"/>
        </w:rPr>
        <w:footnoteRef/>
      </w:r>
      <w:r w:rsidRPr="00CD21CF">
        <w:rPr>
          <w:rFonts w:hint="cs"/>
          <w:rtl/>
        </w:rPr>
        <w:t xml:space="preserve"> ראו:</w:t>
      </w:r>
      <w:r w:rsidRPr="00CD21CF">
        <w:t xml:space="preserve"> </w:t>
      </w:r>
      <w:r w:rsidRPr="00CD21CF">
        <w:rPr>
          <w:rFonts w:hint="cs"/>
          <w:rtl/>
        </w:rPr>
        <w:t xml:space="preserve"> </w:t>
      </w:r>
      <w:r w:rsidRPr="00CD21CF">
        <w:t xml:space="preserve">Richard  G. Coggins, </w:t>
      </w:r>
      <w:r w:rsidRPr="00CD21CF">
        <w:rPr>
          <w:i/>
          <w:iCs/>
        </w:rPr>
        <w:t>The First and Second Books of the Chronicles</w:t>
      </w:r>
    </w:p>
    <w:p w14:paraId="6D728BFB" w14:textId="77777777" w:rsidR="00CD21CF" w:rsidRPr="00CD21CF" w:rsidRDefault="00CD21CF" w:rsidP="008223C3">
      <w:pPr>
        <w:pStyle w:val="FootnoteText"/>
        <w:spacing w:line="480" w:lineRule="auto"/>
      </w:pPr>
      <w:r w:rsidRPr="00CD21CF">
        <w:t xml:space="preserve"> (CBCOT; Cambridge:</w:t>
      </w:r>
      <w:r w:rsidRPr="00CD21CF">
        <w:rPr>
          <w:rFonts w:ascii="Arial" w:hAnsi="Arial" w:cs="Arial"/>
          <w:color w:val="333333"/>
          <w:shd w:val="clear" w:color="auto" w:fill="FFFFFF"/>
        </w:rPr>
        <w:t xml:space="preserve"> </w:t>
      </w:r>
      <w:r w:rsidRPr="00CD21CF">
        <w:t>Cambridge University Press, 1979), 257</w:t>
      </w:r>
    </w:p>
  </w:footnote>
  <w:footnote w:id="27">
    <w:p w14:paraId="5E7115CA" w14:textId="77777777" w:rsidR="00CD21CF" w:rsidRPr="00CD21CF" w:rsidRDefault="00CD21CF" w:rsidP="005C7BD4">
      <w:pPr>
        <w:pStyle w:val="FootnoteText"/>
        <w:spacing w:line="480" w:lineRule="auto"/>
        <w:rPr>
          <w:color w:val="000000" w:themeColor="text1"/>
          <w:rtl/>
        </w:rPr>
      </w:pPr>
      <w:r w:rsidRPr="00CD21CF">
        <w:rPr>
          <w:rStyle w:val="FootnoteReference"/>
          <w:rFonts w:hint="cs"/>
          <w:color w:val="000000" w:themeColor="text1"/>
        </w:rPr>
        <w:footnoteRef/>
      </w:r>
      <w:r w:rsidRPr="00CD21CF">
        <w:rPr>
          <w:rFonts w:hint="cs"/>
          <w:color w:val="000000" w:themeColor="text1"/>
          <w:rtl/>
        </w:rPr>
        <w:t xml:space="preserve"> איתן, עמ׳ 52 סבור כי מעשיהו ״בן המלך״ לא היה בנו של אחז אלא מקורב לשלטון. ראו בהקשר זה: </w:t>
      </w:r>
      <w:r w:rsidRPr="00CD21CF">
        <w:rPr>
          <w:color w:val="000000" w:themeColor="text1"/>
        </w:rPr>
        <w:t xml:space="preserve">André </w:t>
      </w:r>
      <w:proofErr w:type="spellStart"/>
      <w:r w:rsidRPr="00CD21CF">
        <w:rPr>
          <w:color w:val="000000" w:themeColor="text1"/>
        </w:rPr>
        <w:t>Lemaire</w:t>
      </w:r>
      <w:proofErr w:type="spellEnd"/>
      <w:r w:rsidRPr="00CD21CF">
        <w:rPr>
          <w:color w:val="000000" w:themeColor="text1"/>
        </w:rPr>
        <w:t xml:space="preserve">, “Note sur le </w:t>
      </w:r>
      <w:proofErr w:type="spellStart"/>
      <w:r w:rsidRPr="00CD21CF">
        <w:rPr>
          <w:color w:val="000000" w:themeColor="text1"/>
        </w:rPr>
        <w:t>titre</w:t>
      </w:r>
      <w:proofErr w:type="spellEnd"/>
      <w:r w:rsidRPr="00CD21CF">
        <w:rPr>
          <w:color w:val="000000" w:themeColor="text1"/>
        </w:rPr>
        <w:t xml:space="preserve"> BN HMLK </w:t>
      </w:r>
      <w:proofErr w:type="spellStart"/>
      <w:r w:rsidRPr="00CD21CF">
        <w:rPr>
          <w:color w:val="000000" w:themeColor="text1"/>
        </w:rPr>
        <w:t>dans</w:t>
      </w:r>
      <w:proofErr w:type="spellEnd"/>
      <w:r w:rsidRPr="00CD21CF">
        <w:rPr>
          <w:color w:val="000000" w:themeColor="text1"/>
        </w:rPr>
        <w:t xml:space="preserve"> </w:t>
      </w:r>
      <w:proofErr w:type="spellStart"/>
      <w:r w:rsidRPr="00CD21CF">
        <w:rPr>
          <w:color w:val="000000" w:themeColor="text1"/>
        </w:rPr>
        <w:t>l’ancien</w:t>
      </w:r>
      <w:proofErr w:type="spellEnd"/>
      <w:r w:rsidRPr="00CD21CF">
        <w:rPr>
          <w:color w:val="000000" w:themeColor="text1"/>
        </w:rPr>
        <w:t xml:space="preserve"> Israel,” </w:t>
      </w:r>
      <w:proofErr w:type="spellStart"/>
      <w:r w:rsidRPr="00CD21CF">
        <w:rPr>
          <w:i/>
          <w:iCs/>
          <w:color w:val="000000" w:themeColor="text1"/>
        </w:rPr>
        <w:t>Sematica</w:t>
      </w:r>
      <w:proofErr w:type="spellEnd"/>
      <w:r w:rsidRPr="00CD21CF">
        <w:rPr>
          <w:color w:val="000000" w:themeColor="text1"/>
        </w:rPr>
        <w:t xml:space="preserve"> 29 (1979) 59-65;</w:t>
      </w:r>
      <w:r w:rsidRPr="00CD21CF">
        <w:rPr>
          <w:rFonts w:asciiTheme="majorBidi" w:hAnsiTheme="majorBidi" w:cstheme="majorBidi"/>
        </w:rPr>
        <w:t xml:space="preserve"> </w:t>
      </w:r>
      <w:r w:rsidRPr="00CD21CF">
        <w:rPr>
          <w:color w:val="000000" w:themeColor="text1"/>
        </w:rPr>
        <w:t xml:space="preserve">Ralph W. Klein, </w:t>
      </w:r>
      <w:r w:rsidRPr="00CD21CF">
        <w:rPr>
          <w:i/>
          <w:iCs/>
          <w:color w:val="000000" w:themeColor="text1"/>
        </w:rPr>
        <w:t>2 Chronicles</w:t>
      </w:r>
      <w:r w:rsidRPr="00CD21CF">
        <w:rPr>
          <w:color w:val="000000" w:themeColor="text1"/>
        </w:rPr>
        <w:t xml:space="preserve">: </w:t>
      </w:r>
      <w:r w:rsidRPr="00CD21CF">
        <w:rPr>
          <w:i/>
          <w:iCs/>
          <w:color w:val="000000" w:themeColor="text1"/>
        </w:rPr>
        <w:t>A</w:t>
      </w:r>
      <w:r w:rsidRPr="00CD21CF">
        <w:rPr>
          <w:color w:val="000000" w:themeColor="text1"/>
        </w:rPr>
        <w:t xml:space="preserve"> </w:t>
      </w:r>
      <w:r w:rsidRPr="00CD21CF">
        <w:rPr>
          <w:i/>
          <w:iCs/>
          <w:color w:val="000000" w:themeColor="text1"/>
        </w:rPr>
        <w:t>Commentary</w:t>
      </w:r>
      <w:r w:rsidRPr="00CD21CF">
        <w:rPr>
          <w:color w:val="000000" w:themeColor="text1"/>
        </w:rPr>
        <w:t xml:space="preserve"> (</w:t>
      </w:r>
      <w:proofErr w:type="spellStart"/>
      <w:r w:rsidRPr="00CD21CF">
        <w:rPr>
          <w:color w:val="000000" w:themeColor="text1"/>
        </w:rPr>
        <w:t>Hermeneia</w:t>
      </w:r>
      <w:proofErr w:type="spellEnd"/>
      <w:r w:rsidRPr="00CD21CF">
        <w:rPr>
          <w:color w:val="000000" w:themeColor="text1"/>
        </w:rPr>
        <w:t>; Minneapolis:</w:t>
      </w:r>
      <w:r w:rsidRPr="00CD21CF">
        <w:rPr>
          <w:rFonts w:ascii="Arial" w:hAnsi="Arial" w:cs="Arial"/>
          <w:color w:val="333333"/>
          <w:shd w:val="clear" w:color="auto" w:fill="FFFFFF"/>
        </w:rPr>
        <w:t xml:space="preserve"> </w:t>
      </w:r>
      <w:r w:rsidRPr="00CD21CF">
        <w:rPr>
          <w:color w:val="000000" w:themeColor="text1"/>
        </w:rPr>
        <w:t>Fortress</w:t>
      </w:r>
      <w:r w:rsidR="00443FC9">
        <w:rPr>
          <w:color w:val="000000" w:themeColor="text1"/>
        </w:rPr>
        <w:t xml:space="preserve"> Press, 2012),</w:t>
      </w:r>
      <w:r w:rsidRPr="00CD21CF">
        <w:rPr>
          <w:color w:val="000000" w:themeColor="text1"/>
        </w:rPr>
        <w:t xml:space="preserve"> 399.</w:t>
      </w:r>
      <w:r w:rsidRPr="00CD21CF">
        <w:rPr>
          <w:rFonts w:hint="cs"/>
          <w:color w:val="000000" w:themeColor="text1"/>
          <w:rtl/>
        </w:rPr>
        <w:t xml:space="preserve"> </w:t>
      </w:r>
    </w:p>
  </w:footnote>
  <w:footnote w:id="28">
    <w:p w14:paraId="335DDF18" w14:textId="77777777" w:rsidR="00CD21CF" w:rsidRPr="00CD21CF" w:rsidRDefault="00CD21CF" w:rsidP="008F2674">
      <w:pPr>
        <w:pStyle w:val="FootnoteText"/>
        <w:spacing w:line="480" w:lineRule="auto"/>
      </w:pPr>
      <w:r w:rsidRPr="00CD21CF">
        <w:rPr>
          <w:rStyle w:val="FootnoteReference"/>
          <w:rFonts w:hint="cs"/>
        </w:rPr>
        <w:footnoteRef/>
      </w:r>
      <w:r w:rsidRPr="00CD21CF">
        <w:rPr>
          <w:rFonts w:hint="cs"/>
          <w:rtl/>
        </w:rPr>
        <w:t xml:space="preserve"> ראו למשל אצל </w:t>
      </w:r>
      <w:proofErr w:type="spellStart"/>
      <w:r w:rsidRPr="00CD21CF">
        <w:rPr>
          <w:rFonts w:hint="cs"/>
          <w:rtl/>
        </w:rPr>
        <w:t>זימרן</w:t>
      </w:r>
      <w:proofErr w:type="spellEnd"/>
      <w:r w:rsidRPr="00CD21CF">
        <w:rPr>
          <w:rFonts w:hint="cs"/>
          <w:rtl/>
        </w:rPr>
        <w:t xml:space="preserve">, </w:t>
      </w:r>
      <w:r w:rsidR="000A6067">
        <w:t>:</w:t>
      </w:r>
      <w:r w:rsidRPr="00CD21CF">
        <w:t>“</w:t>
      </w:r>
      <w:r w:rsidRPr="00CD21CF">
        <w:rPr>
          <w:rFonts w:hint="cs"/>
        </w:rPr>
        <w:t>The Covenant Made with David</w:t>
      </w:r>
      <w:r w:rsidRPr="00CD21CF">
        <w:t>”</w:t>
      </w:r>
      <w:r w:rsidRPr="00CD21CF">
        <w:rPr>
          <w:rFonts w:hint="cs"/>
          <w:rtl/>
        </w:rPr>
        <w:t xml:space="preserve"> 323.</w:t>
      </w:r>
    </w:p>
  </w:footnote>
  <w:footnote w:id="29">
    <w:p w14:paraId="33446719" w14:textId="77777777" w:rsidR="00CD21CF" w:rsidRPr="00CD21CF" w:rsidRDefault="00CD21CF" w:rsidP="008F2674">
      <w:pPr>
        <w:pStyle w:val="FootnoteText"/>
        <w:spacing w:line="480" w:lineRule="auto"/>
        <w:rPr>
          <w:rtl/>
        </w:rPr>
      </w:pPr>
      <w:r w:rsidRPr="00CD21CF">
        <w:rPr>
          <w:rStyle w:val="FootnoteReference"/>
          <w:rFonts w:hint="cs"/>
        </w:rPr>
        <w:footnoteRef/>
      </w:r>
      <w:r w:rsidRPr="00CD21CF">
        <w:rPr>
          <w:rFonts w:hint="cs"/>
          <w:rtl/>
        </w:rPr>
        <w:t xml:space="preserve"> ציון גילו של אחזיהו – 42 – בעת ההמלכה הוא כמובן בעייתי משום שלפי הכתוב אביו יהורם חי רק 40 שנה. ייתכן כי בשינוי הזה ביקש </w:t>
      </w:r>
      <w:proofErr w:type="spellStart"/>
      <w:r w:rsidRPr="00CD21CF">
        <w:rPr>
          <w:rFonts w:hint="cs"/>
          <w:rtl/>
        </w:rPr>
        <w:t>הכרוניסט</w:t>
      </w:r>
      <w:proofErr w:type="spellEnd"/>
      <w:r w:rsidRPr="00CD21CF">
        <w:rPr>
          <w:rFonts w:hint="cs"/>
          <w:rtl/>
        </w:rPr>
        <w:t xml:space="preserve"> לרמוז כי אחזיהו לא היה בנו של יהורם, וכי לא היה ראוי לרשת אותו מלכתחילה. והשוו </w:t>
      </w:r>
      <w:r w:rsidRPr="00CD21CF">
        <w:rPr>
          <w:rFonts w:hint="cs"/>
        </w:rPr>
        <w:t>D</w:t>
      </w:r>
      <w:r w:rsidRPr="00CD21CF">
        <w:t xml:space="preserve">onald </w:t>
      </w:r>
      <w:r w:rsidRPr="00CD21CF">
        <w:rPr>
          <w:rFonts w:hint="cs"/>
        </w:rPr>
        <w:t xml:space="preserve">V. </w:t>
      </w:r>
      <w:proofErr w:type="spellStart"/>
      <w:r w:rsidRPr="00CD21CF">
        <w:rPr>
          <w:rFonts w:hint="cs"/>
        </w:rPr>
        <w:t>Etz</w:t>
      </w:r>
      <w:proofErr w:type="spellEnd"/>
      <w:r w:rsidRPr="00CD21CF">
        <w:rPr>
          <w:rFonts w:hint="cs"/>
        </w:rPr>
        <w:t xml:space="preserve">, “The Genealogical Relationships of </w:t>
      </w:r>
      <w:proofErr w:type="spellStart"/>
      <w:r w:rsidRPr="00CD21CF">
        <w:rPr>
          <w:rFonts w:hint="cs"/>
        </w:rPr>
        <w:t>Jehoram</w:t>
      </w:r>
      <w:proofErr w:type="spellEnd"/>
      <w:r w:rsidRPr="00CD21CF">
        <w:rPr>
          <w:rFonts w:hint="cs"/>
        </w:rPr>
        <w:t xml:space="preserve"> and </w:t>
      </w:r>
      <w:proofErr w:type="spellStart"/>
      <w:r w:rsidRPr="00CD21CF">
        <w:rPr>
          <w:rFonts w:hint="cs"/>
        </w:rPr>
        <w:t>Ahaziah</w:t>
      </w:r>
      <w:proofErr w:type="spellEnd"/>
      <w:r w:rsidRPr="00CD21CF">
        <w:rPr>
          <w:rFonts w:hint="cs"/>
        </w:rPr>
        <w:t>, and of Ahaz and Hezekiah, Kings of Judah</w:t>
      </w:r>
      <w:r w:rsidRPr="00CD21CF">
        <w:t>,</w:t>
      </w:r>
      <w:r w:rsidRPr="00CD21CF">
        <w:rPr>
          <w:rFonts w:hint="cs"/>
        </w:rPr>
        <w:t xml:space="preserve">” </w:t>
      </w:r>
      <w:r w:rsidRPr="00CD21CF">
        <w:rPr>
          <w:rFonts w:hint="cs"/>
          <w:i/>
          <w:iCs/>
        </w:rPr>
        <w:t>JSOT</w:t>
      </w:r>
      <w:r w:rsidRPr="00CD21CF">
        <w:rPr>
          <w:rFonts w:hint="cs"/>
        </w:rPr>
        <w:t xml:space="preserve"> 71 (1996)</w:t>
      </w:r>
      <w:r w:rsidRPr="00CD21CF">
        <w:t xml:space="preserve"> 39-53:</w:t>
      </w:r>
      <w:r w:rsidRPr="00CD21CF">
        <w:rPr>
          <w:rFonts w:hint="cs"/>
        </w:rPr>
        <w:t>39-48</w:t>
      </w:r>
      <w:r w:rsidRPr="00CD21CF">
        <w:rPr>
          <w:rFonts w:hint="cs"/>
          <w:rtl/>
        </w:rPr>
        <w:t xml:space="preserve"> והשוו: </w:t>
      </w:r>
      <w:r w:rsidRPr="00CD21CF">
        <w:t xml:space="preserve"> </w:t>
      </w:r>
      <w:r w:rsidRPr="00CD21CF">
        <w:rPr>
          <w:rFonts w:hint="cs"/>
        </w:rPr>
        <w:t>B</w:t>
      </w:r>
      <w:r w:rsidRPr="00CD21CF">
        <w:t>oyd W.</w:t>
      </w:r>
      <w:r w:rsidRPr="00CD21CF">
        <w:rPr>
          <w:rFonts w:hint="cs"/>
        </w:rPr>
        <w:t xml:space="preserve"> Barrick, “Another Shaking of Jehoshaphat's Family Tree: </w:t>
      </w:r>
      <w:proofErr w:type="spellStart"/>
      <w:r w:rsidRPr="00CD21CF">
        <w:rPr>
          <w:rFonts w:hint="cs"/>
        </w:rPr>
        <w:t>Jehoram</w:t>
      </w:r>
      <w:proofErr w:type="spellEnd"/>
      <w:r w:rsidRPr="00CD21CF">
        <w:rPr>
          <w:rFonts w:hint="cs"/>
        </w:rPr>
        <w:t xml:space="preserve"> and </w:t>
      </w:r>
      <w:proofErr w:type="spellStart"/>
      <w:r w:rsidRPr="00CD21CF">
        <w:rPr>
          <w:rFonts w:hint="cs"/>
        </w:rPr>
        <w:t>Ahaziah</w:t>
      </w:r>
      <w:proofErr w:type="spellEnd"/>
      <w:r w:rsidRPr="00CD21CF">
        <w:rPr>
          <w:rFonts w:hint="cs"/>
        </w:rPr>
        <w:t xml:space="preserve"> Once Again</w:t>
      </w:r>
      <w:r w:rsidRPr="00CD21CF">
        <w:t>,</w:t>
      </w:r>
      <w:r w:rsidRPr="00CD21CF">
        <w:rPr>
          <w:rFonts w:hint="cs"/>
        </w:rPr>
        <w:t xml:space="preserve">” </w:t>
      </w:r>
      <w:r w:rsidRPr="00CD21CF">
        <w:rPr>
          <w:rFonts w:hint="cs"/>
          <w:i/>
          <w:iCs/>
        </w:rPr>
        <w:t>VT</w:t>
      </w:r>
      <w:r w:rsidRPr="00CD21CF">
        <w:rPr>
          <w:rFonts w:hint="cs"/>
        </w:rPr>
        <w:t xml:space="preserve"> 51(2001) 21-24</w:t>
      </w:r>
    </w:p>
  </w:footnote>
  <w:footnote w:id="30">
    <w:p w14:paraId="7EFA9840" w14:textId="108ADD2E" w:rsidR="00CD21CF" w:rsidRPr="00CD21CF" w:rsidRDefault="00CD21CF" w:rsidP="008F2674">
      <w:pPr>
        <w:pStyle w:val="FootnoteText"/>
        <w:spacing w:line="480" w:lineRule="auto"/>
        <w:rPr>
          <w:color w:val="000000" w:themeColor="text1"/>
        </w:rPr>
      </w:pPr>
      <w:r w:rsidRPr="00CD21CF">
        <w:rPr>
          <w:rStyle w:val="FootnoteReference"/>
          <w:rFonts w:hint="cs"/>
          <w:color w:val="000000" w:themeColor="text1"/>
        </w:rPr>
        <w:footnoteRef/>
      </w:r>
      <w:r w:rsidRPr="00CD21CF">
        <w:rPr>
          <w:rFonts w:hint="cs"/>
          <w:color w:val="000000" w:themeColor="text1"/>
          <w:rtl/>
        </w:rPr>
        <w:t xml:space="preserve"> </w:t>
      </w:r>
      <w:r w:rsidRPr="00CD21CF">
        <w:rPr>
          <w:rFonts w:hint="cs"/>
          <w:color w:val="000000" w:themeColor="text1"/>
          <w:rtl/>
        </w:rPr>
        <w:t xml:space="preserve">בהקשר זה בולטת </w:t>
      </w:r>
      <w:r w:rsidR="006A1474" w:rsidRPr="00CD21CF">
        <w:rPr>
          <w:rFonts w:hint="cs"/>
          <w:color w:val="000000" w:themeColor="text1"/>
          <w:rtl/>
        </w:rPr>
        <w:t xml:space="preserve">מאוד </w:t>
      </w:r>
      <w:r w:rsidRPr="00CD21CF">
        <w:rPr>
          <w:rFonts w:hint="cs"/>
          <w:color w:val="000000" w:themeColor="text1"/>
          <w:rtl/>
        </w:rPr>
        <w:t xml:space="preserve">נוסחת מיתתו של יהוידע שזהה לנוסחאות </w:t>
      </w:r>
      <w:r w:rsidR="00E93319">
        <w:rPr>
          <w:rFonts w:hint="cs"/>
          <w:color w:val="000000" w:themeColor="text1"/>
          <w:rtl/>
        </w:rPr>
        <w:t xml:space="preserve">המיתה </w:t>
      </w:r>
      <w:r w:rsidRPr="00CD21CF">
        <w:rPr>
          <w:rFonts w:hint="cs"/>
          <w:color w:val="000000" w:themeColor="text1"/>
          <w:rtl/>
        </w:rPr>
        <w:t xml:space="preserve">של מלכי בית דוד הצדיקים, ויש בה אפילו מוטיבים </w:t>
      </w:r>
      <w:r w:rsidR="004B1C80">
        <w:rPr>
          <w:rFonts w:hint="cs"/>
          <w:color w:val="000000" w:themeColor="text1"/>
          <w:rtl/>
        </w:rPr>
        <w:t xml:space="preserve">מובהקים </w:t>
      </w:r>
      <w:r w:rsidRPr="00CD21CF">
        <w:rPr>
          <w:rFonts w:hint="cs"/>
          <w:color w:val="000000" w:themeColor="text1"/>
          <w:rtl/>
        </w:rPr>
        <w:t xml:space="preserve">לנוסחת המיתה של דוד, ראו דה״א </w:t>
      </w:r>
      <w:proofErr w:type="spellStart"/>
      <w:r w:rsidRPr="00CD21CF">
        <w:rPr>
          <w:rFonts w:hint="cs"/>
          <w:color w:val="000000" w:themeColor="text1"/>
          <w:rtl/>
        </w:rPr>
        <w:t>כט</w:t>
      </w:r>
      <w:proofErr w:type="spellEnd"/>
      <w:r w:rsidRPr="00CD21CF">
        <w:rPr>
          <w:rFonts w:hint="cs"/>
          <w:color w:val="000000" w:themeColor="text1"/>
          <w:rtl/>
        </w:rPr>
        <w:t xml:space="preserve"> 28 והשוו לדה״ב כד 15.</w:t>
      </w:r>
    </w:p>
  </w:footnote>
  <w:footnote w:id="31">
    <w:p w14:paraId="6EAFC842" w14:textId="77777777" w:rsidR="00CD21CF" w:rsidRPr="00CD21CF" w:rsidRDefault="00CD21CF" w:rsidP="008F2674">
      <w:pPr>
        <w:pStyle w:val="FootnoteText"/>
        <w:spacing w:line="480" w:lineRule="auto"/>
        <w:rPr>
          <w:rtl/>
        </w:rPr>
      </w:pPr>
      <w:r w:rsidRPr="00CD21CF">
        <w:rPr>
          <w:rStyle w:val="FootnoteReference"/>
          <w:rFonts w:hint="cs"/>
        </w:rPr>
        <w:footnoteRef/>
      </w:r>
      <w:r w:rsidRPr="00CD21CF">
        <w:rPr>
          <w:rFonts w:hint="cs"/>
          <w:rtl/>
        </w:rPr>
        <w:t xml:space="preserve"> השוו </w:t>
      </w:r>
      <w:proofErr w:type="spellStart"/>
      <w:r w:rsidRPr="00CD21CF">
        <w:rPr>
          <w:rFonts w:hint="cs"/>
        </w:rPr>
        <w:t>Etz</w:t>
      </w:r>
      <w:proofErr w:type="spellEnd"/>
      <w:r w:rsidRPr="00CD21CF">
        <w:rPr>
          <w:rFonts w:hint="cs"/>
        </w:rPr>
        <w:t>, “The Genealogical”, 50-53</w:t>
      </w:r>
      <w:r w:rsidRPr="00CD21CF">
        <w:rPr>
          <w:rFonts w:hint="cs"/>
          <w:rtl/>
        </w:rPr>
        <w:t xml:space="preserve"> אמנם אין צורך לאמץ את מסקנותיו, אך השאלות שהוא מעורר בוודאי תורמות לתחושה כי לא נותר לאחז עוד יורש מתוך בניו.</w:t>
      </w:r>
    </w:p>
  </w:footnote>
  <w:footnote w:id="32">
    <w:p w14:paraId="68A2734D" w14:textId="77777777" w:rsidR="00CD21CF" w:rsidRPr="00CD21CF" w:rsidRDefault="00CD21CF" w:rsidP="008F2674">
      <w:pPr>
        <w:pStyle w:val="FootnoteText"/>
        <w:spacing w:line="480" w:lineRule="auto"/>
      </w:pPr>
      <w:r w:rsidRPr="00CD21CF">
        <w:rPr>
          <w:rStyle w:val="FootnoteReference"/>
          <w:rFonts w:hint="cs"/>
        </w:rPr>
        <w:footnoteRef/>
      </w:r>
      <w:r w:rsidRPr="00CD21CF">
        <w:rPr>
          <w:rFonts w:hint="cs"/>
          <w:rtl/>
        </w:rPr>
        <w:t xml:space="preserve"> על התפיסה המורכבת של </w:t>
      </w:r>
      <w:proofErr w:type="spellStart"/>
      <w:r w:rsidRPr="00CD21CF">
        <w:rPr>
          <w:rFonts w:hint="cs"/>
          <w:rtl/>
        </w:rPr>
        <w:t>הכרוניסט</w:t>
      </w:r>
      <w:proofErr w:type="spellEnd"/>
      <w:r w:rsidRPr="00CD21CF">
        <w:rPr>
          <w:rFonts w:hint="cs"/>
          <w:rtl/>
        </w:rPr>
        <w:t xml:space="preserve"> ראו בן-צבי, </w:t>
      </w:r>
      <w:r w:rsidRPr="00CD21CF">
        <w:rPr>
          <w:rFonts w:hint="cs"/>
        </w:rPr>
        <w:t>History</w:t>
      </w:r>
      <w:r w:rsidRPr="00CD21CF">
        <w:rPr>
          <w:rFonts w:hint="cs"/>
          <w:rtl/>
        </w:rPr>
        <w:t>, 165</w:t>
      </w:r>
      <w:r w:rsidRPr="00CD21CF">
        <w:rPr>
          <w:rFonts w:hint="cs"/>
        </w:rPr>
        <w:t xml:space="preserve"> </w:t>
      </w:r>
    </w:p>
    <w:p w14:paraId="3B2E3D65" w14:textId="77777777" w:rsidR="00CD21CF" w:rsidRPr="00CD21CF" w:rsidRDefault="00CD21CF" w:rsidP="008F2674">
      <w:pPr>
        <w:pStyle w:val="FootnoteText"/>
        <w:spacing w:line="48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A60EA"/>
    <w:multiLevelType w:val="multilevel"/>
    <w:tmpl w:val="61206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FA3C7C"/>
    <w:multiLevelType w:val="hybridMultilevel"/>
    <w:tmpl w:val="E904F6F4"/>
    <w:lvl w:ilvl="0" w:tplc="FEC80D3A">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2198C"/>
    <w:multiLevelType w:val="hybridMultilevel"/>
    <w:tmpl w:val="6C08F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0F6B7E"/>
    <w:multiLevelType w:val="hybridMultilevel"/>
    <w:tmpl w:val="1BDC33B2"/>
    <w:lvl w:ilvl="0" w:tplc="8AB266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3B46B1"/>
    <w:multiLevelType w:val="hybridMultilevel"/>
    <w:tmpl w:val="EFA09740"/>
    <w:lvl w:ilvl="0" w:tplc="270C5A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17595"/>
    <w:multiLevelType w:val="hybridMultilevel"/>
    <w:tmpl w:val="5C7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502F40"/>
    <w:multiLevelType w:val="hybridMultilevel"/>
    <w:tmpl w:val="D1F40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50"/>
    <w:rsid w:val="000218C1"/>
    <w:rsid w:val="00021CCB"/>
    <w:rsid w:val="00022E7B"/>
    <w:rsid w:val="000306D5"/>
    <w:rsid w:val="00047EAA"/>
    <w:rsid w:val="00057110"/>
    <w:rsid w:val="00066F7D"/>
    <w:rsid w:val="00070F16"/>
    <w:rsid w:val="000725EF"/>
    <w:rsid w:val="000778E2"/>
    <w:rsid w:val="00087398"/>
    <w:rsid w:val="00093C56"/>
    <w:rsid w:val="000969FA"/>
    <w:rsid w:val="000A6067"/>
    <w:rsid w:val="000C1BD9"/>
    <w:rsid w:val="000C3DED"/>
    <w:rsid w:val="000E414B"/>
    <w:rsid w:val="000F2205"/>
    <w:rsid w:val="000F31FC"/>
    <w:rsid w:val="000F697D"/>
    <w:rsid w:val="0010746B"/>
    <w:rsid w:val="00113F45"/>
    <w:rsid w:val="0011492F"/>
    <w:rsid w:val="00116D82"/>
    <w:rsid w:val="0013088F"/>
    <w:rsid w:val="001371C8"/>
    <w:rsid w:val="00144419"/>
    <w:rsid w:val="00146CBC"/>
    <w:rsid w:val="0015160F"/>
    <w:rsid w:val="00152C88"/>
    <w:rsid w:val="00152E79"/>
    <w:rsid w:val="00155376"/>
    <w:rsid w:val="00160917"/>
    <w:rsid w:val="001674E1"/>
    <w:rsid w:val="001A541D"/>
    <w:rsid w:val="001C1BD8"/>
    <w:rsid w:val="001C2815"/>
    <w:rsid w:val="001C55D2"/>
    <w:rsid w:val="001E2468"/>
    <w:rsid w:val="001E3552"/>
    <w:rsid w:val="001F57C3"/>
    <w:rsid w:val="00200776"/>
    <w:rsid w:val="002011C7"/>
    <w:rsid w:val="00202168"/>
    <w:rsid w:val="0020253B"/>
    <w:rsid w:val="0020503E"/>
    <w:rsid w:val="0020662A"/>
    <w:rsid w:val="002202B9"/>
    <w:rsid w:val="002217D9"/>
    <w:rsid w:val="00223D71"/>
    <w:rsid w:val="0023211D"/>
    <w:rsid w:val="00257188"/>
    <w:rsid w:val="0027081A"/>
    <w:rsid w:val="00271B02"/>
    <w:rsid w:val="00277721"/>
    <w:rsid w:val="00281307"/>
    <w:rsid w:val="002874FA"/>
    <w:rsid w:val="002916BE"/>
    <w:rsid w:val="002A1623"/>
    <w:rsid w:val="002A47F6"/>
    <w:rsid w:val="002B039B"/>
    <w:rsid w:val="002B3CC0"/>
    <w:rsid w:val="002C29AA"/>
    <w:rsid w:val="002C7015"/>
    <w:rsid w:val="002D1667"/>
    <w:rsid w:val="002D3159"/>
    <w:rsid w:val="002F1E7F"/>
    <w:rsid w:val="002F38DB"/>
    <w:rsid w:val="003025B3"/>
    <w:rsid w:val="00305F75"/>
    <w:rsid w:val="00307E81"/>
    <w:rsid w:val="00316C71"/>
    <w:rsid w:val="00317235"/>
    <w:rsid w:val="00321469"/>
    <w:rsid w:val="00323DFD"/>
    <w:rsid w:val="00326FC7"/>
    <w:rsid w:val="00336730"/>
    <w:rsid w:val="003538F2"/>
    <w:rsid w:val="00373CE4"/>
    <w:rsid w:val="00382463"/>
    <w:rsid w:val="00390781"/>
    <w:rsid w:val="003912FA"/>
    <w:rsid w:val="003A09F2"/>
    <w:rsid w:val="003A1339"/>
    <w:rsid w:val="003B2A3F"/>
    <w:rsid w:val="003C11AB"/>
    <w:rsid w:val="003C253A"/>
    <w:rsid w:val="003D2AB7"/>
    <w:rsid w:val="003D2C73"/>
    <w:rsid w:val="003D3EE1"/>
    <w:rsid w:val="003D5E86"/>
    <w:rsid w:val="003E0E1D"/>
    <w:rsid w:val="003E1981"/>
    <w:rsid w:val="003E3296"/>
    <w:rsid w:val="003F187F"/>
    <w:rsid w:val="003F75C9"/>
    <w:rsid w:val="0040095B"/>
    <w:rsid w:val="00402E88"/>
    <w:rsid w:val="004066DE"/>
    <w:rsid w:val="0041601E"/>
    <w:rsid w:val="004223D5"/>
    <w:rsid w:val="004376A2"/>
    <w:rsid w:val="00443FC9"/>
    <w:rsid w:val="004458F7"/>
    <w:rsid w:val="00460157"/>
    <w:rsid w:val="00461655"/>
    <w:rsid w:val="00463F5A"/>
    <w:rsid w:val="0046693F"/>
    <w:rsid w:val="004744A1"/>
    <w:rsid w:val="00482D2D"/>
    <w:rsid w:val="00487109"/>
    <w:rsid w:val="00492B9E"/>
    <w:rsid w:val="004932DC"/>
    <w:rsid w:val="00497D05"/>
    <w:rsid w:val="004A356B"/>
    <w:rsid w:val="004B1A51"/>
    <w:rsid w:val="004B1C80"/>
    <w:rsid w:val="004B3BA5"/>
    <w:rsid w:val="004D041C"/>
    <w:rsid w:val="004E39A6"/>
    <w:rsid w:val="004E50B0"/>
    <w:rsid w:val="004F3492"/>
    <w:rsid w:val="0050317D"/>
    <w:rsid w:val="005069D2"/>
    <w:rsid w:val="005100FF"/>
    <w:rsid w:val="0051116A"/>
    <w:rsid w:val="00512C6C"/>
    <w:rsid w:val="00514F83"/>
    <w:rsid w:val="00516B2A"/>
    <w:rsid w:val="00516FBE"/>
    <w:rsid w:val="00517C00"/>
    <w:rsid w:val="00533610"/>
    <w:rsid w:val="005416A0"/>
    <w:rsid w:val="005535A5"/>
    <w:rsid w:val="005675EB"/>
    <w:rsid w:val="00572736"/>
    <w:rsid w:val="00572A0C"/>
    <w:rsid w:val="00576BF6"/>
    <w:rsid w:val="0058071C"/>
    <w:rsid w:val="005850D8"/>
    <w:rsid w:val="00585E68"/>
    <w:rsid w:val="005942A4"/>
    <w:rsid w:val="005A0FA7"/>
    <w:rsid w:val="005A5482"/>
    <w:rsid w:val="005C082B"/>
    <w:rsid w:val="005C28D2"/>
    <w:rsid w:val="005C7BD4"/>
    <w:rsid w:val="005F2F24"/>
    <w:rsid w:val="005F435C"/>
    <w:rsid w:val="005F5E89"/>
    <w:rsid w:val="006108C6"/>
    <w:rsid w:val="00624A0E"/>
    <w:rsid w:val="006276C5"/>
    <w:rsid w:val="00631430"/>
    <w:rsid w:val="006340C6"/>
    <w:rsid w:val="00634855"/>
    <w:rsid w:val="006508AC"/>
    <w:rsid w:val="00653D19"/>
    <w:rsid w:val="00664824"/>
    <w:rsid w:val="00671D56"/>
    <w:rsid w:val="0069323D"/>
    <w:rsid w:val="00695FCE"/>
    <w:rsid w:val="006A1474"/>
    <w:rsid w:val="006C03F1"/>
    <w:rsid w:val="006C13FD"/>
    <w:rsid w:val="006C2EEA"/>
    <w:rsid w:val="006D15CD"/>
    <w:rsid w:val="006D28CB"/>
    <w:rsid w:val="006E35B6"/>
    <w:rsid w:val="006E4307"/>
    <w:rsid w:val="006F2B90"/>
    <w:rsid w:val="006F7FCE"/>
    <w:rsid w:val="00706E9E"/>
    <w:rsid w:val="0070721F"/>
    <w:rsid w:val="00712B50"/>
    <w:rsid w:val="00717527"/>
    <w:rsid w:val="007264B1"/>
    <w:rsid w:val="00730A27"/>
    <w:rsid w:val="00730EF6"/>
    <w:rsid w:val="0073218D"/>
    <w:rsid w:val="00733468"/>
    <w:rsid w:val="00740767"/>
    <w:rsid w:val="0074390C"/>
    <w:rsid w:val="00751607"/>
    <w:rsid w:val="007552BD"/>
    <w:rsid w:val="00757B6D"/>
    <w:rsid w:val="0076262D"/>
    <w:rsid w:val="00776909"/>
    <w:rsid w:val="0078178B"/>
    <w:rsid w:val="00783F65"/>
    <w:rsid w:val="0078562A"/>
    <w:rsid w:val="0079421E"/>
    <w:rsid w:val="00797C60"/>
    <w:rsid w:val="00797DE7"/>
    <w:rsid w:val="007C7D43"/>
    <w:rsid w:val="007D4B68"/>
    <w:rsid w:val="007D5213"/>
    <w:rsid w:val="007D6B46"/>
    <w:rsid w:val="007E1A1A"/>
    <w:rsid w:val="007E4B6A"/>
    <w:rsid w:val="007F5C3F"/>
    <w:rsid w:val="00802706"/>
    <w:rsid w:val="0081327C"/>
    <w:rsid w:val="00813BB6"/>
    <w:rsid w:val="00814BBE"/>
    <w:rsid w:val="008162FB"/>
    <w:rsid w:val="00817803"/>
    <w:rsid w:val="00821ED8"/>
    <w:rsid w:val="008223C3"/>
    <w:rsid w:val="008232CA"/>
    <w:rsid w:val="00825707"/>
    <w:rsid w:val="00835140"/>
    <w:rsid w:val="00837ACB"/>
    <w:rsid w:val="0084552E"/>
    <w:rsid w:val="008507A2"/>
    <w:rsid w:val="00852011"/>
    <w:rsid w:val="00860FB2"/>
    <w:rsid w:val="008677E4"/>
    <w:rsid w:val="00872198"/>
    <w:rsid w:val="008751C3"/>
    <w:rsid w:val="008849BF"/>
    <w:rsid w:val="00885D17"/>
    <w:rsid w:val="008A292B"/>
    <w:rsid w:val="008A2A68"/>
    <w:rsid w:val="008A56FC"/>
    <w:rsid w:val="008B0A47"/>
    <w:rsid w:val="008B1E2F"/>
    <w:rsid w:val="008C0D46"/>
    <w:rsid w:val="008D691A"/>
    <w:rsid w:val="008E04A5"/>
    <w:rsid w:val="008F2674"/>
    <w:rsid w:val="00902EBF"/>
    <w:rsid w:val="00914F5A"/>
    <w:rsid w:val="00921EC8"/>
    <w:rsid w:val="0092315C"/>
    <w:rsid w:val="0092649B"/>
    <w:rsid w:val="009305DC"/>
    <w:rsid w:val="00930611"/>
    <w:rsid w:val="00934CF9"/>
    <w:rsid w:val="009374C4"/>
    <w:rsid w:val="009411E3"/>
    <w:rsid w:val="00943E94"/>
    <w:rsid w:val="009471A6"/>
    <w:rsid w:val="00947A7E"/>
    <w:rsid w:val="00956B9B"/>
    <w:rsid w:val="0095767D"/>
    <w:rsid w:val="00962E71"/>
    <w:rsid w:val="009771C8"/>
    <w:rsid w:val="00986C6F"/>
    <w:rsid w:val="009907AF"/>
    <w:rsid w:val="00995FE4"/>
    <w:rsid w:val="009A1727"/>
    <w:rsid w:val="009A19CC"/>
    <w:rsid w:val="009A283F"/>
    <w:rsid w:val="009B1227"/>
    <w:rsid w:val="009C0D52"/>
    <w:rsid w:val="009C2BCB"/>
    <w:rsid w:val="009C2C94"/>
    <w:rsid w:val="009C50AC"/>
    <w:rsid w:val="009C7304"/>
    <w:rsid w:val="009C7B89"/>
    <w:rsid w:val="009D061E"/>
    <w:rsid w:val="009D30C5"/>
    <w:rsid w:val="009D4364"/>
    <w:rsid w:val="009D48C3"/>
    <w:rsid w:val="009E04BA"/>
    <w:rsid w:val="009F7CFC"/>
    <w:rsid w:val="00A03268"/>
    <w:rsid w:val="00A037AA"/>
    <w:rsid w:val="00A03EA2"/>
    <w:rsid w:val="00A04472"/>
    <w:rsid w:val="00A048BE"/>
    <w:rsid w:val="00A133A7"/>
    <w:rsid w:val="00A135DE"/>
    <w:rsid w:val="00A215C5"/>
    <w:rsid w:val="00A3317A"/>
    <w:rsid w:val="00A419A6"/>
    <w:rsid w:val="00A52808"/>
    <w:rsid w:val="00A54F6A"/>
    <w:rsid w:val="00A707FD"/>
    <w:rsid w:val="00A72BA4"/>
    <w:rsid w:val="00A8781B"/>
    <w:rsid w:val="00A92BF0"/>
    <w:rsid w:val="00A96CEC"/>
    <w:rsid w:val="00AA521C"/>
    <w:rsid w:val="00AB7D2C"/>
    <w:rsid w:val="00AC4C8B"/>
    <w:rsid w:val="00AD4F2C"/>
    <w:rsid w:val="00AD5C45"/>
    <w:rsid w:val="00AE12C6"/>
    <w:rsid w:val="00AE3DA1"/>
    <w:rsid w:val="00AF45F9"/>
    <w:rsid w:val="00AF540F"/>
    <w:rsid w:val="00AF76A9"/>
    <w:rsid w:val="00B0226D"/>
    <w:rsid w:val="00B02A42"/>
    <w:rsid w:val="00B035AC"/>
    <w:rsid w:val="00B0367A"/>
    <w:rsid w:val="00B056A3"/>
    <w:rsid w:val="00B05965"/>
    <w:rsid w:val="00B230B6"/>
    <w:rsid w:val="00B279EF"/>
    <w:rsid w:val="00B43FFA"/>
    <w:rsid w:val="00B444D4"/>
    <w:rsid w:val="00B4478A"/>
    <w:rsid w:val="00B5176C"/>
    <w:rsid w:val="00B5549F"/>
    <w:rsid w:val="00B67448"/>
    <w:rsid w:val="00B707C8"/>
    <w:rsid w:val="00B72EE3"/>
    <w:rsid w:val="00B75184"/>
    <w:rsid w:val="00B75C97"/>
    <w:rsid w:val="00B93ADD"/>
    <w:rsid w:val="00B94AE0"/>
    <w:rsid w:val="00B96709"/>
    <w:rsid w:val="00B97E4E"/>
    <w:rsid w:val="00BA7BDA"/>
    <w:rsid w:val="00BB2B4B"/>
    <w:rsid w:val="00BC6796"/>
    <w:rsid w:val="00BD27B4"/>
    <w:rsid w:val="00BD7943"/>
    <w:rsid w:val="00BE1795"/>
    <w:rsid w:val="00BE1BFB"/>
    <w:rsid w:val="00BE4DC1"/>
    <w:rsid w:val="00BE53ED"/>
    <w:rsid w:val="00BF2D71"/>
    <w:rsid w:val="00C052B4"/>
    <w:rsid w:val="00C0715B"/>
    <w:rsid w:val="00C103E4"/>
    <w:rsid w:val="00C120D8"/>
    <w:rsid w:val="00C12F92"/>
    <w:rsid w:val="00C150D6"/>
    <w:rsid w:val="00C21A4C"/>
    <w:rsid w:val="00C34575"/>
    <w:rsid w:val="00C3542A"/>
    <w:rsid w:val="00C43994"/>
    <w:rsid w:val="00C57DBD"/>
    <w:rsid w:val="00C602E1"/>
    <w:rsid w:val="00C65636"/>
    <w:rsid w:val="00C71DE6"/>
    <w:rsid w:val="00C8188C"/>
    <w:rsid w:val="00C82C2F"/>
    <w:rsid w:val="00C86819"/>
    <w:rsid w:val="00C870F1"/>
    <w:rsid w:val="00C876A4"/>
    <w:rsid w:val="00C90B45"/>
    <w:rsid w:val="00C95CC5"/>
    <w:rsid w:val="00CB74CE"/>
    <w:rsid w:val="00CC05E6"/>
    <w:rsid w:val="00CC26BA"/>
    <w:rsid w:val="00CD1F68"/>
    <w:rsid w:val="00CD21CF"/>
    <w:rsid w:val="00CE30DF"/>
    <w:rsid w:val="00CF49BC"/>
    <w:rsid w:val="00D07603"/>
    <w:rsid w:val="00D11D6B"/>
    <w:rsid w:val="00D15F1D"/>
    <w:rsid w:val="00D20CAC"/>
    <w:rsid w:val="00D21701"/>
    <w:rsid w:val="00D22355"/>
    <w:rsid w:val="00D22BD9"/>
    <w:rsid w:val="00D236CB"/>
    <w:rsid w:val="00D457D7"/>
    <w:rsid w:val="00D60116"/>
    <w:rsid w:val="00D66C00"/>
    <w:rsid w:val="00D735EE"/>
    <w:rsid w:val="00D76AA6"/>
    <w:rsid w:val="00D76BA0"/>
    <w:rsid w:val="00D81522"/>
    <w:rsid w:val="00D81719"/>
    <w:rsid w:val="00D86041"/>
    <w:rsid w:val="00DA160F"/>
    <w:rsid w:val="00DA278B"/>
    <w:rsid w:val="00DA34D6"/>
    <w:rsid w:val="00DB2319"/>
    <w:rsid w:val="00DB27C1"/>
    <w:rsid w:val="00DB2B84"/>
    <w:rsid w:val="00DC42B0"/>
    <w:rsid w:val="00DC783F"/>
    <w:rsid w:val="00DD1559"/>
    <w:rsid w:val="00DD3A4C"/>
    <w:rsid w:val="00DD4C23"/>
    <w:rsid w:val="00DE29C6"/>
    <w:rsid w:val="00DF0CB6"/>
    <w:rsid w:val="00E00C9C"/>
    <w:rsid w:val="00E03E15"/>
    <w:rsid w:val="00E23FF4"/>
    <w:rsid w:val="00E26CA5"/>
    <w:rsid w:val="00E37431"/>
    <w:rsid w:val="00E4073E"/>
    <w:rsid w:val="00E44457"/>
    <w:rsid w:val="00E44FC2"/>
    <w:rsid w:val="00E45634"/>
    <w:rsid w:val="00E602C0"/>
    <w:rsid w:val="00E64F59"/>
    <w:rsid w:val="00E7036A"/>
    <w:rsid w:val="00E752BC"/>
    <w:rsid w:val="00E7672F"/>
    <w:rsid w:val="00E843BC"/>
    <w:rsid w:val="00E91EDB"/>
    <w:rsid w:val="00E92196"/>
    <w:rsid w:val="00E93319"/>
    <w:rsid w:val="00E97E11"/>
    <w:rsid w:val="00EA1747"/>
    <w:rsid w:val="00EA68BB"/>
    <w:rsid w:val="00EB3F61"/>
    <w:rsid w:val="00EB4697"/>
    <w:rsid w:val="00EB6BEB"/>
    <w:rsid w:val="00EC0474"/>
    <w:rsid w:val="00EE0EDA"/>
    <w:rsid w:val="00EE4F5B"/>
    <w:rsid w:val="00EF0B6F"/>
    <w:rsid w:val="00EF2F53"/>
    <w:rsid w:val="00F06AB5"/>
    <w:rsid w:val="00F0703D"/>
    <w:rsid w:val="00F12F6F"/>
    <w:rsid w:val="00F15FC7"/>
    <w:rsid w:val="00F22D8B"/>
    <w:rsid w:val="00F25476"/>
    <w:rsid w:val="00F4168A"/>
    <w:rsid w:val="00F47D7C"/>
    <w:rsid w:val="00F571B5"/>
    <w:rsid w:val="00F675B3"/>
    <w:rsid w:val="00F72C1B"/>
    <w:rsid w:val="00F73590"/>
    <w:rsid w:val="00F74FB0"/>
    <w:rsid w:val="00F85113"/>
    <w:rsid w:val="00F911BC"/>
    <w:rsid w:val="00F94E34"/>
    <w:rsid w:val="00FB4127"/>
    <w:rsid w:val="00FC6989"/>
    <w:rsid w:val="00FD1DEB"/>
    <w:rsid w:val="00FD7376"/>
    <w:rsid w:val="00FE2883"/>
    <w:rsid w:val="00FE6837"/>
    <w:rsid w:val="00FF1270"/>
    <w:rsid w:val="00FF57DE"/>
    <w:rsid w:val="00FF7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E449"/>
  <w15:chartTrackingRefBased/>
  <w15:docId w15:val="{588DA8BE-B29D-6A48-BE47-D98BFF7D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avid" w:eastAsiaTheme="minorHAnsi" w:hAnsi="David" w:cs="David"/>
        <w:lang w:val="en-US" w:eastAsia="en-US" w:bidi="he-IL"/>
      </w:rPr>
    </w:rPrDefault>
    <w:pPrDefault>
      <w:pPr>
        <w:bidi/>
        <w:spacing w:line="360"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18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B50"/>
    <w:rPr>
      <w:rFonts w:ascii="Times New Roman" w:hAnsi="Times New Roman" w:cs="Times New Roman"/>
    </w:rPr>
  </w:style>
  <w:style w:type="paragraph" w:styleId="FootnoteText">
    <w:name w:val="footnote text"/>
    <w:basedOn w:val="Normal"/>
    <w:link w:val="FootnoteTextChar"/>
    <w:uiPriority w:val="99"/>
    <w:unhideWhenUsed/>
    <w:rsid w:val="009C7B89"/>
  </w:style>
  <w:style w:type="character" w:customStyle="1" w:styleId="FootnoteTextChar">
    <w:name w:val="Footnote Text Char"/>
    <w:basedOn w:val="DefaultParagraphFont"/>
    <w:link w:val="FootnoteText"/>
    <w:uiPriority w:val="99"/>
    <w:rsid w:val="009C7B89"/>
    <w:rPr>
      <w:sz w:val="20"/>
      <w:szCs w:val="20"/>
    </w:rPr>
  </w:style>
  <w:style w:type="character" w:styleId="FootnoteReference">
    <w:name w:val="footnote reference"/>
    <w:basedOn w:val="DefaultParagraphFont"/>
    <w:uiPriority w:val="99"/>
    <w:semiHidden/>
    <w:unhideWhenUsed/>
    <w:rsid w:val="009C7B89"/>
    <w:rPr>
      <w:vertAlign w:val="superscript"/>
    </w:rPr>
  </w:style>
  <w:style w:type="table" w:styleId="TableGrid">
    <w:name w:val="Table Grid"/>
    <w:basedOn w:val="TableNormal"/>
    <w:uiPriority w:val="39"/>
    <w:rsid w:val="00DB2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7A7E"/>
    <w:rPr>
      <w:color w:val="0563C1" w:themeColor="hyperlink"/>
      <w:u w:val="single"/>
    </w:rPr>
  </w:style>
  <w:style w:type="character" w:customStyle="1" w:styleId="1">
    <w:name w:val="אזכור לא מזוהה1"/>
    <w:basedOn w:val="DefaultParagraphFont"/>
    <w:uiPriority w:val="99"/>
    <w:semiHidden/>
    <w:unhideWhenUsed/>
    <w:rsid w:val="00947A7E"/>
    <w:rPr>
      <w:color w:val="605E5C"/>
      <w:shd w:val="clear" w:color="auto" w:fill="E1DFDD"/>
    </w:rPr>
  </w:style>
  <w:style w:type="paragraph" w:styleId="ListParagraph">
    <w:name w:val="List Paragraph"/>
    <w:basedOn w:val="Normal"/>
    <w:uiPriority w:val="34"/>
    <w:qFormat/>
    <w:rsid w:val="00DC42B0"/>
    <w:pPr>
      <w:ind w:left="720"/>
      <w:contextualSpacing/>
    </w:pPr>
  </w:style>
  <w:style w:type="paragraph" w:styleId="NoSpacing">
    <w:name w:val="No Spacing"/>
    <w:uiPriority w:val="1"/>
    <w:qFormat/>
    <w:rsid w:val="00A419A6"/>
    <w:pPr>
      <w:spacing w:line="240" w:lineRule="auto"/>
    </w:pPr>
  </w:style>
  <w:style w:type="character" w:customStyle="1" w:styleId="Heading1Char">
    <w:name w:val="Heading 1 Char"/>
    <w:basedOn w:val="DefaultParagraphFont"/>
    <w:link w:val="Heading1"/>
    <w:uiPriority w:val="9"/>
    <w:rsid w:val="00C8188C"/>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D76BA0"/>
    <w:pPr>
      <w:spacing w:line="240" w:lineRule="auto"/>
    </w:pPr>
  </w:style>
  <w:style w:type="character" w:customStyle="1" w:styleId="EndnoteTextChar">
    <w:name w:val="Endnote Text Char"/>
    <w:basedOn w:val="DefaultParagraphFont"/>
    <w:link w:val="EndnoteText"/>
    <w:uiPriority w:val="99"/>
    <w:semiHidden/>
    <w:rsid w:val="00D76BA0"/>
  </w:style>
  <w:style w:type="character" w:styleId="EndnoteReference">
    <w:name w:val="endnote reference"/>
    <w:basedOn w:val="DefaultParagraphFont"/>
    <w:uiPriority w:val="99"/>
    <w:semiHidden/>
    <w:unhideWhenUsed/>
    <w:rsid w:val="00D76BA0"/>
    <w:rPr>
      <w:vertAlign w:val="superscript"/>
    </w:rPr>
  </w:style>
  <w:style w:type="character" w:styleId="FollowedHyperlink">
    <w:name w:val="FollowedHyperlink"/>
    <w:basedOn w:val="DefaultParagraphFont"/>
    <w:uiPriority w:val="99"/>
    <w:semiHidden/>
    <w:unhideWhenUsed/>
    <w:rsid w:val="00D81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9484">
      <w:bodyDiv w:val="1"/>
      <w:marLeft w:val="0"/>
      <w:marRight w:val="0"/>
      <w:marTop w:val="0"/>
      <w:marBottom w:val="0"/>
      <w:divBdr>
        <w:top w:val="none" w:sz="0" w:space="0" w:color="auto"/>
        <w:left w:val="none" w:sz="0" w:space="0" w:color="auto"/>
        <w:bottom w:val="none" w:sz="0" w:space="0" w:color="auto"/>
        <w:right w:val="none" w:sz="0" w:space="0" w:color="auto"/>
      </w:divBdr>
    </w:div>
    <w:div w:id="132842514">
      <w:bodyDiv w:val="1"/>
      <w:marLeft w:val="0"/>
      <w:marRight w:val="0"/>
      <w:marTop w:val="0"/>
      <w:marBottom w:val="0"/>
      <w:divBdr>
        <w:top w:val="none" w:sz="0" w:space="0" w:color="auto"/>
        <w:left w:val="none" w:sz="0" w:space="0" w:color="auto"/>
        <w:bottom w:val="none" w:sz="0" w:space="0" w:color="auto"/>
        <w:right w:val="none" w:sz="0" w:space="0" w:color="auto"/>
      </w:divBdr>
      <w:divsChild>
        <w:div w:id="1463694753">
          <w:marLeft w:val="0"/>
          <w:marRight w:val="0"/>
          <w:marTop w:val="0"/>
          <w:marBottom w:val="0"/>
          <w:divBdr>
            <w:top w:val="none" w:sz="0" w:space="0" w:color="auto"/>
            <w:left w:val="none" w:sz="0" w:space="0" w:color="auto"/>
            <w:bottom w:val="none" w:sz="0" w:space="0" w:color="auto"/>
            <w:right w:val="none" w:sz="0" w:space="0" w:color="auto"/>
          </w:divBdr>
          <w:divsChild>
            <w:div w:id="134298800">
              <w:marLeft w:val="0"/>
              <w:marRight w:val="0"/>
              <w:marTop w:val="0"/>
              <w:marBottom w:val="0"/>
              <w:divBdr>
                <w:top w:val="none" w:sz="0" w:space="0" w:color="auto"/>
                <w:left w:val="none" w:sz="0" w:space="0" w:color="auto"/>
                <w:bottom w:val="none" w:sz="0" w:space="0" w:color="auto"/>
                <w:right w:val="none" w:sz="0" w:space="0" w:color="auto"/>
              </w:divBdr>
              <w:divsChild>
                <w:div w:id="233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2267">
      <w:bodyDiv w:val="1"/>
      <w:marLeft w:val="0"/>
      <w:marRight w:val="0"/>
      <w:marTop w:val="0"/>
      <w:marBottom w:val="0"/>
      <w:divBdr>
        <w:top w:val="none" w:sz="0" w:space="0" w:color="auto"/>
        <w:left w:val="none" w:sz="0" w:space="0" w:color="auto"/>
        <w:bottom w:val="none" w:sz="0" w:space="0" w:color="auto"/>
        <w:right w:val="none" w:sz="0" w:space="0" w:color="auto"/>
      </w:divBdr>
    </w:div>
    <w:div w:id="223876540">
      <w:bodyDiv w:val="1"/>
      <w:marLeft w:val="0"/>
      <w:marRight w:val="0"/>
      <w:marTop w:val="0"/>
      <w:marBottom w:val="0"/>
      <w:divBdr>
        <w:top w:val="none" w:sz="0" w:space="0" w:color="auto"/>
        <w:left w:val="none" w:sz="0" w:space="0" w:color="auto"/>
        <w:bottom w:val="none" w:sz="0" w:space="0" w:color="auto"/>
        <w:right w:val="none" w:sz="0" w:space="0" w:color="auto"/>
      </w:divBdr>
    </w:div>
    <w:div w:id="285044856">
      <w:bodyDiv w:val="1"/>
      <w:marLeft w:val="0"/>
      <w:marRight w:val="0"/>
      <w:marTop w:val="0"/>
      <w:marBottom w:val="0"/>
      <w:divBdr>
        <w:top w:val="none" w:sz="0" w:space="0" w:color="auto"/>
        <w:left w:val="none" w:sz="0" w:space="0" w:color="auto"/>
        <w:bottom w:val="none" w:sz="0" w:space="0" w:color="auto"/>
        <w:right w:val="none" w:sz="0" w:space="0" w:color="auto"/>
      </w:divBdr>
      <w:divsChild>
        <w:div w:id="1989825672">
          <w:marLeft w:val="0"/>
          <w:marRight w:val="0"/>
          <w:marTop w:val="0"/>
          <w:marBottom w:val="0"/>
          <w:divBdr>
            <w:top w:val="none" w:sz="0" w:space="0" w:color="auto"/>
            <w:left w:val="none" w:sz="0" w:space="0" w:color="auto"/>
            <w:bottom w:val="none" w:sz="0" w:space="0" w:color="auto"/>
            <w:right w:val="none" w:sz="0" w:space="0" w:color="auto"/>
          </w:divBdr>
          <w:divsChild>
            <w:div w:id="1133867966">
              <w:marLeft w:val="0"/>
              <w:marRight w:val="0"/>
              <w:marTop w:val="0"/>
              <w:marBottom w:val="0"/>
              <w:divBdr>
                <w:top w:val="none" w:sz="0" w:space="0" w:color="auto"/>
                <w:left w:val="none" w:sz="0" w:space="0" w:color="auto"/>
                <w:bottom w:val="none" w:sz="0" w:space="0" w:color="auto"/>
                <w:right w:val="none" w:sz="0" w:space="0" w:color="auto"/>
              </w:divBdr>
              <w:divsChild>
                <w:div w:id="1411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5026">
      <w:bodyDiv w:val="1"/>
      <w:marLeft w:val="0"/>
      <w:marRight w:val="0"/>
      <w:marTop w:val="0"/>
      <w:marBottom w:val="0"/>
      <w:divBdr>
        <w:top w:val="none" w:sz="0" w:space="0" w:color="auto"/>
        <w:left w:val="none" w:sz="0" w:space="0" w:color="auto"/>
        <w:bottom w:val="none" w:sz="0" w:space="0" w:color="auto"/>
        <w:right w:val="none" w:sz="0" w:space="0" w:color="auto"/>
      </w:divBdr>
      <w:divsChild>
        <w:div w:id="1279068585">
          <w:marLeft w:val="0"/>
          <w:marRight w:val="0"/>
          <w:marTop w:val="0"/>
          <w:marBottom w:val="0"/>
          <w:divBdr>
            <w:top w:val="none" w:sz="0" w:space="0" w:color="auto"/>
            <w:left w:val="none" w:sz="0" w:space="0" w:color="auto"/>
            <w:bottom w:val="none" w:sz="0" w:space="0" w:color="auto"/>
            <w:right w:val="none" w:sz="0" w:space="0" w:color="auto"/>
          </w:divBdr>
          <w:divsChild>
            <w:div w:id="478545555">
              <w:marLeft w:val="0"/>
              <w:marRight w:val="0"/>
              <w:marTop w:val="0"/>
              <w:marBottom w:val="0"/>
              <w:divBdr>
                <w:top w:val="none" w:sz="0" w:space="0" w:color="auto"/>
                <w:left w:val="none" w:sz="0" w:space="0" w:color="auto"/>
                <w:bottom w:val="none" w:sz="0" w:space="0" w:color="auto"/>
                <w:right w:val="none" w:sz="0" w:space="0" w:color="auto"/>
              </w:divBdr>
              <w:divsChild>
                <w:div w:id="1247612830">
                  <w:marLeft w:val="0"/>
                  <w:marRight w:val="0"/>
                  <w:marTop w:val="0"/>
                  <w:marBottom w:val="0"/>
                  <w:divBdr>
                    <w:top w:val="none" w:sz="0" w:space="0" w:color="auto"/>
                    <w:left w:val="none" w:sz="0" w:space="0" w:color="auto"/>
                    <w:bottom w:val="none" w:sz="0" w:space="0" w:color="auto"/>
                    <w:right w:val="none" w:sz="0" w:space="0" w:color="auto"/>
                  </w:divBdr>
                  <w:divsChild>
                    <w:div w:id="9143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6987">
      <w:bodyDiv w:val="1"/>
      <w:marLeft w:val="0"/>
      <w:marRight w:val="0"/>
      <w:marTop w:val="0"/>
      <w:marBottom w:val="0"/>
      <w:divBdr>
        <w:top w:val="none" w:sz="0" w:space="0" w:color="auto"/>
        <w:left w:val="none" w:sz="0" w:space="0" w:color="auto"/>
        <w:bottom w:val="none" w:sz="0" w:space="0" w:color="auto"/>
        <w:right w:val="none" w:sz="0" w:space="0" w:color="auto"/>
      </w:divBdr>
      <w:divsChild>
        <w:div w:id="890768442">
          <w:marLeft w:val="0"/>
          <w:marRight w:val="0"/>
          <w:marTop w:val="0"/>
          <w:marBottom w:val="0"/>
          <w:divBdr>
            <w:top w:val="none" w:sz="0" w:space="0" w:color="auto"/>
            <w:left w:val="none" w:sz="0" w:space="0" w:color="auto"/>
            <w:bottom w:val="none" w:sz="0" w:space="0" w:color="auto"/>
            <w:right w:val="none" w:sz="0" w:space="0" w:color="auto"/>
          </w:divBdr>
          <w:divsChild>
            <w:div w:id="790519235">
              <w:marLeft w:val="0"/>
              <w:marRight w:val="0"/>
              <w:marTop w:val="0"/>
              <w:marBottom w:val="0"/>
              <w:divBdr>
                <w:top w:val="none" w:sz="0" w:space="0" w:color="auto"/>
                <w:left w:val="none" w:sz="0" w:space="0" w:color="auto"/>
                <w:bottom w:val="none" w:sz="0" w:space="0" w:color="auto"/>
                <w:right w:val="none" w:sz="0" w:space="0" w:color="auto"/>
              </w:divBdr>
              <w:divsChild>
                <w:div w:id="20206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98042">
      <w:bodyDiv w:val="1"/>
      <w:marLeft w:val="0"/>
      <w:marRight w:val="0"/>
      <w:marTop w:val="0"/>
      <w:marBottom w:val="0"/>
      <w:divBdr>
        <w:top w:val="none" w:sz="0" w:space="0" w:color="auto"/>
        <w:left w:val="none" w:sz="0" w:space="0" w:color="auto"/>
        <w:bottom w:val="none" w:sz="0" w:space="0" w:color="auto"/>
        <w:right w:val="none" w:sz="0" w:space="0" w:color="auto"/>
      </w:divBdr>
    </w:div>
    <w:div w:id="418252817">
      <w:bodyDiv w:val="1"/>
      <w:marLeft w:val="0"/>
      <w:marRight w:val="0"/>
      <w:marTop w:val="0"/>
      <w:marBottom w:val="0"/>
      <w:divBdr>
        <w:top w:val="none" w:sz="0" w:space="0" w:color="auto"/>
        <w:left w:val="none" w:sz="0" w:space="0" w:color="auto"/>
        <w:bottom w:val="none" w:sz="0" w:space="0" w:color="auto"/>
        <w:right w:val="none" w:sz="0" w:space="0" w:color="auto"/>
      </w:divBdr>
    </w:div>
    <w:div w:id="478423981">
      <w:bodyDiv w:val="1"/>
      <w:marLeft w:val="0"/>
      <w:marRight w:val="0"/>
      <w:marTop w:val="0"/>
      <w:marBottom w:val="0"/>
      <w:divBdr>
        <w:top w:val="none" w:sz="0" w:space="0" w:color="auto"/>
        <w:left w:val="none" w:sz="0" w:space="0" w:color="auto"/>
        <w:bottom w:val="none" w:sz="0" w:space="0" w:color="auto"/>
        <w:right w:val="none" w:sz="0" w:space="0" w:color="auto"/>
      </w:divBdr>
    </w:div>
    <w:div w:id="485971713">
      <w:bodyDiv w:val="1"/>
      <w:marLeft w:val="0"/>
      <w:marRight w:val="0"/>
      <w:marTop w:val="0"/>
      <w:marBottom w:val="0"/>
      <w:divBdr>
        <w:top w:val="none" w:sz="0" w:space="0" w:color="auto"/>
        <w:left w:val="none" w:sz="0" w:space="0" w:color="auto"/>
        <w:bottom w:val="none" w:sz="0" w:space="0" w:color="auto"/>
        <w:right w:val="none" w:sz="0" w:space="0" w:color="auto"/>
      </w:divBdr>
      <w:divsChild>
        <w:div w:id="848178086">
          <w:marLeft w:val="0"/>
          <w:marRight w:val="0"/>
          <w:marTop w:val="0"/>
          <w:marBottom w:val="0"/>
          <w:divBdr>
            <w:top w:val="none" w:sz="0" w:space="0" w:color="auto"/>
            <w:left w:val="none" w:sz="0" w:space="0" w:color="auto"/>
            <w:bottom w:val="none" w:sz="0" w:space="0" w:color="auto"/>
            <w:right w:val="none" w:sz="0" w:space="0" w:color="auto"/>
          </w:divBdr>
          <w:divsChild>
            <w:div w:id="172258587">
              <w:marLeft w:val="0"/>
              <w:marRight w:val="0"/>
              <w:marTop w:val="0"/>
              <w:marBottom w:val="0"/>
              <w:divBdr>
                <w:top w:val="none" w:sz="0" w:space="0" w:color="auto"/>
                <w:left w:val="none" w:sz="0" w:space="0" w:color="auto"/>
                <w:bottom w:val="none" w:sz="0" w:space="0" w:color="auto"/>
                <w:right w:val="none" w:sz="0" w:space="0" w:color="auto"/>
              </w:divBdr>
              <w:divsChild>
                <w:div w:id="6401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9475">
      <w:bodyDiv w:val="1"/>
      <w:marLeft w:val="0"/>
      <w:marRight w:val="0"/>
      <w:marTop w:val="0"/>
      <w:marBottom w:val="0"/>
      <w:divBdr>
        <w:top w:val="none" w:sz="0" w:space="0" w:color="auto"/>
        <w:left w:val="none" w:sz="0" w:space="0" w:color="auto"/>
        <w:bottom w:val="none" w:sz="0" w:space="0" w:color="auto"/>
        <w:right w:val="none" w:sz="0" w:space="0" w:color="auto"/>
      </w:divBdr>
    </w:div>
    <w:div w:id="513111301">
      <w:bodyDiv w:val="1"/>
      <w:marLeft w:val="0"/>
      <w:marRight w:val="0"/>
      <w:marTop w:val="0"/>
      <w:marBottom w:val="0"/>
      <w:divBdr>
        <w:top w:val="none" w:sz="0" w:space="0" w:color="auto"/>
        <w:left w:val="none" w:sz="0" w:space="0" w:color="auto"/>
        <w:bottom w:val="none" w:sz="0" w:space="0" w:color="auto"/>
        <w:right w:val="none" w:sz="0" w:space="0" w:color="auto"/>
      </w:divBdr>
      <w:divsChild>
        <w:div w:id="144782550">
          <w:marLeft w:val="0"/>
          <w:marRight w:val="0"/>
          <w:marTop w:val="0"/>
          <w:marBottom w:val="0"/>
          <w:divBdr>
            <w:top w:val="none" w:sz="0" w:space="0" w:color="auto"/>
            <w:left w:val="none" w:sz="0" w:space="0" w:color="auto"/>
            <w:bottom w:val="none" w:sz="0" w:space="0" w:color="auto"/>
            <w:right w:val="none" w:sz="0" w:space="0" w:color="auto"/>
          </w:divBdr>
          <w:divsChild>
            <w:div w:id="1615593896">
              <w:marLeft w:val="0"/>
              <w:marRight w:val="0"/>
              <w:marTop w:val="0"/>
              <w:marBottom w:val="0"/>
              <w:divBdr>
                <w:top w:val="none" w:sz="0" w:space="0" w:color="auto"/>
                <w:left w:val="none" w:sz="0" w:space="0" w:color="auto"/>
                <w:bottom w:val="none" w:sz="0" w:space="0" w:color="auto"/>
                <w:right w:val="none" w:sz="0" w:space="0" w:color="auto"/>
              </w:divBdr>
              <w:divsChild>
                <w:div w:id="689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2419">
      <w:bodyDiv w:val="1"/>
      <w:marLeft w:val="0"/>
      <w:marRight w:val="0"/>
      <w:marTop w:val="0"/>
      <w:marBottom w:val="0"/>
      <w:divBdr>
        <w:top w:val="none" w:sz="0" w:space="0" w:color="auto"/>
        <w:left w:val="none" w:sz="0" w:space="0" w:color="auto"/>
        <w:bottom w:val="none" w:sz="0" w:space="0" w:color="auto"/>
        <w:right w:val="none" w:sz="0" w:space="0" w:color="auto"/>
      </w:divBdr>
    </w:div>
    <w:div w:id="573664474">
      <w:bodyDiv w:val="1"/>
      <w:marLeft w:val="0"/>
      <w:marRight w:val="0"/>
      <w:marTop w:val="0"/>
      <w:marBottom w:val="0"/>
      <w:divBdr>
        <w:top w:val="none" w:sz="0" w:space="0" w:color="auto"/>
        <w:left w:val="none" w:sz="0" w:space="0" w:color="auto"/>
        <w:bottom w:val="none" w:sz="0" w:space="0" w:color="auto"/>
        <w:right w:val="none" w:sz="0" w:space="0" w:color="auto"/>
      </w:divBdr>
    </w:div>
    <w:div w:id="616059028">
      <w:bodyDiv w:val="1"/>
      <w:marLeft w:val="0"/>
      <w:marRight w:val="0"/>
      <w:marTop w:val="0"/>
      <w:marBottom w:val="0"/>
      <w:divBdr>
        <w:top w:val="none" w:sz="0" w:space="0" w:color="auto"/>
        <w:left w:val="none" w:sz="0" w:space="0" w:color="auto"/>
        <w:bottom w:val="none" w:sz="0" w:space="0" w:color="auto"/>
        <w:right w:val="none" w:sz="0" w:space="0" w:color="auto"/>
      </w:divBdr>
      <w:divsChild>
        <w:div w:id="610093833">
          <w:marLeft w:val="0"/>
          <w:marRight w:val="0"/>
          <w:marTop w:val="0"/>
          <w:marBottom w:val="0"/>
          <w:divBdr>
            <w:top w:val="none" w:sz="0" w:space="0" w:color="auto"/>
            <w:left w:val="none" w:sz="0" w:space="0" w:color="auto"/>
            <w:bottom w:val="none" w:sz="0" w:space="0" w:color="auto"/>
            <w:right w:val="none" w:sz="0" w:space="0" w:color="auto"/>
          </w:divBdr>
          <w:divsChild>
            <w:div w:id="1084300855">
              <w:marLeft w:val="0"/>
              <w:marRight w:val="0"/>
              <w:marTop w:val="0"/>
              <w:marBottom w:val="0"/>
              <w:divBdr>
                <w:top w:val="none" w:sz="0" w:space="0" w:color="auto"/>
                <w:left w:val="none" w:sz="0" w:space="0" w:color="auto"/>
                <w:bottom w:val="none" w:sz="0" w:space="0" w:color="auto"/>
                <w:right w:val="none" w:sz="0" w:space="0" w:color="auto"/>
              </w:divBdr>
              <w:divsChild>
                <w:div w:id="1152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1179">
      <w:bodyDiv w:val="1"/>
      <w:marLeft w:val="0"/>
      <w:marRight w:val="0"/>
      <w:marTop w:val="0"/>
      <w:marBottom w:val="0"/>
      <w:divBdr>
        <w:top w:val="none" w:sz="0" w:space="0" w:color="auto"/>
        <w:left w:val="none" w:sz="0" w:space="0" w:color="auto"/>
        <w:bottom w:val="none" w:sz="0" w:space="0" w:color="auto"/>
        <w:right w:val="none" w:sz="0" w:space="0" w:color="auto"/>
      </w:divBdr>
    </w:div>
    <w:div w:id="674652578">
      <w:bodyDiv w:val="1"/>
      <w:marLeft w:val="0"/>
      <w:marRight w:val="0"/>
      <w:marTop w:val="0"/>
      <w:marBottom w:val="0"/>
      <w:divBdr>
        <w:top w:val="none" w:sz="0" w:space="0" w:color="auto"/>
        <w:left w:val="none" w:sz="0" w:space="0" w:color="auto"/>
        <w:bottom w:val="none" w:sz="0" w:space="0" w:color="auto"/>
        <w:right w:val="none" w:sz="0" w:space="0" w:color="auto"/>
      </w:divBdr>
    </w:div>
    <w:div w:id="756484946">
      <w:bodyDiv w:val="1"/>
      <w:marLeft w:val="0"/>
      <w:marRight w:val="0"/>
      <w:marTop w:val="0"/>
      <w:marBottom w:val="0"/>
      <w:divBdr>
        <w:top w:val="none" w:sz="0" w:space="0" w:color="auto"/>
        <w:left w:val="none" w:sz="0" w:space="0" w:color="auto"/>
        <w:bottom w:val="none" w:sz="0" w:space="0" w:color="auto"/>
        <w:right w:val="none" w:sz="0" w:space="0" w:color="auto"/>
      </w:divBdr>
    </w:div>
    <w:div w:id="769814414">
      <w:bodyDiv w:val="1"/>
      <w:marLeft w:val="0"/>
      <w:marRight w:val="0"/>
      <w:marTop w:val="0"/>
      <w:marBottom w:val="0"/>
      <w:divBdr>
        <w:top w:val="none" w:sz="0" w:space="0" w:color="auto"/>
        <w:left w:val="none" w:sz="0" w:space="0" w:color="auto"/>
        <w:bottom w:val="none" w:sz="0" w:space="0" w:color="auto"/>
        <w:right w:val="none" w:sz="0" w:space="0" w:color="auto"/>
      </w:divBdr>
    </w:div>
    <w:div w:id="806702308">
      <w:bodyDiv w:val="1"/>
      <w:marLeft w:val="0"/>
      <w:marRight w:val="0"/>
      <w:marTop w:val="0"/>
      <w:marBottom w:val="0"/>
      <w:divBdr>
        <w:top w:val="none" w:sz="0" w:space="0" w:color="auto"/>
        <w:left w:val="none" w:sz="0" w:space="0" w:color="auto"/>
        <w:bottom w:val="none" w:sz="0" w:space="0" w:color="auto"/>
        <w:right w:val="none" w:sz="0" w:space="0" w:color="auto"/>
      </w:divBdr>
    </w:div>
    <w:div w:id="819200691">
      <w:bodyDiv w:val="1"/>
      <w:marLeft w:val="0"/>
      <w:marRight w:val="0"/>
      <w:marTop w:val="0"/>
      <w:marBottom w:val="0"/>
      <w:divBdr>
        <w:top w:val="none" w:sz="0" w:space="0" w:color="auto"/>
        <w:left w:val="none" w:sz="0" w:space="0" w:color="auto"/>
        <w:bottom w:val="none" w:sz="0" w:space="0" w:color="auto"/>
        <w:right w:val="none" w:sz="0" w:space="0" w:color="auto"/>
      </w:divBdr>
    </w:div>
    <w:div w:id="821237778">
      <w:bodyDiv w:val="1"/>
      <w:marLeft w:val="0"/>
      <w:marRight w:val="0"/>
      <w:marTop w:val="0"/>
      <w:marBottom w:val="0"/>
      <w:divBdr>
        <w:top w:val="none" w:sz="0" w:space="0" w:color="auto"/>
        <w:left w:val="none" w:sz="0" w:space="0" w:color="auto"/>
        <w:bottom w:val="none" w:sz="0" w:space="0" w:color="auto"/>
        <w:right w:val="none" w:sz="0" w:space="0" w:color="auto"/>
      </w:divBdr>
      <w:divsChild>
        <w:div w:id="1513758240">
          <w:marLeft w:val="0"/>
          <w:marRight w:val="0"/>
          <w:marTop w:val="0"/>
          <w:marBottom w:val="0"/>
          <w:divBdr>
            <w:top w:val="none" w:sz="0" w:space="0" w:color="auto"/>
            <w:left w:val="none" w:sz="0" w:space="0" w:color="auto"/>
            <w:bottom w:val="none" w:sz="0" w:space="0" w:color="auto"/>
            <w:right w:val="none" w:sz="0" w:space="0" w:color="auto"/>
          </w:divBdr>
          <w:divsChild>
            <w:div w:id="988366358">
              <w:marLeft w:val="0"/>
              <w:marRight w:val="0"/>
              <w:marTop w:val="0"/>
              <w:marBottom w:val="0"/>
              <w:divBdr>
                <w:top w:val="none" w:sz="0" w:space="0" w:color="auto"/>
                <w:left w:val="none" w:sz="0" w:space="0" w:color="auto"/>
                <w:bottom w:val="none" w:sz="0" w:space="0" w:color="auto"/>
                <w:right w:val="none" w:sz="0" w:space="0" w:color="auto"/>
              </w:divBdr>
              <w:divsChild>
                <w:div w:id="11434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865">
      <w:bodyDiv w:val="1"/>
      <w:marLeft w:val="0"/>
      <w:marRight w:val="0"/>
      <w:marTop w:val="0"/>
      <w:marBottom w:val="0"/>
      <w:divBdr>
        <w:top w:val="none" w:sz="0" w:space="0" w:color="auto"/>
        <w:left w:val="none" w:sz="0" w:space="0" w:color="auto"/>
        <w:bottom w:val="none" w:sz="0" w:space="0" w:color="auto"/>
        <w:right w:val="none" w:sz="0" w:space="0" w:color="auto"/>
      </w:divBdr>
    </w:div>
    <w:div w:id="940377921">
      <w:bodyDiv w:val="1"/>
      <w:marLeft w:val="0"/>
      <w:marRight w:val="0"/>
      <w:marTop w:val="0"/>
      <w:marBottom w:val="0"/>
      <w:divBdr>
        <w:top w:val="none" w:sz="0" w:space="0" w:color="auto"/>
        <w:left w:val="none" w:sz="0" w:space="0" w:color="auto"/>
        <w:bottom w:val="none" w:sz="0" w:space="0" w:color="auto"/>
        <w:right w:val="none" w:sz="0" w:space="0" w:color="auto"/>
      </w:divBdr>
    </w:div>
    <w:div w:id="1006633670">
      <w:bodyDiv w:val="1"/>
      <w:marLeft w:val="0"/>
      <w:marRight w:val="0"/>
      <w:marTop w:val="0"/>
      <w:marBottom w:val="0"/>
      <w:divBdr>
        <w:top w:val="none" w:sz="0" w:space="0" w:color="auto"/>
        <w:left w:val="none" w:sz="0" w:space="0" w:color="auto"/>
        <w:bottom w:val="none" w:sz="0" w:space="0" w:color="auto"/>
        <w:right w:val="none" w:sz="0" w:space="0" w:color="auto"/>
      </w:divBdr>
    </w:div>
    <w:div w:id="1015380270">
      <w:bodyDiv w:val="1"/>
      <w:marLeft w:val="0"/>
      <w:marRight w:val="0"/>
      <w:marTop w:val="0"/>
      <w:marBottom w:val="0"/>
      <w:divBdr>
        <w:top w:val="none" w:sz="0" w:space="0" w:color="auto"/>
        <w:left w:val="none" w:sz="0" w:space="0" w:color="auto"/>
        <w:bottom w:val="none" w:sz="0" w:space="0" w:color="auto"/>
        <w:right w:val="none" w:sz="0" w:space="0" w:color="auto"/>
      </w:divBdr>
    </w:div>
    <w:div w:id="1021706706">
      <w:bodyDiv w:val="1"/>
      <w:marLeft w:val="0"/>
      <w:marRight w:val="0"/>
      <w:marTop w:val="0"/>
      <w:marBottom w:val="0"/>
      <w:divBdr>
        <w:top w:val="none" w:sz="0" w:space="0" w:color="auto"/>
        <w:left w:val="none" w:sz="0" w:space="0" w:color="auto"/>
        <w:bottom w:val="none" w:sz="0" w:space="0" w:color="auto"/>
        <w:right w:val="none" w:sz="0" w:space="0" w:color="auto"/>
      </w:divBdr>
    </w:div>
    <w:div w:id="1046610120">
      <w:bodyDiv w:val="1"/>
      <w:marLeft w:val="0"/>
      <w:marRight w:val="0"/>
      <w:marTop w:val="0"/>
      <w:marBottom w:val="0"/>
      <w:divBdr>
        <w:top w:val="none" w:sz="0" w:space="0" w:color="auto"/>
        <w:left w:val="none" w:sz="0" w:space="0" w:color="auto"/>
        <w:bottom w:val="none" w:sz="0" w:space="0" w:color="auto"/>
        <w:right w:val="none" w:sz="0" w:space="0" w:color="auto"/>
      </w:divBdr>
    </w:div>
    <w:div w:id="10613674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596">
          <w:marLeft w:val="0"/>
          <w:marRight w:val="0"/>
          <w:marTop w:val="0"/>
          <w:marBottom w:val="0"/>
          <w:divBdr>
            <w:top w:val="none" w:sz="0" w:space="0" w:color="auto"/>
            <w:left w:val="none" w:sz="0" w:space="0" w:color="auto"/>
            <w:bottom w:val="none" w:sz="0" w:space="0" w:color="auto"/>
            <w:right w:val="none" w:sz="0" w:space="0" w:color="auto"/>
          </w:divBdr>
          <w:divsChild>
            <w:div w:id="1869098653">
              <w:marLeft w:val="0"/>
              <w:marRight w:val="0"/>
              <w:marTop w:val="0"/>
              <w:marBottom w:val="0"/>
              <w:divBdr>
                <w:top w:val="none" w:sz="0" w:space="0" w:color="auto"/>
                <w:left w:val="none" w:sz="0" w:space="0" w:color="auto"/>
                <w:bottom w:val="none" w:sz="0" w:space="0" w:color="auto"/>
                <w:right w:val="none" w:sz="0" w:space="0" w:color="auto"/>
              </w:divBdr>
              <w:divsChild>
                <w:div w:id="10466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7041">
      <w:bodyDiv w:val="1"/>
      <w:marLeft w:val="0"/>
      <w:marRight w:val="0"/>
      <w:marTop w:val="0"/>
      <w:marBottom w:val="0"/>
      <w:divBdr>
        <w:top w:val="none" w:sz="0" w:space="0" w:color="auto"/>
        <w:left w:val="none" w:sz="0" w:space="0" w:color="auto"/>
        <w:bottom w:val="none" w:sz="0" w:space="0" w:color="auto"/>
        <w:right w:val="none" w:sz="0" w:space="0" w:color="auto"/>
      </w:divBdr>
    </w:div>
    <w:div w:id="1201360901">
      <w:bodyDiv w:val="1"/>
      <w:marLeft w:val="0"/>
      <w:marRight w:val="0"/>
      <w:marTop w:val="0"/>
      <w:marBottom w:val="0"/>
      <w:divBdr>
        <w:top w:val="none" w:sz="0" w:space="0" w:color="auto"/>
        <w:left w:val="none" w:sz="0" w:space="0" w:color="auto"/>
        <w:bottom w:val="none" w:sz="0" w:space="0" w:color="auto"/>
        <w:right w:val="none" w:sz="0" w:space="0" w:color="auto"/>
      </w:divBdr>
    </w:div>
    <w:div w:id="121990342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50">
          <w:marLeft w:val="0"/>
          <w:marRight w:val="0"/>
          <w:marTop w:val="0"/>
          <w:marBottom w:val="0"/>
          <w:divBdr>
            <w:top w:val="none" w:sz="0" w:space="0" w:color="auto"/>
            <w:left w:val="none" w:sz="0" w:space="0" w:color="auto"/>
            <w:bottom w:val="none" w:sz="0" w:space="0" w:color="auto"/>
            <w:right w:val="none" w:sz="0" w:space="0" w:color="auto"/>
          </w:divBdr>
          <w:divsChild>
            <w:div w:id="1473522093">
              <w:marLeft w:val="0"/>
              <w:marRight w:val="0"/>
              <w:marTop w:val="0"/>
              <w:marBottom w:val="0"/>
              <w:divBdr>
                <w:top w:val="none" w:sz="0" w:space="0" w:color="auto"/>
                <w:left w:val="none" w:sz="0" w:space="0" w:color="auto"/>
                <w:bottom w:val="none" w:sz="0" w:space="0" w:color="auto"/>
                <w:right w:val="none" w:sz="0" w:space="0" w:color="auto"/>
              </w:divBdr>
              <w:divsChild>
                <w:div w:id="2518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67619">
      <w:bodyDiv w:val="1"/>
      <w:marLeft w:val="0"/>
      <w:marRight w:val="0"/>
      <w:marTop w:val="0"/>
      <w:marBottom w:val="0"/>
      <w:divBdr>
        <w:top w:val="none" w:sz="0" w:space="0" w:color="auto"/>
        <w:left w:val="none" w:sz="0" w:space="0" w:color="auto"/>
        <w:bottom w:val="none" w:sz="0" w:space="0" w:color="auto"/>
        <w:right w:val="none" w:sz="0" w:space="0" w:color="auto"/>
      </w:divBdr>
    </w:div>
    <w:div w:id="1305039574">
      <w:bodyDiv w:val="1"/>
      <w:marLeft w:val="0"/>
      <w:marRight w:val="0"/>
      <w:marTop w:val="0"/>
      <w:marBottom w:val="0"/>
      <w:divBdr>
        <w:top w:val="none" w:sz="0" w:space="0" w:color="auto"/>
        <w:left w:val="none" w:sz="0" w:space="0" w:color="auto"/>
        <w:bottom w:val="none" w:sz="0" w:space="0" w:color="auto"/>
        <w:right w:val="none" w:sz="0" w:space="0" w:color="auto"/>
      </w:divBdr>
      <w:divsChild>
        <w:div w:id="801582072">
          <w:marLeft w:val="0"/>
          <w:marRight w:val="0"/>
          <w:marTop w:val="0"/>
          <w:marBottom w:val="0"/>
          <w:divBdr>
            <w:top w:val="none" w:sz="0" w:space="0" w:color="auto"/>
            <w:left w:val="none" w:sz="0" w:space="0" w:color="auto"/>
            <w:bottom w:val="none" w:sz="0" w:space="0" w:color="auto"/>
            <w:right w:val="none" w:sz="0" w:space="0" w:color="auto"/>
          </w:divBdr>
          <w:divsChild>
            <w:div w:id="2015303466">
              <w:marLeft w:val="0"/>
              <w:marRight w:val="0"/>
              <w:marTop w:val="0"/>
              <w:marBottom w:val="0"/>
              <w:divBdr>
                <w:top w:val="none" w:sz="0" w:space="0" w:color="auto"/>
                <w:left w:val="none" w:sz="0" w:space="0" w:color="auto"/>
                <w:bottom w:val="none" w:sz="0" w:space="0" w:color="auto"/>
                <w:right w:val="none" w:sz="0" w:space="0" w:color="auto"/>
              </w:divBdr>
              <w:divsChild>
                <w:div w:id="2972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5518">
      <w:bodyDiv w:val="1"/>
      <w:marLeft w:val="0"/>
      <w:marRight w:val="0"/>
      <w:marTop w:val="0"/>
      <w:marBottom w:val="0"/>
      <w:divBdr>
        <w:top w:val="none" w:sz="0" w:space="0" w:color="auto"/>
        <w:left w:val="none" w:sz="0" w:space="0" w:color="auto"/>
        <w:bottom w:val="none" w:sz="0" w:space="0" w:color="auto"/>
        <w:right w:val="none" w:sz="0" w:space="0" w:color="auto"/>
      </w:divBdr>
      <w:divsChild>
        <w:div w:id="1466312559">
          <w:marLeft w:val="0"/>
          <w:marRight w:val="0"/>
          <w:marTop w:val="0"/>
          <w:marBottom w:val="0"/>
          <w:divBdr>
            <w:top w:val="none" w:sz="0" w:space="0" w:color="auto"/>
            <w:left w:val="none" w:sz="0" w:space="0" w:color="auto"/>
            <w:bottom w:val="none" w:sz="0" w:space="0" w:color="auto"/>
            <w:right w:val="none" w:sz="0" w:space="0" w:color="auto"/>
          </w:divBdr>
          <w:divsChild>
            <w:div w:id="983512026">
              <w:marLeft w:val="0"/>
              <w:marRight w:val="0"/>
              <w:marTop w:val="0"/>
              <w:marBottom w:val="0"/>
              <w:divBdr>
                <w:top w:val="none" w:sz="0" w:space="0" w:color="auto"/>
                <w:left w:val="none" w:sz="0" w:space="0" w:color="auto"/>
                <w:bottom w:val="none" w:sz="0" w:space="0" w:color="auto"/>
                <w:right w:val="none" w:sz="0" w:space="0" w:color="auto"/>
              </w:divBdr>
              <w:divsChild>
                <w:div w:id="6179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3250">
      <w:bodyDiv w:val="1"/>
      <w:marLeft w:val="0"/>
      <w:marRight w:val="0"/>
      <w:marTop w:val="0"/>
      <w:marBottom w:val="0"/>
      <w:divBdr>
        <w:top w:val="none" w:sz="0" w:space="0" w:color="auto"/>
        <w:left w:val="none" w:sz="0" w:space="0" w:color="auto"/>
        <w:bottom w:val="none" w:sz="0" w:space="0" w:color="auto"/>
        <w:right w:val="none" w:sz="0" w:space="0" w:color="auto"/>
      </w:divBdr>
    </w:div>
    <w:div w:id="1381129080">
      <w:bodyDiv w:val="1"/>
      <w:marLeft w:val="0"/>
      <w:marRight w:val="0"/>
      <w:marTop w:val="0"/>
      <w:marBottom w:val="0"/>
      <w:divBdr>
        <w:top w:val="none" w:sz="0" w:space="0" w:color="auto"/>
        <w:left w:val="none" w:sz="0" w:space="0" w:color="auto"/>
        <w:bottom w:val="none" w:sz="0" w:space="0" w:color="auto"/>
        <w:right w:val="none" w:sz="0" w:space="0" w:color="auto"/>
      </w:divBdr>
    </w:div>
    <w:div w:id="1394768995">
      <w:bodyDiv w:val="1"/>
      <w:marLeft w:val="0"/>
      <w:marRight w:val="0"/>
      <w:marTop w:val="0"/>
      <w:marBottom w:val="0"/>
      <w:divBdr>
        <w:top w:val="none" w:sz="0" w:space="0" w:color="auto"/>
        <w:left w:val="none" w:sz="0" w:space="0" w:color="auto"/>
        <w:bottom w:val="none" w:sz="0" w:space="0" w:color="auto"/>
        <w:right w:val="none" w:sz="0" w:space="0" w:color="auto"/>
      </w:divBdr>
      <w:divsChild>
        <w:div w:id="185213386">
          <w:marLeft w:val="0"/>
          <w:marRight w:val="0"/>
          <w:marTop w:val="0"/>
          <w:marBottom w:val="0"/>
          <w:divBdr>
            <w:top w:val="none" w:sz="0" w:space="0" w:color="auto"/>
            <w:left w:val="none" w:sz="0" w:space="0" w:color="auto"/>
            <w:bottom w:val="none" w:sz="0" w:space="0" w:color="auto"/>
            <w:right w:val="none" w:sz="0" w:space="0" w:color="auto"/>
          </w:divBdr>
          <w:divsChild>
            <w:div w:id="801650345">
              <w:marLeft w:val="0"/>
              <w:marRight w:val="0"/>
              <w:marTop w:val="0"/>
              <w:marBottom w:val="0"/>
              <w:divBdr>
                <w:top w:val="none" w:sz="0" w:space="0" w:color="auto"/>
                <w:left w:val="none" w:sz="0" w:space="0" w:color="auto"/>
                <w:bottom w:val="none" w:sz="0" w:space="0" w:color="auto"/>
                <w:right w:val="none" w:sz="0" w:space="0" w:color="auto"/>
              </w:divBdr>
              <w:divsChild>
                <w:div w:id="18836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28928">
      <w:bodyDiv w:val="1"/>
      <w:marLeft w:val="0"/>
      <w:marRight w:val="0"/>
      <w:marTop w:val="0"/>
      <w:marBottom w:val="0"/>
      <w:divBdr>
        <w:top w:val="none" w:sz="0" w:space="0" w:color="auto"/>
        <w:left w:val="none" w:sz="0" w:space="0" w:color="auto"/>
        <w:bottom w:val="none" w:sz="0" w:space="0" w:color="auto"/>
        <w:right w:val="none" w:sz="0" w:space="0" w:color="auto"/>
      </w:divBdr>
    </w:div>
    <w:div w:id="1511990696">
      <w:bodyDiv w:val="1"/>
      <w:marLeft w:val="0"/>
      <w:marRight w:val="0"/>
      <w:marTop w:val="0"/>
      <w:marBottom w:val="0"/>
      <w:divBdr>
        <w:top w:val="none" w:sz="0" w:space="0" w:color="auto"/>
        <w:left w:val="none" w:sz="0" w:space="0" w:color="auto"/>
        <w:bottom w:val="none" w:sz="0" w:space="0" w:color="auto"/>
        <w:right w:val="none" w:sz="0" w:space="0" w:color="auto"/>
      </w:divBdr>
    </w:div>
    <w:div w:id="1564944240">
      <w:bodyDiv w:val="1"/>
      <w:marLeft w:val="0"/>
      <w:marRight w:val="0"/>
      <w:marTop w:val="0"/>
      <w:marBottom w:val="0"/>
      <w:divBdr>
        <w:top w:val="none" w:sz="0" w:space="0" w:color="auto"/>
        <w:left w:val="none" w:sz="0" w:space="0" w:color="auto"/>
        <w:bottom w:val="none" w:sz="0" w:space="0" w:color="auto"/>
        <w:right w:val="none" w:sz="0" w:space="0" w:color="auto"/>
      </w:divBdr>
    </w:div>
    <w:div w:id="1576862249">
      <w:bodyDiv w:val="1"/>
      <w:marLeft w:val="0"/>
      <w:marRight w:val="0"/>
      <w:marTop w:val="0"/>
      <w:marBottom w:val="0"/>
      <w:divBdr>
        <w:top w:val="none" w:sz="0" w:space="0" w:color="auto"/>
        <w:left w:val="none" w:sz="0" w:space="0" w:color="auto"/>
        <w:bottom w:val="none" w:sz="0" w:space="0" w:color="auto"/>
        <w:right w:val="none" w:sz="0" w:space="0" w:color="auto"/>
      </w:divBdr>
    </w:div>
    <w:div w:id="1597320527">
      <w:bodyDiv w:val="1"/>
      <w:marLeft w:val="0"/>
      <w:marRight w:val="0"/>
      <w:marTop w:val="0"/>
      <w:marBottom w:val="0"/>
      <w:divBdr>
        <w:top w:val="none" w:sz="0" w:space="0" w:color="auto"/>
        <w:left w:val="none" w:sz="0" w:space="0" w:color="auto"/>
        <w:bottom w:val="none" w:sz="0" w:space="0" w:color="auto"/>
        <w:right w:val="none" w:sz="0" w:space="0" w:color="auto"/>
      </w:divBdr>
    </w:div>
    <w:div w:id="1625114045">
      <w:bodyDiv w:val="1"/>
      <w:marLeft w:val="0"/>
      <w:marRight w:val="0"/>
      <w:marTop w:val="0"/>
      <w:marBottom w:val="0"/>
      <w:divBdr>
        <w:top w:val="none" w:sz="0" w:space="0" w:color="auto"/>
        <w:left w:val="none" w:sz="0" w:space="0" w:color="auto"/>
        <w:bottom w:val="none" w:sz="0" w:space="0" w:color="auto"/>
        <w:right w:val="none" w:sz="0" w:space="0" w:color="auto"/>
      </w:divBdr>
      <w:divsChild>
        <w:div w:id="951352875">
          <w:marLeft w:val="0"/>
          <w:marRight w:val="0"/>
          <w:marTop w:val="0"/>
          <w:marBottom w:val="0"/>
          <w:divBdr>
            <w:top w:val="none" w:sz="0" w:space="0" w:color="auto"/>
            <w:left w:val="none" w:sz="0" w:space="0" w:color="auto"/>
            <w:bottom w:val="none" w:sz="0" w:space="0" w:color="auto"/>
            <w:right w:val="none" w:sz="0" w:space="0" w:color="auto"/>
          </w:divBdr>
          <w:divsChild>
            <w:div w:id="561600329">
              <w:marLeft w:val="0"/>
              <w:marRight w:val="0"/>
              <w:marTop w:val="0"/>
              <w:marBottom w:val="0"/>
              <w:divBdr>
                <w:top w:val="none" w:sz="0" w:space="0" w:color="auto"/>
                <w:left w:val="none" w:sz="0" w:space="0" w:color="auto"/>
                <w:bottom w:val="none" w:sz="0" w:space="0" w:color="auto"/>
                <w:right w:val="none" w:sz="0" w:space="0" w:color="auto"/>
              </w:divBdr>
              <w:divsChild>
                <w:div w:id="7108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5235">
      <w:bodyDiv w:val="1"/>
      <w:marLeft w:val="0"/>
      <w:marRight w:val="0"/>
      <w:marTop w:val="0"/>
      <w:marBottom w:val="0"/>
      <w:divBdr>
        <w:top w:val="none" w:sz="0" w:space="0" w:color="auto"/>
        <w:left w:val="none" w:sz="0" w:space="0" w:color="auto"/>
        <w:bottom w:val="none" w:sz="0" w:space="0" w:color="auto"/>
        <w:right w:val="none" w:sz="0" w:space="0" w:color="auto"/>
      </w:divBdr>
    </w:div>
    <w:div w:id="1824346209">
      <w:bodyDiv w:val="1"/>
      <w:marLeft w:val="0"/>
      <w:marRight w:val="0"/>
      <w:marTop w:val="0"/>
      <w:marBottom w:val="0"/>
      <w:divBdr>
        <w:top w:val="none" w:sz="0" w:space="0" w:color="auto"/>
        <w:left w:val="none" w:sz="0" w:space="0" w:color="auto"/>
        <w:bottom w:val="none" w:sz="0" w:space="0" w:color="auto"/>
        <w:right w:val="none" w:sz="0" w:space="0" w:color="auto"/>
      </w:divBdr>
    </w:div>
    <w:div w:id="1843469893">
      <w:bodyDiv w:val="1"/>
      <w:marLeft w:val="0"/>
      <w:marRight w:val="0"/>
      <w:marTop w:val="0"/>
      <w:marBottom w:val="0"/>
      <w:divBdr>
        <w:top w:val="none" w:sz="0" w:space="0" w:color="auto"/>
        <w:left w:val="none" w:sz="0" w:space="0" w:color="auto"/>
        <w:bottom w:val="none" w:sz="0" w:space="0" w:color="auto"/>
        <w:right w:val="none" w:sz="0" w:space="0" w:color="auto"/>
      </w:divBdr>
    </w:div>
    <w:div w:id="1853907882">
      <w:bodyDiv w:val="1"/>
      <w:marLeft w:val="0"/>
      <w:marRight w:val="0"/>
      <w:marTop w:val="0"/>
      <w:marBottom w:val="0"/>
      <w:divBdr>
        <w:top w:val="none" w:sz="0" w:space="0" w:color="auto"/>
        <w:left w:val="none" w:sz="0" w:space="0" w:color="auto"/>
        <w:bottom w:val="none" w:sz="0" w:space="0" w:color="auto"/>
        <w:right w:val="none" w:sz="0" w:space="0" w:color="auto"/>
      </w:divBdr>
    </w:div>
    <w:div w:id="1857453957">
      <w:bodyDiv w:val="1"/>
      <w:marLeft w:val="0"/>
      <w:marRight w:val="0"/>
      <w:marTop w:val="0"/>
      <w:marBottom w:val="0"/>
      <w:divBdr>
        <w:top w:val="none" w:sz="0" w:space="0" w:color="auto"/>
        <w:left w:val="none" w:sz="0" w:space="0" w:color="auto"/>
        <w:bottom w:val="none" w:sz="0" w:space="0" w:color="auto"/>
        <w:right w:val="none" w:sz="0" w:space="0" w:color="auto"/>
      </w:divBdr>
    </w:div>
    <w:div w:id="1873610198">
      <w:bodyDiv w:val="1"/>
      <w:marLeft w:val="0"/>
      <w:marRight w:val="0"/>
      <w:marTop w:val="0"/>
      <w:marBottom w:val="0"/>
      <w:divBdr>
        <w:top w:val="none" w:sz="0" w:space="0" w:color="auto"/>
        <w:left w:val="none" w:sz="0" w:space="0" w:color="auto"/>
        <w:bottom w:val="none" w:sz="0" w:space="0" w:color="auto"/>
        <w:right w:val="none" w:sz="0" w:space="0" w:color="auto"/>
      </w:divBdr>
      <w:divsChild>
        <w:div w:id="1396463995">
          <w:marLeft w:val="0"/>
          <w:marRight w:val="0"/>
          <w:marTop w:val="0"/>
          <w:marBottom w:val="0"/>
          <w:divBdr>
            <w:top w:val="none" w:sz="0" w:space="0" w:color="auto"/>
            <w:left w:val="none" w:sz="0" w:space="0" w:color="auto"/>
            <w:bottom w:val="none" w:sz="0" w:space="0" w:color="auto"/>
            <w:right w:val="none" w:sz="0" w:space="0" w:color="auto"/>
          </w:divBdr>
          <w:divsChild>
            <w:div w:id="1457139364">
              <w:marLeft w:val="0"/>
              <w:marRight w:val="0"/>
              <w:marTop w:val="0"/>
              <w:marBottom w:val="0"/>
              <w:divBdr>
                <w:top w:val="none" w:sz="0" w:space="0" w:color="auto"/>
                <w:left w:val="none" w:sz="0" w:space="0" w:color="auto"/>
                <w:bottom w:val="none" w:sz="0" w:space="0" w:color="auto"/>
                <w:right w:val="none" w:sz="0" w:space="0" w:color="auto"/>
              </w:divBdr>
              <w:divsChild>
                <w:div w:id="16464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68471">
      <w:bodyDiv w:val="1"/>
      <w:marLeft w:val="0"/>
      <w:marRight w:val="0"/>
      <w:marTop w:val="0"/>
      <w:marBottom w:val="0"/>
      <w:divBdr>
        <w:top w:val="none" w:sz="0" w:space="0" w:color="auto"/>
        <w:left w:val="none" w:sz="0" w:space="0" w:color="auto"/>
        <w:bottom w:val="none" w:sz="0" w:space="0" w:color="auto"/>
        <w:right w:val="none" w:sz="0" w:space="0" w:color="auto"/>
      </w:divBdr>
      <w:divsChild>
        <w:div w:id="1998800463">
          <w:marLeft w:val="0"/>
          <w:marRight w:val="0"/>
          <w:marTop w:val="0"/>
          <w:marBottom w:val="0"/>
          <w:divBdr>
            <w:top w:val="none" w:sz="0" w:space="0" w:color="auto"/>
            <w:left w:val="none" w:sz="0" w:space="0" w:color="auto"/>
            <w:bottom w:val="none" w:sz="0" w:space="0" w:color="auto"/>
            <w:right w:val="none" w:sz="0" w:space="0" w:color="auto"/>
          </w:divBdr>
          <w:divsChild>
            <w:div w:id="263074042">
              <w:marLeft w:val="0"/>
              <w:marRight w:val="0"/>
              <w:marTop w:val="0"/>
              <w:marBottom w:val="0"/>
              <w:divBdr>
                <w:top w:val="none" w:sz="0" w:space="0" w:color="auto"/>
                <w:left w:val="none" w:sz="0" w:space="0" w:color="auto"/>
                <w:bottom w:val="none" w:sz="0" w:space="0" w:color="auto"/>
                <w:right w:val="none" w:sz="0" w:space="0" w:color="auto"/>
              </w:divBdr>
              <w:divsChild>
                <w:div w:id="6322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08700">
      <w:bodyDiv w:val="1"/>
      <w:marLeft w:val="0"/>
      <w:marRight w:val="0"/>
      <w:marTop w:val="0"/>
      <w:marBottom w:val="0"/>
      <w:divBdr>
        <w:top w:val="none" w:sz="0" w:space="0" w:color="auto"/>
        <w:left w:val="none" w:sz="0" w:space="0" w:color="auto"/>
        <w:bottom w:val="none" w:sz="0" w:space="0" w:color="auto"/>
        <w:right w:val="none" w:sz="0" w:space="0" w:color="auto"/>
      </w:divBdr>
    </w:div>
    <w:div w:id="1916353943">
      <w:bodyDiv w:val="1"/>
      <w:marLeft w:val="0"/>
      <w:marRight w:val="0"/>
      <w:marTop w:val="0"/>
      <w:marBottom w:val="0"/>
      <w:divBdr>
        <w:top w:val="none" w:sz="0" w:space="0" w:color="auto"/>
        <w:left w:val="none" w:sz="0" w:space="0" w:color="auto"/>
        <w:bottom w:val="none" w:sz="0" w:space="0" w:color="auto"/>
        <w:right w:val="none" w:sz="0" w:space="0" w:color="auto"/>
      </w:divBdr>
    </w:div>
    <w:div w:id="1931547228">
      <w:bodyDiv w:val="1"/>
      <w:marLeft w:val="0"/>
      <w:marRight w:val="0"/>
      <w:marTop w:val="0"/>
      <w:marBottom w:val="0"/>
      <w:divBdr>
        <w:top w:val="none" w:sz="0" w:space="0" w:color="auto"/>
        <w:left w:val="none" w:sz="0" w:space="0" w:color="auto"/>
        <w:bottom w:val="none" w:sz="0" w:space="0" w:color="auto"/>
        <w:right w:val="none" w:sz="0" w:space="0" w:color="auto"/>
      </w:divBdr>
    </w:div>
    <w:div w:id="2003047226">
      <w:bodyDiv w:val="1"/>
      <w:marLeft w:val="0"/>
      <w:marRight w:val="0"/>
      <w:marTop w:val="0"/>
      <w:marBottom w:val="0"/>
      <w:divBdr>
        <w:top w:val="none" w:sz="0" w:space="0" w:color="auto"/>
        <w:left w:val="none" w:sz="0" w:space="0" w:color="auto"/>
        <w:bottom w:val="none" w:sz="0" w:space="0" w:color="auto"/>
        <w:right w:val="none" w:sz="0" w:space="0" w:color="auto"/>
      </w:divBdr>
      <w:divsChild>
        <w:div w:id="1279722836">
          <w:marLeft w:val="0"/>
          <w:marRight w:val="0"/>
          <w:marTop w:val="0"/>
          <w:marBottom w:val="0"/>
          <w:divBdr>
            <w:top w:val="none" w:sz="0" w:space="0" w:color="auto"/>
            <w:left w:val="none" w:sz="0" w:space="0" w:color="auto"/>
            <w:bottom w:val="none" w:sz="0" w:space="0" w:color="auto"/>
            <w:right w:val="none" w:sz="0" w:space="0" w:color="auto"/>
          </w:divBdr>
          <w:divsChild>
            <w:div w:id="349841596">
              <w:marLeft w:val="0"/>
              <w:marRight w:val="0"/>
              <w:marTop w:val="0"/>
              <w:marBottom w:val="0"/>
              <w:divBdr>
                <w:top w:val="none" w:sz="0" w:space="0" w:color="auto"/>
                <w:left w:val="none" w:sz="0" w:space="0" w:color="auto"/>
                <w:bottom w:val="none" w:sz="0" w:space="0" w:color="auto"/>
                <w:right w:val="none" w:sz="0" w:space="0" w:color="auto"/>
              </w:divBdr>
              <w:divsChild>
                <w:div w:id="3831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8861">
      <w:bodyDiv w:val="1"/>
      <w:marLeft w:val="0"/>
      <w:marRight w:val="0"/>
      <w:marTop w:val="0"/>
      <w:marBottom w:val="0"/>
      <w:divBdr>
        <w:top w:val="none" w:sz="0" w:space="0" w:color="auto"/>
        <w:left w:val="none" w:sz="0" w:space="0" w:color="auto"/>
        <w:bottom w:val="none" w:sz="0" w:space="0" w:color="auto"/>
        <w:right w:val="none" w:sz="0" w:space="0" w:color="auto"/>
      </w:divBdr>
    </w:div>
    <w:div w:id="2065323260">
      <w:bodyDiv w:val="1"/>
      <w:marLeft w:val="0"/>
      <w:marRight w:val="0"/>
      <w:marTop w:val="0"/>
      <w:marBottom w:val="0"/>
      <w:divBdr>
        <w:top w:val="none" w:sz="0" w:space="0" w:color="auto"/>
        <w:left w:val="none" w:sz="0" w:space="0" w:color="auto"/>
        <w:bottom w:val="none" w:sz="0" w:space="0" w:color="auto"/>
        <w:right w:val="none" w:sz="0" w:space="0" w:color="auto"/>
      </w:divBdr>
    </w:div>
    <w:div w:id="20982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0FEC-5973-2043-AC2E-F8ABC19C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3134</Words>
  <Characters>17868</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Itzik Amar</dc:creator>
  <cp:keywords/>
  <dc:description/>
  <cp:lastModifiedBy>itzik amar</cp:lastModifiedBy>
  <cp:revision>3</cp:revision>
  <cp:lastPrinted>2018-09-30T14:26:00Z</cp:lastPrinted>
  <dcterms:created xsi:type="dcterms:W3CDTF">2019-04-14T12:39:00Z</dcterms:created>
  <dcterms:modified xsi:type="dcterms:W3CDTF">2019-04-14T12:43:00Z</dcterms:modified>
  <cp:category/>
</cp:coreProperties>
</file>