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C4" w:rsidRPr="00FD1A24" w:rsidRDefault="00F3644D" w:rsidP="00DF15C4">
      <w:pPr>
        <w:tabs>
          <w:tab w:val="left" w:pos="922"/>
        </w:tabs>
        <w:spacing w:line="360" w:lineRule="auto"/>
        <w:jc w:val="both"/>
        <w:rPr>
          <w:rFonts w:ascii="David" w:hAnsi="David" w:cs="David"/>
          <w:color w:val="4472C4" w:themeColor="accent5"/>
          <w:sz w:val="24"/>
          <w:szCs w:val="24"/>
          <w:rtl/>
        </w:rPr>
      </w:pPr>
      <w:r>
        <w:rPr>
          <w:rFonts w:ascii="David" w:hAnsi="David" w:cs="David"/>
          <w:color w:val="4472C4" w:themeColor="accent5"/>
          <w:sz w:val="24"/>
          <w:szCs w:val="24"/>
          <w:rtl/>
        </w:rPr>
        <w:tab/>
      </w:r>
      <w:r w:rsidR="00DF15C4" w:rsidRPr="00FD1A24">
        <w:rPr>
          <w:rFonts w:ascii="David" w:hAnsi="David" w:cs="David"/>
          <w:color w:val="4472C4" w:themeColor="accent5"/>
          <w:sz w:val="24"/>
          <w:szCs w:val="24"/>
          <w:rtl/>
        </w:rPr>
        <w:t>בחלק זה יוגדר ה-</w:t>
      </w:r>
      <w:r w:rsidR="00DF15C4" w:rsidRPr="00FD1A24">
        <w:rPr>
          <w:rFonts w:ascii="David" w:hAnsi="David" w:cs="David"/>
          <w:color w:val="4472C4" w:themeColor="accent5"/>
          <w:sz w:val="24"/>
          <w:szCs w:val="24"/>
        </w:rPr>
        <w:t>construct</w:t>
      </w:r>
      <w:r w:rsidR="00DF15C4" w:rsidRPr="00FD1A24">
        <w:rPr>
          <w:rFonts w:ascii="David" w:hAnsi="David" w:cs="David"/>
          <w:color w:val="4472C4" w:themeColor="accent5"/>
          <w:sz w:val="24"/>
          <w:szCs w:val="24"/>
          <w:rtl/>
        </w:rPr>
        <w:t xml:space="preserve"> "ביישנות" ונסקור את השלכותיה על חייהם של ילדים ובוגרים. לאחר מכן, יתוארו גורמי סיכון והגנה בהתפתחותם של ילדים ביישנים. לבסוף, נתייחס להיבטים של מגדר ותרבות.</w:t>
      </w:r>
    </w:p>
    <w:p w:rsidR="00DF15C4" w:rsidRDefault="00DF15C4" w:rsidP="00DF15C4">
      <w:pPr>
        <w:spacing w:line="360" w:lineRule="auto"/>
        <w:ind w:firstLine="720"/>
        <w:jc w:val="both"/>
        <w:rPr>
          <w:rFonts w:ascii="David" w:hAnsi="David" w:cs="David" w:hint="cs"/>
          <w:color w:val="4472C4" w:themeColor="accent5"/>
          <w:sz w:val="24"/>
          <w:szCs w:val="24"/>
          <w:rtl/>
        </w:rPr>
      </w:pP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תחילה נתייחס למורכבות הכרוכה 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בתמיכה ב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>תלמידים ביישנים במסגרת בית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-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הספר. לאחר מכן, תתוארנה תפיסות של מורים כלפי תלמידים </w:t>
      </w:r>
      <w:r w:rsidRPr="004D0C62">
        <w:rPr>
          <w:rFonts w:ascii="David" w:hAnsi="David" w:cs="David" w:hint="cs"/>
          <w:color w:val="4472C4" w:themeColor="accent5"/>
          <w:sz w:val="24"/>
          <w:szCs w:val="24"/>
          <w:rtl/>
        </w:rPr>
        <w:t>אלה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 ואסטרטגיות 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סיוע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 הניתנות ליישום במסגר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ו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ת 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חינוך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>.</w:t>
      </w:r>
      <w:r w:rsidRPr="00FD1A24">
        <w:rPr>
          <w:rFonts w:ascii="David" w:hAnsi="David" w:cs="David"/>
          <w:color w:val="4472C4" w:themeColor="accent5"/>
          <w:sz w:val="24"/>
          <w:szCs w:val="24"/>
          <w:rtl/>
        </w:rPr>
        <w:t xml:space="preserve"> </w:t>
      </w:r>
    </w:p>
    <w:p w:rsidR="00DF15C4" w:rsidRDefault="00DF15C4" w:rsidP="00DF15C4">
      <w:pPr>
        <w:spacing w:line="360" w:lineRule="auto"/>
        <w:ind w:firstLine="720"/>
        <w:jc w:val="both"/>
        <w:rPr>
          <w:rFonts w:ascii="David" w:hAnsi="David" w:cs="David"/>
          <w:color w:val="4472C4" w:themeColor="accent5"/>
          <w:sz w:val="24"/>
          <w:szCs w:val="24"/>
          <w:rtl/>
        </w:rPr>
      </w:pP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>האסטרטגיות משלבות גישות שונות בפסיכולוגיה, כגון גישה הומניסטית (הכלת הרגשות של התלמיד הביישן) וגישות קוגניטיביות והתנהגותיות.</w:t>
      </w:r>
      <w:r w:rsidRPr="004D0C62">
        <w:rPr>
          <w:rFonts w:ascii="David" w:hAnsi="David" w:cs="David"/>
          <w:sz w:val="24"/>
          <w:szCs w:val="24"/>
          <w:rtl/>
        </w:rPr>
        <w:t xml:space="preserve"> 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>להלן האסטרטגיות המרכזיות:</w:t>
      </w:r>
    </w:p>
    <w:p w:rsidR="00DF15C4" w:rsidRPr="00FD1A24" w:rsidRDefault="00DF15C4" w:rsidP="00DF15C4">
      <w:pPr>
        <w:spacing w:line="480" w:lineRule="auto"/>
        <w:jc w:val="both"/>
        <w:rPr>
          <w:rFonts w:ascii="David" w:hAnsi="David" w:cs="David"/>
          <w:color w:val="4472C4" w:themeColor="accent5"/>
          <w:sz w:val="24"/>
          <w:szCs w:val="24"/>
        </w:rPr>
      </w:pPr>
      <w:r w:rsidRPr="00A73199">
        <w:rPr>
          <w:rFonts w:ascii="David" w:hAnsi="David" w:cs="David"/>
          <w:b/>
          <w:bCs/>
          <w:i/>
          <w:iCs/>
          <w:color w:val="4472C4" w:themeColor="accent5"/>
          <w:sz w:val="24"/>
          <w:szCs w:val="24"/>
          <w:rtl/>
        </w:rPr>
        <w:t>המרת המחשבות ה</w:t>
      </w:r>
      <w:bookmarkStart w:id="0" w:name="_GoBack"/>
      <w:bookmarkEnd w:id="0"/>
      <w:r w:rsidRPr="00A73199">
        <w:rPr>
          <w:rFonts w:ascii="David" w:hAnsi="David" w:cs="David"/>
          <w:b/>
          <w:bCs/>
          <w:i/>
          <w:iCs/>
          <w:color w:val="4472C4" w:themeColor="accent5"/>
          <w:sz w:val="24"/>
          <w:szCs w:val="24"/>
          <w:rtl/>
        </w:rPr>
        <w:t>שליליות במחשבות ריאליסטיות</w:t>
      </w:r>
      <w:r>
        <w:rPr>
          <w:rFonts w:ascii="David" w:hAnsi="David" w:cs="David" w:hint="cs"/>
          <w:b/>
          <w:bCs/>
          <w:i/>
          <w:iCs/>
          <w:color w:val="4472C4" w:themeColor="accent5"/>
          <w:sz w:val="24"/>
          <w:szCs w:val="24"/>
          <w:rtl/>
        </w:rPr>
        <w:t xml:space="preserve">: </w:t>
      </w:r>
      <w:r w:rsidRPr="00A73199">
        <w:rPr>
          <w:rFonts w:ascii="David" w:hAnsi="David" w:cs="David"/>
          <w:color w:val="4472C4" w:themeColor="accent5"/>
          <w:sz w:val="24"/>
          <w:szCs w:val="24"/>
          <w:rtl/>
        </w:rPr>
        <w:t xml:space="preserve">למשל, רצוי שהמורה לא יתנסח לגבי טעויות בכיתה בצורה טוטאלית ודרמטית אלא בצורה מאוזנת המאפשרת לתלמיד הביישן להתייחס </w:t>
      </w:r>
      <w:r w:rsidRPr="00A73199">
        <w:rPr>
          <w:rFonts w:ascii="David" w:hAnsi="David" w:cs="David" w:hint="cs"/>
          <w:color w:val="4472C4" w:themeColor="accent5"/>
          <w:sz w:val="24"/>
          <w:szCs w:val="24"/>
          <w:rtl/>
        </w:rPr>
        <w:t>לעניין</w:t>
      </w:r>
      <w:r w:rsidRPr="00A73199">
        <w:rPr>
          <w:rFonts w:ascii="David" w:hAnsi="David" w:cs="David"/>
          <w:color w:val="4472C4" w:themeColor="accent5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בפרופורציה</w:t>
      </w:r>
      <w:r w:rsidRPr="00A73199">
        <w:rPr>
          <w:rFonts w:ascii="David" w:hAnsi="David" w:cs="David"/>
          <w:color w:val="4472C4" w:themeColor="accent5"/>
          <w:sz w:val="24"/>
          <w:szCs w:val="24"/>
          <w:rtl/>
        </w:rPr>
        <w:t xml:space="preserve">. </w:t>
      </w:r>
    </w:p>
    <w:p w:rsidR="00DF15C4" w:rsidRDefault="00DF15C4" w:rsidP="00F3644D">
      <w:pPr>
        <w:spacing w:line="360" w:lineRule="auto"/>
        <w:ind w:firstLine="360"/>
        <w:jc w:val="both"/>
        <w:rPr>
          <w:rFonts w:ascii="David" w:hAnsi="David" w:cs="David"/>
          <w:color w:val="4472C4" w:themeColor="accent5"/>
          <w:sz w:val="24"/>
          <w:szCs w:val="24"/>
          <w:rtl/>
        </w:rPr>
      </w:pP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לסיום, </w:t>
      </w:r>
      <w:r w:rsidR="00F3644D">
        <w:rPr>
          <w:rFonts w:ascii="David" w:hAnsi="David" w:cs="David"/>
          <w:color w:val="4472C4" w:themeColor="accent5"/>
          <w:sz w:val="24"/>
          <w:szCs w:val="24"/>
        </w:rPr>
        <w:t>this review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 משקפת את ההבנות של המחברת </w:t>
      </w:r>
      <w:r>
        <w:rPr>
          <w:rFonts w:ascii="David" w:hAnsi="David" w:cs="David" w:hint="cs"/>
          <w:color w:val="4472C4" w:themeColor="accent5"/>
          <w:sz w:val="24"/>
          <w:szCs w:val="24"/>
          <w:rtl/>
        </w:rPr>
        <w:t>ב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נושא הביישנות ואת רוח התקופה בה היא נכתבה. ייתכן שסקירות אחרות, הנכתבות על ידי מחברים שונים ובזמנים שונים, היו מציגות את הנושא בזוויות ראייה שונות. </w:t>
      </w:r>
    </w:p>
    <w:p w:rsidR="00DF15C4" w:rsidRPr="00FD1A24" w:rsidRDefault="00DF15C4" w:rsidP="0064535F">
      <w:pPr>
        <w:spacing w:line="360" w:lineRule="auto"/>
        <w:ind w:firstLine="360"/>
        <w:jc w:val="both"/>
        <w:rPr>
          <w:rFonts w:ascii="David" w:hAnsi="David" w:cs="David"/>
          <w:sz w:val="24"/>
          <w:szCs w:val="24"/>
          <w:rtl/>
        </w:rPr>
      </w:pPr>
      <w:r w:rsidRPr="004D0C62">
        <w:rPr>
          <w:rFonts w:ascii="David" w:hAnsi="David" w:cs="David" w:hint="cs"/>
          <w:color w:val="4472C4" w:themeColor="accent5"/>
          <w:sz w:val="24"/>
          <w:szCs w:val="24"/>
          <w:rtl/>
        </w:rPr>
        <w:t xml:space="preserve">לערוך אינטגרציה של הידע שפורסם 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 xml:space="preserve">על הנושא ולזקק ממנו מסגרת חשיבה מסודרת ומובנית התורמת לקידום התמיכה בתלמידים ביישנים </w:t>
      </w:r>
      <w:r w:rsidR="0064535F">
        <w:rPr>
          <w:rFonts w:ascii="David" w:hAnsi="David" w:cs="David" w:hint="cs"/>
          <w:color w:val="4472C4" w:themeColor="accent5"/>
          <w:sz w:val="24"/>
          <w:szCs w:val="24"/>
          <w:rtl/>
        </w:rPr>
        <w:t>בכיתה</w:t>
      </w:r>
      <w:r w:rsidRPr="004D0C62">
        <w:rPr>
          <w:rFonts w:ascii="David" w:hAnsi="David" w:cs="David"/>
          <w:color w:val="4472C4" w:themeColor="accent5"/>
          <w:sz w:val="24"/>
          <w:szCs w:val="24"/>
          <w:rtl/>
        </w:rPr>
        <w:t>.</w:t>
      </w:r>
    </w:p>
    <w:p w:rsidR="00DF15C4" w:rsidRPr="00FD1A24" w:rsidRDefault="00DF15C4" w:rsidP="00DF15C4">
      <w:pPr>
        <w:spacing w:line="360" w:lineRule="auto"/>
        <w:ind w:firstLine="720"/>
        <w:jc w:val="both"/>
        <w:rPr>
          <w:rFonts w:ascii="David" w:hAnsi="David" w:cs="David"/>
          <w:color w:val="4472C4" w:themeColor="accent5"/>
          <w:sz w:val="24"/>
          <w:szCs w:val="24"/>
          <w:rtl/>
        </w:rPr>
      </w:pPr>
    </w:p>
    <w:p w:rsidR="00DF15C4" w:rsidRDefault="00DF15C4"/>
    <w:sectPr w:rsidR="00DF15C4" w:rsidSect="00073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4"/>
    <w:rsid w:val="00010A6C"/>
    <w:rsid w:val="0001510C"/>
    <w:rsid w:val="00021EAD"/>
    <w:rsid w:val="0002288D"/>
    <w:rsid w:val="000548BE"/>
    <w:rsid w:val="00055BC9"/>
    <w:rsid w:val="00073065"/>
    <w:rsid w:val="00073EB9"/>
    <w:rsid w:val="00076D61"/>
    <w:rsid w:val="00091EF2"/>
    <w:rsid w:val="000B26BE"/>
    <w:rsid w:val="001311B8"/>
    <w:rsid w:val="001445BF"/>
    <w:rsid w:val="00152AD5"/>
    <w:rsid w:val="00161979"/>
    <w:rsid w:val="001813DC"/>
    <w:rsid w:val="00184CDB"/>
    <w:rsid w:val="001F5182"/>
    <w:rsid w:val="001F7594"/>
    <w:rsid w:val="002016DF"/>
    <w:rsid w:val="002040F0"/>
    <w:rsid w:val="002144A6"/>
    <w:rsid w:val="002219EB"/>
    <w:rsid w:val="002261D6"/>
    <w:rsid w:val="00245F56"/>
    <w:rsid w:val="00247EA1"/>
    <w:rsid w:val="00250760"/>
    <w:rsid w:val="00270908"/>
    <w:rsid w:val="00281317"/>
    <w:rsid w:val="0028619F"/>
    <w:rsid w:val="00294508"/>
    <w:rsid w:val="002A363E"/>
    <w:rsid w:val="002A4EED"/>
    <w:rsid w:val="002D1FE5"/>
    <w:rsid w:val="002F2728"/>
    <w:rsid w:val="003079BD"/>
    <w:rsid w:val="00332929"/>
    <w:rsid w:val="0039255E"/>
    <w:rsid w:val="00393A2F"/>
    <w:rsid w:val="003B5FCA"/>
    <w:rsid w:val="003C510F"/>
    <w:rsid w:val="003D32A4"/>
    <w:rsid w:val="003D4BDF"/>
    <w:rsid w:val="00470F2F"/>
    <w:rsid w:val="00490636"/>
    <w:rsid w:val="004A688B"/>
    <w:rsid w:val="004E1C53"/>
    <w:rsid w:val="004E68DF"/>
    <w:rsid w:val="004F4087"/>
    <w:rsid w:val="004F5DAF"/>
    <w:rsid w:val="00523F9A"/>
    <w:rsid w:val="005756A7"/>
    <w:rsid w:val="0058088B"/>
    <w:rsid w:val="00585D1D"/>
    <w:rsid w:val="00591D64"/>
    <w:rsid w:val="005B5D05"/>
    <w:rsid w:val="005C110B"/>
    <w:rsid w:val="005D5B29"/>
    <w:rsid w:val="005D7541"/>
    <w:rsid w:val="005F3165"/>
    <w:rsid w:val="005F61D4"/>
    <w:rsid w:val="00631129"/>
    <w:rsid w:val="0064535F"/>
    <w:rsid w:val="00651AB5"/>
    <w:rsid w:val="006755AF"/>
    <w:rsid w:val="0069127C"/>
    <w:rsid w:val="00691EB5"/>
    <w:rsid w:val="006A1A73"/>
    <w:rsid w:val="006B6C48"/>
    <w:rsid w:val="006B6F58"/>
    <w:rsid w:val="006C4C4E"/>
    <w:rsid w:val="006C7E31"/>
    <w:rsid w:val="0071624F"/>
    <w:rsid w:val="0072274B"/>
    <w:rsid w:val="007614A1"/>
    <w:rsid w:val="00763157"/>
    <w:rsid w:val="007B4BF7"/>
    <w:rsid w:val="0080136B"/>
    <w:rsid w:val="00853A3C"/>
    <w:rsid w:val="00861DD1"/>
    <w:rsid w:val="00866FA5"/>
    <w:rsid w:val="00867647"/>
    <w:rsid w:val="008D5FFE"/>
    <w:rsid w:val="009042AA"/>
    <w:rsid w:val="0090788D"/>
    <w:rsid w:val="009111DB"/>
    <w:rsid w:val="0091600F"/>
    <w:rsid w:val="00941310"/>
    <w:rsid w:val="00965472"/>
    <w:rsid w:val="0097096B"/>
    <w:rsid w:val="00987C38"/>
    <w:rsid w:val="0099173A"/>
    <w:rsid w:val="009D214E"/>
    <w:rsid w:val="009E405F"/>
    <w:rsid w:val="00A44DC6"/>
    <w:rsid w:val="00A46122"/>
    <w:rsid w:val="00A469F0"/>
    <w:rsid w:val="00A530A0"/>
    <w:rsid w:val="00A546A4"/>
    <w:rsid w:val="00AC2B04"/>
    <w:rsid w:val="00AC4A19"/>
    <w:rsid w:val="00AD36BA"/>
    <w:rsid w:val="00AF06FB"/>
    <w:rsid w:val="00B02321"/>
    <w:rsid w:val="00B03A8A"/>
    <w:rsid w:val="00B17A10"/>
    <w:rsid w:val="00B73012"/>
    <w:rsid w:val="00B81671"/>
    <w:rsid w:val="00B9661C"/>
    <w:rsid w:val="00BB27A6"/>
    <w:rsid w:val="00BD181B"/>
    <w:rsid w:val="00C34ECD"/>
    <w:rsid w:val="00C6432D"/>
    <w:rsid w:val="00C7585F"/>
    <w:rsid w:val="00C76540"/>
    <w:rsid w:val="00C94A35"/>
    <w:rsid w:val="00CC1DD1"/>
    <w:rsid w:val="00D76004"/>
    <w:rsid w:val="00D91F52"/>
    <w:rsid w:val="00DA2EED"/>
    <w:rsid w:val="00DC2A37"/>
    <w:rsid w:val="00DD0930"/>
    <w:rsid w:val="00DD203D"/>
    <w:rsid w:val="00DF15C4"/>
    <w:rsid w:val="00DF65D6"/>
    <w:rsid w:val="00E035D3"/>
    <w:rsid w:val="00E13851"/>
    <w:rsid w:val="00E53855"/>
    <w:rsid w:val="00E64D89"/>
    <w:rsid w:val="00E81C65"/>
    <w:rsid w:val="00E862CC"/>
    <w:rsid w:val="00EA4A94"/>
    <w:rsid w:val="00EA6EAE"/>
    <w:rsid w:val="00EE2DBF"/>
    <w:rsid w:val="00EF1D6F"/>
    <w:rsid w:val="00F023AA"/>
    <w:rsid w:val="00F11113"/>
    <w:rsid w:val="00F146F5"/>
    <w:rsid w:val="00F212BA"/>
    <w:rsid w:val="00F2728C"/>
    <w:rsid w:val="00F32FF0"/>
    <w:rsid w:val="00F3644D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0B39-0974-4328-81CF-B4F037C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C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2017-08-01T11:15:00Z</dcterms:created>
  <dcterms:modified xsi:type="dcterms:W3CDTF">2017-08-01T11:30:00Z</dcterms:modified>
</cp:coreProperties>
</file>