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A6E5B" w14:textId="77777777" w:rsidR="00F833F2" w:rsidRDefault="00F833F2" w:rsidP="0002780F">
      <w:pPr>
        <w:rPr>
          <w:rFonts w:cs="Tahoma"/>
          <w:sz w:val="28"/>
          <w:szCs w:val="28"/>
          <w:lang w:val="en-US" w:bidi="he-IL"/>
        </w:rPr>
      </w:pPr>
    </w:p>
    <w:p w14:paraId="3D978AD0" w14:textId="77777777" w:rsidR="00211087" w:rsidRDefault="00211087" w:rsidP="0002780F">
      <w:pPr>
        <w:rPr>
          <w:rFonts w:cs="Tahoma"/>
          <w:sz w:val="28"/>
          <w:szCs w:val="28"/>
          <w:lang w:val="en-US" w:bidi="he-IL"/>
        </w:rPr>
      </w:pPr>
    </w:p>
    <w:p w14:paraId="79B530B0" w14:textId="77777777" w:rsidR="00211087" w:rsidRPr="00F0656A" w:rsidRDefault="00211087" w:rsidP="00BF43DA">
      <w:pPr>
        <w:rPr>
          <w:rFonts w:cs="Tahoma" w:hint="cs"/>
          <w:sz w:val="28"/>
          <w:szCs w:val="28"/>
          <w:rtl/>
          <w:lang w:val="en-US" w:bidi="he-IL"/>
        </w:rPr>
      </w:pPr>
    </w:p>
    <w:p w14:paraId="70721F61" w14:textId="04175110" w:rsidR="008535AD" w:rsidRPr="00F0656A" w:rsidRDefault="00471AA7" w:rsidP="008C7098">
      <w:pPr>
        <w:rPr>
          <w:rFonts w:ascii="Arial Hebrew" w:hAnsi="Arial Hebrew" w:cs="Arial Hebrew" w:hint="cs"/>
          <w:sz w:val="28"/>
          <w:szCs w:val="28"/>
          <w:rtl/>
          <w:lang w:bidi="he-IL"/>
        </w:rPr>
      </w:pP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הטענה המרכזית ש</w:t>
      </w:r>
      <w:r w:rsidR="00AB0C8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ל עפרי אילני סוחפת ומעוררת השראה</w:t>
      </w:r>
      <w:r w:rsidR="0025175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, דווקא משום שהיא לכאורה פרדוקסלית</w:t>
      </w:r>
      <w:r w:rsidR="00AB0C8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. הוא מציע </w:t>
      </w:r>
      <w:r w:rsidR="00094237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לנטוש את ה</w:t>
      </w:r>
      <w:r w:rsidR="0025175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שאיפה</w:t>
      </w:r>
      <w:r w:rsidR="00094237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הליברלית החילונית הנפוצה </w:t>
      </w:r>
      <w:r w:rsidR="00F0656A">
        <w:rPr>
          <w:rFonts w:ascii="Arial Hebrew" w:hAnsi="Arial Hebrew" w:cs="Arial Hebrew" w:hint="cs"/>
          <w:sz w:val="28"/>
          <w:szCs w:val="28"/>
          <w:rtl/>
          <w:lang w:bidi="he-IL"/>
        </w:rPr>
        <w:t>-</w:t>
      </w:r>
      <w:r w:rsidR="008C7098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והכושלת</w:t>
      </w:r>
      <w:r w:rsidR="00094237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AB0C8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- </w:t>
      </w:r>
      <w:proofErr w:type="spellStart"/>
      <w:r w:rsidR="00AB0C8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ל</w:t>
      </w:r>
      <w:r w:rsidR="00094237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נ</w:t>
      </w:r>
      <w:r w:rsidR="00AB0C8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י</w:t>
      </w:r>
      <w:r w:rsidR="00094237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טר</w:t>
      </w:r>
      <w:r w:rsidR="00AB0C8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ול</w:t>
      </w:r>
      <w:proofErr w:type="spellEnd"/>
      <w:r w:rsidR="00094237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הממד הדתי</w:t>
      </w:r>
      <w:r w:rsidR="00AB0C8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/תיאולוגי</w:t>
      </w:r>
      <w:r w:rsidR="00094237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של הציונות</w:t>
      </w:r>
      <w:r w:rsidR="00F0656A">
        <w:rPr>
          <w:rFonts w:ascii="Arial Hebrew" w:hAnsi="Arial Hebrew" w:cs="Arial Hebrew" w:hint="cs"/>
          <w:sz w:val="28"/>
          <w:szCs w:val="28"/>
          <w:rtl/>
          <w:lang w:bidi="he-IL"/>
        </w:rPr>
        <w:t>,</w:t>
      </w:r>
      <w:r w:rsidR="008C7098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ולאמץ</w:t>
      </w:r>
      <w:r w:rsidR="00BF43D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8C7098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את רעיון </w:t>
      </w:r>
      <w:proofErr w:type="spellStart"/>
      <w:r w:rsidR="000711B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ה״נבחרות</w:t>
      </w:r>
      <w:proofErr w:type="spellEnd"/>
      <w:r w:rsidR="000711B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״ </w:t>
      </w:r>
      <w:r w:rsidR="005F4DB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(</w:t>
      </w:r>
      <w:proofErr w:type="spellStart"/>
      <w:r w:rsidR="000711B3" w:rsidRPr="00F0656A">
        <w:rPr>
          <w:rFonts w:ascii="Calibri" w:eastAsia="Calibri" w:hAnsi="Calibri" w:cs="Calibri"/>
          <w:sz w:val="28"/>
          <w:szCs w:val="28"/>
          <w:lang w:bidi="he-IL"/>
        </w:rPr>
        <w:t>chosenness</w:t>
      </w:r>
      <w:proofErr w:type="spellEnd"/>
      <w:r w:rsidR="0025175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5F4DB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) </w:t>
      </w:r>
      <w:r w:rsidR="0025175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כדי להגיע </w:t>
      </w:r>
      <w:r w:rsidR="008C7098">
        <w:rPr>
          <w:rFonts w:ascii="Arial Hebrew" w:hAnsi="Arial Hebrew" w:cs="Arial Hebrew" w:hint="cs"/>
          <w:sz w:val="28"/>
          <w:szCs w:val="28"/>
          <w:rtl/>
          <w:lang w:bidi="he-IL"/>
        </w:rPr>
        <w:t>בתום</w:t>
      </w:r>
      <w:r w:rsid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8C7098">
        <w:rPr>
          <w:rFonts w:ascii="Arial Hebrew" w:hAnsi="Arial Hebrew" w:cs="Arial Hebrew" w:hint="cs"/>
          <w:sz w:val="28"/>
          <w:szCs w:val="28"/>
          <w:rtl/>
          <w:lang w:bidi="he-IL"/>
        </w:rPr>
        <w:t>ה</w:t>
      </w:r>
      <w:r w:rsid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תהליך </w:t>
      </w:r>
      <w:r w:rsidR="0025175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לפוליטיקה ציונית הומניסטית</w:t>
      </w:r>
      <w:r w:rsidR="00DF0F95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.</w:t>
      </w:r>
      <w:r w:rsidR="00094237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כל </w:t>
      </w:r>
      <w:r w:rsidR="0025175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דרך אחרת </w:t>
      </w:r>
      <w:r w:rsidR="00094237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נועד</w:t>
      </w:r>
      <w:r w:rsidR="0025175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</w:t>
      </w:r>
      <w:r w:rsidR="00094237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לכישלון</w:t>
      </w:r>
      <w:r w:rsidR="00AB0C8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מ</w:t>
      </w:r>
      <w:r w:rsidR="0055029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שום </w:t>
      </w:r>
      <w:r w:rsidR="005F4DB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ש</w:t>
      </w:r>
      <w:r w:rsidR="008C7098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בכל מקרה </w:t>
      </w:r>
      <w:r w:rsidR="005F4DB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״</w:t>
      </w:r>
    </w:p>
    <w:p w14:paraId="6E2DC389" w14:textId="407CE57F" w:rsidR="005F4DBB" w:rsidRPr="00F0656A" w:rsidRDefault="00F0656A" w:rsidP="00A25F85">
      <w:pPr>
        <w:bidi w:val="0"/>
        <w:jc w:val="left"/>
        <w:rPr>
          <w:rFonts w:ascii="Arial Hebrew" w:hAnsi="Arial Hebrew" w:cs="Arial Hebrew" w:hint="cs"/>
          <w:sz w:val="28"/>
          <w:szCs w:val="28"/>
          <w:rtl/>
          <w:lang w:val="en-US"/>
        </w:rPr>
      </w:pPr>
      <w:r>
        <w:rPr>
          <w:rFonts w:ascii="Arial Hebrew" w:hAnsi="Arial Hebrew" w:cs="Arial Hebrew" w:hint="cs"/>
          <w:sz w:val="28"/>
          <w:szCs w:val="28"/>
          <w:rtl/>
        </w:rPr>
        <w:t>״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the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 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signifier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 “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Israel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” 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is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 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in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 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fact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 </w:t>
      </w:r>
      <w:r w:rsidR="008535AD" w:rsidRPr="00F0656A">
        <w:rPr>
          <w:rFonts w:ascii="Calibri" w:eastAsia="Calibri" w:hAnsi="Calibri" w:cs="Calibri"/>
          <w:sz w:val="28"/>
          <w:szCs w:val="28"/>
        </w:rPr>
        <w:t>a</w:t>
      </w:r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 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theological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 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concept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, 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which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 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includes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 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by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 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definition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 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the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 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idea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 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of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 </w:t>
      </w:r>
      <w:proofErr w:type="spellStart"/>
      <w:r w:rsidR="008535AD" w:rsidRPr="00F0656A">
        <w:rPr>
          <w:rFonts w:ascii="Calibri" w:eastAsia="Calibri" w:hAnsi="Calibri" w:cs="Calibri"/>
          <w:sz w:val="28"/>
          <w:szCs w:val="28"/>
        </w:rPr>
        <w:t>chosenness</w:t>
      </w:r>
      <w:proofErr w:type="spellEnd"/>
      <w:r w:rsidR="008535AD" w:rsidRPr="00F0656A">
        <w:rPr>
          <w:rFonts w:ascii="Arial Hebrew" w:hAnsi="Arial Hebrew" w:cs="Arial Hebrew" w:hint="cs"/>
          <w:sz w:val="28"/>
          <w:szCs w:val="28"/>
        </w:rPr>
        <w:t xml:space="preserve">. </w:t>
      </w:r>
      <w:r w:rsidR="00094237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״</w:t>
      </w:r>
      <w:r w:rsidR="008535AD" w:rsidRPr="00F0656A">
        <w:rPr>
          <w:rFonts w:ascii="Arial Hebrew" w:hAnsi="Arial Hebrew" w:cs="Arial Hebrew" w:hint="cs"/>
          <w:sz w:val="28"/>
          <w:szCs w:val="28"/>
          <w:lang w:val="en-US"/>
        </w:rPr>
        <w:t>.</w:t>
      </w:r>
    </w:p>
    <w:p w14:paraId="6CB35D05" w14:textId="4BA974FB" w:rsidR="005F4DBB" w:rsidRPr="00F0656A" w:rsidRDefault="00BF43DA" w:rsidP="00F0656A">
      <w:pPr>
        <w:rPr>
          <w:rFonts w:ascii="Arial Hebrew" w:hAnsi="Arial Hebrew" w:cs="Arial Hebrew" w:hint="cs"/>
          <w:sz w:val="28"/>
          <w:szCs w:val="28"/>
          <w:rtl/>
          <w:lang w:bidi="he-IL"/>
        </w:rPr>
      </w:pPr>
      <w:r>
        <w:rPr>
          <w:rFonts w:ascii="Arial Hebrew" w:hAnsi="Arial Hebrew" w:cs="Arial Hebrew" w:hint="cs"/>
          <w:sz w:val="28"/>
          <w:szCs w:val="28"/>
          <w:rtl/>
          <w:lang w:bidi="he-IL"/>
        </w:rPr>
        <w:t>טענתו</w:t>
      </w:r>
      <w:r w:rsidR="008C7098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עוקפת </w:t>
      </w:r>
      <w:r w:rsidR="008C7098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בחוכמה </w:t>
      </w:r>
      <w:r w:rsid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את </w:t>
      </w:r>
      <w:r w:rsidR="005F4DB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הדיון המוכר על מורכב</w:t>
      </w:r>
      <w:r w:rsidR="008C7098">
        <w:rPr>
          <w:rFonts w:ascii="Arial Hebrew" w:hAnsi="Arial Hebrew" w:cs="Arial Hebrew" w:hint="cs"/>
          <w:sz w:val="28"/>
          <w:szCs w:val="28"/>
          <w:rtl/>
          <w:lang w:bidi="he-IL"/>
        </w:rPr>
        <w:t>ות היחסים בין דת ולאום ביהדות ו</w:t>
      </w:r>
      <w:r w:rsidR="005F4DB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בציונות</w:t>
      </w:r>
      <w:r w:rsidR="005F4DBB" w:rsidRPr="00F0656A">
        <w:rPr>
          <w:rStyle w:val="FootnoteReference"/>
          <w:rFonts w:ascii="Arial Hebrew" w:hAnsi="Arial Hebrew" w:cs="Arial Hebrew" w:hint="cs"/>
          <w:sz w:val="28"/>
          <w:szCs w:val="28"/>
          <w:rtl/>
          <w:lang w:bidi="he-IL"/>
        </w:rPr>
        <w:footnoteReference w:id="1"/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, </w:t>
      </w:r>
      <w:r w:rsidR="006D0671">
        <w:rPr>
          <w:rFonts w:ascii="Arial Hebrew" w:hAnsi="Arial Hebrew" w:cs="Arial Hebrew" w:hint="cs"/>
          <w:sz w:val="28"/>
          <w:szCs w:val="28"/>
          <w:rtl/>
          <w:lang w:bidi="he-IL"/>
        </w:rPr>
        <w:t>ומתמקדת ב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רעיון ״</w:t>
      </w:r>
      <w:r w:rsidR="005F4DB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הנבחרות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״</w:t>
      </w:r>
      <w:r w:rsidR="005F4DB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, המשותף, באופנים שונים, גם לתפיסה החילונית וגם לתפיסה הדתית של ישראל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, ומשקף </w:t>
      </w:r>
      <w:r w:rsidR="00FE5512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באופן </w:t>
      </w:r>
      <w:r w:rsidR="006D0671">
        <w:rPr>
          <w:rFonts w:ascii="Arial Hebrew" w:hAnsi="Arial Hebrew" w:cs="Arial Hebrew" w:hint="cs"/>
          <w:sz w:val="28"/>
          <w:szCs w:val="28"/>
          <w:rtl/>
          <w:lang w:bidi="he-IL"/>
        </w:rPr>
        <w:t>עמוק</w:t>
      </w:r>
      <w:r w:rsidR="00724F96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8C7098">
        <w:rPr>
          <w:rFonts w:ascii="Arial Hebrew" w:hAnsi="Arial Hebrew" w:cs="Arial Hebrew" w:hint="cs"/>
          <w:sz w:val="28"/>
          <w:szCs w:val="28"/>
          <w:rtl/>
          <w:lang w:bidi="he-IL"/>
        </w:rPr>
        <w:t>את היותה</w:t>
      </w:r>
      <w:r w:rsidR="00724F96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מקרה ייחודי</w:t>
      </w:r>
      <w:r w:rsidR="00BF447F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(</w:t>
      </w:r>
      <w:r w:rsidR="00BF447F">
        <w:rPr>
          <w:rFonts w:ascii="Calibri" w:hAnsi="Calibri" w:cs="Calibri"/>
          <w:sz w:val="28"/>
          <w:szCs w:val="28"/>
          <w:lang w:val="en-US" w:bidi="he-IL"/>
        </w:rPr>
        <w:t>Exceptional</w:t>
      </w:r>
      <w:r w:rsidR="005F4DB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.  </w:t>
      </w:r>
    </w:p>
    <w:p w14:paraId="403903FC" w14:textId="545CEBC8" w:rsidR="003C15FD" w:rsidRPr="00F0656A" w:rsidRDefault="00BF447F" w:rsidP="008C7098">
      <w:pPr>
        <w:jc w:val="left"/>
        <w:rPr>
          <w:rFonts w:ascii="Arial Hebrew" w:hAnsi="Arial Hebrew" w:cs="Arial Hebrew" w:hint="cs"/>
          <w:sz w:val="28"/>
          <w:szCs w:val="28"/>
          <w:rtl/>
          <w:lang w:val="en-US" w:bidi="he-IL"/>
        </w:rPr>
      </w:pPr>
      <w:proofErr w:type="spellStart"/>
      <w:r>
        <w:rPr>
          <w:rFonts w:ascii="Arial Hebrew" w:hAnsi="Arial Hebrew" w:cs="Arial Hebrew" w:hint="cs"/>
          <w:sz w:val="28"/>
          <w:szCs w:val="28"/>
          <w:rtl/>
          <w:lang w:val="en-US"/>
        </w:rPr>
        <w:t>אמת</w:t>
      </w:r>
      <w:proofErr w:type="spellEnd"/>
      <w:r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: </w:t>
      </w:r>
      <w:proofErr w:type="spellStart"/>
      <w:r w:rsidR="00B00DC6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בעוד</w:t>
      </w:r>
      <w:proofErr w:type="spellEnd"/>
      <w:r w:rsidR="00B00DC6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B00DC6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שבהקשר</w:t>
      </w:r>
      <w:proofErr w:type="spellEnd"/>
      <w:r w:rsidR="00B00DC6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B00DC6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הדתי</w:t>
      </w:r>
      <w:proofErr w:type="spellEnd"/>
      <w:r w:rsidR="00B00DC6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B00DC6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הזיקה</w:t>
      </w:r>
      <w:proofErr w:type="spellEnd"/>
      <w:r w:rsidR="00B00DC6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B00DC6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לרעיון</w:t>
      </w:r>
      <w:proofErr w:type="spellEnd"/>
      <w:r w:rsidR="00B00DC6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r w:rsidR="006D0671">
        <w:rPr>
          <w:rFonts w:ascii="Arial Hebrew" w:hAnsi="Arial Hebrew" w:cs="Arial Hebrew" w:hint="cs"/>
          <w:sz w:val="28"/>
          <w:szCs w:val="28"/>
          <w:rtl/>
          <w:lang w:val="en-US"/>
        </w:rPr>
        <w:t>״</w:t>
      </w:r>
      <w:proofErr w:type="spellStart"/>
      <w:r w:rsidR="00B00DC6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הנבחרות</w:t>
      </w:r>
      <w:proofErr w:type="spellEnd"/>
      <w:r w:rsidR="006D0671">
        <w:rPr>
          <w:rFonts w:ascii="Arial Hebrew" w:hAnsi="Arial Hebrew" w:cs="Arial Hebrew" w:hint="cs"/>
          <w:sz w:val="28"/>
          <w:szCs w:val="28"/>
          <w:rtl/>
          <w:lang w:val="en-US"/>
        </w:rPr>
        <w:t>״</w:t>
      </w:r>
      <w:r w:rsidR="00B00DC6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B00DC6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ברורה</w:t>
      </w:r>
      <w:proofErr w:type="spellEnd"/>
      <w:r w:rsidR="00E645C4">
        <w:rPr>
          <w:rFonts w:ascii="Arial Hebrew" w:hAnsi="Arial Hebrew" w:cs="Arial Hebrew" w:hint="cs"/>
          <w:sz w:val="28"/>
          <w:szCs w:val="28"/>
          <w:rtl/>
          <w:lang w:val="en-US"/>
        </w:rPr>
        <w:t>,</w:t>
      </w:r>
      <w:r w:rsidR="00E645C4">
        <w:rPr>
          <w:rFonts w:ascii="Arial Hebrew" w:hAnsi="Arial Hebrew" w:cs="Arial Hebrew"/>
          <w:sz w:val="28"/>
          <w:szCs w:val="28"/>
          <w:lang w:val="en-US"/>
        </w:rPr>
        <w:t xml:space="preserve"> </w:t>
      </w:r>
      <w:proofErr w:type="spellStart"/>
      <w:r w:rsidR="008B7C75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כל</w:t>
      </w:r>
      <w:proofErr w:type="spellEnd"/>
      <w:r w:rsidR="008B7C75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8B7C75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ניסיון</w:t>
      </w:r>
      <w:proofErr w:type="spellEnd"/>
      <w:r w:rsidR="008B7C75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8B7C75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להס</w:t>
      </w:r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>ביר</w:t>
      </w:r>
      <w:proofErr w:type="spellEnd"/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>את</w:t>
      </w:r>
      <w:proofErr w:type="spellEnd"/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>ישראל</w:t>
      </w:r>
      <w:proofErr w:type="spellEnd"/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>בהקשר</w:t>
      </w:r>
      <w:proofErr w:type="spellEnd"/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>חילוני</w:t>
      </w:r>
      <w:proofErr w:type="spellEnd"/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>נופל</w:t>
      </w:r>
      <w:proofErr w:type="spellEnd"/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>ל</w:t>
      </w:r>
      <w:r w:rsidR="008B7C75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מלכודת</w:t>
      </w:r>
      <w:proofErr w:type="spellEnd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. </w:t>
      </w:r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כך</w:t>
      </w:r>
      <w:proofErr w:type="spellEnd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, </w:t>
      </w:r>
      <w:proofErr w:type="spellStart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למשל</w:t>
      </w:r>
      <w:proofErr w:type="spellEnd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, </w:t>
      </w:r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כש</w:t>
      </w:r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האב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ה</w:t>
      </w:r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מייסד</w:t>
      </w:r>
      <w:proofErr w:type="spellEnd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של</w:t>
      </w:r>
      <w:proofErr w:type="spellEnd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ישראל</w:t>
      </w:r>
      <w:proofErr w:type="spellEnd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, </w:t>
      </w:r>
      <w:proofErr w:type="spellStart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דוד</w:t>
      </w:r>
      <w:proofErr w:type="spellEnd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בן-גוריון</w:t>
      </w:r>
      <w:proofErr w:type="spellEnd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, </w:t>
      </w:r>
      <w:proofErr w:type="spellStart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ש</w:t>
      </w:r>
      <w:r w:rsidR="006D0671">
        <w:rPr>
          <w:rFonts w:ascii="Arial Hebrew" w:hAnsi="Arial Hebrew" w:cs="Arial Hebrew" w:hint="cs"/>
          <w:sz w:val="28"/>
          <w:szCs w:val="28"/>
          <w:rtl/>
          <w:lang w:val="en-US"/>
        </w:rPr>
        <w:t>נאבק</w:t>
      </w:r>
      <w:proofErr w:type="spellEnd"/>
      <w:r w:rsidR="006D0671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6D0671">
        <w:rPr>
          <w:rFonts w:ascii="Arial Hebrew" w:hAnsi="Arial Hebrew" w:cs="Arial Hebrew" w:hint="cs"/>
          <w:sz w:val="28"/>
          <w:szCs w:val="28"/>
          <w:rtl/>
          <w:lang w:val="en-US"/>
        </w:rPr>
        <w:t>בממסד</w:t>
      </w:r>
      <w:proofErr w:type="spellEnd"/>
      <w:r w:rsidR="006D0671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6D0671">
        <w:rPr>
          <w:rFonts w:ascii="Arial Hebrew" w:hAnsi="Arial Hebrew" w:cs="Arial Hebrew" w:hint="cs"/>
          <w:sz w:val="28"/>
          <w:szCs w:val="28"/>
          <w:rtl/>
          <w:lang w:val="en-US"/>
        </w:rPr>
        <w:t>הרבני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,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וביקש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לצבוע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את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הציונות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בגוון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חילו</w:t>
      </w:r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ני</w:t>
      </w:r>
      <w:proofErr w:type="spellEnd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, </w:t>
      </w:r>
      <w:proofErr w:type="spellStart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מודרני</w:t>
      </w:r>
      <w:proofErr w:type="spellEnd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, </w:t>
      </w:r>
      <w:proofErr w:type="spellStart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מנותק</w:t>
      </w:r>
      <w:proofErr w:type="spellEnd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מהתפיסה</w:t>
      </w:r>
      <w:proofErr w:type="spellEnd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האורתודוכסית</w:t>
      </w:r>
      <w:proofErr w:type="spellEnd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, </w:t>
      </w:r>
      <w:proofErr w:type="spellStart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עד</w:t>
      </w:r>
      <w:proofErr w:type="spellEnd"/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שבמובנים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מסויי</w:t>
      </w:r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>מי</w:t>
      </w:r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ם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דמה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לכנענים</w:t>
      </w:r>
      <w:proofErr w:type="spellEnd"/>
      <w:r w:rsidR="003C15FD" w:rsidRPr="00F0656A">
        <w:rPr>
          <w:rStyle w:val="FootnoteReference"/>
          <w:rFonts w:ascii="Arial Hebrew" w:hAnsi="Arial Hebrew" w:cs="Arial Hebrew" w:hint="cs"/>
          <w:sz w:val="28"/>
          <w:szCs w:val="28"/>
          <w:rtl/>
          <w:lang w:val="en-US"/>
        </w:rPr>
        <w:footnoteReference w:id="2"/>
      </w:r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, </w:t>
      </w:r>
      <w:proofErr w:type="spellStart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>ביקש</w:t>
      </w:r>
      <w:proofErr w:type="spellEnd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>להסביר</w:t>
      </w:r>
      <w:proofErr w:type="spellEnd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>את</w:t>
      </w:r>
      <w:proofErr w:type="spellEnd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>משמעותה</w:t>
      </w:r>
      <w:proofErr w:type="spellEnd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>של</w:t>
      </w:r>
      <w:proofErr w:type="spellEnd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>ישראל</w:t>
      </w:r>
      <w:proofErr w:type="spellEnd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>המודרנית</w:t>
      </w:r>
      <w:proofErr w:type="spellEnd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, </w:t>
      </w:r>
      <w:proofErr w:type="spellStart"/>
      <w:r w:rsidR="006D0671">
        <w:rPr>
          <w:rFonts w:ascii="Arial Hebrew" w:hAnsi="Arial Hebrew" w:cs="Arial Hebrew" w:hint="cs"/>
          <w:sz w:val="28"/>
          <w:szCs w:val="28"/>
          <w:rtl/>
          <w:lang w:val="en-US"/>
        </w:rPr>
        <w:t>הוא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6D0671">
        <w:rPr>
          <w:rFonts w:ascii="Arial Hebrew" w:hAnsi="Arial Hebrew" w:cs="Arial Hebrew" w:hint="cs"/>
          <w:sz w:val="28"/>
          <w:szCs w:val="28"/>
          <w:rtl/>
          <w:lang w:val="en-US"/>
        </w:rPr>
        <w:t>התקשה</w:t>
      </w:r>
      <w:proofErr w:type="spellEnd"/>
      <w:r w:rsidR="006D0671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להתחמק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מהטיעון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בדבר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״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u w:val="single"/>
          <w:rtl/>
          <w:lang w:val="en-US"/>
        </w:rPr>
        <w:t>היחוד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u w:val="single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u w:val="single"/>
          <w:rtl/>
          <w:lang w:val="en-US"/>
        </w:rPr>
        <w:t>ההיסטורי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של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אומתנו</w:t>
      </w:r>
      <w:proofErr w:type="spellEnd"/>
      <w:r w:rsidR="003C15F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״</w:t>
      </w:r>
      <w:r w:rsidR="003C15FD" w:rsidRPr="00F0656A">
        <w:rPr>
          <w:rFonts w:ascii="Arial Hebrew" w:hAnsi="Arial Hebrew" w:cs="Arial Hebrew" w:hint="cs"/>
          <w:sz w:val="28"/>
          <w:szCs w:val="28"/>
          <w:vertAlign w:val="superscript"/>
          <w:rtl/>
          <w:lang w:val="en-US"/>
        </w:rPr>
        <w:footnoteReference w:id="3"/>
      </w:r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>.</w:t>
      </w:r>
      <w:r w:rsidR="003C15F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</w:p>
    <w:p w14:paraId="72E8C1C4" w14:textId="17F062FD" w:rsidR="00E645C4" w:rsidRDefault="003C15FD" w:rsidP="003C15FD">
      <w:pPr>
        <w:jc w:val="left"/>
        <w:rPr>
          <w:rFonts w:ascii="Arial Hebrew" w:hAnsi="Arial Hebrew" w:cs="Arial Hebrew" w:hint="cs"/>
          <w:sz w:val="28"/>
          <w:szCs w:val="28"/>
          <w:rtl/>
          <w:lang w:val="en-US"/>
        </w:rPr>
      </w:pPr>
      <w:proofErr w:type="spellStart"/>
      <w:r>
        <w:rPr>
          <w:rFonts w:ascii="Arial Hebrew" w:hAnsi="Arial Hebrew" w:cs="Arial Hebrew" w:hint="cs"/>
          <w:sz w:val="28"/>
          <w:szCs w:val="28"/>
          <w:rtl/>
          <w:lang w:val="en-US"/>
        </w:rPr>
        <w:t>והרי</w:t>
      </w:r>
      <w:proofErr w:type="spellEnd"/>
      <w:r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Arial Hebrew" w:hAnsi="Arial Hebrew" w:cs="Arial Hebrew" w:hint="cs"/>
          <w:sz w:val="28"/>
          <w:szCs w:val="28"/>
          <w:rtl/>
          <w:lang w:val="en-US"/>
        </w:rPr>
        <w:t>ההבדל</w:t>
      </w:r>
      <w:proofErr w:type="spellEnd"/>
      <w:r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Arial Hebrew" w:hAnsi="Arial Hebrew" w:cs="Arial Hebrew" w:hint="cs"/>
          <w:sz w:val="28"/>
          <w:szCs w:val="28"/>
          <w:rtl/>
          <w:lang w:val="en-US"/>
        </w:rPr>
        <w:t>בין</w:t>
      </w:r>
      <w:proofErr w:type="spellEnd"/>
      <w:r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״</w:t>
      </w:r>
      <w:proofErr w:type="spellStart"/>
      <w:r>
        <w:rPr>
          <w:rFonts w:ascii="Arial Hebrew" w:hAnsi="Arial Hebrew" w:cs="Arial Hebrew" w:hint="cs"/>
          <w:sz w:val="28"/>
          <w:szCs w:val="28"/>
          <w:rtl/>
          <w:lang w:val="en-US"/>
        </w:rPr>
        <w:t>הנבחרות</w:t>
      </w:r>
      <w:proofErr w:type="spellEnd"/>
      <w:r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״ </w:t>
      </w:r>
      <w:proofErr w:type="spellStart"/>
      <w:r>
        <w:rPr>
          <w:rFonts w:ascii="Arial Hebrew" w:hAnsi="Arial Hebrew" w:cs="Arial Hebrew" w:hint="cs"/>
          <w:sz w:val="28"/>
          <w:szCs w:val="28"/>
          <w:rtl/>
          <w:lang w:val="en-US"/>
        </w:rPr>
        <w:t>ל״</w:t>
      </w:r>
      <w:r w:rsidR="008B7C75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ייחוד</w:t>
      </w:r>
      <w:proofErr w:type="spellEnd"/>
      <w:r w:rsidR="008B7C75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8B7C75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ההיסטורי</w:t>
      </w:r>
      <w:proofErr w:type="spellEnd"/>
      <w:r w:rsidR="008B7C75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״</w:t>
      </w:r>
      <w:r w:rsid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6D0671">
        <w:rPr>
          <w:rFonts w:ascii="Arial Hebrew" w:hAnsi="Arial Hebrew" w:cs="Arial Hebrew" w:hint="cs"/>
          <w:sz w:val="28"/>
          <w:szCs w:val="28"/>
          <w:rtl/>
          <w:lang w:val="en-US"/>
        </w:rPr>
        <w:t>צר</w:t>
      </w:r>
      <w:proofErr w:type="spellEnd"/>
      <w:r w:rsidR="006D0671">
        <w:rPr>
          <w:rFonts w:ascii="Arial Hebrew" w:hAnsi="Arial Hebrew" w:cs="Arial Hebrew" w:hint="cs"/>
          <w:sz w:val="28"/>
          <w:szCs w:val="28"/>
          <w:rtl/>
          <w:lang w:val="en-US"/>
        </w:rPr>
        <w:t>, ו</w:t>
      </w:r>
      <w:r>
        <w:rPr>
          <w:rFonts w:ascii="Arial Hebrew" w:hAnsi="Arial Hebrew" w:cs="Arial Hebrew" w:hint="cs"/>
          <w:sz w:val="28"/>
          <w:szCs w:val="28"/>
          <w:rtl/>
          <w:lang w:val="en-US" w:bidi="he-IL"/>
        </w:rPr>
        <w:t>עונה ל...</w:t>
      </w:r>
      <w:r w:rsidRPr="00E645C4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 </w:t>
      </w:r>
    </w:p>
    <w:p w14:paraId="5F11DD37" w14:textId="30FCB4BB" w:rsidR="00573617" w:rsidRPr="002B73AD" w:rsidRDefault="00D93D1A" w:rsidP="002B73AD">
      <w:pPr>
        <w:bidi w:val="0"/>
        <w:jc w:val="left"/>
        <w:rPr>
          <w:rFonts w:ascii="Arial Hebrew" w:hAnsi="Arial Hebrew" w:cs="Arial Hebrew" w:hint="cs"/>
          <w:sz w:val="28"/>
          <w:szCs w:val="28"/>
          <w:rtl/>
          <w:lang w:val="en-US" w:bidi="he-IL"/>
        </w:rPr>
      </w:pPr>
      <w:r w:rsidRPr="00F0656A">
        <w:rPr>
          <w:rFonts w:ascii="Calibri" w:eastAsia="Calibri" w:hAnsi="Calibri" w:cs="Calibri"/>
          <w:sz w:val="28"/>
          <w:szCs w:val="28"/>
          <w:lang w:val="en-US"/>
        </w:rPr>
        <w:lastRenderedPageBreak/>
        <w:t>Wittgenstein</w:t>
      </w:r>
      <w:r w:rsidRPr="00F0656A">
        <w:rPr>
          <w:rFonts w:ascii="Arial Hebrew" w:hAnsi="Arial Hebrew" w:cs="Arial Hebrew" w:hint="cs"/>
          <w:sz w:val="28"/>
          <w:szCs w:val="28"/>
          <w:lang w:val="en-US"/>
        </w:rPr>
        <w:t>’</w:t>
      </w:r>
      <w:r w:rsidRPr="00F0656A">
        <w:rPr>
          <w:rFonts w:ascii="Calibri" w:eastAsia="Calibri" w:hAnsi="Calibri" w:cs="Calibri"/>
          <w:sz w:val="28"/>
          <w:szCs w:val="28"/>
          <w:lang w:val="en-US"/>
        </w:rPr>
        <w:t>s</w:t>
      </w:r>
      <w:r w:rsidRPr="00F0656A">
        <w:rPr>
          <w:rFonts w:ascii="Arial Hebrew" w:hAnsi="Arial Hebrew" w:cs="Arial Hebrew" w:hint="cs"/>
          <w:sz w:val="28"/>
          <w:szCs w:val="28"/>
          <w:lang w:val="en-US"/>
        </w:rPr>
        <w:t xml:space="preserve"> </w:t>
      </w:r>
      <w:r w:rsidRPr="00F0656A">
        <w:rPr>
          <w:rFonts w:ascii="Calibri" w:eastAsia="Calibri" w:hAnsi="Calibri" w:cs="Calibri"/>
          <w:sz w:val="28"/>
          <w:szCs w:val="28"/>
          <w:lang w:val="en-US"/>
        </w:rPr>
        <w:t>concept</w:t>
      </w:r>
      <w:r w:rsidRPr="00F0656A">
        <w:rPr>
          <w:rFonts w:ascii="Arial Hebrew" w:hAnsi="Arial Hebrew" w:cs="Arial Hebrew" w:hint="cs"/>
          <w:sz w:val="28"/>
          <w:szCs w:val="28"/>
          <w:lang w:val="en-US"/>
        </w:rPr>
        <w:t xml:space="preserve"> </w:t>
      </w:r>
      <w:r w:rsidRPr="00F0656A">
        <w:rPr>
          <w:rFonts w:ascii="Calibri" w:eastAsia="Calibri" w:hAnsi="Calibri" w:cs="Calibri"/>
          <w:sz w:val="28"/>
          <w:szCs w:val="28"/>
          <w:lang w:val="en-US"/>
        </w:rPr>
        <w:t>of</w:t>
      </w:r>
      <w:r w:rsidRPr="00F0656A">
        <w:rPr>
          <w:rFonts w:ascii="Arial Hebrew" w:hAnsi="Arial Hebrew" w:cs="Arial Hebrew" w:hint="cs"/>
          <w:sz w:val="28"/>
          <w:szCs w:val="28"/>
          <w:lang w:val="en-US"/>
        </w:rPr>
        <w:t xml:space="preserve"> </w:t>
      </w:r>
      <w:r w:rsidRPr="00F0656A">
        <w:rPr>
          <w:rFonts w:ascii="Calibri" w:eastAsia="Calibri" w:hAnsi="Calibri" w:cs="Calibri"/>
          <w:sz w:val="28"/>
          <w:szCs w:val="28"/>
          <w:lang w:val="en-US"/>
        </w:rPr>
        <w:t>a</w:t>
      </w:r>
      <w:r w:rsidRPr="00F0656A">
        <w:rPr>
          <w:rFonts w:ascii="Arial Hebrew" w:hAnsi="Arial Hebrew" w:cs="Arial Hebrew" w:hint="cs"/>
          <w:sz w:val="28"/>
          <w:szCs w:val="28"/>
          <w:lang w:val="en-US"/>
        </w:rPr>
        <w:t xml:space="preserve"> “</w:t>
      </w:r>
      <w:r w:rsidRPr="00F0656A">
        <w:rPr>
          <w:rFonts w:ascii="Calibri" w:eastAsia="Calibri" w:hAnsi="Calibri" w:cs="Calibri"/>
          <w:sz w:val="28"/>
          <w:szCs w:val="28"/>
          <w:lang w:val="en-US"/>
        </w:rPr>
        <w:t>family</w:t>
      </w:r>
      <w:r w:rsidRPr="00F0656A">
        <w:rPr>
          <w:rFonts w:ascii="Arial Hebrew" w:hAnsi="Arial Hebrew" w:cs="Arial Hebrew" w:hint="cs"/>
          <w:sz w:val="28"/>
          <w:szCs w:val="28"/>
          <w:lang w:val="en-US"/>
        </w:rPr>
        <w:t xml:space="preserve"> </w:t>
      </w:r>
      <w:r w:rsidRPr="00F0656A">
        <w:rPr>
          <w:rFonts w:ascii="Calibri" w:eastAsia="Calibri" w:hAnsi="Calibri" w:cs="Calibri"/>
          <w:sz w:val="28"/>
          <w:szCs w:val="28"/>
          <w:lang w:val="en-US"/>
        </w:rPr>
        <w:t>resemblance</w:t>
      </w:r>
      <w:r w:rsidRPr="00F0656A">
        <w:rPr>
          <w:rFonts w:ascii="Arial Hebrew" w:hAnsi="Arial Hebrew" w:cs="Arial Hebrew" w:hint="cs"/>
          <w:sz w:val="28"/>
          <w:szCs w:val="28"/>
          <w:lang w:val="en-US"/>
        </w:rPr>
        <w:t xml:space="preserve">” </w:t>
      </w:r>
      <w:r w:rsidRPr="00F0656A">
        <w:rPr>
          <w:rFonts w:ascii="Calibri" w:eastAsia="Calibri" w:hAnsi="Calibri" w:cs="Calibri"/>
          <w:sz w:val="28"/>
          <w:szCs w:val="28"/>
          <w:lang w:val="en-US"/>
        </w:rPr>
        <w:t>within</w:t>
      </w:r>
      <w:r w:rsidRPr="00F0656A">
        <w:rPr>
          <w:rFonts w:ascii="Arial Hebrew" w:hAnsi="Arial Hebrew" w:cs="Arial Hebrew" w:hint="cs"/>
          <w:sz w:val="28"/>
          <w:szCs w:val="28"/>
          <w:lang w:val="en-US"/>
        </w:rPr>
        <w:t xml:space="preserve"> “</w:t>
      </w:r>
      <w:r w:rsidRPr="00F0656A">
        <w:rPr>
          <w:rFonts w:ascii="Calibri" w:eastAsia="Calibri" w:hAnsi="Calibri" w:cs="Calibri"/>
          <w:sz w:val="28"/>
          <w:szCs w:val="28"/>
          <w:lang w:val="en-US"/>
        </w:rPr>
        <w:t>a</w:t>
      </w:r>
      <w:r w:rsidRPr="00F0656A">
        <w:rPr>
          <w:rFonts w:ascii="Arial Hebrew" w:hAnsi="Arial Hebrew" w:cs="Arial Hebrew" w:hint="cs"/>
          <w:sz w:val="28"/>
          <w:szCs w:val="28"/>
          <w:lang w:val="en-US"/>
        </w:rPr>
        <w:t xml:space="preserve"> </w:t>
      </w:r>
      <w:r w:rsidRPr="00F0656A">
        <w:rPr>
          <w:rFonts w:ascii="Calibri" w:eastAsia="Calibri" w:hAnsi="Calibri" w:cs="Calibri"/>
          <w:sz w:val="28"/>
          <w:szCs w:val="28"/>
          <w:lang w:val="en-US"/>
        </w:rPr>
        <w:t>co</w:t>
      </w:r>
      <w:r w:rsidR="00F0656A">
        <w:rPr>
          <w:rFonts w:ascii="Calibri" w:eastAsia="Calibri" w:hAnsi="Calibri" w:cs="Calibri"/>
          <w:sz w:val="28"/>
          <w:szCs w:val="28"/>
          <w:lang w:val="en-US"/>
        </w:rPr>
        <w:t>m</w:t>
      </w:r>
      <w:r w:rsidRPr="00F0656A">
        <w:rPr>
          <w:rFonts w:ascii="Calibri" w:eastAsia="Calibri" w:hAnsi="Calibri" w:cs="Calibri"/>
          <w:sz w:val="28"/>
          <w:szCs w:val="28"/>
          <w:lang w:val="en-US"/>
        </w:rPr>
        <w:t>plicated</w:t>
      </w:r>
      <w:r w:rsidRPr="00F0656A">
        <w:rPr>
          <w:rFonts w:ascii="Arial Hebrew" w:hAnsi="Arial Hebrew" w:cs="Arial Hebrew" w:hint="cs"/>
          <w:sz w:val="28"/>
          <w:szCs w:val="28"/>
          <w:lang w:val="en-US"/>
        </w:rPr>
        <w:t xml:space="preserve"> </w:t>
      </w:r>
      <w:r w:rsidRPr="00F0656A">
        <w:rPr>
          <w:rFonts w:ascii="Calibri" w:eastAsia="Calibri" w:hAnsi="Calibri" w:cs="Calibri"/>
          <w:sz w:val="28"/>
          <w:szCs w:val="28"/>
          <w:lang w:val="en-US"/>
        </w:rPr>
        <w:t>network</w:t>
      </w:r>
      <w:r w:rsidRPr="00F0656A">
        <w:rPr>
          <w:rFonts w:ascii="Arial Hebrew" w:hAnsi="Arial Hebrew" w:cs="Arial Hebrew" w:hint="cs"/>
          <w:sz w:val="28"/>
          <w:szCs w:val="28"/>
          <w:lang w:val="en-US"/>
        </w:rPr>
        <w:t xml:space="preserve"> </w:t>
      </w:r>
      <w:r w:rsidRPr="00F0656A">
        <w:rPr>
          <w:rFonts w:ascii="Calibri" w:eastAsia="Calibri" w:hAnsi="Calibri" w:cs="Calibri"/>
          <w:sz w:val="28"/>
          <w:szCs w:val="28"/>
          <w:lang w:val="en-US"/>
        </w:rPr>
        <w:t>of</w:t>
      </w:r>
      <w:r w:rsidRPr="00F0656A">
        <w:rPr>
          <w:rFonts w:ascii="Arial Hebrew" w:hAnsi="Arial Hebrew" w:cs="Arial Hebrew" w:hint="cs"/>
          <w:sz w:val="28"/>
          <w:szCs w:val="28"/>
          <w:lang w:val="en-US"/>
        </w:rPr>
        <w:t xml:space="preserve"> </w:t>
      </w:r>
      <w:r w:rsidRPr="00F0656A">
        <w:rPr>
          <w:rFonts w:ascii="Calibri" w:eastAsia="Calibri" w:hAnsi="Calibri" w:cs="Calibri"/>
          <w:sz w:val="28"/>
          <w:szCs w:val="28"/>
          <w:lang w:val="en-US"/>
        </w:rPr>
        <w:t>similarities</w:t>
      </w:r>
      <w:r w:rsidR="00E645C4">
        <w:rPr>
          <w:rFonts w:ascii="Calibri" w:eastAsia="Calibri" w:hAnsi="Calibri" w:cs="Calibri"/>
          <w:sz w:val="28"/>
          <w:szCs w:val="28"/>
          <w:lang w:val="en-US"/>
        </w:rPr>
        <w:t>”</w:t>
      </w:r>
      <w:r w:rsidR="00E645C4" w:rsidRPr="00E645C4">
        <w:rPr>
          <w:rStyle w:val="FootnoteReference"/>
          <w:rFonts w:ascii="Arial Hebrew" w:hAnsi="Arial Hebrew" w:cs="Arial Hebrew" w:hint="cs"/>
          <w:sz w:val="28"/>
          <w:szCs w:val="28"/>
          <w:lang w:val="en-US"/>
        </w:rPr>
        <w:t xml:space="preserve"> </w:t>
      </w:r>
      <w:r w:rsidR="00E645C4" w:rsidRPr="00F0656A">
        <w:rPr>
          <w:rFonts w:ascii="Calibri" w:eastAsia="Calibri" w:hAnsi="Calibri" w:cs="Calibri"/>
          <w:sz w:val="28"/>
          <w:szCs w:val="28"/>
          <w:lang w:val="en-US"/>
        </w:rPr>
        <w:t>overlapping</w:t>
      </w:r>
      <w:r w:rsidR="00E645C4" w:rsidRPr="00F0656A">
        <w:rPr>
          <w:rFonts w:ascii="Arial Hebrew" w:hAnsi="Arial Hebrew" w:cs="Arial Hebrew" w:hint="cs"/>
          <w:sz w:val="28"/>
          <w:szCs w:val="28"/>
          <w:lang w:val="en-US"/>
        </w:rPr>
        <w:t xml:space="preserve"> </w:t>
      </w:r>
      <w:r w:rsidR="00E645C4" w:rsidRPr="00F0656A">
        <w:rPr>
          <w:rFonts w:ascii="Calibri" w:eastAsia="Calibri" w:hAnsi="Calibri" w:cs="Calibri"/>
          <w:sz w:val="28"/>
          <w:szCs w:val="28"/>
          <w:lang w:val="en-US"/>
        </w:rPr>
        <w:t>and</w:t>
      </w:r>
      <w:r w:rsidR="00E645C4" w:rsidRPr="00F0656A">
        <w:rPr>
          <w:rFonts w:ascii="Arial Hebrew" w:hAnsi="Arial Hebrew" w:cs="Arial Hebrew" w:hint="cs"/>
          <w:sz w:val="28"/>
          <w:szCs w:val="28"/>
          <w:lang w:val="en-US"/>
        </w:rPr>
        <w:t xml:space="preserve"> </w:t>
      </w:r>
      <w:r w:rsidR="00E645C4" w:rsidRPr="00F0656A">
        <w:rPr>
          <w:rFonts w:ascii="Calibri" w:eastAsia="Calibri" w:hAnsi="Calibri" w:cs="Calibri"/>
          <w:sz w:val="28"/>
          <w:szCs w:val="28"/>
          <w:lang w:val="en-US"/>
        </w:rPr>
        <w:t>crisscrossing</w:t>
      </w:r>
      <w:r w:rsidR="002B73AD">
        <w:rPr>
          <w:rFonts w:ascii="Calibri" w:eastAsia="Calibri" w:hAnsi="Calibri" w:cs="Tahoma" w:hint="cs"/>
          <w:sz w:val="28"/>
          <w:szCs w:val="28"/>
          <w:rtl/>
          <w:lang w:val="en-US"/>
        </w:rPr>
        <w:t>״</w:t>
      </w:r>
      <w:r w:rsidR="002B73AD" w:rsidRPr="00F0656A">
        <w:rPr>
          <w:rStyle w:val="FootnoteReference"/>
          <w:rFonts w:ascii="Arial Hebrew" w:hAnsi="Arial Hebrew" w:cs="Arial Hebrew" w:hint="cs"/>
          <w:sz w:val="28"/>
          <w:szCs w:val="28"/>
          <w:lang w:val="en-US"/>
        </w:rPr>
        <w:footnoteReference w:id="4"/>
      </w:r>
      <w:r w:rsidR="00E645C4" w:rsidRPr="00F0656A">
        <w:rPr>
          <w:rFonts w:ascii="Arial Hebrew" w:hAnsi="Arial Hebrew" w:cs="Arial Hebrew" w:hint="cs"/>
          <w:sz w:val="28"/>
          <w:szCs w:val="28"/>
          <w:lang w:val="en-US"/>
        </w:rPr>
        <w:t xml:space="preserve"> </w:t>
      </w:r>
    </w:p>
    <w:p w14:paraId="4ECA330B" w14:textId="3D62BC2D" w:rsidR="00C14710" w:rsidRPr="002B73AD" w:rsidRDefault="00AC1D3F" w:rsidP="008C7098">
      <w:pPr>
        <w:spacing w:after="0" w:line="240" w:lineRule="auto"/>
        <w:jc w:val="left"/>
        <w:rPr>
          <w:rFonts w:ascii="Arial Hebrew" w:hAnsi="Arial Hebrew" w:cs="Arial Hebrew" w:hint="cs"/>
          <w:sz w:val="28"/>
          <w:szCs w:val="28"/>
          <w:lang w:val="en-US" w:bidi="he-IL"/>
        </w:rPr>
      </w:pPr>
      <w:r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>השאלה היא, כמובן, לא ר</w:t>
      </w:r>
      <w:r w:rsidR="00BF447F">
        <w:rPr>
          <w:rFonts w:ascii="Arial Hebrew" w:hAnsi="Arial Hebrew" w:cs="Arial Hebrew" w:hint="cs"/>
          <w:sz w:val="28"/>
          <w:szCs w:val="28"/>
          <w:rtl/>
          <w:lang w:val="en-US" w:bidi="he-IL"/>
        </w:rPr>
        <w:t>ק איך ניתן להבין את ישראל</w:t>
      </w:r>
      <w:r w:rsidR="006D0671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, אלא גם כיצד היא נתפסת בעיני </w:t>
      </w:r>
      <w:r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>אחרים. אילני מצטט את זיגמונד באומן</w:t>
      </w:r>
      <w:r w:rsidR="00D93D1A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>,</w:t>
      </w:r>
      <w:r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 שטבע את המושג ״</w:t>
      </w:r>
      <w:proofErr w:type="spellStart"/>
      <w:r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>אלושמיטיזם</w:t>
      </w:r>
      <w:proofErr w:type="spellEnd"/>
      <w:r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>״</w:t>
      </w:r>
      <w:r w:rsidR="00BF447F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 (</w:t>
      </w:r>
      <w:r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 </w:t>
      </w:r>
      <w:proofErr w:type="spellStart"/>
      <w:r w:rsidRPr="002B73AD">
        <w:rPr>
          <w:rFonts w:ascii="Calibri" w:eastAsia="Calibri" w:hAnsi="Calibri" w:cs="Calibri"/>
          <w:sz w:val="28"/>
          <w:szCs w:val="28"/>
        </w:rPr>
        <w:t>allosemitis</w:t>
      </w:r>
      <w:r w:rsidR="002C17EF" w:rsidRPr="002B73AD">
        <w:rPr>
          <w:rFonts w:ascii="Calibri" w:eastAsia="Calibri" w:hAnsi="Calibri" w:cs="Calibri"/>
          <w:sz w:val="28"/>
          <w:szCs w:val="28"/>
        </w:rPr>
        <w:t>m</w:t>
      </w:r>
      <w:proofErr w:type="spellEnd"/>
      <w:r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 כדי להצביע על העמדה שבוחנת</w:t>
      </w:r>
      <w:r w:rsidR="00D93D1A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 את היהודים באופן שונה</w:t>
      </w:r>
      <w:r w:rsid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>,</w:t>
      </w:r>
      <w:r w:rsidR="00E47B26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 </w:t>
      </w:r>
      <w:r w:rsidR="001C2460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ואינה </w:t>
      </w:r>
      <w:r w:rsid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בהכרח </w:t>
      </w:r>
      <w:r w:rsidR="001C2460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חיובית או שלילית, אך טמונים בה זרעי האנטישמיות </w:t>
      </w:r>
      <w:r w:rsidR="00D11A2D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 </w:t>
      </w:r>
      <w:r w:rsidR="001C2460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והפילושמיות כאחד, </w:t>
      </w:r>
      <w:r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>ומייחס זאת לממד הנבחרות.</w:t>
      </w:r>
    </w:p>
    <w:p w14:paraId="45AC6CCB" w14:textId="27945ACD" w:rsidR="008535AD" w:rsidRPr="002B73AD" w:rsidRDefault="002840E1" w:rsidP="002B73AD">
      <w:pPr>
        <w:spacing w:after="0" w:line="240" w:lineRule="auto"/>
        <w:jc w:val="left"/>
        <w:rPr>
          <w:rFonts w:ascii="Arial Hebrew" w:hAnsi="Arial Hebrew" w:cs="Arial Hebrew" w:hint="cs"/>
          <w:sz w:val="28"/>
          <w:szCs w:val="28"/>
          <w:rtl/>
          <w:lang w:val="en-US" w:bidi="he-IL"/>
        </w:rPr>
      </w:pPr>
      <w:r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יוהנס בקה </w:t>
      </w:r>
      <w:r w:rsidR="00AC1D3F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כבר </w:t>
      </w:r>
      <w:r w:rsid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>תרם לדיון</w:t>
      </w:r>
      <w:r w:rsidR="00AC1D3F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>,</w:t>
      </w:r>
      <w:r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 </w:t>
      </w:r>
      <w:proofErr w:type="spellStart"/>
      <w:r w:rsidR="00AC1D3F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>בפראפרזה</w:t>
      </w:r>
      <w:proofErr w:type="spellEnd"/>
      <w:r w:rsidR="00AC1D3F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 על באומן, את </w:t>
      </w:r>
      <w:r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>המושג ״</w:t>
      </w:r>
      <w:proofErr w:type="spellStart"/>
      <w:r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>אלוציוניזם</w:t>
      </w:r>
      <w:proofErr w:type="spellEnd"/>
      <w:r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״ כדי להראות כיצד </w:t>
      </w:r>
      <w:r w:rsidR="00AC1D3F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גם </w:t>
      </w:r>
      <w:r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הציונות </w:t>
      </w:r>
      <w:r w:rsidR="00E47B26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נחקרת </w:t>
      </w:r>
      <w:r w:rsidR="00AC1D3F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ומובנת </w:t>
      </w:r>
      <w:r w:rsidR="00E47B26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>כתופעה חריגה, ייחודית, שמביאה לעויינות או אהדה בלתי מוסברת</w:t>
      </w:r>
      <w:r w:rsidR="00680A2C" w:rsidRPr="002B73AD">
        <w:rPr>
          <w:rStyle w:val="FootnoteReference"/>
          <w:rFonts w:ascii="Arial Hebrew" w:hAnsi="Arial Hebrew" w:cs="Arial Hebrew" w:hint="cs"/>
          <w:sz w:val="28"/>
          <w:szCs w:val="28"/>
          <w:rtl/>
          <w:lang w:val="en-US" w:bidi="he-IL"/>
        </w:rPr>
        <w:footnoteReference w:id="5"/>
      </w:r>
      <w:r w:rsidR="00E47B26" w:rsidRPr="002B73AD">
        <w:rPr>
          <w:rFonts w:ascii="Arial Hebrew" w:hAnsi="Arial Hebrew" w:cs="Arial Hebrew" w:hint="cs"/>
          <w:sz w:val="28"/>
          <w:szCs w:val="28"/>
          <w:rtl/>
          <w:lang w:val="en-US" w:bidi="he-IL"/>
        </w:rPr>
        <w:t xml:space="preserve">. </w:t>
      </w:r>
    </w:p>
    <w:p w14:paraId="3383C294" w14:textId="36591F56" w:rsidR="008D6460" w:rsidRPr="00F0656A" w:rsidRDefault="002840E1" w:rsidP="008D6460">
      <w:pPr>
        <w:jc w:val="left"/>
        <w:rPr>
          <w:rFonts w:ascii="Arial Hebrew" w:hAnsi="Arial Hebrew" w:cs="Arial Hebrew" w:hint="cs"/>
          <w:sz w:val="28"/>
          <w:szCs w:val="28"/>
          <w:lang w:val="en-US" w:bidi="he-IL"/>
        </w:rPr>
      </w:pP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אם </w:t>
      </w:r>
      <w:r w:rsidR="002B73AD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אכן 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אנטישמיות ופ</w:t>
      </w:r>
      <w:r w:rsidR="00BF447F">
        <w:rPr>
          <w:rFonts w:ascii="Arial Hebrew" w:hAnsi="Arial Hebrew" w:cs="Arial Hebrew" w:hint="cs"/>
          <w:sz w:val="28"/>
          <w:szCs w:val="28"/>
          <w:rtl/>
          <w:lang w:bidi="he-IL"/>
        </w:rPr>
        <w:t>ילושמיות נובעות מאותו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BF447F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נקודת מבט על </w:t>
      </w:r>
      <w:r w:rsidR="006D0671">
        <w:rPr>
          <w:rFonts w:ascii="Arial Hebrew" w:hAnsi="Arial Hebrew" w:cs="Arial Hebrew" w:hint="cs"/>
          <w:sz w:val="28"/>
          <w:szCs w:val="28"/>
          <w:rtl/>
          <w:lang w:bidi="he-IL"/>
        </w:rPr>
        <w:t>היהדות והציונות כתופעות חורגות</w:t>
      </w:r>
      <w:r w:rsidR="002B73AD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- 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הכף נוטה כעת, כפי שאילני טוען</w:t>
      </w:r>
      <w:r w:rsidR="00680A2C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בצדק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, לכ</w:t>
      </w:r>
      <w:r w:rsidR="00BF447F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יוון פילושמי. במובנים רבים </w:t>
      </w:r>
      <w:r w:rsidR="00AC1D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הטקסט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6D0671">
        <w:rPr>
          <w:rFonts w:ascii="Arial Hebrew" w:hAnsi="Arial Hebrew" w:cs="Arial Hebrew" w:hint="cs"/>
          <w:sz w:val="28"/>
          <w:szCs w:val="28"/>
          <w:rtl/>
          <w:lang w:bidi="he-IL"/>
        </w:rPr>
        <w:t>שלו</w:t>
      </w:r>
      <w:r w:rsidR="00AC1D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, שמבקש</w:t>
      </w:r>
      <w:r w:rsidR="006D0671">
        <w:rPr>
          <w:rFonts w:ascii="Arial Hebrew" w:hAnsi="Arial Hebrew" w:cs="Arial Hebrew" w:hint="cs"/>
          <w:sz w:val="28"/>
          <w:szCs w:val="28"/>
          <w:rtl/>
          <w:lang w:bidi="he-IL"/>
        </w:rPr>
        <w:t>,</w:t>
      </w:r>
      <w:r w:rsidR="00AC1D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במובנו הפוליטי</w:t>
      </w:r>
      <w:r w:rsidR="006D0671">
        <w:rPr>
          <w:rFonts w:ascii="Arial Hebrew" w:hAnsi="Arial Hebrew" w:cs="Arial Hebrew" w:hint="cs"/>
          <w:sz w:val="28"/>
          <w:szCs w:val="28"/>
          <w:rtl/>
          <w:lang w:bidi="he-IL"/>
        </w:rPr>
        <w:t>,</w:t>
      </w:r>
      <w:r w:rsidR="00AC1D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להמיר את שלט</w:t>
      </w:r>
      <w:r w:rsidR="00680A2C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ון</w:t>
      </w:r>
      <w:r w:rsidR="00AC1D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680A2C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הימין</w:t>
      </w:r>
      <w:r w:rsidR="00BF447F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בישראל</w:t>
      </w:r>
      <w:r w:rsidR="00680A2C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6D0671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- הנמשך כמעט ארבעה עשורים ברציפות - </w:t>
      </w:r>
      <w:r w:rsidR="00AC1D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באידיאולוגיה הומניסטית, </w:t>
      </w:r>
      <w:r w:rsidR="00BF447F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בעצם 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מעניק</w:t>
      </w:r>
      <w:r w:rsidR="00BF447F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פרשנות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עמוקה ומבריקה ל</w:t>
      </w:r>
      <w:r w:rsidR="00E47B26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התמשכות שלטונו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E47B26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של </w:t>
      </w:r>
      <w:r w:rsidR="006D0671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בנימין 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נתניהו. </w:t>
      </w:r>
      <w:r w:rsidR="00BE2FA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הישראלים חשים את האהדה </w:t>
      </w:r>
      <w:r w:rsidR="00BF447F">
        <w:rPr>
          <w:rFonts w:ascii="Arial Hebrew" w:hAnsi="Arial Hebrew" w:cs="Arial Hebrew" w:hint="cs"/>
          <w:sz w:val="28"/>
          <w:szCs w:val="28"/>
          <w:rtl/>
          <w:lang w:bidi="he-IL"/>
        </w:rPr>
        <w:t>כלפי</w:t>
      </w:r>
      <w:r w:rsidR="00AC1D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BF447F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מדינתם </w:t>
      </w:r>
      <w:r w:rsidR="00BE2FA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ו</w:t>
      </w:r>
      <w:r w:rsidR="00680A2C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את </w:t>
      </w:r>
      <w:r w:rsidR="00BE2FA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העוצמה </w:t>
      </w:r>
      <w:r w:rsidR="00AC1D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שהיא צוברת בעולם המערבי-נוצרי </w:t>
      </w:r>
      <w:r w:rsidR="00BE2FA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ומייחסים זאת להצלחתו של המנהיג, שמקפיד</w:t>
      </w:r>
      <w:r w:rsidR="00BF447F">
        <w:rPr>
          <w:rFonts w:ascii="Arial Hebrew" w:hAnsi="Arial Hebrew" w:cs="Arial Hebrew" w:hint="cs"/>
          <w:sz w:val="28"/>
          <w:szCs w:val="28"/>
          <w:rtl/>
          <w:lang w:bidi="he-IL"/>
        </w:rPr>
        <w:t>,</w:t>
      </w:r>
      <w:r w:rsidR="00BE2FA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proofErr w:type="spellStart"/>
      <w:r w:rsidR="006D0671">
        <w:rPr>
          <w:rFonts w:ascii="Arial Hebrew" w:hAnsi="Arial Hebrew" w:cs="Arial Hebrew" w:hint="cs"/>
          <w:sz w:val="28"/>
          <w:szCs w:val="28"/>
          <w:rtl/>
          <w:lang w:bidi="he-IL"/>
        </w:rPr>
        <w:t>מצידו</w:t>
      </w:r>
      <w:proofErr w:type="spellEnd"/>
      <w:r w:rsidR="00BF447F">
        <w:rPr>
          <w:rFonts w:ascii="Arial Hebrew" w:hAnsi="Arial Hebrew" w:cs="Arial Hebrew" w:hint="cs"/>
          <w:sz w:val="28"/>
          <w:szCs w:val="28"/>
          <w:rtl/>
          <w:lang w:bidi="he-IL"/>
        </w:rPr>
        <w:t>,</w:t>
      </w:r>
      <w:r w:rsidR="006D0671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BF447F">
        <w:rPr>
          <w:rFonts w:ascii="Arial Hebrew" w:hAnsi="Arial Hebrew" w:cs="Arial Hebrew" w:hint="cs"/>
          <w:sz w:val="28"/>
          <w:szCs w:val="28"/>
          <w:rtl/>
          <w:lang w:bidi="he-IL"/>
        </w:rPr>
        <w:t>להדגיש זאת בנאומיו.</w:t>
      </w:r>
      <w:r w:rsidR="006D0671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בספטמבר 2016</w:t>
      </w:r>
      <w:r w:rsidR="008D6460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6D0671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הכריז נתניהו בגאווה בעצרת האו״ם: </w:t>
      </w:r>
      <w:r w:rsidR="008D6460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What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I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>’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m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about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to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say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is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going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to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shock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you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: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Israel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has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a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bright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future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at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the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8D6460" w:rsidRPr="00F0656A">
        <w:rPr>
          <w:rFonts w:ascii="Calibri" w:eastAsia="Calibri" w:hAnsi="Calibri" w:cs="Calibri"/>
          <w:sz w:val="28"/>
          <w:szCs w:val="28"/>
          <w:lang w:val="en-US" w:bidi="he-IL"/>
        </w:rPr>
        <w:t>UN</w:t>
      </w:r>
      <w:r w:rsidR="008D6460" w:rsidRPr="00F0656A">
        <w:rPr>
          <w:rFonts w:ascii="Arial Hebrew" w:hAnsi="Arial Hebrew" w:cs="Arial Hebrew" w:hint="cs"/>
          <w:sz w:val="28"/>
          <w:szCs w:val="28"/>
          <w:lang w:val="en-US" w:bidi="he-IL"/>
        </w:rPr>
        <w:t>.</w:t>
      </w:r>
    </w:p>
    <w:p w14:paraId="531D8B70" w14:textId="77777777" w:rsidR="008D6460" w:rsidRPr="00F0656A" w:rsidRDefault="008D6460" w:rsidP="008D6460">
      <w:pPr>
        <w:jc w:val="left"/>
        <w:rPr>
          <w:rFonts w:ascii="Arial Hebrew" w:hAnsi="Arial Hebrew" w:cs="Arial Hebrew" w:hint="cs"/>
          <w:sz w:val="28"/>
          <w:szCs w:val="28"/>
          <w:lang w:bidi="he-IL"/>
        </w:rPr>
      </w:pP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   </w:t>
      </w:r>
      <w:r w:rsidRPr="00F0656A">
        <w:rPr>
          <w:rStyle w:val="FootnoteReference"/>
          <w:rFonts w:ascii="Arial Hebrew" w:hAnsi="Arial Hebrew" w:cs="Arial Hebrew" w:hint="cs"/>
          <w:sz w:val="28"/>
          <w:szCs w:val="28"/>
          <w:rtl/>
          <w:lang w:bidi="he-IL"/>
        </w:rPr>
        <w:footnoteReference w:id="6"/>
      </w:r>
      <w:r w:rsidR="00BE2FA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.</w:t>
      </w:r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BE2FA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</w:p>
    <w:p w14:paraId="16E43E74" w14:textId="4189E8A4" w:rsidR="006366E3" w:rsidRDefault="00BE2FAB" w:rsidP="00BF447F">
      <w:pPr>
        <w:jc w:val="left"/>
        <w:rPr>
          <w:rFonts w:ascii="Arial Hebrew" w:hAnsi="Arial Hebrew" w:cs="Arial Hebrew" w:hint="cs"/>
          <w:sz w:val="28"/>
          <w:szCs w:val="28"/>
          <w:rtl/>
          <w:lang w:bidi="he-IL"/>
        </w:rPr>
      </w:pP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אילני מצי</w:t>
      </w:r>
      <w:r w:rsidR="0002780F">
        <w:rPr>
          <w:rFonts w:ascii="Arial Hebrew" w:hAnsi="Arial Hebrew" w:cs="Arial Hebrew" w:hint="cs"/>
          <w:sz w:val="28"/>
          <w:szCs w:val="28"/>
          <w:rtl/>
          <w:lang w:bidi="he-IL"/>
        </w:rPr>
        <w:t>ין כי הפילושמיות אינה נת</w:t>
      </w:r>
      <w:r w:rsidR="002B73AD">
        <w:rPr>
          <w:rFonts w:ascii="Arial Hebrew" w:hAnsi="Arial Hebrew" w:cs="Arial Hebrew" w:hint="cs"/>
          <w:sz w:val="28"/>
          <w:szCs w:val="28"/>
          <w:rtl/>
          <w:lang w:bidi="he-IL"/>
        </w:rPr>
        <w:t>חמת ל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עולם הנוצרי-מערבי, ומתייחס 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ג</w:t>
      </w:r>
      <w:r w:rsidR="0002780F">
        <w:rPr>
          <w:rFonts w:ascii="Arial Hebrew" w:hAnsi="Arial Hebrew" w:cs="Arial Hebrew" w:hint="cs"/>
          <w:sz w:val="28"/>
          <w:szCs w:val="28"/>
          <w:rtl/>
          <w:lang w:bidi="he-IL"/>
        </w:rPr>
        <w:t>ם לממד פילושמי בתרבות היפנית, כש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יחסי</w:t>
      </w:r>
      <w:r w:rsidR="002B73AD">
        <w:rPr>
          <w:rFonts w:ascii="Arial Hebrew" w:hAnsi="Arial Hebrew" w:cs="Arial Hebrew" w:hint="cs"/>
          <w:sz w:val="28"/>
          <w:szCs w:val="28"/>
          <w:rtl/>
          <w:lang w:bidi="he-IL"/>
        </w:rPr>
        <w:t>ה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2B73AD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המתפתחים של 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ישראל עם סין והודו מעידים גם על </w:t>
      </w:r>
      <w:r w:rsidR="006D0671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פוטנציאל 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האהדה </w:t>
      </w:r>
      <w:r w:rsidR="00866225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כלפיה 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במזרח</w:t>
      </w:r>
      <w:r w:rsidR="00866225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המתעורר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. </w:t>
      </w:r>
      <w:r w:rsidR="0005709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הייתי מציע ממד נוסף ש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עשוי לחזק </w:t>
      </w:r>
      <w:r w:rsidR="00866225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את ה</w:t>
      </w:r>
      <w:r w:rsidR="00F7574E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מגמה ה</w:t>
      </w:r>
      <w:r w:rsidR="00BF447F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פילושמיות </w:t>
      </w:r>
      <w:r w:rsidR="00866225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בעתיד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.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ספרו החדש של </w:t>
      </w:r>
      <w:r w:rsidR="00BF447F">
        <w:rPr>
          <w:rFonts w:ascii="Arial Hebrew" w:hAnsi="Arial Hebrew" w:cs="Arial Hebrew" w:hint="cs"/>
          <w:sz w:val="28"/>
          <w:szCs w:val="28"/>
          <w:rtl/>
          <w:lang w:bidi="he-IL"/>
        </w:rPr>
        <w:t>מיכאל ב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רנר  </w:t>
      </w:r>
      <w:r w:rsidR="00F77E31">
        <w:rPr>
          <w:rFonts w:ascii="Arial Hebrew" w:hAnsi="Arial Hebrew" w:cs="Arial Hebrew"/>
          <w:sz w:val="28"/>
          <w:szCs w:val="28"/>
          <w:lang w:bidi="he-IL"/>
        </w:rPr>
        <w:t>'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, </w:t>
      </w:r>
    </w:p>
    <w:p w14:paraId="6393C07B" w14:textId="77777777" w:rsidR="00AA2DDA" w:rsidRDefault="00AA2DDA" w:rsidP="00BF447F">
      <w:pPr>
        <w:jc w:val="left"/>
        <w:rPr>
          <w:rFonts w:ascii="Arial Hebrew" w:hAnsi="Arial Hebrew" w:cs="Arial Hebrew" w:hint="cs"/>
          <w:sz w:val="28"/>
          <w:szCs w:val="28"/>
          <w:rtl/>
          <w:lang w:bidi="he-IL"/>
        </w:rPr>
      </w:pPr>
    </w:p>
    <w:p w14:paraId="364C13EA" w14:textId="1FA4BAB2" w:rsidR="00AA2DDA" w:rsidRPr="00AA2DDA" w:rsidRDefault="00AA2DDA" w:rsidP="00AA2DDA">
      <w:pPr>
        <w:bidi w:val="0"/>
        <w:jc w:val="left"/>
        <w:rPr>
          <w:rFonts w:ascii="Arial Hebrew" w:hAnsi="Arial Hebrew" w:cs="Arial Hebrew"/>
          <w:sz w:val="28"/>
          <w:szCs w:val="28"/>
          <w:lang w:val="en-US" w:bidi="he-IL"/>
        </w:rPr>
      </w:pPr>
      <w:r w:rsidRPr="00AA2DDA">
        <w:rPr>
          <w:rFonts w:ascii="Arial Hebrew" w:hAnsi="Arial Hebrew" w:cs="Arial Hebrew"/>
          <w:sz w:val="28"/>
          <w:szCs w:val="28"/>
          <w:lang w:val="en-US" w:bidi="he-IL"/>
        </w:rPr>
        <w:t xml:space="preserve">, </w:t>
      </w:r>
      <w:r w:rsidRPr="00AA2DDA">
        <w:rPr>
          <w:rFonts w:ascii="Calibri" w:eastAsia="Calibri" w:hAnsi="Calibri" w:cs="Calibri"/>
          <w:i/>
          <w:iCs/>
          <w:sz w:val="28"/>
          <w:szCs w:val="28"/>
          <w:lang w:val="en-US" w:bidi="he-IL"/>
        </w:rPr>
        <w:t>In</w:t>
      </w:r>
      <w:r w:rsidRPr="00AA2DDA">
        <w:rPr>
          <w:rFonts w:ascii="Arial Hebrew" w:hAnsi="Arial Hebrew" w:cs="Arial Hebrew"/>
          <w:i/>
          <w:iCs/>
          <w:sz w:val="28"/>
          <w:szCs w:val="28"/>
          <w:lang w:val="en-US" w:bidi="he-IL"/>
        </w:rPr>
        <w:t xml:space="preserve"> </w:t>
      </w:r>
      <w:r w:rsidRPr="00AA2DDA">
        <w:rPr>
          <w:rFonts w:ascii="Calibri" w:eastAsia="Calibri" w:hAnsi="Calibri" w:cs="Calibri"/>
          <w:i/>
          <w:iCs/>
          <w:sz w:val="28"/>
          <w:szCs w:val="28"/>
          <w:lang w:val="en-US" w:bidi="he-IL"/>
        </w:rPr>
        <w:t>Search</w:t>
      </w:r>
      <w:r w:rsidRPr="00AA2DDA">
        <w:rPr>
          <w:rFonts w:ascii="Arial Hebrew" w:hAnsi="Arial Hebrew" w:cs="Arial Hebrew"/>
          <w:i/>
          <w:iCs/>
          <w:sz w:val="28"/>
          <w:szCs w:val="28"/>
          <w:lang w:val="en-US" w:bidi="he-IL"/>
        </w:rPr>
        <w:t xml:space="preserve"> </w:t>
      </w:r>
      <w:r w:rsidRPr="00AA2DDA">
        <w:rPr>
          <w:rFonts w:ascii="Calibri" w:eastAsia="Calibri" w:hAnsi="Calibri" w:cs="Calibri"/>
          <w:i/>
          <w:iCs/>
          <w:sz w:val="28"/>
          <w:szCs w:val="28"/>
          <w:lang w:val="en-US" w:bidi="he-IL"/>
        </w:rPr>
        <w:t>of</w:t>
      </w:r>
      <w:r w:rsidRPr="00AA2DDA">
        <w:rPr>
          <w:rFonts w:ascii="Arial Hebrew" w:hAnsi="Arial Hebrew" w:cs="Arial Hebrew"/>
          <w:i/>
          <w:iCs/>
          <w:sz w:val="28"/>
          <w:szCs w:val="28"/>
          <w:lang w:val="en-US" w:bidi="he-IL"/>
        </w:rPr>
        <w:t xml:space="preserve"> </w:t>
      </w:r>
      <w:r w:rsidRPr="00AA2DDA">
        <w:rPr>
          <w:rFonts w:ascii="Calibri" w:eastAsia="Calibri" w:hAnsi="Calibri" w:cs="Calibri"/>
          <w:i/>
          <w:iCs/>
          <w:sz w:val="28"/>
          <w:szCs w:val="28"/>
          <w:lang w:val="en-US" w:bidi="he-IL"/>
        </w:rPr>
        <w:t>Israel</w:t>
      </w:r>
      <w:r w:rsidRPr="00AA2DDA">
        <w:rPr>
          <w:rFonts w:ascii="Arial Hebrew" w:hAnsi="Arial Hebrew" w:cs="Arial Hebrew"/>
          <w:i/>
          <w:iCs/>
          <w:sz w:val="28"/>
          <w:szCs w:val="28"/>
          <w:lang w:val="en-US" w:bidi="he-IL"/>
        </w:rPr>
        <w:t xml:space="preserve">: </w:t>
      </w:r>
      <w:r w:rsidRPr="00AA2DDA">
        <w:rPr>
          <w:rFonts w:ascii="Calibri" w:eastAsia="Calibri" w:hAnsi="Calibri" w:cs="Calibri"/>
          <w:i/>
          <w:iCs/>
          <w:sz w:val="28"/>
          <w:szCs w:val="28"/>
          <w:lang w:val="en-US" w:bidi="he-IL"/>
        </w:rPr>
        <w:t>The</w:t>
      </w:r>
      <w:r w:rsidRPr="00AA2DDA">
        <w:rPr>
          <w:rFonts w:ascii="Arial Hebrew" w:hAnsi="Arial Hebrew" w:cs="Arial Hebrew"/>
          <w:i/>
          <w:iCs/>
          <w:sz w:val="28"/>
          <w:szCs w:val="28"/>
          <w:lang w:val="en-US" w:bidi="he-IL"/>
        </w:rPr>
        <w:t xml:space="preserve"> </w:t>
      </w:r>
      <w:r w:rsidRPr="00AA2DDA">
        <w:rPr>
          <w:rFonts w:ascii="Calibri" w:eastAsia="Calibri" w:hAnsi="Calibri" w:cs="Calibri"/>
          <w:i/>
          <w:iCs/>
          <w:sz w:val="28"/>
          <w:szCs w:val="28"/>
          <w:lang w:val="en-US" w:bidi="he-IL"/>
        </w:rPr>
        <w:t>History</w:t>
      </w:r>
      <w:r w:rsidRPr="00AA2DDA">
        <w:rPr>
          <w:rFonts w:ascii="Arial Hebrew" w:hAnsi="Arial Hebrew" w:cs="Arial Hebrew"/>
          <w:i/>
          <w:iCs/>
          <w:sz w:val="28"/>
          <w:szCs w:val="28"/>
          <w:lang w:val="en-US" w:bidi="he-IL"/>
        </w:rPr>
        <w:t xml:space="preserve"> </w:t>
      </w:r>
      <w:r w:rsidRPr="00AA2DDA">
        <w:rPr>
          <w:rFonts w:ascii="Calibri" w:eastAsia="Calibri" w:hAnsi="Calibri" w:cs="Calibri"/>
          <w:i/>
          <w:iCs/>
          <w:sz w:val="28"/>
          <w:szCs w:val="28"/>
          <w:lang w:val="en-US" w:bidi="he-IL"/>
        </w:rPr>
        <w:t>of</w:t>
      </w:r>
      <w:r w:rsidRPr="00AA2DDA">
        <w:rPr>
          <w:rFonts w:ascii="Arial Hebrew" w:hAnsi="Arial Hebrew" w:cs="Arial Hebrew"/>
          <w:i/>
          <w:iCs/>
          <w:sz w:val="28"/>
          <w:szCs w:val="28"/>
          <w:lang w:val="en-US" w:bidi="he-IL"/>
        </w:rPr>
        <w:t xml:space="preserve"> </w:t>
      </w:r>
      <w:r w:rsidRPr="00AA2DDA">
        <w:rPr>
          <w:rFonts w:ascii="Calibri" w:eastAsia="Calibri" w:hAnsi="Calibri" w:cs="Calibri"/>
          <w:i/>
          <w:iCs/>
          <w:sz w:val="28"/>
          <w:szCs w:val="28"/>
          <w:lang w:val="en-US" w:bidi="he-IL"/>
        </w:rPr>
        <w:t>an</w:t>
      </w:r>
      <w:r w:rsidRPr="00AA2DDA">
        <w:rPr>
          <w:rFonts w:ascii="Arial Hebrew" w:hAnsi="Arial Hebrew" w:cs="Arial Hebrew"/>
          <w:i/>
          <w:iCs/>
          <w:sz w:val="28"/>
          <w:szCs w:val="28"/>
          <w:lang w:val="en-US" w:bidi="he-IL"/>
        </w:rPr>
        <w:t xml:space="preserve"> </w:t>
      </w:r>
      <w:r w:rsidRPr="00AA2DDA">
        <w:rPr>
          <w:rFonts w:ascii="Calibri" w:eastAsia="Calibri" w:hAnsi="Calibri" w:cs="Calibri"/>
          <w:i/>
          <w:iCs/>
          <w:sz w:val="28"/>
          <w:szCs w:val="28"/>
          <w:lang w:val="en-US" w:bidi="he-IL"/>
        </w:rPr>
        <w:t>Idea</w:t>
      </w:r>
    </w:p>
    <w:p w14:paraId="2F14657F" w14:textId="5766E896" w:rsidR="00A562D2" w:rsidRPr="00F0656A" w:rsidRDefault="00BE2FAB" w:rsidP="00AA2DDA">
      <w:pPr>
        <w:jc w:val="left"/>
        <w:rPr>
          <w:rFonts w:ascii="Arial Hebrew" w:hAnsi="Arial Hebrew" w:cs="Arial Hebrew" w:hint="cs"/>
          <w:sz w:val="28"/>
          <w:szCs w:val="28"/>
          <w:lang w:bidi="he-IL"/>
        </w:rPr>
      </w:pP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>מפנה אצבע ל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סוגיית </w:t>
      </w:r>
      <w:r w:rsidR="0005709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עשרת השב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טים. </w:t>
      </w:r>
      <w:r w:rsidR="006366E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לפי אומדנים שונים </w:t>
      </w:r>
      <w:r w:rsidR="0005709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באפריקה ובא</w:t>
      </w:r>
      <w:r w:rsidR="006366E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סיה 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נפוצות 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כיום </w:t>
      </w:r>
      <w:r w:rsidR="006366E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קבוצות בנות לא פחות ממ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>י</w:t>
      </w:r>
      <w:r w:rsidR="006366E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ליוני אנשים שמזהות עצמן, במידה כזו או אחרת, 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עם היהדות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, בזיקה ל</w:t>
      </w:r>
      <w:r w:rsidR="006366E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מיתוס ה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שבטים האבודים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מימי הבית הראשון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.</w:t>
      </w:r>
      <w:r w:rsidR="006366E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ככל שמעמדה של ישראל יתחזק 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lastRenderedPageBreak/>
        <w:t>מאוד ייתכן ש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>זיקתן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ליהדות תתגבש לשאיפה לעלות 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לישראל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, או לכדי הקמת מרכזים יהודיים נוספים </w:t>
      </w:r>
      <w:proofErr w:type="spellStart"/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>שייחזקו</w:t>
      </w:r>
      <w:proofErr w:type="spellEnd"/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את ישראל 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>בעולם המתפתח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. </w:t>
      </w:r>
      <w:r w:rsidR="00F77E31" w:rsidRPr="00F0656A">
        <w:rPr>
          <w:rStyle w:val="FootnoteReference"/>
          <w:rFonts w:ascii="Arial Hebrew" w:hAnsi="Arial Hebrew" w:cs="Arial Hebrew" w:hint="cs"/>
          <w:sz w:val="28"/>
          <w:szCs w:val="28"/>
          <w:rtl/>
          <w:lang w:bidi="he-IL"/>
        </w:rPr>
        <w:footnoteReference w:id="7"/>
      </w:r>
    </w:p>
    <w:p w14:paraId="55BA17E8" w14:textId="4AE0D445" w:rsidR="00BE2FAB" w:rsidRPr="00F0656A" w:rsidRDefault="006D0671" w:rsidP="00AA2DDA">
      <w:pPr>
        <w:rPr>
          <w:rFonts w:ascii="Arial Hebrew" w:hAnsi="Arial Hebrew" w:cs="Arial Hebrew" w:hint="cs"/>
          <w:sz w:val="28"/>
          <w:szCs w:val="28"/>
          <w:rtl/>
          <w:lang w:bidi="he-IL"/>
        </w:rPr>
      </w:pP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הפילושמיות 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>משגשגת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,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אפוא, 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>בהווה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,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וגם עתידה נראה מבטיח. 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בנקודה זו תוהה אילני כיצד </w:t>
      </w:r>
      <w:r w:rsidR="004B44B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לנתב</w:t>
      </w:r>
      <w:r w:rsidR="00550D7E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את ההצלחה הציונית ל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כדי </w:t>
      </w:r>
      <w:r w:rsidR="00550D7E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פול</w:t>
      </w:r>
      <w:r w:rsidR="004B44B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י</w:t>
      </w:r>
      <w:r w:rsidR="00550D7E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טיקה הומניסטית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. </w:t>
      </w:r>
      <w:r w:rsidR="0002780F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הוא 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>מציע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>משהו בסגנון -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אם אינך יכול לנצח אותו, הצטרף אליו. כלומר, מכיוון שאי אפשר לנתק את הסיפור ה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>יהודי/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ציוני ממוטיב הנבחרות, מוטב לא להיאבק בו</w:t>
      </w:r>
      <w:r w:rsidR="006366E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,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BE2FA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אלא </w:t>
      </w:r>
      <w:r w:rsidR="006366E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דווקא </w:t>
      </w:r>
      <w:r w:rsidR="00BE2FA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ל</w:t>
      </w:r>
      <w:r w:rsidR="00554C8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העצימו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,</w:t>
      </w:r>
      <w:r w:rsidR="00554C8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תוך כדי </w:t>
      </w:r>
      <w:r w:rsidR="00BE2FA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צ</w:t>
      </w:r>
      <w:r w:rsidR="00554C8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י</w:t>
      </w:r>
      <w:r w:rsidR="00BE2FA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ר</w:t>
      </w:r>
      <w:r w:rsidR="00554C8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וף </w:t>
      </w:r>
      <w:r w:rsidR="00BE2FA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הפל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>סטינים, שנעשו, בעל כורכם, לפרק ב</w:t>
      </w:r>
      <w:r w:rsidR="00BE2FA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סיפור היהודי</w:t>
      </w:r>
      <w:r w:rsidR="00E90D4D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, לחלק מהעם הנבחר</w:t>
      </w:r>
      <w:r w:rsidR="00BE2FA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. 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ב</w:t>
      </w:r>
      <w:r w:rsidR="00F620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מובנים מסוימים, בדומה לג׳ודית </w:t>
      </w:r>
      <w:proofErr w:type="spellStart"/>
      <w:r w:rsidR="00F620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באטלר</w:t>
      </w:r>
      <w:proofErr w:type="spellEnd"/>
      <w:r w:rsidR="00F620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, 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הוא מציע לראות ב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>עם ה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יהודי רעיון</w:t>
      </w:r>
      <w:r w:rsidR="003458CE">
        <w:rPr>
          <w:rStyle w:val="FootnoteReference"/>
          <w:rFonts w:ascii="Arial Hebrew" w:hAnsi="Arial Hebrew" w:cs="Arial Hebrew"/>
          <w:sz w:val="28"/>
          <w:szCs w:val="28"/>
          <w:rtl/>
          <w:lang w:bidi="he-IL"/>
        </w:rPr>
        <w:footnoteReference w:id="8"/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. קטגוריה חברתית או </w:t>
      </w:r>
      <w:proofErr w:type="spellStart"/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אפיסטימולוגית</w:t>
      </w:r>
      <w:proofErr w:type="spellEnd"/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שניתן להכיל בה קבוצות שונות</w:t>
      </w:r>
      <w:r w:rsidR="006366E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בהתאם לשינויים המתרחשים בהיסטוריה</w:t>
      </w:r>
      <w:r w:rsidR="00C660E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.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במובנים אחרים, השימוש שהוא מבקש לבצע ב</w:t>
      </w:r>
      <w:r w:rsidR="00F620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רעיון הנבחרות מעיד כי בניגוד </w:t>
      </w:r>
      <w:proofErr w:type="spellStart"/>
      <w:r w:rsidR="00F620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לבאטלר</w:t>
      </w:r>
      <w:proofErr w:type="spellEnd"/>
      <w:r w:rsidR="00F620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הוא כן סבור שטיפוח הפרטיקולרי 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>- ולו</w:t>
      </w:r>
      <w:r w:rsidR="00F620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במשמעותו הרע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>יוני</w:t>
      </w:r>
      <w:r w:rsidR="00F620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ת </w:t>
      </w:r>
      <w:r w:rsidR="00F77E31">
        <w:rPr>
          <w:rFonts w:ascii="Arial Hebrew" w:hAnsi="Arial Hebrew" w:cs="Arial Hebrew" w:hint="cs"/>
          <w:sz w:val="28"/>
          <w:szCs w:val="28"/>
          <w:rtl/>
          <w:lang w:bidi="he-IL"/>
        </w:rPr>
        <w:t>-</w:t>
      </w:r>
      <w:r w:rsidR="00F620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הוא תנאי </w:t>
      </w:r>
      <w:proofErr w:type="spellStart"/>
      <w:r w:rsidR="00F620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למחוייבות</w:t>
      </w:r>
      <w:proofErr w:type="spellEnd"/>
      <w:r w:rsidR="00F6203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סולידרית אוניברסלית.   </w:t>
      </w:r>
    </w:p>
    <w:p w14:paraId="1A8E8764" w14:textId="06D38D7E" w:rsidR="00F50A72" w:rsidRPr="00F0656A" w:rsidRDefault="00550D7E" w:rsidP="003458CE">
      <w:pPr>
        <w:rPr>
          <w:rFonts w:ascii="Arial Hebrew" w:hAnsi="Arial Hebrew" w:cs="Arial Hebrew" w:hint="cs"/>
          <w:sz w:val="28"/>
          <w:szCs w:val="28"/>
          <w:lang w:bidi="he-IL"/>
        </w:rPr>
      </w:pP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הוא צודק</w:t>
      </w:r>
      <w:r w:rsidR="003458CE">
        <w:rPr>
          <w:rFonts w:ascii="Arial Hebrew" w:hAnsi="Arial Hebrew" w:cs="Arial Hebrew" w:hint="cs"/>
          <w:sz w:val="28"/>
          <w:szCs w:val="28"/>
          <w:rtl/>
          <w:lang w:bidi="he-IL"/>
        </w:rPr>
        <w:t>, לדעתי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. </w:t>
      </w:r>
      <w:r w:rsidR="00E90D4D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כפי שכתב טרי </w:t>
      </w:r>
      <w:proofErr w:type="spellStart"/>
      <w:r w:rsidR="00E90D4D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איגלטון</w:t>
      </w:r>
      <w:proofErr w:type="spellEnd"/>
      <w:r w:rsidR="00554C8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E90D4D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כדי להתגבר על הלאומיות</w:t>
      </w:r>
      <w:r w:rsidR="00554C8F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השוביניסטית</w:t>
      </w:r>
      <w:r w:rsidR="00E90D4D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, </w:t>
      </w:r>
      <w:r w:rsidR="003458CE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אין לברוח ממנה או להתנכר לה מבחוץ </w:t>
      </w:r>
      <w:r w:rsidR="00AA2DDA">
        <w:rPr>
          <w:rFonts w:ascii="Arial Hebrew" w:hAnsi="Arial Hebrew" w:cs="Arial Hebrew"/>
          <w:sz w:val="28"/>
          <w:szCs w:val="28"/>
          <w:rtl/>
          <w:lang w:bidi="he-IL"/>
        </w:rPr>
        <w:t>–</w:t>
      </w:r>
      <w:r w:rsidR="003458CE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>אלא ״</w:t>
      </w:r>
      <w:r w:rsidR="003458CE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</w:p>
    <w:p w14:paraId="391A09E2" w14:textId="23381A10" w:rsidR="00E90D4D" w:rsidRPr="00F0656A" w:rsidRDefault="00F50A72" w:rsidP="003458CE">
      <w:pPr>
        <w:bidi w:val="0"/>
        <w:jc w:val="left"/>
        <w:rPr>
          <w:rFonts w:ascii="Arial Hebrew" w:hAnsi="Arial Hebrew" w:cs="Arial Hebrew" w:hint="cs"/>
          <w:sz w:val="28"/>
          <w:szCs w:val="28"/>
          <w:rtl/>
          <w:lang w:bidi="he-IL"/>
        </w:rPr>
      </w:pP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To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have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it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and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to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feel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it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,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is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the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only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way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to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end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it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.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If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you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fail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to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claim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it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,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or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to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give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it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up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too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soon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,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you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will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merely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be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cheated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,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by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other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classes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and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other</w:t>
      </w:r>
      <w:proofErr w:type="spellEnd"/>
      <w:r w:rsidRPr="00F0656A">
        <w:rPr>
          <w:rFonts w:ascii="Arial Hebrew" w:hAnsi="Arial Hebrew" w:cs="Arial Hebrew" w:hint="cs"/>
          <w:sz w:val="28"/>
          <w:szCs w:val="28"/>
          <w:lang w:bidi="he-IL"/>
        </w:rPr>
        <w:t xml:space="preserve"> </w:t>
      </w:r>
      <w:proofErr w:type="spellStart"/>
      <w:r w:rsidRPr="00F0656A">
        <w:rPr>
          <w:rFonts w:ascii="Calibri" w:eastAsia="Calibri" w:hAnsi="Calibri" w:cs="Calibri"/>
          <w:sz w:val="28"/>
          <w:szCs w:val="28"/>
          <w:lang w:bidi="he-IL"/>
        </w:rPr>
        <w:t>nations</w:t>
      </w:r>
      <w:proofErr w:type="spellEnd"/>
      <w:r w:rsidR="00E90D4D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.</w:t>
      </w:r>
      <w:r w:rsidR="000A33DF" w:rsidRPr="00F0656A">
        <w:rPr>
          <w:rStyle w:val="FootnoteReference"/>
          <w:rFonts w:ascii="Arial Hebrew" w:hAnsi="Arial Hebrew" w:cs="Arial Hebrew" w:hint="cs"/>
          <w:sz w:val="28"/>
          <w:szCs w:val="28"/>
          <w:rtl/>
          <w:lang w:bidi="he-IL"/>
        </w:rPr>
        <w:footnoteReference w:id="9"/>
      </w:r>
      <w:r w:rsidR="00E90D4D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</w:p>
    <w:p w14:paraId="6637AA26" w14:textId="77777777" w:rsidR="00E90D4D" w:rsidRPr="00F0656A" w:rsidRDefault="00E90D4D" w:rsidP="00E90D4D">
      <w:pPr>
        <w:rPr>
          <w:rFonts w:ascii="Arial Hebrew" w:hAnsi="Arial Hebrew" w:cs="Arial Hebrew" w:hint="cs"/>
          <w:sz w:val="28"/>
          <w:szCs w:val="28"/>
          <w:rtl/>
          <w:lang w:bidi="he-IL"/>
        </w:rPr>
      </w:pPr>
    </w:p>
    <w:p w14:paraId="343673EF" w14:textId="4421A436" w:rsidR="00F70E6E" w:rsidRDefault="003458CE" w:rsidP="008B31C4">
      <w:pPr>
        <w:rPr>
          <w:rFonts w:ascii="Arial Hebrew" w:hAnsi="Arial Hebrew" w:cs="Arial Hebrew" w:hint="cs"/>
          <w:sz w:val="28"/>
          <w:szCs w:val="28"/>
          <w:rtl/>
          <w:lang w:bidi="he-IL"/>
        </w:rPr>
      </w:pP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מה שחסר בניתוח של אילני הוא איך לממש את הצעתו. 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בהקשר </w:t>
      </w:r>
      <w:r w:rsidR="00553553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זה </w:t>
      </w:r>
      <w:r w:rsidR="00090FF9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התפכחות</w:t>
      </w:r>
      <w:r w:rsidR="00553553">
        <w:rPr>
          <w:rFonts w:ascii="Arial Hebrew" w:hAnsi="Arial Hebrew" w:cs="Arial Hebrew" w:hint="cs"/>
          <w:sz w:val="28"/>
          <w:szCs w:val="28"/>
          <w:rtl/>
          <w:lang w:bidi="he-IL"/>
        </w:rPr>
        <w:t>ו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מהעמדה הליברלית-</w:t>
      </w:r>
      <w:r w:rsidR="00090FF9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חילונית צריכה להוביל </w:t>
      </w:r>
      <w:r w:rsidR="008B31C4">
        <w:rPr>
          <w:rFonts w:ascii="Arial Hebrew" w:hAnsi="Arial Hebrew" w:cs="Arial Hebrew"/>
          <w:sz w:val="28"/>
          <w:szCs w:val="28"/>
          <w:lang w:bidi="he-IL"/>
        </w:rPr>
        <w:t xml:space="preserve"> </w:t>
      </w:r>
      <w:r w:rsidR="00090FF9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לשאלה כיצד לשכנע את היהודי האקטואלי, </w:t>
      </w:r>
      <w:r w:rsidR="00322F3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היושב בישראל או תומך בציונות מבחוץ, </w:t>
      </w:r>
      <w:r w:rsidR="00090FF9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לצר</w:t>
      </w:r>
      <w:r w:rsidR="00C46B5C">
        <w:rPr>
          <w:rFonts w:ascii="Arial Hebrew" w:hAnsi="Arial Hebrew" w:cs="Arial Hebrew" w:hint="cs"/>
          <w:sz w:val="28"/>
          <w:szCs w:val="28"/>
          <w:rtl/>
          <w:lang w:bidi="he-IL"/>
        </w:rPr>
        <w:t>ף את הפלסטינים לשורות</w:t>
      </w:r>
      <w:r w:rsidR="00322F3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רעיון </w:t>
      </w:r>
      <w:r w:rsidR="00322F3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העם הנבחר.</w:t>
      </w:r>
      <w:r w:rsidR="00090FF9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</w:p>
    <w:p w14:paraId="4AB72DC0" w14:textId="2610B91B" w:rsidR="00090FF9" w:rsidRPr="00F0656A" w:rsidRDefault="00553553" w:rsidP="008B31C4">
      <w:pPr>
        <w:rPr>
          <w:rFonts w:ascii="Arial Hebrew" w:hAnsi="Arial Hebrew" w:cs="Arial Hebrew" w:hint="cs"/>
          <w:sz w:val="28"/>
          <w:szCs w:val="28"/>
          <w:rtl/>
          <w:lang w:bidi="he-IL"/>
        </w:rPr>
      </w:pP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בעניין זה יש לזכור כי 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ב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שורה התחתונה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הדי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ון במושג </w:t>
      </w:r>
      <w:proofErr w:type="spellStart"/>
      <w:r>
        <w:rPr>
          <w:rFonts w:ascii="Arial Hebrew" w:hAnsi="Arial Hebrew" w:cs="Arial Hebrew" w:hint="cs"/>
          <w:sz w:val="28"/>
          <w:szCs w:val="28"/>
          <w:rtl/>
          <w:lang w:bidi="he-IL"/>
        </w:rPr>
        <w:t>ה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״נבחרות</w:t>
      </w:r>
      <w:proofErr w:type="spellEnd"/>
      <w:r>
        <w:rPr>
          <w:rFonts w:ascii="Arial Hebrew" w:hAnsi="Arial Hebrew" w:cs="Arial Hebrew" w:hint="cs"/>
          <w:sz w:val="28"/>
          <w:szCs w:val="28"/>
          <w:rtl/>
          <w:lang w:bidi="he-IL"/>
        </w:rPr>
        <w:t>״ הוא פירוק מתו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ח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כם </w:t>
      </w:r>
      <w:proofErr w:type="spellStart"/>
      <w:r>
        <w:rPr>
          <w:rFonts w:ascii="Arial Hebrew" w:hAnsi="Arial Hebrew" w:cs="Arial Hebrew" w:hint="cs"/>
          <w:sz w:val="28"/>
          <w:szCs w:val="28"/>
          <w:rtl/>
          <w:lang w:bidi="he-IL"/>
        </w:rPr>
        <w:t>ומדוייק</w:t>
      </w:r>
      <w:proofErr w:type="spellEnd"/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יותר של המושג הכללי ״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דת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>״ או ״תיאולוגיה״</w:t>
      </w:r>
      <w:r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. 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והשינוי 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>לא יבוא</w:t>
      </w:r>
      <w:r w:rsidR="00322F3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ל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>דעתי ל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לא זיקה מחודשת ל</w:t>
      </w:r>
      <w:r w:rsidR="00090FF9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דת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AA2DDA">
        <w:rPr>
          <w:rFonts w:ascii="Arial Hebrew" w:hAnsi="Arial Hebrew" w:cs="Arial Hebrew"/>
          <w:sz w:val="28"/>
          <w:szCs w:val="28"/>
          <w:rtl/>
          <w:lang w:bidi="he-IL"/>
        </w:rPr>
        <w:t>–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לא 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במובנה ה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הלכתי, אלא במובנה </w:t>
      </w:r>
      <w:proofErr w:type="spellStart"/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>הבוב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ריאני</w:t>
      </w:r>
      <w:proofErr w:type="spellEnd"/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>,</w:t>
      </w:r>
      <w:r w:rsidR="00071F24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כ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>לומר כ</w:t>
      </w:r>
      <w:r w:rsidR="00071F24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רליגיוזיות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>, כרוחניות.</w:t>
      </w:r>
      <w:r>
        <w:rPr>
          <w:rStyle w:val="FootnoteReference"/>
          <w:rFonts w:ascii="Arial Hebrew" w:hAnsi="Arial Hebrew" w:cs="Arial Hebrew"/>
          <w:sz w:val="28"/>
          <w:szCs w:val="28"/>
          <w:rtl/>
          <w:lang w:bidi="he-IL"/>
        </w:rPr>
        <w:footnoteReference w:id="10"/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שכן בניגוד לחשש הנפוץ מהמזיגה הנפיצה בין דת ולאום, צדק א.ד גורדון, מנביאי הציונות הסוציאליסטית, כשקבע כי </w:t>
      </w:r>
    </w:p>
    <w:p w14:paraId="11FCF227" w14:textId="712E8FBB" w:rsidR="00071F24" w:rsidRPr="00F0656A" w:rsidRDefault="00553553" w:rsidP="00553553">
      <w:pPr>
        <w:widowControl w:val="0"/>
        <w:autoSpaceDE w:val="0"/>
        <w:autoSpaceDN w:val="0"/>
        <w:bidi w:val="0"/>
        <w:adjustRightInd w:val="0"/>
        <w:spacing w:after="240" w:line="340" w:lineRule="atLeast"/>
        <w:jc w:val="left"/>
        <w:rPr>
          <w:rFonts w:ascii="Arial Hebrew" w:hAnsi="Arial Hebrew" w:cs="Arial Hebrew" w:hint="cs"/>
          <w:sz w:val="28"/>
          <w:szCs w:val="28"/>
          <w:lang w:val="en-US" w:bidi="he-IL"/>
        </w:rPr>
      </w:pPr>
      <w:r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>“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The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greater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the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depth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of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the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human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spirit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,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the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less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it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is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able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to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be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at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peace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lastRenderedPageBreak/>
        <w:t>without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  <w:r w:rsidR="00071F24" w:rsidRPr="00F0656A">
        <w:rPr>
          <w:rFonts w:ascii="Calibri" w:eastAsia="Calibri" w:hAnsi="Calibri" w:cs="Calibri"/>
          <w:sz w:val="28"/>
          <w:szCs w:val="28"/>
          <w:lang w:val="en-US" w:bidi="he-IL"/>
        </w:rPr>
        <w:t>religiosity</w:t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>.”</w:t>
      </w:r>
      <w:r w:rsidR="008B31C4">
        <w:rPr>
          <w:rStyle w:val="FootnoteReference"/>
          <w:rFonts w:ascii="Arial Hebrew" w:hAnsi="Arial Hebrew" w:cs="Arial Hebrew"/>
          <w:sz w:val="28"/>
          <w:szCs w:val="28"/>
          <w:lang w:val="en-US" w:bidi="he-IL"/>
        </w:rPr>
        <w:footnoteReference w:id="11"/>
      </w:r>
      <w:r w:rsidR="00071F24" w:rsidRPr="00F0656A">
        <w:rPr>
          <w:rFonts w:ascii="Arial Hebrew" w:hAnsi="Arial Hebrew" w:cs="Arial Hebrew" w:hint="cs"/>
          <w:sz w:val="28"/>
          <w:szCs w:val="28"/>
          <w:lang w:val="en-US" w:bidi="he-IL"/>
        </w:rPr>
        <w:t xml:space="preserve"> </w:t>
      </w:r>
    </w:p>
    <w:p w14:paraId="47C14563" w14:textId="0C11B1D8" w:rsidR="00553553" w:rsidRPr="00F0656A" w:rsidRDefault="00F70E6E" w:rsidP="00553553">
      <w:pPr>
        <w:rPr>
          <w:rFonts w:ascii="Arial Hebrew" w:hAnsi="Arial Hebrew" w:cs="Arial Hebrew" w:hint="cs"/>
          <w:sz w:val="28"/>
          <w:szCs w:val="28"/>
          <w:rtl/>
          <w:lang w:bidi="he-IL"/>
        </w:rPr>
      </w:pP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רק </w:t>
      </w:r>
      <w:r w:rsidR="00553553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בכוח זיקה מחודשת ל</w:t>
      </w:r>
      <w:r w:rsidR="00553553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דת 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- </w:t>
      </w:r>
      <w:r w:rsidR="00553553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כעמדה רוחנית, </w:t>
      </w:r>
      <w:r w:rsidR="0055355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כאמונה בנשגב</w:t>
      </w:r>
      <w:r w:rsidR="00553553">
        <w:rPr>
          <w:rFonts w:ascii="Arial Hebrew" w:hAnsi="Arial Hebrew" w:cs="Arial Hebrew" w:hint="cs"/>
          <w:sz w:val="28"/>
          <w:szCs w:val="28"/>
          <w:rtl/>
          <w:lang w:bidi="he-IL"/>
        </w:rPr>
        <w:t>, המתנשא מעל הי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ום-יום - </w:t>
      </w:r>
      <w:r w:rsidR="00553553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יהיה אפשר </w:t>
      </w:r>
      <w:r w:rsidR="0055355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לנטרל את הממד הפר</w:t>
      </w:r>
      <w:r w:rsidR="00AA2DDA">
        <w:rPr>
          <w:rFonts w:ascii="Arial Hebrew" w:hAnsi="Arial Hebrew" w:cs="Arial Hebrew" w:hint="cs"/>
          <w:sz w:val="28"/>
          <w:szCs w:val="28"/>
          <w:rtl/>
          <w:lang w:bidi="he-IL"/>
        </w:rPr>
        <w:t>טיקולריסטי-שוביניסטי של מוטיב ״הנבחרות״</w:t>
      </w:r>
      <w:r w:rsidR="00553553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. </w:t>
      </w:r>
    </w:p>
    <w:p w14:paraId="21E5BAD0" w14:textId="2864CC79" w:rsidR="009F5EFC" w:rsidRPr="00F0656A" w:rsidRDefault="008B31C4" w:rsidP="00553553">
      <w:pPr>
        <w:rPr>
          <w:rFonts w:ascii="Arial Hebrew" w:hAnsi="Arial Hebrew" w:cs="Arial Hebrew" w:hint="cs"/>
          <w:sz w:val="28"/>
          <w:szCs w:val="28"/>
          <w:rtl/>
          <w:lang w:val="en-US" w:bidi="he-IL"/>
        </w:rPr>
      </w:pP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רק </w:t>
      </w:r>
      <w:r w:rsidR="00322F3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הזיקה לדת יכו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לה לתת לקיום היהודי צידוק ותוכן</w:t>
      </w:r>
      <w:r w:rsidR="00322F3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אלטרנטיביים ל</w:t>
      </w:r>
      <w:r w:rsidR="00322F3B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אחיזה בשטחים כמוקד זהות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. ורק הממד </w:t>
      </w:r>
      <w:proofErr w:type="spellStart"/>
      <w:r>
        <w:rPr>
          <w:rFonts w:ascii="Arial Hebrew" w:hAnsi="Arial Hebrew" w:cs="Arial Hebrew" w:hint="cs"/>
          <w:sz w:val="28"/>
          <w:szCs w:val="28"/>
          <w:rtl/>
          <w:lang w:bidi="he-IL"/>
        </w:rPr>
        <w:t>הרלגיוזי</w:t>
      </w:r>
      <w:proofErr w:type="spellEnd"/>
      <w:r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יכול </w:t>
      </w:r>
      <w:r w:rsidR="00553553">
        <w:rPr>
          <w:rFonts w:ascii="Arial Hebrew" w:hAnsi="Arial Hebrew" w:cs="Arial Hebrew" w:hint="cs"/>
          <w:sz w:val="28"/>
          <w:szCs w:val="28"/>
          <w:rtl/>
          <w:lang w:bidi="he-IL"/>
        </w:rPr>
        <w:t>להביא את האנרגיה הדרו</w:t>
      </w:r>
      <w:r>
        <w:rPr>
          <w:rFonts w:ascii="Arial Hebrew" w:hAnsi="Arial Hebrew" w:cs="Arial Hebrew" w:hint="cs"/>
          <w:sz w:val="28"/>
          <w:szCs w:val="28"/>
          <w:rtl/>
          <w:lang w:bidi="he-IL"/>
        </w:rPr>
        <w:t>שה ל</w:t>
      </w:r>
      <w:r w:rsidR="00D65F02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שינוי. </w:t>
      </w:r>
    </w:p>
    <w:p w14:paraId="2AE15921" w14:textId="00E10764" w:rsidR="001F4018" w:rsidRPr="00F0656A" w:rsidRDefault="00AA2DDA" w:rsidP="007B58BC">
      <w:pPr>
        <w:jc w:val="left"/>
        <w:rPr>
          <w:rFonts w:ascii="Arial Hebrew" w:hAnsi="Arial Hebrew" w:cs="Arial Hebrew" w:hint="cs"/>
          <w:sz w:val="28"/>
          <w:szCs w:val="28"/>
          <w:rtl/>
          <w:lang w:val="en-US" w:bidi="he-IL"/>
        </w:rPr>
      </w:pPr>
      <w:proofErr w:type="spellStart"/>
      <w:r>
        <w:rPr>
          <w:rFonts w:ascii="Arial Hebrew" w:hAnsi="Arial Hebrew" w:cs="Arial Hebrew" w:hint="cs"/>
          <w:sz w:val="28"/>
          <w:szCs w:val="28"/>
          <w:rtl/>
          <w:lang w:val="en-US"/>
        </w:rPr>
        <w:t>על</w:t>
      </w:r>
      <w:proofErr w:type="spellEnd"/>
      <w:r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Arial Hebrew" w:hAnsi="Arial Hebrew" w:cs="Arial Hebrew" w:hint="cs"/>
          <w:sz w:val="28"/>
          <w:szCs w:val="28"/>
          <w:rtl/>
          <w:lang w:val="en-US"/>
        </w:rPr>
        <w:t>רקע</w:t>
      </w:r>
      <w:proofErr w:type="spellEnd"/>
      <w:r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Arial Hebrew" w:hAnsi="Arial Hebrew" w:cs="Arial Hebrew" w:hint="cs"/>
          <w:sz w:val="28"/>
          <w:szCs w:val="28"/>
          <w:rtl/>
          <w:lang w:val="en-US"/>
        </w:rPr>
        <w:t>זה</w:t>
      </w:r>
      <w:proofErr w:type="spellEnd"/>
      <w:r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Arial Hebrew" w:hAnsi="Arial Hebrew" w:cs="Arial Hebrew" w:hint="cs"/>
          <w:sz w:val="28"/>
          <w:szCs w:val="28"/>
          <w:rtl/>
          <w:lang w:val="en-US"/>
        </w:rPr>
        <w:t>אני</w:t>
      </w:r>
      <w:proofErr w:type="spellEnd"/>
      <w:r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8B31C4">
        <w:rPr>
          <w:rFonts w:ascii="Arial Hebrew" w:hAnsi="Arial Hebrew" w:cs="Arial Hebrew" w:hint="cs"/>
          <w:sz w:val="28"/>
          <w:szCs w:val="28"/>
          <w:rtl/>
          <w:lang w:val="en-US"/>
        </w:rPr>
        <w:t>רוצה</w:t>
      </w:r>
      <w:proofErr w:type="spellEnd"/>
      <w:r w:rsidR="008B31C4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8B31C4">
        <w:rPr>
          <w:rFonts w:ascii="Arial Hebrew" w:hAnsi="Arial Hebrew" w:cs="Arial Hebrew" w:hint="cs"/>
          <w:sz w:val="28"/>
          <w:szCs w:val="28"/>
          <w:rtl/>
          <w:lang w:val="en-US"/>
        </w:rPr>
        <w:t>להציע</w:t>
      </w:r>
      <w:proofErr w:type="spellEnd"/>
      <w:r w:rsidR="008B31C4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דיון</w:t>
      </w:r>
      <w:proofErr w:type="spellEnd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>
        <w:rPr>
          <w:rFonts w:ascii="Arial Hebrew" w:hAnsi="Arial Hebrew" w:cs="Arial Hebrew" w:hint="cs"/>
          <w:sz w:val="28"/>
          <w:szCs w:val="28"/>
          <w:rtl/>
          <w:lang w:val="en-US"/>
        </w:rPr>
        <w:t>ב</w:t>
      </w:r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>שינוי</w:t>
      </w:r>
      <w:proofErr w:type="spellEnd"/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>
        <w:rPr>
          <w:rFonts w:ascii="Arial Hebrew" w:hAnsi="Arial Hebrew" w:cs="Arial Hebrew" w:hint="cs"/>
          <w:sz w:val="28"/>
          <w:szCs w:val="28"/>
          <w:rtl/>
          <w:lang w:val="en-US"/>
        </w:rPr>
        <w:t>שחל</w:t>
      </w:r>
      <w:proofErr w:type="spellEnd"/>
      <w:r w:rsidR="002B73A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ביחסו</w:t>
      </w:r>
      <w:proofErr w:type="spellEnd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של</w:t>
      </w:r>
      <w:proofErr w:type="spellEnd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מייסד</w:t>
      </w:r>
      <w:proofErr w:type="spellEnd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התנועה</w:t>
      </w:r>
      <w:proofErr w:type="spellEnd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הרו</w:t>
      </w:r>
      <w:r w:rsidR="002B73AD">
        <w:rPr>
          <w:rFonts w:ascii="Arial Hebrew" w:hAnsi="Arial Hebrew" w:cs="Arial Hebrew" w:hint="cs"/>
          <w:sz w:val="28"/>
          <w:szCs w:val="28"/>
          <w:rtl/>
          <w:lang w:val="en-US"/>
        </w:rPr>
        <w:t>ויזיוניסטית</w:t>
      </w:r>
      <w:proofErr w:type="spellEnd"/>
      <w:r w:rsidR="002B73A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, </w:t>
      </w:r>
      <w:proofErr w:type="spellStart"/>
      <w:r w:rsidR="002B73AD">
        <w:rPr>
          <w:rFonts w:ascii="Arial Hebrew" w:hAnsi="Arial Hebrew" w:cs="Arial Hebrew" w:hint="cs"/>
          <w:sz w:val="28"/>
          <w:szCs w:val="28"/>
          <w:rtl/>
          <w:lang w:val="en-US"/>
        </w:rPr>
        <w:t>זאב</w:t>
      </w:r>
      <w:proofErr w:type="spellEnd"/>
      <w:r w:rsidR="002B73A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>
        <w:rPr>
          <w:rFonts w:ascii="Arial Hebrew" w:hAnsi="Arial Hebrew" w:cs="Arial Hebrew" w:hint="cs"/>
          <w:sz w:val="28"/>
          <w:szCs w:val="28"/>
          <w:rtl/>
          <w:lang w:val="en-US"/>
        </w:rPr>
        <w:t>ז׳בוטינסקי</w:t>
      </w:r>
      <w:proofErr w:type="spellEnd"/>
      <w:r w:rsidR="002B73A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r w:rsidR="008B31C4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- </w:t>
      </w:r>
      <w:proofErr w:type="spellStart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שהחל</w:t>
      </w:r>
      <w:proofErr w:type="spellEnd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את</w:t>
      </w:r>
      <w:proofErr w:type="spellEnd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דרכו</w:t>
      </w:r>
      <w:proofErr w:type="spellEnd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הציונית</w:t>
      </w:r>
      <w:proofErr w:type="spellEnd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כרדיקל</w:t>
      </w:r>
      <w:proofErr w:type="spellEnd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חילוני</w:t>
      </w:r>
      <w:proofErr w:type="spellEnd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>ליברלי</w:t>
      </w:r>
      <w:proofErr w:type="spellEnd"/>
      <w:r w:rsidR="002B73AD" w:rsidRPr="00F0656A">
        <w:rPr>
          <w:rStyle w:val="FootnoteReference"/>
          <w:rFonts w:ascii="Arial Hebrew" w:hAnsi="Arial Hebrew" w:cs="Arial Hebrew" w:hint="cs"/>
          <w:sz w:val="28"/>
          <w:szCs w:val="28"/>
          <w:rtl/>
          <w:lang w:val="en-US"/>
        </w:rPr>
        <w:footnoteReference w:id="12"/>
      </w:r>
      <w:r w:rsidR="0002780F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r w:rsidR="008B31C4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- </w:t>
      </w:r>
      <w:r w:rsidR="002B73AD" w:rsidRPr="00F0656A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8B31C4">
        <w:rPr>
          <w:rFonts w:ascii="Arial Hebrew" w:hAnsi="Arial Hebrew" w:cs="Arial Hebrew" w:hint="cs"/>
          <w:sz w:val="28"/>
          <w:szCs w:val="28"/>
          <w:rtl/>
          <w:lang w:val="en-US"/>
        </w:rPr>
        <w:t>לדת</w:t>
      </w:r>
      <w:proofErr w:type="spellEnd"/>
      <w:r w:rsidR="00F70E6E">
        <w:rPr>
          <w:rFonts w:ascii="Arial Hebrew" w:hAnsi="Arial Hebrew" w:cs="Arial Hebrew" w:hint="cs"/>
          <w:sz w:val="28"/>
          <w:szCs w:val="28"/>
          <w:rtl/>
          <w:lang w:val="en-US"/>
        </w:rPr>
        <w:t>.</w:t>
      </w:r>
      <w:r w:rsidR="002B73AD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D65F02">
        <w:rPr>
          <w:rFonts w:ascii="Arial Hebrew" w:hAnsi="Arial Hebrew" w:cs="Arial Hebrew" w:hint="cs"/>
          <w:sz w:val="28"/>
          <w:szCs w:val="28"/>
          <w:rtl/>
          <w:lang w:val="en-US"/>
        </w:rPr>
        <w:t>שכן</w:t>
      </w:r>
      <w:proofErr w:type="spellEnd"/>
      <w:r w:rsidR="00D65F02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D65F02">
        <w:rPr>
          <w:rFonts w:ascii="Arial Hebrew" w:hAnsi="Arial Hebrew" w:cs="Arial Hebrew" w:hint="cs"/>
          <w:sz w:val="28"/>
          <w:szCs w:val="28"/>
          <w:rtl/>
          <w:lang w:val="en-US"/>
        </w:rPr>
        <w:t>במידה</w:t>
      </w:r>
      <w:proofErr w:type="spellEnd"/>
      <w:r w:rsidR="00D65F02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D65F02">
        <w:rPr>
          <w:rFonts w:ascii="Arial Hebrew" w:hAnsi="Arial Hebrew" w:cs="Arial Hebrew" w:hint="cs"/>
          <w:sz w:val="28"/>
          <w:szCs w:val="28"/>
          <w:rtl/>
          <w:lang w:val="en-US"/>
        </w:rPr>
        <w:t>רבה</w:t>
      </w:r>
      <w:proofErr w:type="spellEnd"/>
      <w:r>
        <w:rPr>
          <w:rFonts w:ascii="Arial Hebrew" w:hAnsi="Arial Hebrew" w:cs="Arial Hebrew" w:hint="cs"/>
          <w:sz w:val="28"/>
          <w:szCs w:val="28"/>
          <w:rtl/>
          <w:lang w:val="en-US"/>
        </w:rPr>
        <w:t>,</w:t>
      </w:r>
      <w:r w:rsidR="00D65F02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F70E6E">
        <w:rPr>
          <w:rFonts w:ascii="Arial Hebrew" w:hAnsi="Arial Hebrew" w:cs="Arial Hebrew" w:hint="cs"/>
          <w:sz w:val="28"/>
          <w:szCs w:val="28"/>
          <w:rtl/>
          <w:lang w:val="en-US"/>
        </w:rPr>
        <w:t>גם</w:t>
      </w:r>
      <w:proofErr w:type="spellEnd"/>
      <w:r w:rsidR="00F70E6E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Arial Hebrew" w:hAnsi="Arial Hebrew" w:cs="Arial Hebrew" w:hint="cs"/>
          <w:sz w:val="28"/>
          <w:szCs w:val="28"/>
          <w:rtl/>
          <w:lang w:val="en-US"/>
        </w:rPr>
        <w:t>את</w:t>
      </w:r>
      <w:proofErr w:type="spellEnd"/>
      <w:r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F70E6E">
        <w:rPr>
          <w:rFonts w:ascii="Arial Hebrew" w:hAnsi="Arial Hebrew" w:cs="Arial Hebrew" w:hint="cs"/>
          <w:sz w:val="28"/>
          <w:szCs w:val="28"/>
          <w:rtl/>
          <w:lang w:val="en-US"/>
        </w:rPr>
        <w:t>התמורה</w:t>
      </w:r>
      <w:proofErr w:type="spellEnd"/>
      <w:r w:rsidR="00F70E6E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F70E6E">
        <w:rPr>
          <w:rFonts w:ascii="Arial Hebrew" w:hAnsi="Arial Hebrew" w:cs="Arial Hebrew" w:hint="cs"/>
          <w:sz w:val="28"/>
          <w:szCs w:val="28"/>
          <w:rtl/>
          <w:lang w:val="en-US"/>
        </w:rPr>
        <w:t>ביחסו</w:t>
      </w:r>
      <w:proofErr w:type="spellEnd"/>
      <w:r w:rsidR="00F70E6E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F70E6E">
        <w:rPr>
          <w:rFonts w:ascii="Arial Hebrew" w:hAnsi="Arial Hebrew" w:cs="Arial Hebrew" w:hint="cs"/>
          <w:sz w:val="28"/>
          <w:szCs w:val="28"/>
          <w:rtl/>
          <w:lang w:val="en-US"/>
        </w:rPr>
        <w:t>של</w:t>
      </w:r>
      <w:proofErr w:type="spellEnd"/>
      <w:r w:rsidR="00F70E6E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F70E6E">
        <w:rPr>
          <w:rFonts w:ascii="Arial Hebrew" w:hAnsi="Arial Hebrew" w:cs="Arial Hebrew" w:hint="cs"/>
          <w:sz w:val="28"/>
          <w:szCs w:val="28"/>
          <w:rtl/>
          <w:lang w:val="en-US"/>
        </w:rPr>
        <w:t>ז׳בוטינסקי</w:t>
      </w:r>
      <w:proofErr w:type="spellEnd"/>
      <w:r w:rsidR="00F70E6E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F70E6E">
        <w:rPr>
          <w:rFonts w:ascii="Arial Hebrew" w:hAnsi="Arial Hebrew" w:cs="Arial Hebrew" w:hint="cs"/>
          <w:sz w:val="28"/>
          <w:szCs w:val="28"/>
          <w:rtl/>
          <w:lang w:val="en-US"/>
        </w:rPr>
        <w:t>לדת</w:t>
      </w:r>
      <w:proofErr w:type="spellEnd"/>
      <w:r w:rsidR="00F70E6E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7B58BC">
        <w:rPr>
          <w:rFonts w:ascii="Arial Hebrew" w:hAnsi="Arial Hebrew" w:cs="Arial Hebrew" w:hint="cs"/>
          <w:sz w:val="28"/>
          <w:szCs w:val="28"/>
          <w:rtl/>
          <w:lang w:val="en-US"/>
        </w:rPr>
        <w:t>יש</w:t>
      </w:r>
      <w:proofErr w:type="spellEnd"/>
      <w:r w:rsidR="007B58BC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7B58BC">
        <w:rPr>
          <w:rFonts w:ascii="Arial Hebrew" w:hAnsi="Arial Hebrew" w:cs="Arial Hebrew" w:hint="cs"/>
          <w:sz w:val="28"/>
          <w:szCs w:val="28"/>
          <w:rtl/>
          <w:lang w:val="en-US"/>
        </w:rPr>
        <w:t>להבין</w:t>
      </w:r>
      <w:proofErr w:type="spellEnd"/>
      <w:r w:rsidR="007B58BC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7B58BC">
        <w:rPr>
          <w:rFonts w:ascii="Arial Hebrew" w:hAnsi="Arial Hebrew" w:cs="Arial Hebrew" w:hint="cs"/>
          <w:sz w:val="28"/>
          <w:szCs w:val="28"/>
          <w:rtl/>
          <w:lang w:val="en-US"/>
        </w:rPr>
        <w:t>מתוך</w:t>
      </w:r>
      <w:proofErr w:type="spellEnd"/>
      <w:r w:rsidR="007B58BC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r w:rsidR="007B58BC">
        <w:rPr>
          <w:rFonts w:ascii="Arial Hebrew" w:hAnsi="Arial Hebrew" w:cs="Arial Hebrew" w:hint="cs"/>
          <w:sz w:val="28"/>
          <w:szCs w:val="28"/>
          <w:rtl/>
          <w:lang w:val="en-US"/>
        </w:rPr>
        <w:t>הבנתו</w:t>
      </w:r>
      <w:proofErr w:type="spellEnd"/>
      <w:r w:rsidR="007B58BC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</w:t>
      </w:r>
      <w:proofErr w:type="spellStart"/>
      <w:proofErr w:type="gramStart"/>
      <w:r w:rsidR="007B58BC">
        <w:rPr>
          <w:rFonts w:ascii="Arial Hebrew" w:hAnsi="Arial Hebrew" w:cs="Arial Hebrew" w:hint="cs"/>
          <w:sz w:val="28"/>
          <w:szCs w:val="28"/>
          <w:rtl/>
          <w:lang w:val="en-US"/>
        </w:rPr>
        <w:t>את</w:t>
      </w:r>
      <w:proofErr w:type="spellEnd"/>
      <w:r w:rsidR="007B58BC">
        <w:rPr>
          <w:rFonts w:ascii="Arial Hebrew" w:hAnsi="Arial Hebrew" w:cs="Arial Hebrew" w:hint="cs"/>
          <w:sz w:val="28"/>
          <w:szCs w:val="28"/>
          <w:rtl/>
          <w:lang w:val="en-US"/>
        </w:rPr>
        <w:t xml:space="preserve">  </w:t>
      </w:r>
      <w:r w:rsidR="00D65F02">
        <w:rPr>
          <w:rFonts w:ascii="Arial Hebrew" w:hAnsi="Arial Hebrew" w:cs="Arial Hebrew" w:hint="cs"/>
          <w:sz w:val="28"/>
          <w:szCs w:val="28"/>
          <w:rtl/>
          <w:lang w:val="en-US"/>
        </w:rPr>
        <w:t>ה</w:t>
      </w:r>
      <w:r w:rsidR="008B31C4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קושי</w:t>
      </w:r>
      <w:proofErr w:type="gramEnd"/>
      <w:r w:rsidR="008B31C4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של המחנה הליברלי</w:t>
      </w:r>
      <w:r w:rsidR="007B58BC">
        <w:rPr>
          <w:rFonts w:ascii="Arial Hebrew" w:hAnsi="Arial Hebrew" w:cs="Arial Hebrew" w:hint="cs"/>
          <w:sz w:val="28"/>
          <w:szCs w:val="28"/>
          <w:rtl/>
          <w:lang w:bidi="he-IL"/>
        </w:rPr>
        <w:t>-חילוני</w:t>
      </w:r>
      <w:r w:rsidR="008B31C4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לממש את רעיונותיו הה</w:t>
      </w:r>
      <w:r w:rsidR="008B31C4">
        <w:rPr>
          <w:rFonts w:ascii="Arial Hebrew" w:hAnsi="Arial Hebrew" w:cs="Arial Hebrew" w:hint="cs"/>
          <w:sz w:val="28"/>
          <w:szCs w:val="28"/>
          <w:rtl/>
          <w:lang w:bidi="he-IL"/>
        </w:rPr>
        <w:t>ומ</w:t>
      </w:r>
      <w:r w:rsidR="008B31C4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>ניסטיים</w:t>
      </w:r>
      <w:r w:rsidR="007B58BC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באירופה של שנות השלושים של המאה העשרים</w:t>
      </w:r>
      <w:r w:rsidR="00D65F02">
        <w:rPr>
          <w:rFonts w:ascii="Arial Hebrew" w:hAnsi="Arial Hebrew" w:cs="Arial Hebrew" w:hint="cs"/>
          <w:sz w:val="28"/>
          <w:szCs w:val="28"/>
          <w:rtl/>
          <w:lang w:bidi="he-IL"/>
        </w:rPr>
        <w:t>.</w:t>
      </w:r>
      <w:r w:rsidR="008B31C4" w:rsidRPr="00F0656A">
        <w:rPr>
          <w:rFonts w:ascii="Arial Hebrew" w:hAnsi="Arial Hebrew" w:cs="Arial Hebrew" w:hint="cs"/>
          <w:sz w:val="28"/>
          <w:szCs w:val="28"/>
          <w:rtl/>
          <w:lang w:bidi="he-IL"/>
        </w:rPr>
        <w:t xml:space="preserve"> </w:t>
      </w:r>
    </w:p>
    <w:p w14:paraId="63AB8096" w14:textId="1E88BACB" w:rsidR="008B31C4" w:rsidRPr="00F0656A" w:rsidRDefault="008B31C4" w:rsidP="001F4018">
      <w:pPr>
        <w:rPr>
          <w:rFonts w:ascii="Arial Hebrew" w:hAnsi="Arial Hebrew" w:cs="Arial Hebrew"/>
          <w:sz w:val="28"/>
          <w:szCs w:val="28"/>
          <w:lang w:val="en-US"/>
        </w:rPr>
      </w:pPr>
    </w:p>
    <w:sectPr w:rsidR="008B31C4" w:rsidRPr="00F0656A" w:rsidSect="00497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22AA8" w14:textId="77777777" w:rsidR="00E56ED6" w:rsidRDefault="00E56ED6" w:rsidP="00A562D2">
      <w:pPr>
        <w:spacing w:after="0" w:line="240" w:lineRule="auto"/>
      </w:pPr>
      <w:r>
        <w:separator/>
      </w:r>
    </w:p>
  </w:endnote>
  <w:endnote w:type="continuationSeparator" w:id="0">
    <w:p w14:paraId="1F234597" w14:textId="77777777" w:rsidR="00E56ED6" w:rsidRDefault="00E56ED6" w:rsidP="00A5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B485C" w14:textId="77777777" w:rsidR="00E56ED6" w:rsidRDefault="00E56ED6" w:rsidP="00A562D2">
      <w:pPr>
        <w:spacing w:after="0" w:line="240" w:lineRule="auto"/>
      </w:pPr>
      <w:r>
        <w:separator/>
      </w:r>
    </w:p>
  </w:footnote>
  <w:footnote w:type="continuationSeparator" w:id="0">
    <w:p w14:paraId="0102303A" w14:textId="77777777" w:rsidR="00E56ED6" w:rsidRDefault="00E56ED6" w:rsidP="00A562D2">
      <w:pPr>
        <w:spacing w:after="0" w:line="240" w:lineRule="auto"/>
      </w:pPr>
      <w:r>
        <w:continuationSeparator/>
      </w:r>
    </w:p>
  </w:footnote>
  <w:footnote w:id="1">
    <w:p w14:paraId="38048B91" w14:textId="2C235B13" w:rsidR="00F0656A" w:rsidRPr="00DE179B" w:rsidRDefault="00F0656A" w:rsidP="00E645C4">
      <w:pPr>
        <w:pStyle w:val="FootnoteText"/>
        <w:bidi w:val="0"/>
        <w:jc w:val="left"/>
        <w:rPr>
          <w:lang w:val="en-US" w:bidi="he-IL"/>
        </w:rPr>
      </w:pPr>
      <w:r>
        <w:rPr>
          <w:rStyle w:val="FootnoteReference"/>
        </w:rPr>
        <w:footnoteRef/>
      </w:r>
      <w:r>
        <w:rPr>
          <w:rtl/>
          <w:lang w:bidi="he-IL"/>
        </w:rPr>
        <w:t xml:space="preserve"> </w:t>
      </w:r>
      <w:r w:rsidR="00E645C4">
        <w:rPr>
          <w:lang w:val="en-US" w:bidi="he-IL"/>
        </w:rPr>
        <w:t xml:space="preserve">See for example: </w:t>
      </w:r>
      <w:r w:rsidRPr="00DE179B">
        <w:rPr>
          <w:lang w:val="en-US" w:bidi="he-IL"/>
        </w:rPr>
        <w:t>Eliezer Don-</w:t>
      </w:r>
      <w:proofErr w:type="spellStart"/>
      <w:r w:rsidRPr="00DE179B">
        <w:rPr>
          <w:lang w:val="en-US" w:bidi="he-IL"/>
        </w:rPr>
        <w:t>Yehiya</w:t>
      </w:r>
      <w:proofErr w:type="spellEnd"/>
      <w:r w:rsidRPr="00DE179B">
        <w:rPr>
          <w:lang w:val="en-US" w:bidi="he-IL"/>
        </w:rPr>
        <w:t xml:space="preserve"> and Charles </w:t>
      </w:r>
      <w:proofErr w:type="spellStart"/>
      <w:r w:rsidRPr="00DE179B">
        <w:rPr>
          <w:lang w:val="en-US" w:bidi="he-IL"/>
        </w:rPr>
        <w:t>Liebman</w:t>
      </w:r>
      <w:proofErr w:type="spellEnd"/>
      <w:r w:rsidRPr="00DE179B">
        <w:rPr>
          <w:lang w:val="en-US" w:bidi="he-IL"/>
        </w:rPr>
        <w:t xml:space="preserve">, </w:t>
      </w:r>
      <w:r w:rsidRPr="00DE179B">
        <w:rPr>
          <w:i/>
          <w:iCs/>
          <w:lang w:val="en-US" w:bidi="he-IL"/>
        </w:rPr>
        <w:t>Civil Religion of Israel: Traditional Judaism and Political Culture in the Jewish State</w:t>
      </w:r>
      <w:r w:rsidR="00E645C4">
        <w:rPr>
          <w:i/>
          <w:iCs/>
          <w:lang w:val="en-US" w:bidi="he-IL"/>
        </w:rPr>
        <w:t>.</w:t>
      </w:r>
      <w:r w:rsidRPr="00DE179B">
        <w:rPr>
          <w:lang w:val="en-US" w:bidi="he-IL"/>
        </w:rPr>
        <w:t xml:space="preserve"> </w:t>
      </w:r>
      <w:r w:rsidR="00E645C4">
        <w:rPr>
          <w:lang w:val="en-US" w:bidi="he-IL"/>
        </w:rPr>
        <w:t>Berkeley</w:t>
      </w:r>
      <w:r w:rsidRPr="00DE179B">
        <w:rPr>
          <w:lang w:val="en-US" w:bidi="he-IL"/>
        </w:rPr>
        <w:t>:</w:t>
      </w:r>
      <w:r w:rsidRPr="00DE179B" w:rsidDel="00E022A0">
        <w:rPr>
          <w:lang w:val="en-US" w:bidi="he-IL"/>
        </w:rPr>
        <w:t xml:space="preserve"> </w:t>
      </w:r>
      <w:r w:rsidRPr="00DE179B">
        <w:rPr>
          <w:lang w:val="en-US" w:bidi="he-IL"/>
        </w:rPr>
        <w:t>Unive</w:t>
      </w:r>
      <w:r w:rsidR="00E645C4">
        <w:rPr>
          <w:lang w:val="en-US" w:bidi="he-IL"/>
        </w:rPr>
        <w:t>rsity of California Press, 1983;</w:t>
      </w:r>
    </w:p>
    <w:p w14:paraId="216B122B" w14:textId="13FFFF1B" w:rsidR="00F0656A" w:rsidRPr="00DE179B" w:rsidRDefault="00F0656A" w:rsidP="00E645C4">
      <w:pPr>
        <w:pStyle w:val="FootnoteText"/>
        <w:bidi w:val="0"/>
        <w:jc w:val="left"/>
        <w:rPr>
          <w:lang w:val="en-US"/>
        </w:rPr>
      </w:pPr>
      <w:proofErr w:type="spellStart"/>
      <w:r w:rsidRPr="000711B3">
        <w:rPr>
          <w:lang w:val="en-US"/>
        </w:rPr>
        <w:t>Shlomo</w:t>
      </w:r>
      <w:proofErr w:type="spellEnd"/>
      <w:r w:rsidRPr="000711B3">
        <w:rPr>
          <w:lang w:val="en-US"/>
        </w:rPr>
        <w:t xml:space="preserve"> </w:t>
      </w:r>
      <w:proofErr w:type="spellStart"/>
      <w:r w:rsidRPr="000711B3">
        <w:rPr>
          <w:lang w:val="en-US"/>
        </w:rPr>
        <w:t>Deshen</w:t>
      </w:r>
      <w:proofErr w:type="spellEnd"/>
      <w:r w:rsidRPr="000711B3">
        <w:rPr>
          <w:lang w:val="en-US"/>
        </w:rPr>
        <w:t xml:space="preserve">, Charles S. </w:t>
      </w:r>
      <w:proofErr w:type="spellStart"/>
      <w:r w:rsidRPr="000711B3">
        <w:rPr>
          <w:lang w:val="en-US"/>
        </w:rPr>
        <w:t>Liebman</w:t>
      </w:r>
      <w:proofErr w:type="spellEnd"/>
      <w:r w:rsidRPr="000711B3">
        <w:rPr>
          <w:lang w:val="en-US"/>
        </w:rPr>
        <w:t xml:space="preserve">, and Moshe </w:t>
      </w:r>
      <w:proofErr w:type="spellStart"/>
      <w:r w:rsidRPr="000711B3">
        <w:rPr>
          <w:lang w:val="en-US"/>
        </w:rPr>
        <w:t>Shoked</w:t>
      </w:r>
      <w:proofErr w:type="spellEnd"/>
      <w:r w:rsidRPr="000711B3">
        <w:rPr>
          <w:lang w:val="en-US"/>
        </w:rPr>
        <w:t xml:space="preserve">, </w:t>
      </w:r>
      <w:proofErr w:type="spellStart"/>
      <w:r w:rsidRPr="000711B3">
        <w:rPr>
          <w:lang w:val="en-US"/>
        </w:rPr>
        <w:t>eds</w:t>
      </w:r>
      <w:proofErr w:type="spellEnd"/>
      <w:r w:rsidRPr="000711B3">
        <w:rPr>
          <w:lang w:val="en-US"/>
        </w:rPr>
        <w:t xml:space="preserve">, </w:t>
      </w:r>
      <w:r w:rsidRPr="000711B3">
        <w:rPr>
          <w:i/>
          <w:iCs/>
          <w:lang w:val="en-US"/>
        </w:rPr>
        <w:t>Israeli Judaism: The Sociology of Religion in Israel</w:t>
      </w:r>
      <w:r w:rsidR="00E645C4">
        <w:rPr>
          <w:i/>
          <w:iCs/>
          <w:lang w:val="en-US"/>
        </w:rPr>
        <w:t>.</w:t>
      </w:r>
      <w:r w:rsidR="00E645C4">
        <w:rPr>
          <w:lang w:val="en-US"/>
        </w:rPr>
        <w:t xml:space="preserve"> </w:t>
      </w:r>
      <w:r w:rsidRPr="000711B3">
        <w:rPr>
          <w:lang w:val="en-US"/>
        </w:rPr>
        <w:t>New B</w:t>
      </w:r>
      <w:r w:rsidR="00E645C4">
        <w:rPr>
          <w:lang w:val="en-US"/>
        </w:rPr>
        <w:t xml:space="preserve">runswick, NJ: Transaction 1995; </w:t>
      </w:r>
      <w:proofErr w:type="spellStart"/>
      <w:r w:rsidRPr="000711B3">
        <w:rPr>
          <w:lang w:val="en-US"/>
        </w:rPr>
        <w:t>Yochi</w:t>
      </w:r>
      <w:proofErr w:type="spellEnd"/>
      <w:r w:rsidRPr="000711B3">
        <w:rPr>
          <w:lang w:val="en-US"/>
        </w:rPr>
        <w:t xml:space="preserve"> Fischer (ed.), </w:t>
      </w:r>
      <w:proofErr w:type="spellStart"/>
      <w:r w:rsidRPr="000711B3">
        <w:rPr>
          <w:i/>
          <w:iCs/>
          <w:lang w:val="en-US"/>
        </w:rPr>
        <w:t>Hilun</w:t>
      </w:r>
      <w:proofErr w:type="spellEnd"/>
      <w:r w:rsidRPr="000711B3">
        <w:rPr>
          <w:i/>
          <w:iCs/>
          <w:lang w:val="en-US"/>
        </w:rPr>
        <w:t xml:space="preserve"> </w:t>
      </w:r>
      <w:proofErr w:type="spellStart"/>
      <w:r w:rsidRPr="000711B3">
        <w:rPr>
          <w:i/>
          <w:iCs/>
          <w:lang w:val="en-US"/>
        </w:rPr>
        <w:t>veHiloniyut</w:t>
      </w:r>
      <w:proofErr w:type="spellEnd"/>
      <w:r w:rsidRPr="000711B3">
        <w:rPr>
          <w:i/>
          <w:iCs/>
          <w:lang w:val="en-US"/>
        </w:rPr>
        <w:t>: ‘</w:t>
      </w:r>
      <w:proofErr w:type="spellStart"/>
      <w:r w:rsidRPr="000711B3">
        <w:rPr>
          <w:i/>
          <w:iCs/>
          <w:lang w:val="en-US"/>
        </w:rPr>
        <w:t>Iyunim</w:t>
      </w:r>
      <w:proofErr w:type="spellEnd"/>
      <w:r w:rsidRPr="000711B3">
        <w:rPr>
          <w:i/>
          <w:iCs/>
          <w:lang w:val="en-US"/>
        </w:rPr>
        <w:t xml:space="preserve"> </w:t>
      </w:r>
      <w:proofErr w:type="spellStart"/>
      <w:r w:rsidRPr="000711B3">
        <w:rPr>
          <w:i/>
          <w:iCs/>
          <w:lang w:val="en-US"/>
        </w:rPr>
        <w:t>Bein-Tehumi’im</w:t>
      </w:r>
      <w:proofErr w:type="spellEnd"/>
      <w:r w:rsidRPr="000711B3">
        <w:rPr>
          <w:lang w:val="en-US"/>
        </w:rPr>
        <w:t xml:space="preserve"> [Secularization and Secularism: Interdisciplinary Perspectives]</w:t>
      </w:r>
      <w:proofErr w:type="gramStart"/>
      <w:r w:rsidRPr="000711B3">
        <w:rPr>
          <w:lang w:val="en-US"/>
        </w:rPr>
        <w:t xml:space="preserve">, </w:t>
      </w:r>
      <w:r w:rsidRPr="000711B3">
        <w:rPr>
          <w:rFonts w:hint="cs"/>
          <w:rtl/>
          <w:lang w:val="en-US"/>
        </w:rPr>
        <w:t>)</w:t>
      </w:r>
      <w:r w:rsidRPr="000711B3">
        <w:rPr>
          <w:lang w:val="en-US"/>
        </w:rPr>
        <w:t>Jerusalem</w:t>
      </w:r>
      <w:proofErr w:type="gramEnd"/>
      <w:r w:rsidR="00E645C4">
        <w:rPr>
          <w:lang w:val="en-US"/>
        </w:rPr>
        <w:t>: Van-</w:t>
      </w:r>
      <w:proofErr w:type="spellStart"/>
      <w:r w:rsidR="00E645C4">
        <w:rPr>
          <w:lang w:val="en-US"/>
        </w:rPr>
        <w:t>Lir</w:t>
      </w:r>
      <w:proofErr w:type="spellEnd"/>
      <w:r w:rsidRPr="000711B3">
        <w:rPr>
          <w:lang w:val="en-US"/>
        </w:rPr>
        <w:t>, 2015</w:t>
      </w:r>
      <w:r w:rsidR="00E645C4">
        <w:rPr>
          <w:lang w:val="en-US"/>
        </w:rPr>
        <w:t>)</w:t>
      </w:r>
    </w:p>
  </w:footnote>
  <w:footnote w:id="2">
    <w:p w14:paraId="6810D00F" w14:textId="6035D4E3" w:rsidR="003C15FD" w:rsidRPr="002B73AD" w:rsidRDefault="003C15FD" w:rsidP="002B73AD">
      <w:pPr>
        <w:pStyle w:val="FootnoteText"/>
        <w:bidi w:val="0"/>
        <w:jc w:val="left"/>
        <w:rPr>
          <w:lang w:val="en-US" w:bidi="he-IL"/>
        </w:rPr>
      </w:pPr>
      <w:r>
        <w:rPr>
          <w:rStyle w:val="FootnoteReference"/>
        </w:rPr>
        <w:footnoteRef/>
      </w:r>
      <w:r>
        <w:rPr>
          <w:rtl/>
          <w:lang w:bidi="he-IL"/>
        </w:rPr>
        <w:t xml:space="preserve"> </w:t>
      </w:r>
      <w:r w:rsidRPr="008B7C75">
        <w:rPr>
          <w:lang w:val="en-US" w:bidi="he-IL"/>
        </w:rPr>
        <w:t xml:space="preserve">Anita </w:t>
      </w:r>
      <w:proofErr w:type="spellStart"/>
      <w:r w:rsidRPr="008B7C75">
        <w:rPr>
          <w:lang w:val="en-US" w:bidi="he-IL"/>
        </w:rPr>
        <w:t>Shapira</w:t>
      </w:r>
      <w:proofErr w:type="spellEnd"/>
      <w:r w:rsidRPr="008B7C75">
        <w:rPr>
          <w:lang w:val="en-US" w:bidi="he-IL"/>
        </w:rPr>
        <w:t xml:space="preserve">, “Ben-Gurion and the Bible: The Forging of an Historical Narrative?” </w:t>
      </w:r>
      <w:r w:rsidRPr="008B7C75">
        <w:rPr>
          <w:i/>
          <w:iCs/>
          <w:lang w:val="en-US" w:bidi="he-IL"/>
        </w:rPr>
        <w:t>Middle Eastern Studies</w:t>
      </w:r>
      <w:r w:rsidR="002B73AD">
        <w:rPr>
          <w:lang w:val="en-US" w:bidi="he-IL"/>
        </w:rPr>
        <w:t xml:space="preserve"> 33:4 (1997), 645–674.</w:t>
      </w:r>
    </w:p>
  </w:footnote>
  <w:footnote w:id="3">
    <w:p w14:paraId="4472FE9E" w14:textId="77777777" w:rsidR="003C15FD" w:rsidRDefault="003C15FD" w:rsidP="003C15F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בן גוריון, ״ייחוד וייעוד״, הרצאה על חינוך הצבא והעם, 6 באפריל 1950, חטיבת נאומים, ארכיון בן גוריון </w:t>
      </w:r>
    </w:p>
  </w:footnote>
  <w:footnote w:id="4">
    <w:p w14:paraId="7F9355B9" w14:textId="03E20330" w:rsidR="002B73AD" w:rsidRPr="002B73AD" w:rsidRDefault="002B73AD" w:rsidP="002B73AD">
      <w:pPr>
        <w:pStyle w:val="FootnoteText"/>
        <w:numPr>
          <w:ilvl w:val="0"/>
          <w:numId w:val="1"/>
        </w:numPr>
        <w:bidi w:val="0"/>
        <w:ind w:left="0"/>
        <w:jc w:val="left"/>
        <w:rPr>
          <w:lang w:val="en-US" w:bidi="he-IL"/>
        </w:rPr>
      </w:pPr>
      <w:r>
        <w:rPr>
          <w:rStyle w:val="FootnoteReference"/>
        </w:rPr>
        <w:footnoteRef/>
      </w:r>
      <w:r>
        <w:rPr>
          <w:rtl/>
          <w:lang w:bidi="he-IL"/>
        </w:rPr>
        <w:t xml:space="preserve"> </w:t>
      </w:r>
      <w:r w:rsidRPr="00D93D1A">
        <w:rPr>
          <w:lang w:val="en-US" w:bidi="he-IL"/>
        </w:rPr>
        <w:t xml:space="preserve">Ludwig Wittgenstein, </w:t>
      </w:r>
      <w:r w:rsidRPr="00D93D1A">
        <w:rPr>
          <w:i/>
          <w:iCs/>
          <w:lang w:val="en-US" w:bidi="he-IL"/>
        </w:rPr>
        <w:t>Philosophical Investigations</w:t>
      </w:r>
      <w:r w:rsidRPr="00D93D1A">
        <w:rPr>
          <w:lang w:val="en-US" w:bidi="he-IL"/>
        </w:rPr>
        <w:t xml:space="preserve">, 4th ed., trans. G. E. M. </w:t>
      </w:r>
      <w:proofErr w:type="spellStart"/>
      <w:r w:rsidRPr="00D93D1A">
        <w:rPr>
          <w:lang w:val="en-US" w:bidi="he-IL"/>
        </w:rPr>
        <w:t>Anscombe</w:t>
      </w:r>
      <w:proofErr w:type="spellEnd"/>
      <w:r w:rsidRPr="00D93D1A">
        <w:rPr>
          <w:lang w:val="en-US" w:bidi="he-IL"/>
        </w:rPr>
        <w:t xml:space="preserve">, P. M. S. Hacker, and Joachim Schulte (West Sussex: Wiley-Blackwell, 2009), 36e, §66. </w:t>
      </w:r>
      <w:r w:rsidRPr="00D93D1A">
        <w:rPr>
          <w:rFonts w:ascii="MS Mincho" w:eastAsia="MS Mincho" w:hAnsi="MS Mincho" w:cs="MS Mincho"/>
          <w:lang w:val="en-US" w:bidi="he-IL"/>
        </w:rPr>
        <w:t> </w:t>
      </w:r>
    </w:p>
  </w:footnote>
  <w:footnote w:id="5">
    <w:p w14:paraId="596318CF" w14:textId="399A1FD4" w:rsidR="00F0656A" w:rsidRPr="002B73AD" w:rsidRDefault="00F0656A" w:rsidP="002B73AD">
      <w:pPr>
        <w:pStyle w:val="FootnoteText"/>
        <w:bidi w:val="0"/>
        <w:jc w:val="left"/>
        <w:rPr>
          <w:lang w:val="en-US" w:bidi="he-IL"/>
        </w:rPr>
      </w:pPr>
      <w:r>
        <w:rPr>
          <w:rStyle w:val="FootnoteReference"/>
        </w:rPr>
        <w:footnoteRef/>
      </w:r>
      <w:r>
        <w:rPr>
          <w:rtl/>
          <w:lang w:bidi="he-IL"/>
        </w:rPr>
        <w:t xml:space="preserve"> </w:t>
      </w:r>
      <w:r w:rsidR="00F77E31">
        <w:rPr>
          <w:lang w:val="en-US" w:bidi="he-IL"/>
        </w:rPr>
        <w:t>J</w:t>
      </w:r>
      <w:r w:rsidRPr="00680A2C">
        <w:rPr>
          <w:lang w:val="en-US" w:bidi="he-IL"/>
        </w:rPr>
        <w:t xml:space="preserve">ohannes </w:t>
      </w:r>
      <w:proofErr w:type="spellStart"/>
      <w:r w:rsidRPr="00680A2C">
        <w:rPr>
          <w:lang w:val="en-US" w:bidi="he-IL"/>
        </w:rPr>
        <w:t>Becke</w:t>
      </w:r>
      <w:proofErr w:type="spellEnd"/>
      <w:r w:rsidRPr="00680A2C">
        <w:rPr>
          <w:lang w:val="en-US" w:bidi="he-IL"/>
        </w:rPr>
        <w:t xml:space="preserve">. "Beyond </w:t>
      </w:r>
      <w:proofErr w:type="spellStart"/>
      <w:r w:rsidRPr="00680A2C">
        <w:rPr>
          <w:lang w:val="en-US" w:bidi="he-IL"/>
        </w:rPr>
        <w:t>Allozionism</w:t>
      </w:r>
      <w:proofErr w:type="spellEnd"/>
      <w:r w:rsidRPr="00680A2C">
        <w:rPr>
          <w:lang w:val="en-US" w:bidi="he-IL"/>
        </w:rPr>
        <w:t xml:space="preserve">: </w:t>
      </w:r>
      <w:proofErr w:type="spellStart"/>
      <w:r w:rsidRPr="00680A2C">
        <w:rPr>
          <w:lang w:val="en-US" w:bidi="he-IL"/>
        </w:rPr>
        <w:t>Exceptionalizing</w:t>
      </w:r>
      <w:proofErr w:type="spellEnd"/>
      <w:r w:rsidRPr="00680A2C">
        <w:rPr>
          <w:lang w:val="en-US" w:bidi="he-IL"/>
        </w:rPr>
        <w:t xml:space="preserve"> and De-</w:t>
      </w:r>
      <w:proofErr w:type="spellStart"/>
      <w:r w:rsidRPr="00680A2C">
        <w:rPr>
          <w:lang w:val="en-US" w:bidi="he-IL"/>
        </w:rPr>
        <w:t>Exceptionalizing</w:t>
      </w:r>
      <w:proofErr w:type="spellEnd"/>
      <w:r w:rsidRPr="00680A2C">
        <w:rPr>
          <w:lang w:val="en-US" w:bidi="he-IL"/>
        </w:rPr>
        <w:t xml:space="preserve"> the Zionist Project." </w:t>
      </w:r>
      <w:r w:rsidRPr="00680A2C">
        <w:rPr>
          <w:i/>
          <w:iCs/>
          <w:lang w:val="en-US" w:bidi="he-IL"/>
        </w:rPr>
        <w:t>Israel Studies</w:t>
      </w:r>
      <w:r w:rsidR="002B73AD">
        <w:rPr>
          <w:lang w:val="en-US" w:bidi="he-IL"/>
        </w:rPr>
        <w:t> 23, no. 2 (2018): 168-93. </w:t>
      </w:r>
    </w:p>
  </w:footnote>
  <w:footnote w:id="6">
    <w:p w14:paraId="1FE3EE24" w14:textId="5FAB6C43" w:rsidR="00F0656A" w:rsidRDefault="00F0656A" w:rsidP="002B73AD">
      <w:pPr>
        <w:pStyle w:val="FootnoteText"/>
        <w:bidi w:val="0"/>
        <w:jc w:val="left"/>
        <w:rPr>
          <w:rFonts w:hint="cs"/>
        </w:rPr>
      </w:pPr>
      <w:r>
        <w:rPr>
          <w:rStyle w:val="FootnoteReference"/>
        </w:rPr>
        <w:footnoteRef/>
      </w:r>
      <w:r>
        <w:rPr>
          <w:rtl/>
          <w:lang w:bidi="he-IL"/>
        </w:rPr>
        <w:t xml:space="preserve"> </w:t>
      </w:r>
      <w:r w:rsidRPr="008D6460">
        <w:rPr>
          <w:lang w:bidi="he-IL"/>
        </w:rPr>
        <w:t>https://www.timesofisrael.com/netanyahus-full-remarks-at-un-general-assembly/</w:t>
      </w:r>
    </w:p>
  </w:footnote>
  <w:footnote w:id="7">
    <w:p w14:paraId="33E89D3D" w14:textId="3070C452" w:rsidR="00F77E31" w:rsidRPr="002B7714" w:rsidRDefault="00F77E31" w:rsidP="003458CE">
      <w:pPr>
        <w:pStyle w:val="FootnoteText"/>
        <w:rPr>
          <w:lang w:val="en-US" w:bidi="he-IL"/>
        </w:rPr>
      </w:pPr>
      <w:r>
        <w:rPr>
          <w:rStyle w:val="FootnoteReference"/>
        </w:rPr>
        <w:footnoteRef/>
      </w:r>
      <w:r>
        <w:rPr>
          <w:rtl/>
          <w:lang w:bidi="he-IL"/>
        </w:rPr>
        <w:t xml:space="preserve"> </w:t>
      </w:r>
      <w:r>
        <w:rPr>
          <w:lang w:val="en-US" w:bidi="he-IL"/>
        </w:rPr>
        <w:t xml:space="preserve">Michael Brenner, </w:t>
      </w:r>
      <w:r w:rsidRPr="00D83C8D">
        <w:rPr>
          <w:i/>
          <w:iCs/>
          <w:lang w:val="en-US" w:bidi="he-IL"/>
        </w:rPr>
        <w:t>In Search of Israel</w:t>
      </w:r>
      <w:r>
        <w:rPr>
          <w:i/>
          <w:iCs/>
          <w:lang w:val="en-US" w:bidi="he-IL"/>
        </w:rPr>
        <w:t>:</w:t>
      </w:r>
      <w:r w:rsidR="003458CE">
        <w:rPr>
          <w:i/>
          <w:iCs/>
          <w:lang w:val="en-US" w:bidi="he-IL"/>
        </w:rPr>
        <w:t xml:space="preserve"> </w:t>
      </w:r>
      <w:r>
        <w:rPr>
          <w:i/>
          <w:iCs/>
          <w:lang w:val="en-US" w:bidi="he-IL"/>
        </w:rPr>
        <w:t>The History of an Idea</w:t>
      </w:r>
      <w:r w:rsidRPr="00D83C8D">
        <w:rPr>
          <w:lang w:val="en-US" w:bidi="he-IL"/>
        </w:rPr>
        <w:t>. Princeton University Press</w:t>
      </w:r>
      <w:r>
        <w:rPr>
          <w:lang w:val="en-US" w:bidi="he-IL"/>
        </w:rPr>
        <w:t>, 2018, p 16</w:t>
      </w:r>
    </w:p>
  </w:footnote>
  <w:footnote w:id="8">
    <w:p w14:paraId="1A08C4E0" w14:textId="41D98BDC" w:rsidR="003458CE" w:rsidRPr="003458CE" w:rsidRDefault="003458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rtl/>
          <w:lang w:bidi="he-IL"/>
        </w:rPr>
        <w:t xml:space="preserve"> </w:t>
      </w:r>
      <w:r>
        <w:rPr>
          <w:lang w:val="en-US" w:bidi="he-IL"/>
        </w:rPr>
        <w:t xml:space="preserve">Judith Butler, </w:t>
      </w:r>
      <w:r w:rsidRPr="003458CE">
        <w:rPr>
          <w:i/>
          <w:iCs/>
          <w:lang w:val="en-US" w:bidi="he-IL"/>
        </w:rPr>
        <w:t>Parting Ways: Jewishness and the Critique of Zionism</w:t>
      </w:r>
      <w:r>
        <w:rPr>
          <w:lang w:val="en-US" w:bidi="he-IL"/>
        </w:rPr>
        <w:t>. New York: Columbia University Press, 2012</w:t>
      </w:r>
    </w:p>
  </w:footnote>
  <w:footnote w:id="9">
    <w:p w14:paraId="6BA8F159" w14:textId="31AB64B3" w:rsidR="00F0656A" w:rsidRPr="00F50A72" w:rsidRDefault="00F0656A" w:rsidP="00F50A72">
      <w:pPr>
        <w:pStyle w:val="FootnoteText"/>
        <w:rPr>
          <w:lang w:val="en-US" w:bidi="he-IL"/>
        </w:rPr>
      </w:pPr>
      <w:r>
        <w:rPr>
          <w:rStyle w:val="FootnoteReference"/>
        </w:rPr>
        <w:footnoteRef/>
      </w:r>
      <w:r>
        <w:rPr>
          <w:rtl/>
          <w:lang w:bidi="he-IL"/>
        </w:rPr>
        <w:t xml:space="preserve"> </w:t>
      </w:r>
      <w:proofErr w:type="spellStart"/>
      <w:r w:rsidR="003458CE">
        <w:rPr>
          <w:lang w:bidi="he-IL"/>
        </w:rPr>
        <w:t>Terry</w:t>
      </w:r>
      <w:proofErr w:type="spellEnd"/>
      <w:r w:rsidR="003458CE">
        <w:rPr>
          <w:lang w:bidi="he-IL"/>
        </w:rPr>
        <w:t xml:space="preserve"> </w:t>
      </w:r>
      <w:r w:rsidR="003458CE">
        <w:rPr>
          <w:lang w:val="en-US" w:bidi="he-IL"/>
        </w:rPr>
        <w:t>Eagleton,</w:t>
      </w:r>
      <w:r w:rsidRPr="00F50A72">
        <w:rPr>
          <w:lang w:val="en-US" w:bidi="he-IL"/>
        </w:rPr>
        <w:t xml:space="preserve"> </w:t>
      </w:r>
      <w:r w:rsidRPr="003458CE">
        <w:rPr>
          <w:i/>
          <w:iCs/>
          <w:lang w:val="en-US" w:bidi="he-IL"/>
        </w:rPr>
        <w:t>Nationali</w:t>
      </w:r>
      <w:r w:rsidR="003458CE" w:rsidRPr="003458CE">
        <w:rPr>
          <w:i/>
          <w:iCs/>
          <w:lang w:val="en-US" w:bidi="he-IL"/>
        </w:rPr>
        <w:t>sm, Colonialism, and Literature</w:t>
      </w:r>
      <w:r w:rsidR="003458CE">
        <w:rPr>
          <w:lang w:val="en-US" w:bidi="he-IL"/>
        </w:rPr>
        <w:t>.</w:t>
      </w:r>
      <w:r w:rsidRPr="00F50A72">
        <w:rPr>
          <w:lang w:val="en-US" w:bidi="he-IL"/>
        </w:rPr>
        <w:t xml:space="preserve"> University of Minnesota Press, 1986</w:t>
      </w:r>
      <w:r>
        <w:rPr>
          <w:lang w:val="en-US" w:bidi="he-IL"/>
        </w:rPr>
        <w:t>, pp 23</w:t>
      </w:r>
      <w:r w:rsidRPr="00F50A72">
        <w:rPr>
          <w:lang w:val="en-US" w:bidi="he-IL"/>
        </w:rPr>
        <w:t>.</w:t>
      </w:r>
    </w:p>
    <w:p w14:paraId="66F57A67" w14:textId="44126A53" w:rsidR="00F0656A" w:rsidRDefault="00F0656A">
      <w:pPr>
        <w:pStyle w:val="FootnoteText"/>
        <w:rPr>
          <w:rFonts w:hint="cs"/>
        </w:rPr>
      </w:pPr>
    </w:p>
  </w:footnote>
  <w:footnote w:id="10">
    <w:p w14:paraId="118E3464" w14:textId="5769EAF9" w:rsidR="00553553" w:rsidRPr="00553553" w:rsidRDefault="00553553" w:rsidP="00553553">
      <w:pPr>
        <w:pStyle w:val="FootnoteText"/>
        <w:rPr>
          <w:lang w:val="en-US" w:bidi="he-IL"/>
        </w:rPr>
      </w:pPr>
      <w:r>
        <w:rPr>
          <w:rStyle w:val="FootnoteReference"/>
        </w:rPr>
        <w:footnoteRef/>
      </w:r>
      <w:r>
        <w:rPr>
          <w:rtl/>
          <w:lang w:bidi="he-IL"/>
        </w:rPr>
        <w:t xml:space="preserve"> </w:t>
      </w:r>
      <w:r w:rsidRPr="00553553">
        <w:rPr>
          <w:lang w:val="en-US" w:bidi="he-IL"/>
        </w:rPr>
        <w:t>Martin Buber, “Jewish Religiosity", in On Judaism. New York, 1989, p. 70.</w:t>
      </w:r>
    </w:p>
  </w:footnote>
  <w:footnote w:id="11">
    <w:p w14:paraId="11E43E1F" w14:textId="52CE9259" w:rsidR="008B31C4" w:rsidRPr="008B31C4" w:rsidRDefault="008B31C4" w:rsidP="008B31C4">
      <w:pPr>
        <w:pStyle w:val="FootnoteText"/>
        <w:numPr>
          <w:ilvl w:val="0"/>
          <w:numId w:val="1"/>
        </w:numPr>
        <w:bidi w:val="0"/>
        <w:ind w:left="360"/>
        <w:jc w:val="left"/>
        <w:rPr>
          <w:lang w:val="en-US" w:bidi="he-IL"/>
        </w:rPr>
      </w:pPr>
      <w:r>
        <w:rPr>
          <w:rStyle w:val="FootnoteReference"/>
        </w:rPr>
        <w:footnoteRef/>
      </w:r>
      <w:r>
        <w:rPr>
          <w:rtl/>
          <w:lang w:bidi="he-IL"/>
        </w:rPr>
        <w:t xml:space="preserve"> </w:t>
      </w:r>
      <w:r w:rsidRPr="008B31C4">
        <w:rPr>
          <w:lang w:val="en-US" w:bidi="he-IL"/>
        </w:rPr>
        <w:t xml:space="preserve">A. D. Gordon, </w:t>
      </w:r>
      <w:r w:rsidRPr="008B31C4">
        <w:rPr>
          <w:i/>
          <w:iCs/>
          <w:lang w:val="en-US" w:bidi="he-IL"/>
        </w:rPr>
        <w:t xml:space="preserve">Man and Nature </w:t>
      </w:r>
      <w:r w:rsidRPr="008B31C4">
        <w:rPr>
          <w:lang w:val="en-US" w:bidi="he-IL"/>
        </w:rPr>
        <w:t xml:space="preserve">[Hebrew], in </w:t>
      </w:r>
      <w:r w:rsidRPr="008B31C4">
        <w:rPr>
          <w:i/>
          <w:iCs/>
          <w:lang w:val="en-US" w:bidi="he-IL"/>
        </w:rPr>
        <w:t>Gordon’s Writings</w:t>
      </w:r>
      <w:r w:rsidRPr="008B31C4">
        <w:rPr>
          <w:lang w:val="en-US" w:bidi="he-IL"/>
        </w:rPr>
        <w:t xml:space="preserve">, vol. 2 (Tel Aviv: Zionist </w:t>
      </w:r>
      <w:r w:rsidRPr="008B31C4">
        <w:rPr>
          <w:rFonts w:ascii="MS Mincho" w:eastAsia="MS Mincho" w:hAnsi="MS Mincho" w:cs="MS Mincho"/>
          <w:lang w:val="en-US" w:bidi="he-IL"/>
        </w:rPr>
        <w:t> </w:t>
      </w:r>
      <w:r w:rsidRPr="008B31C4">
        <w:rPr>
          <w:lang w:val="en-US" w:bidi="he-IL"/>
        </w:rPr>
        <w:t xml:space="preserve">Library, 1957), </w:t>
      </w:r>
      <w:r>
        <w:rPr>
          <w:lang w:val="en-US" w:bidi="he-IL"/>
        </w:rPr>
        <w:t>pp 122</w:t>
      </w:r>
      <w:r w:rsidRPr="008B31C4">
        <w:rPr>
          <w:rFonts w:ascii="MS Mincho" w:eastAsia="MS Mincho" w:hAnsi="MS Mincho" w:cs="MS Mincho"/>
          <w:lang w:val="en-US" w:bidi="he-IL"/>
        </w:rPr>
        <w:t> </w:t>
      </w:r>
    </w:p>
    <w:p w14:paraId="224CFA7D" w14:textId="69465241" w:rsidR="008B31C4" w:rsidRPr="008B31C4" w:rsidRDefault="008B31C4">
      <w:pPr>
        <w:pStyle w:val="FootnoteText"/>
        <w:rPr>
          <w:lang w:val="en-US"/>
        </w:rPr>
      </w:pPr>
    </w:p>
  </w:footnote>
  <w:footnote w:id="12">
    <w:p w14:paraId="008514F9" w14:textId="77777777" w:rsidR="002B73AD" w:rsidRDefault="002B73AD" w:rsidP="002B73AD">
      <w:pPr>
        <w:pStyle w:val="FootnoteText"/>
        <w:rPr>
          <w:rFonts w:hint="cs"/>
          <w:rtl/>
          <w:lang w:bidi="he-IL"/>
        </w:rPr>
      </w:pPr>
      <w:r>
        <w:rPr>
          <w:rStyle w:val="FootnoteReference"/>
        </w:rPr>
        <w:footnoteRef/>
      </w:r>
      <w:r>
        <w:rPr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את ההגדרה ״רדיקל חילוני״ אני שואב מהטיפולוגיה שהציע יובל </w:t>
      </w:r>
      <w:proofErr w:type="spellStart"/>
      <w:r>
        <w:rPr>
          <w:rFonts w:hint="cs"/>
          <w:rtl/>
          <w:lang w:bidi="he-IL"/>
        </w:rPr>
        <w:t>ג׳ובני</w:t>
      </w:r>
      <w:proofErr w:type="spellEnd"/>
      <w:r>
        <w:rPr>
          <w:rFonts w:hint="cs"/>
          <w:rtl/>
          <w:lang w:bidi="he-IL"/>
        </w:rPr>
        <w:t xml:space="preserve"> לשלוש סוגים של חילוניות שהתפתחו בציונות במחצית הראשונה של המאה העשרים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</w:t>
      </w:r>
    </w:p>
    <w:p w14:paraId="0C824B02" w14:textId="4139C57C" w:rsidR="002B73AD" w:rsidRDefault="008B31C4" w:rsidP="00F70E6E">
      <w:pPr>
        <w:pStyle w:val="FootnoteText"/>
        <w:bidi w:val="0"/>
        <w:jc w:val="left"/>
        <w:rPr>
          <w:lang w:val="en-US" w:bidi="he-IL"/>
        </w:rPr>
      </w:pPr>
      <w:r>
        <w:rPr>
          <w:lang w:val="en-US" w:bidi="he-IL"/>
        </w:rPr>
        <w:t>T</w:t>
      </w:r>
      <w:r w:rsidR="002B73AD" w:rsidRPr="00031B69">
        <w:rPr>
          <w:lang w:val="en-US" w:bidi="he-IL"/>
        </w:rPr>
        <w:t>he radical model of Jewish secularism</w:t>
      </w:r>
      <w:r w:rsidR="00F70E6E">
        <w:rPr>
          <w:lang w:val="en-US" w:bidi="he-IL"/>
        </w:rPr>
        <w:t>;</w:t>
      </w:r>
      <w:r w:rsidR="002B73AD" w:rsidRPr="00031B69">
        <w:rPr>
          <w:lang w:val="en-US" w:bidi="he-IL"/>
        </w:rPr>
        <w:t xml:space="preserve"> The pluralist secularists</w:t>
      </w:r>
      <w:r w:rsidR="00F70E6E">
        <w:rPr>
          <w:rFonts w:hint="cs"/>
          <w:rtl/>
          <w:lang w:val="en-US" w:bidi="he-IL"/>
        </w:rPr>
        <w:t>;</w:t>
      </w:r>
      <w:r w:rsidR="00F70E6E">
        <w:rPr>
          <w:lang w:val="en-US" w:bidi="he-IL"/>
        </w:rPr>
        <w:t xml:space="preserve"> and </w:t>
      </w:r>
      <w:r w:rsidR="002B73AD" w:rsidRPr="00031B69">
        <w:rPr>
          <w:lang w:val="en-US" w:bidi="he-IL"/>
        </w:rPr>
        <w:t>the religi</w:t>
      </w:r>
      <w:r w:rsidR="00F70E6E">
        <w:rPr>
          <w:lang w:val="en-US" w:bidi="he-IL"/>
        </w:rPr>
        <w:t>ous model of Jewish secularity.</w:t>
      </w:r>
      <w:r w:rsidR="002B73AD" w:rsidRPr="00031B69">
        <w:rPr>
          <w:lang w:val="en-US" w:bidi="he-IL"/>
        </w:rPr>
        <w:t xml:space="preserve"> </w:t>
      </w:r>
    </w:p>
    <w:p w14:paraId="7D844831" w14:textId="77777777" w:rsidR="002B73AD" w:rsidRPr="00920BB2" w:rsidRDefault="002B73AD" w:rsidP="002B73AD">
      <w:pPr>
        <w:pStyle w:val="FootnoteText"/>
        <w:rPr>
          <w:lang w:val="en-US" w:bidi="he-IL"/>
        </w:rPr>
      </w:pPr>
      <w:r>
        <w:rPr>
          <w:lang w:val="en-US" w:bidi="he-IL"/>
        </w:rPr>
        <w:t xml:space="preserve">See, Yuval </w:t>
      </w:r>
      <w:proofErr w:type="spellStart"/>
      <w:r>
        <w:rPr>
          <w:lang w:val="en-US" w:bidi="he-IL"/>
        </w:rPr>
        <w:t>Jobani</w:t>
      </w:r>
      <w:proofErr w:type="spellEnd"/>
      <w:r>
        <w:rPr>
          <w:lang w:val="en-US" w:bidi="he-IL"/>
        </w:rPr>
        <w:t xml:space="preserve">, </w:t>
      </w:r>
      <w:r w:rsidRPr="00920BB2">
        <w:rPr>
          <w:lang w:val="en-US" w:bidi="he-IL"/>
        </w:rPr>
        <w:t>The Lure of Heresy: A Philosophical Typology of Hebrew Secularism in the First Half of the Twentieth Century</w:t>
      </w:r>
      <w:r>
        <w:rPr>
          <w:lang w:val="en-US" w:bidi="he-IL"/>
        </w:rPr>
        <w:t>, The Journal of Jewish Thought and Philosophy, 2016, 24:1, pp 95-121</w:t>
      </w:r>
    </w:p>
    <w:p w14:paraId="56D27B8B" w14:textId="77777777" w:rsidR="002B73AD" w:rsidRPr="00031B69" w:rsidRDefault="002B73AD" w:rsidP="002B73AD">
      <w:pPr>
        <w:pStyle w:val="FootnoteText"/>
        <w:rPr>
          <w:lang w:val="en-US" w:bidi="he-IL"/>
        </w:rPr>
      </w:pPr>
    </w:p>
    <w:p w14:paraId="63DA6FC4" w14:textId="77777777" w:rsidR="002B73AD" w:rsidRPr="008B31C4" w:rsidRDefault="002B73AD" w:rsidP="002B73AD">
      <w:pPr>
        <w:pStyle w:val="FootnoteText"/>
        <w:rPr>
          <w:lang w:val="en-US"/>
        </w:rPr>
      </w:pPr>
      <w:bookmarkStart w:id="0" w:name="_GoBack"/>
      <w:bookmarkEnd w:id="0"/>
      <w:r>
        <w:rPr>
          <w:rFonts w:hint="cs"/>
          <w:rtl/>
          <w:lang w:bidi="he-I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3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1E"/>
    <w:rsid w:val="00004F87"/>
    <w:rsid w:val="0002780F"/>
    <w:rsid w:val="00031B69"/>
    <w:rsid w:val="0005709B"/>
    <w:rsid w:val="000711B3"/>
    <w:rsid w:val="00071F24"/>
    <w:rsid w:val="00090FF9"/>
    <w:rsid w:val="00094237"/>
    <w:rsid w:val="000A33DF"/>
    <w:rsid w:val="000A40A3"/>
    <w:rsid w:val="00110A15"/>
    <w:rsid w:val="00144BA3"/>
    <w:rsid w:val="001841D6"/>
    <w:rsid w:val="001C2460"/>
    <w:rsid w:val="001E1080"/>
    <w:rsid w:val="001F4018"/>
    <w:rsid w:val="00211087"/>
    <w:rsid w:val="0025175B"/>
    <w:rsid w:val="0028368D"/>
    <w:rsid w:val="002840E1"/>
    <w:rsid w:val="00293D53"/>
    <w:rsid w:val="002A1A38"/>
    <w:rsid w:val="002B73AD"/>
    <w:rsid w:val="002B7714"/>
    <w:rsid w:val="002C17EF"/>
    <w:rsid w:val="00302CBB"/>
    <w:rsid w:val="00314C0B"/>
    <w:rsid w:val="00322F3B"/>
    <w:rsid w:val="003458CE"/>
    <w:rsid w:val="00354A94"/>
    <w:rsid w:val="003A0FEE"/>
    <w:rsid w:val="003B243F"/>
    <w:rsid w:val="003C15FD"/>
    <w:rsid w:val="003E3973"/>
    <w:rsid w:val="00415C74"/>
    <w:rsid w:val="00417D6E"/>
    <w:rsid w:val="00471AA7"/>
    <w:rsid w:val="004976B8"/>
    <w:rsid w:val="004B44BF"/>
    <w:rsid w:val="004D0B99"/>
    <w:rsid w:val="004D570E"/>
    <w:rsid w:val="004E4665"/>
    <w:rsid w:val="00550293"/>
    <w:rsid w:val="00550D7E"/>
    <w:rsid w:val="00553553"/>
    <w:rsid w:val="00554C8F"/>
    <w:rsid w:val="00573617"/>
    <w:rsid w:val="005F4DBB"/>
    <w:rsid w:val="006366E3"/>
    <w:rsid w:val="00680A2C"/>
    <w:rsid w:val="006900A1"/>
    <w:rsid w:val="00693D06"/>
    <w:rsid w:val="006A60A2"/>
    <w:rsid w:val="006B2056"/>
    <w:rsid w:val="006D0671"/>
    <w:rsid w:val="006F400D"/>
    <w:rsid w:val="006F4BB6"/>
    <w:rsid w:val="00724F96"/>
    <w:rsid w:val="007B58BC"/>
    <w:rsid w:val="007F6201"/>
    <w:rsid w:val="0081409B"/>
    <w:rsid w:val="008535AD"/>
    <w:rsid w:val="00866225"/>
    <w:rsid w:val="008B31C4"/>
    <w:rsid w:val="008B7C75"/>
    <w:rsid w:val="008C7098"/>
    <w:rsid w:val="008D6460"/>
    <w:rsid w:val="00906FEE"/>
    <w:rsid w:val="00920BB2"/>
    <w:rsid w:val="0092252E"/>
    <w:rsid w:val="00990D0F"/>
    <w:rsid w:val="00996517"/>
    <w:rsid w:val="009D631E"/>
    <w:rsid w:val="009F5EFC"/>
    <w:rsid w:val="00A25F85"/>
    <w:rsid w:val="00A40014"/>
    <w:rsid w:val="00A562D2"/>
    <w:rsid w:val="00A60E95"/>
    <w:rsid w:val="00A74798"/>
    <w:rsid w:val="00AA2DDA"/>
    <w:rsid w:val="00AB0C8F"/>
    <w:rsid w:val="00AC1D3F"/>
    <w:rsid w:val="00AE6C83"/>
    <w:rsid w:val="00B00DC6"/>
    <w:rsid w:val="00B75E88"/>
    <w:rsid w:val="00BE2FAB"/>
    <w:rsid w:val="00BF43DA"/>
    <w:rsid w:val="00BF447F"/>
    <w:rsid w:val="00C14710"/>
    <w:rsid w:val="00C46B5C"/>
    <w:rsid w:val="00C660EF"/>
    <w:rsid w:val="00C74160"/>
    <w:rsid w:val="00CF618A"/>
    <w:rsid w:val="00D11A2D"/>
    <w:rsid w:val="00D37BF6"/>
    <w:rsid w:val="00D5546E"/>
    <w:rsid w:val="00D65F02"/>
    <w:rsid w:val="00D83C8D"/>
    <w:rsid w:val="00D9102E"/>
    <w:rsid w:val="00D93D1A"/>
    <w:rsid w:val="00DD51FF"/>
    <w:rsid w:val="00DE179B"/>
    <w:rsid w:val="00DF0F95"/>
    <w:rsid w:val="00E01B24"/>
    <w:rsid w:val="00E27E36"/>
    <w:rsid w:val="00E37245"/>
    <w:rsid w:val="00E45898"/>
    <w:rsid w:val="00E47B26"/>
    <w:rsid w:val="00E55A23"/>
    <w:rsid w:val="00E56ED6"/>
    <w:rsid w:val="00E645C4"/>
    <w:rsid w:val="00E768B2"/>
    <w:rsid w:val="00E90D4D"/>
    <w:rsid w:val="00EB29C6"/>
    <w:rsid w:val="00EF2A78"/>
    <w:rsid w:val="00EF68F4"/>
    <w:rsid w:val="00F0656A"/>
    <w:rsid w:val="00F2028E"/>
    <w:rsid w:val="00F50A72"/>
    <w:rsid w:val="00F6203F"/>
    <w:rsid w:val="00F70E6E"/>
    <w:rsid w:val="00F7574E"/>
    <w:rsid w:val="00F77E31"/>
    <w:rsid w:val="00F833F2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A42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798"/>
    <w:pPr>
      <w:bidi/>
    </w:pPr>
    <w:rPr>
      <w:lang w:val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798"/>
    <w:pPr>
      <w:bidi w:val="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98"/>
    <w:pPr>
      <w:bidi w:val="0"/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98"/>
    <w:pPr>
      <w:bidi w:val="0"/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98"/>
    <w:pPr>
      <w:bidi w:val="0"/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98"/>
    <w:pPr>
      <w:bidi w:val="0"/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98"/>
    <w:pPr>
      <w:bidi w:val="0"/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98"/>
    <w:pPr>
      <w:bidi w:val="0"/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98"/>
    <w:pPr>
      <w:bidi w:val="0"/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98"/>
    <w:pPr>
      <w:bidi w:val="0"/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9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9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9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9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9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9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9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9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9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798"/>
    <w:pPr>
      <w:bidi w:val="0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4798"/>
    <w:pPr>
      <w:pBdr>
        <w:top w:val="single" w:sz="12" w:space="1" w:color="C0504D" w:themeColor="accent2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479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98"/>
    <w:pPr>
      <w:bidi w:val="0"/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479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74798"/>
    <w:rPr>
      <w:b/>
      <w:color w:val="C0504D" w:themeColor="accent2"/>
    </w:rPr>
  </w:style>
  <w:style w:type="character" w:styleId="Emphasis">
    <w:name w:val="Emphasis"/>
    <w:uiPriority w:val="20"/>
    <w:qFormat/>
    <w:rsid w:val="00A7479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74798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4798"/>
  </w:style>
  <w:style w:type="paragraph" w:styleId="ListParagraph">
    <w:name w:val="List Paragraph"/>
    <w:basedOn w:val="Normal"/>
    <w:uiPriority w:val="34"/>
    <w:qFormat/>
    <w:rsid w:val="00A747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4798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7479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9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bidi w:val="0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9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74798"/>
    <w:rPr>
      <w:i/>
    </w:rPr>
  </w:style>
  <w:style w:type="character" w:styleId="IntenseEmphasis">
    <w:name w:val="Intense Emphasis"/>
    <w:uiPriority w:val="21"/>
    <w:qFormat/>
    <w:rsid w:val="00A7479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74798"/>
    <w:rPr>
      <w:b/>
    </w:rPr>
  </w:style>
  <w:style w:type="character" w:styleId="IntenseReference">
    <w:name w:val="Intense Reference"/>
    <w:uiPriority w:val="32"/>
    <w:qFormat/>
    <w:rsid w:val="00A7479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747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798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A562D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62D2"/>
    <w:rPr>
      <w:sz w:val="24"/>
      <w:szCs w:val="24"/>
      <w:lang w:val="he-IL"/>
    </w:rPr>
  </w:style>
  <w:style w:type="character" w:styleId="FootnoteReference">
    <w:name w:val="footnote reference"/>
    <w:basedOn w:val="DefaultParagraphFont"/>
    <w:unhideWhenUsed/>
    <w:rsid w:val="00A562D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0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74D90E32-73D2-2842-9175-F7E878D3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4</Pages>
  <Words>789</Words>
  <Characters>4498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2018-09-20T15:47:00Z</dcterms:created>
  <dcterms:modified xsi:type="dcterms:W3CDTF">2018-09-29T18:28:00Z</dcterms:modified>
</cp:coreProperties>
</file>