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425" w:type="dxa"/>
        <w:tblCellSpacing w:w="0" w:type="dxa"/>
        <w:tblCellMar>
          <w:left w:w="0" w:type="dxa"/>
          <w:right w:w="0" w:type="dxa"/>
        </w:tblCellMar>
        <w:tblLook w:val="04A0" w:firstRow="1" w:lastRow="0" w:firstColumn="1" w:lastColumn="0" w:noHBand="0" w:noVBand="1"/>
      </w:tblPr>
      <w:tblGrid>
        <w:gridCol w:w="7425"/>
      </w:tblGrid>
      <w:tr w:rsidR="00621529" w:rsidRPr="00621529" w14:paraId="5E428310" w14:textId="77777777" w:rsidTr="00621529">
        <w:trPr>
          <w:tblCellSpacing w:w="0" w:type="dxa"/>
        </w:trPr>
        <w:tc>
          <w:tcPr>
            <w:tcW w:w="0" w:type="auto"/>
            <w:vAlign w:val="center"/>
            <w:hideMark/>
          </w:tcPr>
          <w:p w14:paraId="50260960" w14:textId="77777777" w:rsidR="00621529" w:rsidRPr="00621529" w:rsidRDefault="00621529" w:rsidP="00621529">
            <w:pPr>
              <w:bidi/>
              <w:spacing w:after="0" w:line="240" w:lineRule="auto"/>
              <w:rPr>
                <w:rFonts w:ascii="Arial" w:eastAsia="Times New Roman" w:hAnsi="Arial" w:cs="Arial"/>
                <w:b/>
                <w:bCs/>
                <w:color w:val="000000"/>
                <w:spacing w:val="-15"/>
                <w:sz w:val="40"/>
                <w:szCs w:val="40"/>
                <w:lang w:eastAsia="en-IL"/>
              </w:rPr>
            </w:pPr>
            <w:r w:rsidRPr="00621529">
              <w:rPr>
                <w:rFonts w:ascii="Arial" w:eastAsia="Times New Roman" w:hAnsi="Arial" w:cs="Arial"/>
                <w:b/>
                <w:bCs/>
                <w:color w:val="000000"/>
                <w:spacing w:val="-15"/>
                <w:sz w:val="52"/>
                <w:szCs w:val="52"/>
                <w:rtl/>
                <w:lang w:eastAsia="en-IL" w:bidi="he-IL"/>
              </w:rPr>
              <w:t>עתירה לעצירת דיווח הבנקים למס הכנסה</w:t>
            </w:r>
          </w:p>
        </w:tc>
      </w:tr>
    </w:tbl>
    <w:p w14:paraId="38AAD8D3" w14:textId="77777777" w:rsidR="00621529" w:rsidRPr="00621529" w:rsidRDefault="00621529" w:rsidP="00621529">
      <w:pPr>
        <w:bidi/>
        <w:spacing w:after="0" w:line="240" w:lineRule="auto"/>
        <w:rPr>
          <w:rFonts w:ascii="Arial" w:eastAsia="Times New Roman" w:hAnsi="Arial" w:cs="Arial"/>
          <w:vanish/>
          <w:color w:val="000000"/>
          <w:sz w:val="27"/>
          <w:szCs w:val="27"/>
          <w:lang w:eastAsia="en-IL"/>
        </w:rPr>
      </w:pPr>
    </w:p>
    <w:tbl>
      <w:tblPr>
        <w:tblW w:w="0" w:type="auto"/>
        <w:tblCellSpacing w:w="0" w:type="dxa"/>
        <w:tblCellMar>
          <w:left w:w="0" w:type="dxa"/>
          <w:right w:w="0" w:type="dxa"/>
        </w:tblCellMar>
        <w:tblLook w:val="04A0" w:firstRow="1" w:lastRow="0" w:firstColumn="1" w:lastColumn="0" w:noHBand="0" w:noVBand="1"/>
      </w:tblPr>
      <w:tblGrid>
        <w:gridCol w:w="9026"/>
      </w:tblGrid>
      <w:tr w:rsidR="00621529" w:rsidRPr="00621529" w14:paraId="5C035FD3" w14:textId="77777777" w:rsidTr="00621529">
        <w:trPr>
          <w:trHeight w:val="75"/>
          <w:tblCellSpacing w:w="0" w:type="dxa"/>
        </w:trPr>
        <w:tc>
          <w:tcPr>
            <w:tcW w:w="0" w:type="auto"/>
            <w:vAlign w:val="center"/>
            <w:hideMark/>
          </w:tcPr>
          <w:p w14:paraId="0D4CF298" w14:textId="77777777" w:rsidR="00621529" w:rsidRPr="00621529" w:rsidRDefault="00621529" w:rsidP="00621529">
            <w:pPr>
              <w:bidi/>
              <w:spacing w:after="0" w:line="240" w:lineRule="auto"/>
              <w:rPr>
                <w:rFonts w:ascii="Arial" w:eastAsia="Times New Roman" w:hAnsi="Arial" w:cs="Arial"/>
                <w:color w:val="000000"/>
                <w:sz w:val="27"/>
                <w:szCs w:val="27"/>
                <w:lang w:eastAsia="en-IL"/>
              </w:rPr>
            </w:pPr>
          </w:p>
        </w:tc>
      </w:tr>
      <w:tr w:rsidR="00621529" w:rsidRPr="00621529" w14:paraId="744B37E4" w14:textId="77777777" w:rsidTr="00621529">
        <w:trPr>
          <w:tblCellSpacing w:w="0" w:type="dxa"/>
        </w:trPr>
        <w:tc>
          <w:tcPr>
            <w:tcW w:w="0" w:type="auto"/>
            <w:hideMark/>
          </w:tcPr>
          <w:tbl>
            <w:tblPr>
              <w:tblpPr w:leftFromText="45" w:rightFromText="105" w:topFromText="60" w:vertAnchor="text"/>
              <w:tblW w:w="3465" w:type="dxa"/>
              <w:tblCellSpacing w:w="0" w:type="dxa"/>
              <w:tblCellMar>
                <w:left w:w="0" w:type="dxa"/>
                <w:right w:w="0" w:type="dxa"/>
              </w:tblCellMar>
              <w:tblLook w:val="04A0" w:firstRow="1" w:lastRow="0" w:firstColumn="1" w:lastColumn="0" w:noHBand="0" w:noVBand="1"/>
            </w:tblPr>
            <w:tblGrid>
              <w:gridCol w:w="3480"/>
            </w:tblGrid>
            <w:tr w:rsidR="00621529" w:rsidRPr="00621529" w14:paraId="2AE0F964" w14:textId="77777777">
              <w:trPr>
                <w:tblCellSpacing w:w="0" w:type="dxa"/>
              </w:trPr>
              <w:tc>
                <w:tcPr>
                  <w:tcW w:w="0" w:type="auto"/>
                  <w:vAlign w:val="center"/>
                  <w:hideMark/>
                </w:tcPr>
                <w:tbl>
                  <w:tblPr>
                    <w:tblpPr w:leftFromText="45" w:rightFromText="45" w:vertAnchor="text"/>
                    <w:tblW w:w="3465" w:type="dxa"/>
                    <w:tblCellSpacing w:w="0" w:type="dxa"/>
                    <w:tblCellMar>
                      <w:left w:w="0" w:type="dxa"/>
                      <w:right w:w="0" w:type="dxa"/>
                    </w:tblCellMar>
                    <w:tblLook w:val="04A0" w:firstRow="1" w:lastRow="0" w:firstColumn="1" w:lastColumn="0" w:noHBand="0" w:noVBand="1"/>
                  </w:tblPr>
                  <w:tblGrid>
                    <w:gridCol w:w="3480"/>
                  </w:tblGrid>
                  <w:tr w:rsidR="00621529" w:rsidRPr="00621529" w14:paraId="6642F471" w14:textId="77777777">
                    <w:trPr>
                      <w:tblCellSpacing w:w="0" w:type="dxa"/>
                    </w:trPr>
                    <w:tc>
                      <w:tcPr>
                        <w:tcW w:w="0" w:type="auto"/>
                        <w:tcMar>
                          <w:top w:w="0" w:type="dxa"/>
                          <w:left w:w="0" w:type="dxa"/>
                          <w:bottom w:w="0" w:type="dxa"/>
                          <w:right w:w="90" w:type="dxa"/>
                        </w:tcMar>
                        <w:vAlign w:val="center"/>
                        <w:hideMark/>
                      </w:tcPr>
                      <w:tbl>
                        <w:tblPr>
                          <w:tblW w:w="3375" w:type="dxa"/>
                          <w:tblCellSpacing w:w="0" w:type="dxa"/>
                          <w:tblCellMar>
                            <w:left w:w="0" w:type="dxa"/>
                            <w:right w:w="0" w:type="dxa"/>
                          </w:tblCellMar>
                          <w:tblLook w:val="04A0" w:firstRow="1" w:lastRow="0" w:firstColumn="1" w:lastColumn="0" w:noHBand="0" w:noVBand="1"/>
                        </w:tblPr>
                        <w:tblGrid>
                          <w:gridCol w:w="3390"/>
                        </w:tblGrid>
                        <w:tr w:rsidR="00621529" w:rsidRPr="00621529" w14:paraId="30C323BD" w14:textId="77777777">
                          <w:trPr>
                            <w:tblCellSpacing w:w="0" w:type="dxa"/>
                          </w:trPr>
                          <w:tc>
                            <w:tcPr>
                              <w:tcW w:w="0" w:type="auto"/>
                              <w:vAlign w:val="center"/>
                              <w:hideMark/>
                            </w:tcPr>
                            <w:p w14:paraId="087FFABF" w14:textId="77777777" w:rsidR="00621529" w:rsidRPr="00621529" w:rsidRDefault="00621529" w:rsidP="00621529">
                              <w:pPr>
                                <w:bidi/>
                                <w:spacing w:after="0" w:line="240" w:lineRule="auto"/>
                                <w:rPr>
                                  <w:rFonts w:ascii="Times New Roman" w:eastAsia="Times New Roman" w:hAnsi="Times New Roman" w:cs="Times New Roman"/>
                                  <w:sz w:val="24"/>
                                  <w:szCs w:val="24"/>
                                  <w:lang w:eastAsia="en-IL"/>
                                </w:rPr>
                              </w:pPr>
                              <w:r w:rsidRPr="00621529">
                                <w:rPr>
                                  <w:rFonts w:ascii="Times New Roman" w:eastAsia="Times New Roman" w:hAnsi="Times New Roman" w:cs="Times New Roman"/>
                                  <w:noProof/>
                                  <w:sz w:val="24"/>
                                  <w:szCs w:val="24"/>
                                  <w:lang w:eastAsia="en-IL"/>
                                </w:rPr>
                                <w:drawing>
                                  <wp:inline distT="0" distB="0" distL="0" distR="0" wp14:anchorId="165A6997" wp14:editId="25919056">
                                    <wp:extent cx="2143125" cy="1600200"/>
                                    <wp:effectExtent l="0" t="0" r="9525" b="0"/>
                                    <wp:docPr id="1" name="ctl00_ContentMain_UcArticle1_imgTopLeft" descr="https://www.news1.co.il/uploadimages/NEWSY17-663921535015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Main_UcArticle1_imgTopLeft" descr="https://www.news1.co.il/uploadimages/NEWSY17-66392153501510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p>
                          </w:tc>
                        </w:tr>
                        <w:tr w:rsidR="00621529" w:rsidRPr="00621529" w14:paraId="522DB396" w14:textId="77777777">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3390"/>
                              </w:tblGrid>
                              <w:tr w:rsidR="00621529" w:rsidRPr="00621529" w14:paraId="0D067309" w14:textId="77777777">
                                <w:trPr>
                                  <w:tblCellSpacing w:w="0" w:type="dxa"/>
                                </w:trPr>
                                <w:tc>
                                  <w:tcPr>
                                    <w:tcW w:w="3375" w:type="dxa"/>
                                    <w:shd w:val="clear" w:color="auto" w:fill="808080"/>
                                    <w:tcMar>
                                      <w:top w:w="45" w:type="dxa"/>
                                      <w:left w:w="150" w:type="dxa"/>
                                      <w:bottom w:w="45" w:type="dxa"/>
                                      <w:right w:w="150" w:type="dxa"/>
                                    </w:tcMar>
                                    <w:vAlign w:val="center"/>
                                    <w:hideMark/>
                                  </w:tcPr>
                                  <w:p w14:paraId="493EE5E6" w14:textId="77777777" w:rsidR="00621529" w:rsidRPr="00621529" w:rsidRDefault="00621529" w:rsidP="00621529">
                                    <w:pPr>
                                      <w:bidi/>
                                      <w:spacing w:after="0" w:line="240" w:lineRule="auto"/>
                                      <w:rPr>
                                        <w:rFonts w:ascii="Times New Roman" w:eastAsia="Times New Roman" w:hAnsi="Times New Roman" w:cs="Times New Roman"/>
                                        <w:sz w:val="24"/>
                                        <w:szCs w:val="24"/>
                                        <w:lang w:eastAsia="en-IL"/>
                                      </w:rPr>
                                    </w:pPr>
                                    <w:r w:rsidRPr="00621529">
                                      <w:rPr>
                                        <w:rFonts w:ascii="Arial" w:eastAsia="Times New Roman" w:hAnsi="Arial" w:cs="Arial"/>
                                        <w:sz w:val="17"/>
                                        <w:szCs w:val="17"/>
                                        <w:lang w:eastAsia="en-IL"/>
                                      </w:rPr>
                                      <w:t>"</w:t>
                                    </w:r>
                                    <w:r w:rsidRPr="00621529">
                                      <w:rPr>
                                        <w:rFonts w:ascii="Arial" w:eastAsia="Times New Roman" w:hAnsi="Arial" w:cs="Arial"/>
                                        <w:sz w:val="17"/>
                                        <w:szCs w:val="17"/>
                                        <w:rtl/>
                                        <w:lang w:eastAsia="en-IL" w:bidi="he-IL"/>
                                      </w:rPr>
                                      <w:t>העובדים אינם יודעים</w:t>
                                    </w:r>
                                    <w:r w:rsidRPr="00621529">
                                      <w:rPr>
                                        <w:rFonts w:ascii="Arial" w:eastAsia="Times New Roman" w:hAnsi="Arial" w:cs="Arial"/>
                                        <w:sz w:val="17"/>
                                        <w:szCs w:val="17"/>
                                        <w:lang w:eastAsia="en-IL"/>
                                      </w:rPr>
                                      <w:t>" [</w:t>
                                    </w:r>
                                    <w:r w:rsidRPr="00621529">
                                      <w:rPr>
                                        <w:rFonts w:ascii="Arial" w:eastAsia="Times New Roman" w:hAnsi="Arial" w:cs="Arial"/>
                                        <w:sz w:val="17"/>
                                        <w:szCs w:val="17"/>
                                        <w:rtl/>
                                        <w:lang w:eastAsia="en-IL" w:bidi="he-IL"/>
                                      </w:rPr>
                                      <w:t xml:space="preserve">צילום: יונתן </w:t>
                                    </w:r>
                                    <w:proofErr w:type="spellStart"/>
                                    <w:r w:rsidRPr="00621529">
                                      <w:rPr>
                                        <w:rFonts w:ascii="Arial" w:eastAsia="Times New Roman" w:hAnsi="Arial" w:cs="Arial"/>
                                        <w:sz w:val="17"/>
                                        <w:szCs w:val="17"/>
                                        <w:rtl/>
                                        <w:lang w:eastAsia="en-IL" w:bidi="he-IL"/>
                                      </w:rPr>
                                      <w:t>זינדל</w:t>
                                    </w:r>
                                    <w:proofErr w:type="spellEnd"/>
                                    <w:r w:rsidRPr="00621529">
                                      <w:rPr>
                                        <w:rFonts w:ascii="Arial" w:eastAsia="Times New Roman" w:hAnsi="Arial" w:cs="Arial"/>
                                        <w:sz w:val="17"/>
                                        <w:szCs w:val="17"/>
                                        <w:rtl/>
                                        <w:lang w:eastAsia="en-IL" w:bidi="he-IL"/>
                                      </w:rPr>
                                      <w:t>, פלאש 90</w:t>
                                    </w:r>
                                    <w:r w:rsidRPr="00621529">
                                      <w:rPr>
                                        <w:rFonts w:ascii="Arial" w:eastAsia="Times New Roman" w:hAnsi="Arial" w:cs="Arial"/>
                                        <w:sz w:val="17"/>
                                        <w:szCs w:val="17"/>
                                        <w:lang w:eastAsia="en-IL"/>
                                      </w:rPr>
                                      <w:t>]</w:t>
                                    </w:r>
                                  </w:p>
                                </w:tc>
                              </w:tr>
                            </w:tbl>
                            <w:p w14:paraId="4B77E8E0" w14:textId="77777777" w:rsidR="00621529" w:rsidRPr="00621529" w:rsidRDefault="00621529" w:rsidP="00621529">
                              <w:pPr>
                                <w:bidi/>
                                <w:spacing w:after="0" w:line="240" w:lineRule="auto"/>
                                <w:rPr>
                                  <w:rFonts w:ascii="Times New Roman" w:eastAsia="Times New Roman" w:hAnsi="Times New Roman" w:cs="Times New Roman"/>
                                  <w:sz w:val="24"/>
                                  <w:szCs w:val="24"/>
                                  <w:lang w:eastAsia="en-IL"/>
                                </w:rPr>
                              </w:pPr>
                            </w:p>
                          </w:tc>
                        </w:tr>
                        <w:tr w:rsidR="00621529" w:rsidRPr="00621529" w14:paraId="096EEF84" w14:textId="77777777">
                          <w:trPr>
                            <w:trHeight w:val="405"/>
                            <w:tblCellSpacing w:w="0" w:type="dxa"/>
                          </w:trPr>
                          <w:tc>
                            <w:tcPr>
                              <w:tcW w:w="5000" w:type="pct"/>
                              <w:shd w:val="clear" w:color="auto" w:fill="FFFFFF"/>
                              <w:vAlign w:val="center"/>
                              <w:hideMark/>
                            </w:tcPr>
                            <w:p w14:paraId="3E4F7602" w14:textId="77777777" w:rsidR="00621529" w:rsidRPr="00621529" w:rsidRDefault="00621529" w:rsidP="00621529">
                              <w:pPr>
                                <w:bidi/>
                                <w:spacing w:after="0" w:line="240" w:lineRule="auto"/>
                                <w:rPr>
                                  <w:rFonts w:ascii="Times New Roman" w:eastAsia="Times New Roman" w:hAnsi="Times New Roman" w:cs="Times New Roman"/>
                                  <w:sz w:val="24"/>
                                  <w:szCs w:val="24"/>
                                  <w:lang w:eastAsia="en-IL"/>
                                </w:rPr>
                              </w:pPr>
                              <w:r w:rsidRPr="00621529">
                                <w:rPr>
                                  <w:rFonts w:ascii="Times New Roman" w:eastAsia="Times New Roman" w:hAnsi="Times New Roman" w:cs="Times New Roman"/>
                                  <w:sz w:val="24"/>
                                  <w:szCs w:val="24"/>
                                  <w:lang w:eastAsia="en-IL"/>
                                </w:rPr>
                                <w:pict w14:anchorId="3F0A96AC">
                                  <v:rect id="_x0000_i1025" style="width:0;height:2.25pt" o:hralign="right" o:hrstd="t" o:hrnoshade="t" o:hr="t" fillcolor="silver" stroked="f"/>
                                </w:pict>
                              </w:r>
                            </w:p>
                          </w:tc>
                        </w:tr>
                      </w:tbl>
                      <w:p w14:paraId="7FE744AF" w14:textId="77777777" w:rsidR="00621529" w:rsidRPr="00621529" w:rsidRDefault="00621529" w:rsidP="00621529">
                        <w:pPr>
                          <w:bidi/>
                          <w:spacing w:after="0" w:line="240" w:lineRule="auto"/>
                          <w:rPr>
                            <w:rFonts w:ascii="Times New Roman" w:eastAsia="Times New Roman" w:hAnsi="Times New Roman" w:cs="Times New Roman"/>
                            <w:sz w:val="24"/>
                            <w:szCs w:val="24"/>
                            <w:rtl/>
                            <w:lang w:eastAsia="en-IL"/>
                          </w:rPr>
                        </w:pPr>
                      </w:p>
                    </w:tc>
                  </w:tr>
                </w:tbl>
                <w:p w14:paraId="31A89175" w14:textId="77777777" w:rsidR="00621529" w:rsidRPr="00621529" w:rsidRDefault="00621529" w:rsidP="00621529">
                  <w:pPr>
                    <w:bidi/>
                    <w:spacing w:after="0" w:line="240" w:lineRule="auto"/>
                    <w:rPr>
                      <w:rFonts w:ascii="Times New Roman" w:eastAsia="Times New Roman" w:hAnsi="Times New Roman" w:cs="Times New Roman"/>
                      <w:sz w:val="24"/>
                      <w:szCs w:val="24"/>
                      <w:lang w:eastAsia="en-IL"/>
                    </w:rPr>
                  </w:pPr>
                </w:p>
              </w:tc>
            </w:tr>
          </w:tbl>
          <w:p w14:paraId="13CC3A89" w14:textId="77777777" w:rsidR="00621529" w:rsidRPr="00621529" w:rsidRDefault="00621529" w:rsidP="00621529">
            <w:pPr>
              <w:bidi/>
              <w:spacing w:after="300" w:line="240" w:lineRule="atLeast"/>
              <w:rPr>
                <w:rFonts w:ascii="Tahoma" w:eastAsia="Times New Roman" w:hAnsi="Tahoma" w:cs="Tahoma"/>
                <w:color w:val="000000"/>
                <w:sz w:val="17"/>
                <w:szCs w:val="17"/>
                <w:lang w:eastAsia="en-IL"/>
              </w:rPr>
            </w:pPr>
            <w:r w:rsidRPr="00621529">
              <w:rPr>
                <w:rFonts w:ascii="Tahoma" w:eastAsia="Times New Roman" w:hAnsi="Tahoma" w:cs="Tahoma"/>
                <w:b/>
                <w:bCs/>
                <w:color w:val="3F3F3F"/>
                <w:sz w:val="20"/>
                <w:szCs w:val="20"/>
                <w:rtl/>
                <w:lang w:eastAsia="en-IL" w:bidi="he-IL"/>
              </w:rPr>
              <w:t>חברה העוסקת במיסים ובהלבנת הון, בעיקר עבור עולים מצרפת, טוענת ששורר תוהו ובוהו, ומבקשת מבית המשפט להורות על התקנת כללים אחידים וברורים</w:t>
            </w:r>
          </w:p>
          <w:tbl>
            <w:tblPr>
              <w:tblW w:w="0" w:type="auto"/>
              <w:jc w:val="right"/>
              <w:tblCellSpacing w:w="0" w:type="dxa"/>
              <w:tblCellMar>
                <w:left w:w="0" w:type="dxa"/>
                <w:right w:w="0" w:type="dxa"/>
              </w:tblCellMar>
              <w:tblLook w:val="04A0" w:firstRow="1" w:lastRow="0" w:firstColumn="1" w:lastColumn="0" w:noHBand="0" w:noVBand="1"/>
            </w:tblPr>
            <w:tblGrid>
              <w:gridCol w:w="6"/>
            </w:tblGrid>
            <w:tr w:rsidR="00621529" w:rsidRPr="00621529" w14:paraId="7FBF7CE8" w14:textId="77777777">
              <w:trPr>
                <w:trHeight w:val="75"/>
                <w:tblCellSpacing w:w="0" w:type="dxa"/>
                <w:jc w:val="right"/>
              </w:trPr>
              <w:tc>
                <w:tcPr>
                  <w:tcW w:w="0" w:type="auto"/>
                  <w:vAlign w:val="center"/>
                  <w:hideMark/>
                </w:tcPr>
                <w:p w14:paraId="1CEE5F01" w14:textId="77777777" w:rsidR="00621529" w:rsidRPr="00621529" w:rsidRDefault="00621529" w:rsidP="00621529">
                  <w:pPr>
                    <w:bidi/>
                    <w:spacing w:after="0" w:line="240" w:lineRule="auto"/>
                    <w:rPr>
                      <w:rFonts w:ascii="Tahoma" w:eastAsia="Times New Roman" w:hAnsi="Tahoma" w:cs="Tahoma"/>
                      <w:color w:val="000000"/>
                      <w:sz w:val="17"/>
                      <w:szCs w:val="17"/>
                      <w:lang w:eastAsia="en-IL"/>
                    </w:rPr>
                  </w:pPr>
                </w:p>
              </w:tc>
            </w:tr>
          </w:tbl>
          <w:p w14:paraId="7027BE6C" w14:textId="77777777" w:rsidR="00621529" w:rsidRPr="00621529" w:rsidRDefault="00621529" w:rsidP="00621529">
            <w:pPr>
              <w:bidi/>
              <w:spacing w:after="0" w:line="240" w:lineRule="auto"/>
              <w:rPr>
                <w:rFonts w:ascii="Arial" w:eastAsia="Times New Roman" w:hAnsi="Arial" w:cs="Arial"/>
                <w:vanish/>
                <w:color w:val="000000"/>
                <w:sz w:val="27"/>
                <w:szCs w:val="27"/>
                <w:lang w:eastAsia="en-IL"/>
              </w:rPr>
            </w:pPr>
          </w:p>
          <w:p w14:paraId="7D173BFE" w14:textId="77777777" w:rsidR="00621529" w:rsidRPr="00621529" w:rsidRDefault="00621529" w:rsidP="00621529">
            <w:pPr>
              <w:bidi/>
              <w:spacing w:after="0" w:line="240" w:lineRule="auto"/>
              <w:rPr>
                <w:rFonts w:ascii="Arial" w:eastAsia="Times New Roman" w:hAnsi="Arial" w:cs="Arial"/>
                <w:color w:val="000000"/>
                <w:sz w:val="27"/>
                <w:szCs w:val="27"/>
                <w:lang w:eastAsia="en-IL"/>
              </w:rPr>
            </w:pPr>
            <w:r w:rsidRPr="00621529">
              <w:rPr>
                <w:rFonts w:ascii="Arial" w:eastAsia="Times New Roman" w:hAnsi="Arial" w:cs="Arial"/>
                <w:color w:val="000000"/>
                <w:sz w:val="27"/>
                <w:szCs w:val="27"/>
                <w:lang w:eastAsia="en-IL"/>
              </w:rPr>
              <w:t>▪  ▪  ▪</w:t>
            </w:r>
          </w:p>
          <w:p w14:paraId="7F658278" w14:textId="77777777" w:rsidR="00621529" w:rsidRPr="00621529" w:rsidRDefault="00621529" w:rsidP="00621529">
            <w:pPr>
              <w:bidi/>
              <w:spacing w:after="0" w:line="240" w:lineRule="auto"/>
              <w:rPr>
                <w:rFonts w:ascii="Arial" w:eastAsia="Times New Roman" w:hAnsi="Arial" w:cs="Arial"/>
                <w:color w:val="000000"/>
                <w:sz w:val="21"/>
                <w:szCs w:val="21"/>
                <w:lang w:eastAsia="en-IL"/>
              </w:rPr>
            </w:pPr>
            <w:r w:rsidRPr="00621529">
              <w:rPr>
                <w:rFonts w:ascii="Arial" w:eastAsia="Times New Roman" w:hAnsi="Arial" w:cs="Arial"/>
                <w:color w:val="000000"/>
                <w:sz w:val="21"/>
                <w:szCs w:val="21"/>
                <w:rtl/>
                <w:lang w:eastAsia="en-IL" w:bidi="he-IL"/>
              </w:rPr>
              <w:t xml:space="preserve">חברת </w:t>
            </w:r>
            <w:proofErr w:type="spellStart"/>
            <w:r w:rsidRPr="00621529">
              <w:rPr>
                <w:rFonts w:ascii="Arial" w:eastAsia="Times New Roman" w:hAnsi="Arial" w:cs="Arial"/>
                <w:color w:val="000000"/>
                <w:sz w:val="21"/>
                <w:szCs w:val="21"/>
                <w:rtl/>
                <w:lang w:eastAsia="en-IL" w:bidi="he-IL"/>
              </w:rPr>
              <w:t>אן.סי.נאטקו</w:t>
            </w:r>
            <w:proofErr w:type="spellEnd"/>
            <w:r w:rsidRPr="00621529">
              <w:rPr>
                <w:rFonts w:ascii="Arial" w:eastAsia="Times New Roman" w:hAnsi="Arial" w:cs="Arial"/>
                <w:color w:val="000000"/>
                <w:sz w:val="21"/>
                <w:szCs w:val="21"/>
                <w:rtl/>
                <w:lang w:eastAsia="en-IL" w:bidi="he-IL"/>
              </w:rPr>
              <w:t xml:space="preserve"> ייעוץ טוענת, כי הבנקים אינם מיישמים את תקנות הדיווח של רשות המיסים על חשבונות תושבים זרים לצורך העברת המידע הפיננסי למדינות התושבות של בעלי החשבונות. לטענתה, יש לחייב את המפקח על הבנקים להורות לבנקים לקבוע נהלים ברורים ומסודרים, לערוך השתלמויות לעובדיהם, לפקח על יישומם של הנהלים ולהגן על פרטיותם של הלקוחות</w:t>
            </w:r>
            <w:r w:rsidRPr="00621529">
              <w:rPr>
                <w:rFonts w:ascii="Arial" w:eastAsia="Times New Roman" w:hAnsi="Arial" w:cs="Arial"/>
                <w:color w:val="000000"/>
                <w:sz w:val="21"/>
                <w:szCs w:val="21"/>
                <w:lang w:eastAsia="en-IL"/>
              </w:rPr>
              <w:t>. </w:t>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rtl/>
                <w:lang w:eastAsia="en-IL" w:bidi="he-IL"/>
              </w:rPr>
              <w:t>החברה עוסקת בייעוץ בענייני מיסים ו</w:t>
            </w:r>
            <w:hyperlink r:id="rId5" w:history="1">
              <w:r w:rsidRPr="00621529">
                <w:rPr>
                  <w:rFonts w:ascii="Arial" w:eastAsia="Times New Roman" w:hAnsi="Arial" w:cs="Arial"/>
                  <w:color w:val="000000"/>
                  <w:sz w:val="21"/>
                  <w:szCs w:val="21"/>
                  <w:u w:val="single"/>
                  <w:bdr w:val="none" w:sz="0" w:space="0" w:color="auto" w:frame="1"/>
                  <w:rtl/>
                  <w:lang w:eastAsia="en-IL" w:bidi="he-IL"/>
                </w:rPr>
                <w:t>הלבנת הון</w:t>
              </w:r>
            </w:hyperlink>
            <w:r w:rsidRPr="00621529">
              <w:rPr>
                <w:rFonts w:ascii="Arial" w:eastAsia="Times New Roman" w:hAnsi="Arial" w:cs="Arial"/>
                <w:color w:val="000000"/>
                <w:sz w:val="21"/>
                <w:szCs w:val="21"/>
                <w:lang w:eastAsia="en-IL"/>
              </w:rPr>
              <w:t xml:space="preserve">, </w:t>
            </w:r>
            <w:r w:rsidRPr="00621529">
              <w:rPr>
                <w:rFonts w:ascii="Arial" w:eastAsia="Times New Roman" w:hAnsi="Arial" w:cs="Arial"/>
                <w:color w:val="000000"/>
                <w:sz w:val="21"/>
                <w:szCs w:val="21"/>
                <w:rtl/>
                <w:lang w:eastAsia="en-IL" w:bidi="he-IL"/>
              </w:rPr>
              <w:t>ורוב לקוחותיה הם עולים מצרפת. היא מבקשת (10.7.19) מבית המשפט המחוזי בירושלים להוציא הוראה שכזאת למפקח או לבנקים עצמם (באישורו של המפקח). לדבריה, לאחר פרסום תקנות הדיווח בפברואר השנה, החל תוהו ובוהו, וכל בנק נקט בגישה שונה לצורך יישומן; יש גם מקרים של הבדלים בין סניפים שונים של אותו בנק</w:t>
            </w:r>
            <w:r w:rsidRPr="00621529">
              <w:rPr>
                <w:rFonts w:ascii="Arial" w:eastAsia="Times New Roman" w:hAnsi="Arial" w:cs="Arial"/>
                <w:color w:val="000000"/>
                <w:sz w:val="21"/>
                <w:szCs w:val="21"/>
                <w:lang w:eastAsia="en-IL"/>
              </w:rPr>
              <w:t>. </w:t>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rtl/>
                <w:lang w:eastAsia="en-IL" w:bidi="he-IL"/>
              </w:rPr>
              <w:t>עוד נטען, כי עובדי הבנקים אינם מודעים לתקנות הדיווח ואינם מבינים אותן, לא הועברה להם השתלמות אודות התקנות, לא נקבעו כללים ונהלים ליישומן, ואם נקבעו כאלה - הרי שעובדי הבנקים אינם מודעים להם והם אינם מפורסמים לציבור הרחב. לכן מבקשת העותרת להורות על הכנסת סדר ושיטתיות בתחום, ועד אז - להקפיא את יישום תקנות הדיווח בידי הבנקים</w:t>
            </w:r>
            <w:r w:rsidRPr="00621529">
              <w:rPr>
                <w:rFonts w:ascii="Arial" w:eastAsia="Times New Roman" w:hAnsi="Arial" w:cs="Arial"/>
                <w:color w:val="000000"/>
                <w:sz w:val="21"/>
                <w:szCs w:val="21"/>
                <w:lang w:eastAsia="en-IL"/>
              </w:rPr>
              <w:t>. </w:t>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lang w:eastAsia="en-IL"/>
              </w:rPr>
              <w:br/>
            </w:r>
            <w:r w:rsidRPr="00621529">
              <w:rPr>
                <w:rFonts w:ascii="Arial" w:eastAsia="Times New Roman" w:hAnsi="Arial" w:cs="Arial"/>
                <w:color w:val="000000"/>
                <w:sz w:val="21"/>
                <w:szCs w:val="21"/>
                <w:rtl/>
                <w:lang w:eastAsia="en-IL" w:bidi="he-IL"/>
              </w:rPr>
              <w:t>העותרת מסבירה, כי במצב הנוכחי - היא ולקוחותיה נפגעים בצורה קשה. חלק מלקוחותיה מבוגרים מאוד, ויש חשש לחייהם אם שמותיהם יועברו שלא כדין לרשויות המס הזרות. העתירה הוגשה באמצעות עו"ד אורלי טל וטרם הוגשו תגובות הפיקוח והבנקים</w:t>
            </w:r>
            <w:r w:rsidRPr="00621529">
              <w:rPr>
                <w:rFonts w:ascii="Arial" w:eastAsia="Times New Roman" w:hAnsi="Arial" w:cs="Arial"/>
                <w:color w:val="000000"/>
                <w:sz w:val="21"/>
                <w:szCs w:val="21"/>
                <w:lang w:eastAsia="en-IL"/>
              </w:rPr>
              <w:t>. </w:t>
            </w:r>
          </w:p>
        </w:tc>
      </w:tr>
    </w:tbl>
    <w:p w14:paraId="04AC213D" w14:textId="77777777" w:rsidR="00621529" w:rsidRDefault="00621529" w:rsidP="00621529">
      <w:pPr>
        <w:bidi/>
      </w:pPr>
      <w:bookmarkStart w:id="0" w:name="_GoBack"/>
      <w:bookmarkEnd w:id="0"/>
    </w:p>
    <w:sectPr w:rsidR="00621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29"/>
    <w:rsid w:val="00621529"/>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F0F9"/>
  <w15:chartTrackingRefBased/>
  <w15:docId w15:val="{D42445ED-A9C3-4375-BAB2-8D4CC70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143452">
      <w:bodyDiv w:val="1"/>
      <w:marLeft w:val="0"/>
      <w:marRight w:val="0"/>
      <w:marTop w:val="0"/>
      <w:marBottom w:val="0"/>
      <w:divBdr>
        <w:top w:val="none" w:sz="0" w:space="0" w:color="auto"/>
        <w:left w:val="none" w:sz="0" w:space="0" w:color="auto"/>
        <w:bottom w:val="none" w:sz="0" w:space="0" w:color="auto"/>
        <w:right w:val="none" w:sz="0" w:space="0" w:color="auto"/>
      </w:divBdr>
      <w:divsChild>
        <w:div w:id="1029137953">
          <w:marLeft w:val="0"/>
          <w:marRight w:val="0"/>
          <w:marTop w:val="0"/>
          <w:marBottom w:val="0"/>
          <w:divBdr>
            <w:top w:val="none" w:sz="0" w:space="0" w:color="auto"/>
            <w:left w:val="none" w:sz="0" w:space="0" w:color="auto"/>
            <w:bottom w:val="none" w:sz="0" w:space="0" w:color="auto"/>
            <w:right w:val="none" w:sz="0" w:space="0" w:color="auto"/>
          </w:divBdr>
          <w:divsChild>
            <w:div w:id="6013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1.co.il/TagsSearchResults.aspx?TagID=339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1</cp:revision>
  <dcterms:created xsi:type="dcterms:W3CDTF">2019-07-16T13:17:00Z</dcterms:created>
  <dcterms:modified xsi:type="dcterms:W3CDTF">2019-07-16T13:18:00Z</dcterms:modified>
</cp:coreProperties>
</file>