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FE" w:rsidRPr="00FF669C" w:rsidRDefault="00CF79FE" w:rsidP="00CF79FE">
      <w:pPr>
        <w:bidi w:val="0"/>
        <w:jc w:val="center"/>
        <w:rPr>
          <w:rFonts w:ascii="Times New Roman" w:eastAsia="Times New Roman" w:hAnsi="Times New Roman"/>
          <w:b/>
          <w:bCs/>
          <w:sz w:val="34"/>
          <w:szCs w:val="34"/>
          <w:u w:val="single"/>
        </w:rPr>
      </w:pPr>
      <w:r w:rsidRPr="00FF669C">
        <w:rPr>
          <w:rFonts w:ascii="Times New Roman" w:eastAsia="Times New Roman" w:hAnsi="Times New Roman"/>
          <w:b/>
          <w:bCs/>
          <w:sz w:val="34"/>
          <w:szCs w:val="34"/>
          <w:u w:val="single"/>
        </w:rPr>
        <w:t>The Compensation of Vaccination Victims in Israeli Law</w:t>
      </w:r>
    </w:p>
    <w:p w:rsidR="00CF79FE" w:rsidRPr="00BD18B9" w:rsidRDefault="00CF79FE" w:rsidP="00CF79FE">
      <w:pPr>
        <w:bidi w:val="0"/>
        <w:rPr>
          <w:rFonts w:ascii="Times New Roman" w:eastAsia="Times New Roman" w:hAnsi="Times New Roman"/>
          <w:sz w:val="24"/>
          <w:rtl/>
        </w:rPr>
      </w:pPr>
    </w:p>
    <w:p w:rsidR="00CF79FE" w:rsidRPr="00FF669C" w:rsidRDefault="00CF79FE" w:rsidP="00CF79FE">
      <w:pPr>
        <w:bidi w:val="0"/>
        <w:rPr>
          <w:rFonts w:ascii="Times New Roman" w:eastAsia="Times New Roman" w:hAnsi="Times New Roman"/>
          <w:b/>
          <w:bCs/>
          <w:sz w:val="34"/>
          <w:szCs w:val="34"/>
          <w:u w:val="single"/>
        </w:rPr>
      </w:pPr>
      <w:r w:rsidRPr="00FF669C">
        <w:rPr>
          <w:rFonts w:ascii="Times New Roman" w:eastAsia="Times New Roman" w:hAnsi="Times New Roman"/>
          <w:b/>
          <w:bCs/>
          <w:sz w:val="34"/>
          <w:szCs w:val="34"/>
          <w:u w:val="single"/>
        </w:rPr>
        <w:t>Abstract</w:t>
      </w:r>
    </w:p>
    <w:p w:rsidR="00CF79FE" w:rsidRPr="00BD18B9" w:rsidRDefault="00CF79FE" w:rsidP="00CF79FE">
      <w:pPr>
        <w:bidi w:val="0"/>
        <w:rPr>
          <w:rFonts w:ascii="Times New Roman" w:eastAsia="Times New Roman" w:hAnsi="Times New Roman"/>
          <w:sz w:val="24"/>
          <w:rtl/>
        </w:rPr>
      </w:pPr>
    </w:p>
    <w:p w:rsidR="00CF79FE" w:rsidRPr="00FF669C" w:rsidRDefault="00CF79FE" w:rsidP="00CF79FE">
      <w:pPr>
        <w:bidi w:val="0"/>
        <w:rPr>
          <w:rFonts w:ascii="Times New Roman" w:eastAsia="Times New Roman" w:hAnsi="Times New Roman"/>
          <w:b/>
          <w:bCs/>
          <w:sz w:val="24"/>
        </w:rPr>
      </w:pPr>
      <w:r w:rsidRPr="00FF669C">
        <w:rPr>
          <w:rFonts w:ascii="Times New Roman" w:eastAsia="Times New Roman" w:hAnsi="Times New Roman"/>
          <w:b/>
          <w:bCs/>
          <w:sz w:val="24"/>
        </w:rPr>
        <w:t>Background:</w:t>
      </w:r>
    </w:p>
    <w:p w:rsidR="00CF79FE" w:rsidRPr="00BD18B9" w:rsidRDefault="00CF79FE" w:rsidP="00CF79FE">
      <w:pPr>
        <w:bidi w:val="0"/>
        <w:jc w:val="both"/>
        <w:rPr>
          <w:rFonts w:ascii="Times New Roman" w:eastAsia="Times New Roman" w:hAnsi="Times New Roman"/>
          <w:sz w:val="24"/>
        </w:rPr>
      </w:pPr>
      <w:r w:rsidRPr="00BD18B9">
        <w:rPr>
          <w:rFonts w:ascii="Times New Roman" w:eastAsia="Times New Roman" w:hAnsi="Times New Roman"/>
          <w:sz w:val="24"/>
        </w:rPr>
        <w:t xml:space="preserve">Israel followed other countries in passing a </w:t>
      </w:r>
      <w:proofErr w:type="gramStart"/>
      <w:r w:rsidRPr="00BD18B9">
        <w:rPr>
          <w:rFonts w:ascii="Times New Roman" w:eastAsia="Times New Roman" w:hAnsi="Times New Roman"/>
          <w:sz w:val="24"/>
        </w:rPr>
        <w:t>law which</w:t>
      </w:r>
      <w:proofErr w:type="gramEnd"/>
      <w:r w:rsidRPr="00BD18B9">
        <w:rPr>
          <w:rFonts w:ascii="Times New Roman" w:eastAsia="Times New Roman" w:hAnsi="Times New Roman"/>
          <w:sz w:val="24"/>
        </w:rPr>
        <w:t xml:space="preserve"> provides for compensation to vaccination victims without </w:t>
      </w:r>
      <w:r>
        <w:rPr>
          <w:rFonts w:ascii="Times New Roman" w:eastAsia="Times New Roman" w:hAnsi="Times New Roman"/>
          <w:sz w:val="24"/>
        </w:rPr>
        <w:t>proving “</w:t>
      </w:r>
      <w:r w:rsidRPr="00BD18B9">
        <w:rPr>
          <w:rFonts w:ascii="Times New Roman" w:eastAsia="Times New Roman" w:hAnsi="Times New Roman"/>
          <w:sz w:val="24"/>
        </w:rPr>
        <w:t>guilt.</w:t>
      </w:r>
      <w:r>
        <w:rPr>
          <w:rFonts w:ascii="Times New Roman" w:eastAsia="Times New Roman" w:hAnsi="Times New Roman"/>
          <w:sz w:val="24"/>
        </w:rPr>
        <w:t>”</w:t>
      </w:r>
    </w:p>
    <w:p w:rsidR="00CF79FE" w:rsidRPr="00FF669C" w:rsidRDefault="00CF79FE" w:rsidP="00CF79FE">
      <w:pPr>
        <w:bidi w:val="0"/>
        <w:rPr>
          <w:rFonts w:ascii="Times New Roman" w:eastAsia="Times New Roman" w:hAnsi="Times New Roman"/>
          <w:b/>
          <w:bCs/>
          <w:sz w:val="24"/>
        </w:rPr>
      </w:pPr>
      <w:r w:rsidRPr="00FF669C">
        <w:rPr>
          <w:rFonts w:ascii="Times New Roman" w:eastAsia="Times New Roman" w:hAnsi="Times New Roman"/>
          <w:b/>
          <w:bCs/>
          <w:sz w:val="24"/>
        </w:rPr>
        <w:t>Study Objectives:</w:t>
      </w:r>
    </w:p>
    <w:p w:rsidR="00CF79FE" w:rsidRPr="00BD18B9" w:rsidRDefault="00CF79FE" w:rsidP="00CF79FE">
      <w:pPr>
        <w:bidi w:val="0"/>
        <w:jc w:val="both"/>
        <w:rPr>
          <w:rFonts w:ascii="Times New Roman" w:eastAsia="Times New Roman" w:hAnsi="Times New Roman"/>
          <w:sz w:val="24"/>
        </w:rPr>
      </w:pPr>
      <w:r w:rsidRPr="00BD18B9">
        <w:rPr>
          <w:rFonts w:ascii="Times New Roman" w:eastAsia="Times New Roman" w:hAnsi="Times New Roman"/>
          <w:sz w:val="24"/>
        </w:rPr>
        <w:t xml:space="preserve">To examine the goals of the </w:t>
      </w:r>
      <w:proofErr w:type="spellStart"/>
      <w:r w:rsidRPr="00BD18B9">
        <w:rPr>
          <w:rFonts w:ascii="Times New Roman" w:eastAsia="Times New Roman" w:hAnsi="Times New Roman"/>
          <w:sz w:val="24"/>
        </w:rPr>
        <w:t>Va</w:t>
      </w:r>
      <w:r>
        <w:rPr>
          <w:rFonts w:ascii="Times New Roman" w:eastAsia="Times New Roman" w:hAnsi="Times New Roman"/>
          <w:sz w:val="24"/>
        </w:rPr>
        <w:t>cccination</w:t>
      </w:r>
      <w:proofErr w:type="spellEnd"/>
      <w:r>
        <w:rPr>
          <w:rFonts w:ascii="Times New Roman" w:eastAsia="Times New Roman" w:hAnsi="Times New Roman"/>
          <w:sz w:val="24"/>
        </w:rPr>
        <w:t xml:space="preserve"> Victim Insurance Law,</w:t>
      </w:r>
      <w:r w:rsidRPr="00BD18B9">
        <w:rPr>
          <w:rFonts w:ascii="Times New Roman" w:eastAsia="Times New Roman" w:hAnsi="Times New Roman"/>
          <w:sz w:val="24"/>
        </w:rPr>
        <w:t xml:space="preserve"> 1989 at the time of its enactment, as well as to examine whether the manner of the law</w:t>
      </w:r>
      <w:r>
        <w:rPr>
          <w:rFonts w:ascii="Times New Roman" w:eastAsia="Times New Roman" w:hAnsi="Times New Roman"/>
          <w:sz w:val="24"/>
        </w:rPr>
        <w:t>’</w:t>
      </w:r>
      <w:r w:rsidRPr="00BD18B9">
        <w:rPr>
          <w:rFonts w:ascii="Times New Roman" w:eastAsia="Times New Roman" w:hAnsi="Times New Roman"/>
          <w:sz w:val="24"/>
        </w:rPr>
        <w:t xml:space="preserve">s implementation attains these goals. </w:t>
      </w:r>
    </w:p>
    <w:p w:rsidR="00CF79FE" w:rsidRPr="00A97F31" w:rsidRDefault="00CF79FE" w:rsidP="00CF79FE">
      <w:pPr>
        <w:bidi w:val="0"/>
        <w:rPr>
          <w:rFonts w:ascii="Times New Roman" w:eastAsia="Times New Roman" w:hAnsi="Times New Roman"/>
          <w:b/>
          <w:bCs/>
          <w:sz w:val="24"/>
        </w:rPr>
      </w:pPr>
      <w:r w:rsidRPr="00A97F31">
        <w:rPr>
          <w:rFonts w:ascii="Times New Roman" w:eastAsia="Times New Roman" w:hAnsi="Times New Roman"/>
          <w:b/>
          <w:bCs/>
          <w:sz w:val="24"/>
        </w:rPr>
        <w:t>Research Method:</w:t>
      </w:r>
    </w:p>
    <w:p w:rsidR="00CF79FE" w:rsidRPr="00BD18B9" w:rsidRDefault="00CF79FE" w:rsidP="00CF79FE">
      <w:pPr>
        <w:bidi w:val="0"/>
        <w:jc w:val="both"/>
        <w:rPr>
          <w:rFonts w:ascii="Times New Roman" w:eastAsia="Times New Roman" w:hAnsi="Times New Roman"/>
          <w:sz w:val="24"/>
        </w:rPr>
      </w:pPr>
      <w:r w:rsidRPr="00BD18B9">
        <w:rPr>
          <w:rFonts w:ascii="Times New Roman" w:eastAsia="Times New Roman" w:hAnsi="Times New Roman"/>
          <w:sz w:val="24"/>
        </w:rPr>
        <w:t xml:space="preserve">The study employed a qualitative </w:t>
      </w:r>
      <w:proofErr w:type="gramStart"/>
      <w:r w:rsidRPr="00BD18B9">
        <w:rPr>
          <w:rFonts w:ascii="Times New Roman" w:eastAsia="Times New Roman" w:hAnsi="Times New Roman"/>
          <w:sz w:val="24"/>
        </w:rPr>
        <w:t>methodology which</w:t>
      </w:r>
      <w:proofErr w:type="gramEnd"/>
      <w:r w:rsidRPr="00BD18B9">
        <w:rPr>
          <w:rFonts w:ascii="Times New Roman" w:eastAsia="Times New Roman" w:hAnsi="Times New Roman"/>
          <w:sz w:val="24"/>
        </w:rPr>
        <w:t xml:space="preserve"> made use of both the content analysis of relevant documents as well as in-depth interviews. </w:t>
      </w:r>
    </w:p>
    <w:p w:rsidR="00CF79FE" w:rsidRPr="00F427BF" w:rsidRDefault="00CF79FE" w:rsidP="00CF79FE">
      <w:pPr>
        <w:bidi w:val="0"/>
        <w:rPr>
          <w:rFonts w:ascii="Times New Roman" w:eastAsia="Times New Roman" w:hAnsi="Times New Roman"/>
          <w:b/>
          <w:bCs/>
          <w:sz w:val="24"/>
        </w:rPr>
      </w:pPr>
      <w:r w:rsidRPr="00F427BF">
        <w:rPr>
          <w:rFonts w:ascii="Times New Roman" w:eastAsia="Times New Roman" w:hAnsi="Times New Roman"/>
          <w:b/>
          <w:bCs/>
          <w:sz w:val="24"/>
        </w:rPr>
        <w:t>Findings:</w:t>
      </w:r>
    </w:p>
    <w:p w:rsidR="00CF79FE" w:rsidRPr="00BD18B9" w:rsidRDefault="00CF79FE" w:rsidP="00CF79FE">
      <w:pPr>
        <w:bidi w:val="0"/>
        <w:jc w:val="both"/>
        <w:rPr>
          <w:rFonts w:ascii="Times New Roman" w:eastAsia="Times New Roman" w:hAnsi="Times New Roman"/>
          <w:sz w:val="24"/>
        </w:rPr>
      </w:pPr>
      <w:r w:rsidRPr="00BD18B9">
        <w:rPr>
          <w:rFonts w:ascii="Times New Roman" w:eastAsia="Times New Roman" w:hAnsi="Times New Roman"/>
          <w:sz w:val="24"/>
        </w:rPr>
        <w:t xml:space="preserve">Legislators sought to help vaccination victims by both </w:t>
      </w:r>
      <w:r>
        <w:rPr>
          <w:rFonts w:ascii="Times New Roman" w:eastAsia="Times New Roman" w:hAnsi="Times New Roman"/>
          <w:sz w:val="24"/>
        </w:rPr>
        <w:t>lowering</w:t>
      </w:r>
      <w:r w:rsidRPr="00BD18B9">
        <w:rPr>
          <w:rFonts w:ascii="Times New Roman" w:eastAsia="Times New Roman" w:hAnsi="Times New Roman"/>
          <w:sz w:val="24"/>
        </w:rPr>
        <w:t xml:space="preserve"> their burden of proof as well as establishing a short and efficient procedure for deliberating their claims. Furthermore, legislators believed that the assurance of compensation to vaccination victims would help in preserving a high rate of vaccination compliance. An examination of the law's implementation over time revealed that the aforementioned goals </w:t>
      </w:r>
      <w:proofErr w:type="gramStart"/>
      <w:r w:rsidRPr="00BD18B9">
        <w:rPr>
          <w:rFonts w:ascii="Times New Roman" w:eastAsia="Times New Roman" w:hAnsi="Times New Roman"/>
          <w:sz w:val="24"/>
        </w:rPr>
        <w:t>were not attained</w:t>
      </w:r>
      <w:proofErr w:type="gramEnd"/>
      <w:r w:rsidRPr="00BD18B9">
        <w:rPr>
          <w:rFonts w:ascii="Times New Roman" w:eastAsia="Times New Roman" w:hAnsi="Times New Roman"/>
          <w:sz w:val="24"/>
        </w:rPr>
        <w:t xml:space="preserve">. </w:t>
      </w:r>
    </w:p>
    <w:p w:rsidR="00CF79FE" w:rsidRPr="00864B63" w:rsidRDefault="00CF79FE" w:rsidP="00CF79FE">
      <w:pPr>
        <w:bidi w:val="0"/>
        <w:rPr>
          <w:rFonts w:ascii="Times New Roman" w:eastAsia="Times New Roman" w:hAnsi="Times New Roman"/>
          <w:b/>
          <w:bCs/>
          <w:sz w:val="24"/>
        </w:rPr>
      </w:pPr>
      <w:r w:rsidRPr="00864B63">
        <w:rPr>
          <w:rFonts w:ascii="Times New Roman" w:eastAsia="Times New Roman" w:hAnsi="Times New Roman"/>
          <w:b/>
          <w:bCs/>
          <w:sz w:val="24"/>
        </w:rPr>
        <w:t>Conclusions and Implications Pertaining to Practice and Policy:</w:t>
      </w:r>
    </w:p>
    <w:p w:rsidR="00CF79FE" w:rsidRPr="00BD18B9" w:rsidRDefault="00CF79FE" w:rsidP="00CF79FE">
      <w:pPr>
        <w:bidi w:val="0"/>
        <w:jc w:val="both"/>
        <w:rPr>
          <w:rFonts w:ascii="Times New Roman" w:eastAsia="Times New Roman" w:hAnsi="Times New Roman"/>
          <w:sz w:val="24"/>
        </w:rPr>
      </w:pPr>
      <w:proofErr w:type="gramStart"/>
      <w:r w:rsidRPr="00BD18B9">
        <w:rPr>
          <w:rFonts w:ascii="Times New Roman" w:eastAsia="Times New Roman" w:hAnsi="Times New Roman"/>
          <w:sz w:val="24"/>
        </w:rPr>
        <w:t>The legislators</w:t>
      </w:r>
      <w:r>
        <w:rPr>
          <w:rFonts w:ascii="Times New Roman" w:eastAsia="Times New Roman" w:hAnsi="Times New Roman"/>
          <w:sz w:val="24"/>
        </w:rPr>
        <w:t>’</w:t>
      </w:r>
      <w:r w:rsidRPr="00BD18B9">
        <w:rPr>
          <w:rFonts w:ascii="Times New Roman" w:eastAsia="Times New Roman" w:hAnsi="Times New Roman"/>
          <w:sz w:val="24"/>
        </w:rPr>
        <w:t xml:space="preserve"> intent of employing a 2020 </w:t>
      </w:r>
      <w:r>
        <w:rPr>
          <w:rFonts w:ascii="Times New Roman" w:eastAsia="Times New Roman" w:hAnsi="Times New Roman"/>
          <w:sz w:val="24"/>
        </w:rPr>
        <w:t>directive</w:t>
      </w:r>
      <w:r w:rsidRPr="00BD18B9">
        <w:rPr>
          <w:rFonts w:ascii="Times New Roman" w:eastAsia="Times New Roman" w:hAnsi="Times New Roman"/>
          <w:sz w:val="24"/>
        </w:rPr>
        <w:t xml:space="preserve"> to update the list of vaccinations victims could be compensated for according to the Law's provisions, alongside a </w:t>
      </w:r>
      <w:r>
        <w:rPr>
          <w:rFonts w:ascii="Times New Roman" w:eastAsia="Times New Roman" w:hAnsi="Times New Roman"/>
          <w:sz w:val="24"/>
        </w:rPr>
        <w:t>“</w:t>
      </w:r>
      <w:r w:rsidRPr="00BD18B9">
        <w:rPr>
          <w:rFonts w:ascii="Times New Roman" w:eastAsia="Times New Roman" w:hAnsi="Times New Roman"/>
          <w:sz w:val="24"/>
        </w:rPr>
        <w:t>no liability</w:t>
      </w:r>
      <w:r>
        <w:rPr>
          <w:rFonts w:ascii="Times New Roman" w:eastAsia="Times New Roman" w:hAnsi="Times New Roman"/>
          <w:sz w:val="24"/>
        </w:rPr>
        <w:t>”</w:t>
      </w:r>
      <w:r w:rsidRPr="00BD18B9">
        <w:rPr>
          <w:rFonts w:ascii="Times New Roman" w:eastAsia="Times New Roman" w:hAnsi="Times New Roman"/>
          <w:sz w:val="24"/>
        </w:rPr>
        <w:t xml:space="preserve"> clause in agreements signed with the manufacturers of COVID-19 vaccines calls for a re-consideration of the manner in which claims filed according to the aforementioned Law are to be deliberated as well as for the consideration of possible amendments to the Law.</w:t>
      </w:r>
      <w:proofErr w:type="gramEnd"/>
      <w:r w:rsidRPr="00BD18B9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BD18B9">
        <w:rPr>
          <w:rFonts w:ascii="Times New Roman" w:eastAsia="Times New Roman" w:hAnsi="Times New Roman"/>
          <w:sz w:val="24"/>
        </w:rPr>
        <w:t>The determ</w:t>
      </w:r>
      <w:r>
        <w:rPr>
          <w:rFonts w:ascii="Times New Roman" w:eastAsia="Times New Roman" w:hAnsi="Times New Roman"/>
          <w:sz w:val="24"/>
        </w:rPr>
        <w:t>ination of a causal connection</w:t>
      </w:r>
      <w:r w:rsidRPr="00BD18B9">
        <w:rPr>
          <w:rFonts w:ascii="Times New Roman" w:eastAsia="Times New Roman" w:hAnsi="Times New Roman"/>
          <w:sz w:val="24"/>
        </w:rPr>
        <w:t xml:space="preserve"> according to circumstantial evidence, a transition to an administrative deliberation, the publication of cases where compensation was awarded to vaccination victims and other provisions have the capacity of evincing the values of fairness </w:t>
      </w:r>
      <w:r>
        <w:rPr>
          <w:rFonts w:ascii="Times New Roman" w:eastAsia="Times New Roman" w:hAnsi="Times New Roman"/>
          <w:sz w:val="24"/>
        </w:rPr>
        <w:t>and</w:t>
      </w:r>
      <w:r w:rsidRPr="00BD18B9">
        <w:rPr>
          <w:rFonts w:ascii="Times New Roman" w:eastAsia="Times New Roman" w:hAnsi="Times New Roman"/>
          <w:sz w:val="24"/>
        </w:rPr>
        <w:t xml:space="preserve"> solidarity that led to the Law</w:t>
      </w:r>
      <w:r>
        <w:rPr>
          <w:rFonts w:ascii="Times New Roman" w:eastAsia="Times New Roman" w:hAnsi="Times New Roman"/>
          <w:sz w:val="24"/>
        </w:rPr>
        <w:t>’</w:t>
      </w:r>
      <w:r w:rsidRPr="00BD18B9">
        <w:rPr>
          <w:rFonts w:ascii="Times New Roman" w:eastAsia="Times New Roman" w:hAnsi="Times New Roman"/>
          <w:sz w:val="24"/>
        </w:rPr>
        <w:t>s enactment, as well the capacity of promoting the kind of trust in healthcare authorities which is essential to preserving a high rate of vaccination compliance.</w:t>
      </w:r>
      <w:proofErr w:type="gramEnd"/>
      <w:r w:rsidRPr="00BD18B9">
        <w:rPr>
          <w:rFonts w:ascii="Times New Roman" w:eastAsia="Times New Roman" w:hAnsi="Times New Roman"/>
          <w:sz w:val="24"/>
        </w:rPr>
        <w:t xml:space="preserve"> </w:t>
      </w:r>
    </w:p>
    <w:p w:rsidR="00CF79FE" w:rsidRPr="00BD18B9" w:rsidRDefault="00CF79FE" w:rsidP="00CF79FE">
      <w:pPr>
        <w:bidi w:val="0"/>
        <w:jc w:val="both"/>
        <w:rPr>
          <w:rFonts w:ascii="Times New Roman" w:eastAsia="Times New Roman" w:hAnsi="Times New Roman"/>
          <w:sz w:val="24"/>
        </w:rPr>
      </w:pPr>
      <w:r w:rsidRPr="000E0F1C">
        <w:rPr>
          <w:rFonts w:ascii="Times New Roman" w:eastAsia="Times New Roman" w:hAnsi="Times New Roman"/>
          <w:b/>
          <w:bCs/>
          <w:sz w:val="24"/>
          <w:u w:val="single"/>
        </w:rPr>
        <w:t>Keywords:</w:t>
      </w:r>
      <w:r w:rsidRPr="00BD18B9">
        <w:rPr>
          <w:rFonts w:ascii="Times New Roman" w:eastAsia="Times New Roman" w:hAnsi="Times New Roman"/>
          <w:sz w:val="24"/>
        </w:rPr>
        <w:t xml:space="preserve"> vaccination, vaccine, social welfare-oriented legislation, victim compensation, fairness, solidarity, trust</w:t>
      </w:r>
    </w:p>
    <w:p w:rsidR="00CF79FE" w:rsidRDefault="00CF79FE" w:rsidP="00CF79FE">
      <w:pPr>
        <w:bidi w:val="0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CF79FE" w:rsidRDefault="00CF79FE" w:rsidP="00CF79FE">
      <w:pPr>
        <w:bidi w:val="0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CF79FE" w:rsidRDefault="00CF79FE" w:rsidP="00CF79FE">
      <w:pPr>
        <w:bidi w:val="0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CF79FE" w:rsidRDefault="00CF79FE" w:rsidP="00CF79FE">
      <w:pPr>
        <w:bidi w:val="0"/>
        <w:jc w:val="both"/>
        <w:rPr>
          <w:rFonts w:ascii="Times New Roman" w:eastAsia="Times New Roman" w:hAnsi="Times New Roman"/>
          <w:b/>
          <w:bCs/>
          <w:sz w:val="24"/>
        </w:rPr>
      </w:pPr>
      <w:bookmarkStart w:id="0" w:name="_GoBack"/>
      <w:bookmarkEnd w:id="0"/>
    </w:p>
    <w:sectPr w:rsidR="00CF79FE" w:rsidSect="00143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FE"/>
    <w:rsid w:val="001435A4"/>
    <w:rsid w:val="001A1E12"/>
    <w:rsid w:val="0021361B"/>
    <w:rsid w:val="00C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B047B-343E-4E1C-BF3F-E9E26630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FE"/>
    <w:pPr>
      <w:bidi/>
      <w:spacing w:line="240" w:lineRule="auto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2</cp:revision>
  <dcterms:created xsi:type="dcterms:W3CDTF">2020-12-15T19:15:00Z</dcterms:created>
  <dcterms:modified xsi:type="dcterms:W3CDTF">2020-12-15T19:16:00Z</dcterms:modified>
</cp:coreProperties>
</file>