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3C" w:rsidRDefault="00D85D3C" w:rsidP="00D85D3C">
      <w:pPr>
        <w:spacing w:line="360" w:lineRule="auto"/>
        <w:jc w:val="both"/>
        <w:rPr>
          <w:rFonts w:hint="cs"/>
          <w:sz w:val="24"/>
          <w:szCs w:val="24"/>
          <w:rtl/>
        </w:rPr>
      </w:pPr>
      <w:r>
        <w:rPr>
          <w:rFonts w:hint="cs"/>
          <w:sz w:val="24"/>
          <w:szCs w:val="24"/>
          <w:rtl/>
        </w:rPr>
        <w:t>1</w:t>
      </w:r>
    </w:p>
    <w:p w:rsidR="00DC67E3" w:rsidRDefault="00DC67E3" w:rsidP="003110A8">
      <w:pPr>
        <w:spacing w:line="360" w:lineRule="auto"/>
        <w:jc w:val="both"/>
        <w:rPr>
          <w:sz w:val="24"/>
          <w:szCs w:val="24"/>
          <w:rtl/>
        </w:rPr>
      </w:pPr>
      <w:r w:rsidRPr="00DC67E3">
        <w:rPr>
          <w:sz w:val="24"/>
          <w:szCs w:val="24"/>
          <w:rtl/>
        </w:rPr>
        <w:t xml:space="preserve">אדם </w:t>
      </w:r>
      <w:r>
        <w:rPr>
          <w:rFonts w:hint="cs"/>
          <w:sz w:val="24"/>
          <w:szCs w:val="24"/>
          <w:rtl/>
        </w:rPr>
        <w:t>נכשל</w:t>
      </w:r>
      <w:r w:rsidRPr="00DC67E3">
        <w:rPr>
          <w:sz w:val="24"/>
          <w:szCs w:val="24"/>
          <w:rtl/>
        </w:rPr>
        <w:t xml:space="preserve"> כשהוא מטיל את האחריות על חוה: "וַיֹּאמֶר הָאָדָם הָאִשָּׁה אֲשֶׁר </w:t>
      </w:r>
      <w:proofErr w:type="spellStart"/>
      <w:r w:rsidRPr="00DC67E3">
        <w:rPr>
          <w:sz w:val="24"/>
          <w:szCs w:val="24"/>
          <w:rtl/>
        </w:rPr>
        <w:t>נָתַתָּה</w:t>
      </w:r>
      <w:proofErr w:type="spellEnd"/>
      <w:r w:rsidRPr="00DC67E3">
        <w:rPr>
          <w:sz w:val="24"/>
          <w:szCs w:val="24"/>
          <w:rtl/>
        </w:rPr>
        <w:t xml:space="preserve"> עִמָּדִי הִוא נָתְנָה לִּי מִן הָעֵץ וָאֹכֵל"</w:t>
      </w:r>
      <w:r w:rsidR="001D212D">
        <w:rPr>
          <w:rFonts w:hint="cs"/>
          <w:sz w:val="24"/>
          <w:szCs w:val="24"/>
          <w:rtl/>
        </w:rPr>
        <w:t xml:space="preserve"> (בראשית ג</w:t>
      </w:r>
      <w:r w:rsidRPr="00DC67E3">
        <w:rPr>
          <w:sz w:val="24"/>
          <w:szCs w:val="24"/>
          <w:rtl/>
        </w:rPr>
        <w:t>,</w:t>
      </w:r>
      <w:r w:rsidR="001D212D">
        <w:rPr>
          <w:rFonts w:hint="cs"/>
          <w:sz w:val="24"/>
          <w:szCs w:val="24"/>
          <w:rtl/>
        </w:rPr>
        <w:t xml:space="preserve"> </w:t>
      </w:r>
      <w:proofErr w:type="spellStart"/>
      <w:r w:rsidR="001D212D">
        <w:rPr>
          <w:rFonts w:hint="cs"/>
          <w:sz w:val="24"/>
          <w:szCs w:val="24"/>
          <w:rtl/>
        </w:rPr>
        <w:t>יב</w:t>
      </w:r>
      <w:proofErr w:type="spellEnd"/>
      <w:r w:rsidR="001D212D">
        <w:rPr>
          <w:rFonts w:hint="cs"/>
          <w:sz w:val="24"/>
          <w:szCs w:val="24"/>
          <w:rtl/>
        </w:rPr>
        <w:t xml:space="preserve">), </w:t>
      </w:r>
      <w:r w:rsidRPr="00DC67E3">
        <w:rPr>
          <w:sz w:val="24"/>
          <w:szCs w:val="24"/>
          <w:rtl/>
        </w:rPr>
        <w:t xml:space="preserve">וחוה </w:t>
      </w:r>
      <w:r>
        <w:rPr>
          <w:rFonts w:hint="cs"/>
          <w:sz w:val="24"/>
          <w:szCs w:val="24"/>
          <w:rtl/>
        </w:rPr>
        <w:t>נכשלת</w:t>
      </w:r>
      <w:r w:rsidRPr="00DC67E3">
        <w:rPr>
          <w:sz w:val="24"/>
          <w:szCs w:val="24"/>
          <w:rtl/>
        </w:rPr>
        <w:t xml:space="preserve"> כשהיא מאשימה את הנחש: "וַתֹּאמֶר הָאִשָּׁה הַנָּחָשׁ הִשִּׁיאַנִי וָאֹכֵל"</w:t>
      </w:r>
      <w:r w:rsidR="001D212D">
        <w:rPr>
          <w:rFonts w:hint="cs"/>
          <w:sz w:val="24"/>
          <w:szCs w:val="24"/>
          <w:rtl/>
        </w:rPr>
        <w:t xml:space="preserve"> (</w:t>
      </w:r>
      <w:proofErr w:type="spellStart"/>
      <w:r w:rsidR="001D212D">
        <w:rPr>
          <w:rFonts w:hint="cs"/>
          <w:sz w:val="24"/>
          <w:szCs w:val="24"/>
          <w:rtl/>
        </w:rPr>
        <w:t>יג</w:t>
      </w:r>
      <w:proofErr w:type="spellEnd"/>
      <w:r w:rsidR="001D212D">
        <w:rPr>
          <w:rFonts w:hint="cs"/>
          <w:sz w:val="24"/>
          <w:szCs w:val="24"/>
          <w:rtl/>
        </w:rPr>
        <w:t>)</w:t>
      </w:r>
      <w:r w:rsidRPr="00DC67E3">
        <w:rPr>
          <w:sz w:val="24"/>
          <w:szCs w:val="24"/>
          <w:rtl/>
        </w:rPr>
        <w:t xml:space="preserve">. עיקר החטא הוא באי-לקיחת אחריות ובהפניית אצבע מאשימה כלפי הזולת. חטא גן עדן מורכב אפוא מחטא הכניעה ליצר, מחטא הגאווה </w:t>
      </w:r>
      <w:r>
        <w:rPr>
          <w:rFonts w:hint="cs"/>
          <w:sz w:val="24"/>
          <w:szCs w:val="24"/>
          <w:rtl/>
        </w:rPr>
        <w:t>ו</w:t>
      </w:r>
      <w:r w:rsidRPr="00DC67E3">
        <w:rPr>
          <w:rFonts w:cs="Arial" w:hint="cs"/>
          <w:sz w:val="24"/>
          <w:szCs w:val="24"/>
          <w:rtl/>
        </w:rPr>
        <w:t>בחוסר</w:t>
      </w:r>
      <w:r w:rsidRPr="00DC67E3">
        <w:rPr>
          <w:rFonts w:cs="Arial"/>
          <w:sz w:val="24"/>
          <w:szCs w:val="24"/>
          <w:rtl/>
        </w:rPr>
        <w:t xml:space="preserve"> </w:t>
      </w:r>
      <w:r w:rsidRPr="00DC67E3">
        <w:rPr>
          <w:rFonts w:cs="Arial" w:hint="cs"/>
          <w:sz w:val="24"/>
          <w:szCs w:val="24"/>
          <w:rtl/>
        </w:rPr>
        <w:t>נכונות</w:t>
      </w:r>
      <w:r w:rsidRPr="00DC67E3">
        <w:rPr>
          <w:rFonts w:cs="Arial"/>
          <w:sz w:val="24"/>
          <w:szCs w:val="24"/>
          <w:rtl/>
        </w:rPr>
        <w:t xml:space="preserve"> </w:t>
      </w:r>
      <w:r w:rsidRPr="00DC67E3">
        <w:rPr>
          <w:rFonts w:cs="Arial" w:hint="cs"/>
          <w:sz w:val="24"/>
          <w:szCs w:val="24"/>
          <w:rtl/>
        </w:rPr>
        <w:t>לקחת</w:t>
      </w:r>
      <w:r w:rsidRPr="00DC67E3">
        <w:rPr>
          <w:rFonts w:cs="Arial"/>
          <w:sz w:val="24"/>
          <w:szCs w:val="24"/>
          <w:rtl/>
        </w:rPr>
        <w:t xml:space="preserve"> </w:t>
      </w:r>
      <w:r w:rsidRPr="00DC67E3">
        <w:rPr>
          <w:rFonts w:cs="Arial" w:hint="cs"/>
          <w:sz w:val="24"/>
          <w:szCs w:val="24"/>
          <w:rtl/>
        </w:rPr>
        <w:t>אחריות</w:t>
      </w:r>
      <w:r w:rsidRPr="00DC67E3">
        <w:rPr>
          <w:rFonts w:cs="Arial"/>
          <w:sz w:val="24"/>
          <w:szCs w:val="24"/>
          <w:rtl/>
        </w:rPr>
        <w:t xml:space="preserve"> </w:t>
      </w:r>
      <w:r w:rsidRPr="00DC67E3">
        <w:rPr>
          <w:rFonts w:cs="Arial" w:hint="cs"/>
          <w:sz w:val="24"/>
          <w:szCs w:val="24"/>
          <w:rtl/>
        </w:rPr>
        <w:t>על</w:t>
      </w:r>
      <w:r w:rsidRPr="00DC67E3">
        <w:rPr>
          <w:rFonts w:cs="Arial"/>
          <w:sz w:val="24"/>
          <w:szCs w:val="24"/>
          <w:rtl/>
        </w:rPr>
        <w:t xml:space="preserve"> </w:t>
      </w:r>
      <w:r w:rsidRPr="00DC67E3">
        <w:rPr>
          <w:rFonts w:cs="Arial" w:hint="cs"/>
          <w:sz w:val="24"/>
          <w:szCs w:val="24"/>
          <w:rtl/>
        </w:rPr>
        <w:t>כישלונותינו</w:t>
      </w:r>
      <w:r w:rsidRPr="00DC67E3">
        <w:rPr>
          <w:rFonts w:cs="Arial"/>
          <w:sz w:val="24"/>
          <w:szCs w:val="24"/>
          <w:rtl/>
        </w:rPr>
        <w:t>.</w:t>
      </w:r>
    </w:p>
    <w:p w:rsidR="00EF1CD7" w:rsidRDefault="00D814FE" w:rsidP="001D212D">
      <w:pPr>
        <w:spacing w:line="360" w:lineRule="auto"/>
        <w:jc w:val="both"/>
        <w:rPr>
          <w:sz w:val="24"/>
          <w:szCs w:val="24"/>
          <w:rtl/>
        </w:rPr>
      </w:pPr>
      <w:r>
        <w:rPr>
          <w:rFonts w:hint="cs"/>
          <w:sz w:val="24"/>
          <w:szCs w:val="24"/>
          <w:rtl/>
        </w:rPr>
        <w:t>2</w:t>
      </w:r>
    </w:p>
    <w:p w:rsidR="00EF1CD7" w:rsidRDefault="00EF1CD7" w:rsidP="009C2F19">
      <w:pPr>
        <w:spacing w:line="360" w:lineRule="auto"/>
        <w:jc w:val="both"/>
        <w:rPr>
          <w:sz w:val="24"/>
          <w:szCs w:val="24"/>
          <w:rtl/>
        </w:rPr>
      </w:pPr>
      <w:r>
        <w:rPr>
          <w:rFonts w:hint="cs"/>
          <w:sz w:val="24"/>
          <w:szCs w:val="24"/>
          <w:rtl/>
        </w:rPr>
        <w:t xml:space="preserve">הפרוטסטנטיות ובעיקר הקלוויניסטים </w:t>
      </w:r>
      <w:proofErr w:type="spellStart"/>
      <w:r w:rsidR="009C2F19" w:rsidRPr="009C2F19">
        <w:rPr>
          <w:rFonts w:hint="cs"/>
          <w:sz w:val="24"/>
          <w:szCs w:val="24"/>
          <w:rtl/>
        </w:rPr>
        <w:t>והלותרנים</w:t>
      </w:r>
      <w:proofErr w:type="spellEnd"/>
      <w:r w:rsidR="009C2F19">
        <w:rPr>
          <w:rFonts w:hint="cs"/>
          <w:sz w:val="24"/>
          <w:szCs w:val="24"/>
          <w:rtl/>
        </w:rPr>
        <w:t xml:space="preserve">, </w:t>
      </w:r>
    </w:p>
    <w:p w:rsidR="00EF1CD7" w:rsidRDefault="00D814FE" w:rsidP="001D212D">
      <w:pPr>
        <w:spacing w:line="360" w:lineRule="auto"/>
        <w:jc w:val="both"/>
        <w:rPr>
          <w:sz w:val="24"/>
          <w:szCs w:val="24"/>
          <w:rtl/>
        </w:rPr>
      </w:pPr>
      <w:r>
        <w:rPr>
          <w:rFonts w:hint="cs"/>
          <w:sz w:val="24"/>
          <w:szCs w:val="24"/>
          <w:rtl/>
        </w:rPr>
        <w:t>3</w:t>
      </w:r>
    </w:p>
    <w:p w:rsidR="00EF1CD7" w:rsidRDefault="007241F9" w:rsidP="00747C2B">
      <w:pPr>
        <w:spacing w:line="360" w:lineRule="auto"/>
        <w:jc w:val="both"/>
        <w:rPr>
          <w:sz w:val="24"/>
          <w:szCs w:val="24"/>
          <w:rtl/>
        </w:rPr>
      </w:pPr>
      <w:r>
        <w:rPr>
          <w:rFonts w:hint="cs"/>
          <w:sz w:val="24"/>
          <w:szCs w:val="24"/>
          <w:rtl/>
        </w:rPr>
        <w:t xml:space="preserve">המערכת הדתית שהציגה את רעיון הגזירה הקדומה </w:t>
      </w:r>
      <w:r w:rsidR="00747C2B" w:rsidRPr="00747C2B">
        <w:rPr>
          <w:rFonts w:hint="cs"/>
          <w:sz w:val="24"/>
          <w:szCs w:val="24"/>
          <w:rtl/>
        </w:rPr>
        <w:t>(</w:t>
      </w:r>
      <w:proofErr w:type="spellStart"/>
      <w:r w:rsidR="00747C2B" w:rsidRPr="00747C2B">
        <w:rPr>
          <w:sz w:val="24"/>
          <w:szCs w:val="24"/>
          <w:rtl/>
        </w:rPr>
        <w:t>פרדסטינציה</w:t>
      </w:r>
      <w:proofErr w:type="spellEnd"/>
      <w:r w:rsidR="00747C2B" w:rsidRPr="00747C2B">
        <w:rPr>
          <w:rFonts w:hint="cs"/>
          <w:sz w:val="24"/>
          <w:szCs w:val="24"/>
          <w:rtl/>
        </w:rPr>
        <w:t xml:space="preserve">) </w:t>
      </w:r>
      <w:r>
        <w:rPr>
          <w:rFonts w:hint="cs"/>
          <w:sz w:val="24"/>
          <w:szCs w:val="24"/>
          <w:rtl/>
        </w:rPr>
        <w:t xml:space="preserve">כדטרמיניזם קיצוני הותירה למאמין </w:t>
      </w:r>
      <w:r w:rsidR="00E54DA8">
        <w:rPr>
          <w:rFonts w:hint="cs"/>
          <w:sz w:val="24"/>
          <w:szCs w:val="24"/>
          <w:rtl/>
        </w:rPr>
        <w:t>את החיפוש אחר סימני הבחירה ו</w:t>
      </w:r>
      <w:r w:rsidR="009C2F19">
        <w:rPr>
          <w:rFonts w:hint="cs"/>
          <w:sz w:val="24"/>
          <w:szCs w:val="24"/>
          <w:rtl/>
        </w:rPr>
        <w:t xml:space="preserve">סימנים </w:t>
      </w:r>
      <w:r w:rsidR="00E54DA8">
        <w:rPr>
          <w:rFonts w:hint="cs"/>
          <w:sz w:val="24"/>
          <w:szCs w:val="24"/>
          <w:rtl/>
        </w:rPr>
        <w:t xml:space="preserve">אלו היו </w:t>
      </w:r>
      <w:r>
        <w:rPr>
          <w:rFonts w:hint="cs"/>
          <w:sz w:val="24"/>
          <w:szCs w:val="24"/>
          <w:rtl/>
        </w:rPr>
        <w:t xml:space="preserve">חומריים </w:t>
      </w:r>
      <w:r w:rsidR="00E54DA8">
        <w:rPr>
          <w:rFonts w:hint="cs"/>
          <w:sz w:val="24"/>
          <w:szCs w:val="24"/>
          <w:rtl/>
        </w:rPr>
        <w:t>ו</w:t>
      </w:r>
      <w:r>
        <w:rPr>
          <w:rFonts w:hint="cs"/>
          <w:sz w:val="24"/>
          <w:szCs w:val="24"/>
          <w:rtl/>
        </w:rPr>
        <w:t>ארציים.</w:t>
      </w:r>
      <w:r w:rsidR="00E54DA8">
        <w:rPr>
          <w:rFonts w:hint="cs"/>
          <w:sz w:val="24"/>
          <w:szCs w:val="24"/>
          <w:rtl/>
        </w:rPr>
        <w:t xml:space="preserve"> </w:t>
      </w:r>
    </w:p>
    <w:p w:rsidR="00EF1CD7" w:rsidRDefault="00D814FE" w:rsidP="001D212D">
      <w:pPr>
        <w:spacing w:line="360" w:lineRule="auto"/>
        <w:jc w:val="both"/>
        <w:rPr>
          <w:sz w:val="24"/>
          <w:szCs w:val="24"/>
          <w:rtl/>
        </w:rPr>
      </w:pPr>
      <w:r>
        <w:rPr>
          <w:rFonts w:hint="cs"/>
          <w:sz w:val="24"/>
          <w:szCs w:val="24"/>
          <w:rtl/>
        </w:rPr>
        <w:t>4</w:t>
      </w:r>
    </w:p>
    <w:p w:rsidR="00EF1CD7" w:rsidRDefault="00EF1CD7" w:rsidP="009C2F19">
      <w:pPr>
        <w:spacing w:line="360" w:lineRule="auto"/>
        <w:jc w:val="both"/>
        <w:rPr>
          <w:sz w:val="24"/>
          <w:szCs w:val="24"/>
          <w:rtl/>
        </w:rPr>
      </w:pPr>
      <w:r>
        <w:rPr>
          <w:rFonts w:hint="cs"/>
          <w:sz w:val="24"/>
          <w:szCs w:val="24"/>
          <w:rtl/>
        </w:rPr>
        <w:t>דוקטרינת הגזירה הקדומה הנחתה גם את הפוריטנים</w:t>
      </w:r>
      <w:r w:rsidR="001F5092" w:rsidRPr="001F5092">
        <w:rPr>
          <w:rFonts w:hint="cs"/>
          <w:rtl/>
        </w:rPr>
        <w:t xml:space="preserve"> </w:t>
      </w:r>
      <w:r w:rsidR="001F5092" w:rsidRPr="001F5092">
        <w:rPr>
          <w:rFonts w:cs="Arial" w:hint="cs"/>
          <w:sz w:val="24"/>
          <w:szCs w:val="24"/>
          <w:rtl/>
        </w:rPr>
        <w:t>בכל</w:t>
      </w:r>
      <w:r w:rsidR="001F5092" w:rsidRPr="001F5092">
        <w:rPr>
          <w:rFonts w:cs="Arial"/>
          <w:sz w:val="24"/>
          <w:szCs w:val="24"/>
          <w:rtl/>
        </w:rPr>
        <w:t xml:space="preserve"> </w:t>
      </w:r>
      <w:r w:rsidR="001F5092" w:rsidRPr="001F5092">
        <w:rPr>
          <w:rFonts w:cs="Arial" w:hint="cs"/>
          <w:sz w:val="24"/>
          <w:szCs w:val="24"/>
          <w:rtl/>
        </w:rPr>
        <w:t>אורחות</w:t>
      </w:r>
      <w:r w:rsidR="001F5092" w:rsidRPr="001F5092">
        <w:rPr>
          <w:rFonts w:cs="Arial"/>
          <w:sz w:val="24"/>
          <w:szCs w:val="24"/>
          <w:rtl/>
        </w:rPr>
        <w:t xml:space="preserve"> </w:t>
      </w:r>
      <w:r w:rsidR="001F5092" w:rsidRPr="001F5092">
        <w:rPr>
          <w:rFonts w:cs="Arial" w:hint="cs"/>
          <w:sz w:val="24"/>
          <w:szCs w:val="24"/>
          <w:rtl/>
        </w:rPr>
        <w:t>חייהם</w:t>
      </w:r>
      <w:r w:rsidR="001F5092">
        <w:rPr>
          <w:rFonts w:hint="cs"/>
          <w:sz w:val="24"/>
          <w:szCs w:val="24"/>
          <w:rtl/>
        </w:rPr>
        <w:t xml:space="preserve">. הפוריטנים היו היורשים הישירים של הקלוויניסטים, </w:t>
      </w:r>
      <w:r w:rsidR="00194B37">
        <w:rPr>
          <w:rFonts w:hint="cs"/>
          <w:sz w:val="24"/>
          <w:szCs w:val="24"/>
          <w:rtl/>
        </w:rPr>
        <w:t>ו</w:t>
      </w:r>
      <w:r w:rsidR="001F5092">
        <w:rPr>
          <w:rFonts w:hint="cs"/>
          <w:sz w:val="24"/>
          <w:szCs w:val="24"/>
          <w:rtl/>
        </w:rPr>
        <w:t>בנו</w:t>
      </w:r>
      <w:r>
        <w:rPr>
          <w:rFonts w:hint="cs"/>
          <w:sz w:val="24"/>
          <w:szCs w:val="24"/>
          <w:rtl/>
        </w:rPr>
        <w:t xml:space="preserve"> </w:t>
      </w:r>
      <w:r w:rsidR="001F5092">
        <w:rPr>
          <w:rFonts w:hint="cs"/>
          <w:sz w:val="24"/>
          <w:szCs w:val="24"/>
          <w:rtl/>
        </w:rPr>
        <w:t xml:space="preserve">את </w:t>
      </w:r>
      <w:r>
        <w:rPr>
          <w:rFonts w:hint="cs"/>
          <w:sz w:val="24"/>
          <w:szCs w:val="24"/>
          <w:rtl/>
        </w:rPr>
        <w:t>'אנגליה החדשה' (מסצ'וסטס)</w:t>
      </w:r>
      <w:r w:rsidR="001F5092">
        <w:rPr>
          <w:rFonts w:hint="cs"/>
          <w:sz w:val="24"/>
          <w:szCs w:val="24"/>
          <w:rtl/>
        </w:rPr>
        <w:t xml:space="preserve"> </w:t>
      </w:r>
      <w:r w:rsidR="00194B37">
        <w:rPr>
          <w:rFonts w:hint="cs"/>
          <w:sz w:val="24"/>
          <w:szCs w:val="24"/>
          <w:rtl/>
        </w:rPr>
        <w:t>ש</w:t>
      </w:r>
      <w:r w:rsidR="001F5092">
        <w:rPr>
          <w:rFonts w:hint="cs"/>
          <w:sz w:val="24"/>
          <w:szCs w:val="24"/>
          <w:rtl/>
        </w:rPr>
        <w:t xml:space="preserve">הפכה לערש התרבות האמריקנית </w:t>
      </w:r>
      <w:r w:rsidR="001F5092" w:rsidRPr="001F5092">
        <w:rPr>
          <w:rFonts w:hint="cs"/>
          <w:sz w:val="24"/>
          <w:szCs w:val="24"/>
          <w:rtl/>
        </w:rPr>
        <w:t>(רוטנברג 1994, 33-38)</w:t>
      </w:r>
      <w:r>
        <w:rPr>
          <w:rFonts w:hint="cs"/>
          <w:sz w:val="24"/>
          <w:szCs w:val="24"/>
          <w:rtl/>
        </w:rPr>
        <w:t xml:space="preserve">. מכאן עולה שאלה מעניינת </w:t>
      </w:r>
      <w:r>
        <w:rPr>
          <w:sz w:val="24"/>
          <w:szCs w:val="24"/>
          <w:rtl/>
        </w:rPr>
        <w:t>–</w:t>
      </w:r>
      <w:r>
        <w:rPr>
          <w:rFonts w:hint="cs"/>
          <w:sz w:val="24"/>
          <w:szCs w:val="24"/>
          <w:rtl/>
        </w:rPr>
        <w:t xml:space="preserve"> אם ה</w:t>
      </w:r>
      <w:r w:rsidR="00747C2B">
        <w:rPr>
          <w:rFonts w:hint="cs"/>
          <w:sz w:val="24"/>
          <w:szCs w:val="24"/>
          <w:rtl/>
        </w:rPr>
        <w:t>אמונה ב</w:t>
      </w:r>
      <w:r>
        <w:rPr>
          <w:rFonts w:hint="cs"/>
          <w:sz w:val="24"/>
          <w:szCs w:val="24"/>
          <w:rtl/>
        </w:rPr>
        <w:t>גזירה הקדומה הנחתה את חייהם של כל אותם קולוניאליסטים במסצ'וסטס, הרי מדובר בדטרמיניזם האומר שאין כל סיכוי למאמציהם, והפוריטנים, כידוע, היו חרוצים מאוד. כיצד מתיישב המסר הכפול בין הגזירה הקדומה ובין ה</w:t>
      </w:r>
      <w:r w:rsidR="003A0E69">
        <w:rPr>
          <w:rFonts w:hint="cs"/>
          <w:sz w:val="24"/>
          <w:szCs w:val="24"/>
          <w:rtl/>
        </w:rPr>
        <w:t>ערכים של ה</w:t>
      </w:r>
      <w:r w:rsidR="00337515">
        <w:rPr>
          <w:rFonts w:hint="cs"/>
          <w:sz w:val="24"/>
          <w:szCs w:val="24"/>
          <w:rtl/>
        </w:rPr>
        <w:t>מורשת</w:t>
      </w:r>
      <w:r>
        <w:rPr>
          <w:rFonts w:hint="cs"/>
          <w:sz w:val="24"/>
          <w:szCs w:val="24"/>
          <w:rtl/>
        </w:rPr>
        <w:t xml:space="preserve"> הפוריטני</w:t>
      </w:r>
      <w:r w:rsidR="00337515">
        <w:rPr>
          <w:rFonts w:hint="cs"/>
          <w:sz w:val="24"/>
          <w:szCs w:val="24"/>
          <w:rtl/>
        </w:rPr>
        <w:t>ת</w:t>
      </w:r>
      <w:r>
        <w:rPr>
          <w:rFonts w:hint="cs"/>
          <w:sz w:val="24"/>
          <w:szCs w:val="24"/>
          <w:rtl/>
        </w:rPr>
        <w:t xml:space="preserve"> כ</w:t>
      </w:r>
      <w:r w:rsidR="003A0E69">
        <w:rPr>
          <w:rFonts w:hint="cs"/>
          <w:sz w:val="24"/>
          <w:szCs w:val="24"/>
          <w:rtl/>
        </w:rPr>
        <w:t>גון</w:t>
      </w:r>
      <w:r>
        <w:rPr>
          <w:rFonts w:hint="cs"/>
          <w:sz w:val="24"/>
          <w:szCs w:val="24"/>
          <w:rtl/>
        </w:rPr>
        <w:t xml:space="preserve"> </w:t>
      </w:r>
      <w:proofErr w:type="spellStart"/>
      <w:r w:rsidR="00337515" w:rsidRPr="00337515">
        <w:rPr>
          <w:sz w:val="24"/>
          <w:szCs w:val="24"/>
        </w:rPr>
        <w:t>ˮeveryone</w:t>
      </w:r>
      <w:proofErr w:type="spellEnd"/>
      <w:r w:rsidR="00337515" w:rsidRPr="00337515">
        <w:rPr>
          <w:sz w:val="24"/>
          <w:szCs w:val="24"/>
        </w:rPr>
        <w:t xml:space="preserve"> is the master of his own </w:t>
      </w:r>
      <w:proofErr w:type="spellStart"/>
      <w:r w:rsidR="00337515" w:rsidRPr="00337515">
        <w:rPr>
          <w:sz w:val="24"/>
          <w:szCs w:val="24"/>
        </w:rPr>
        <w:t>destinyˮ</w:t>
      </w:r>
      <w:proofErr w:type="spellEnd"/>
      <w:r w:rsidR="00337515" w:rsidRPr="00337515">
        <w:rPr>
          <w:rFonts w:cs="Arial" w:hint="cs"/>
          <w:sz w:val="24"/>
          <w:szCs w:val="24"/>
          <w:rtl/>
        </w:rPr>
        <w:t xml:space="preserve"> </w:t>
      </w:r>
      <w:r>
        <w:rPr>
          <w:rFonts w:hint="cs"/>
          <w:sz w:val="24"/>
          <w:szCs w:val="24"/>
          <w:rtl/>
        </w:rPr>
        <w:t>ו'ה</w:t>
      </w:r>
      <w:r w:rsidR="003A0E69">
        <w:rPr>
          <w:rFonts w:hint="cs"/>
          <w:sz w:val="24"/>
          <w:szCs w:val="24"/>
          <w:rtl/>
        </w:rPr>
        <w:t>ה</w:t>
      </w:r>
      <w:r>
        <w:rPr>
          <w:rFonts w:hint="cs"/>
          <w:sz w:val="24"/>
          <w:szCs w:val="24"/>
          <w:rtl/>
        </w:rPr>
        <w:t xml:space="preserve">זדמנויות </w:t>
      </w:r>
      <w:r w:rsidR="003A0E69">
        <w:rPr>
          <w:rFonts w:hint="cs"/>
          <w:sz w:val="24"/>
          <w:szCs w:val="24"/>
          <w:rtl/>
        </w:rPr>
        <w:t>ה</w:t>
      </w:r>
      <w:r>
        <w:rPr>
          <w:rFonts w:hint="cs"/>
          <w:sz w:val="24"/>
          <w:szCs w:val="24"/>
          <w:rtl/>
        </w:rPr>
        <w:t>בלתי מוגבלות</w:t>
      </w:r>
      <w:r w:rsidR="003A0E69">
        <w:rPr>
          <w:rFonts w:hint="cs"/>
          <w:sz w:val="24"/>
          <w:szCs w:val="24"/>
          <w:rtl/>
        </w:rPr>
        <w:t xml:space="preserve"> של אמריקה</w:t>
      </w:r>
      <w:r>
        <w:rPr>
          <w:rFonts w:hint="cs"/>
          <w:sz w:val="24"/>
          <w:szCs w:val="24"/>
          <w:rtl/>
        </w:rPr>
        <w:t xml:space="preserve">', שנשארו חזקים בסולם הערכים האמריקאים עד היום. כיצד יכול לפעול בו-זמנית רצון חופשי ודטרמיניזם. </w:t>
      </w:r>
      <w:r w:rsidR="001F5092">
        <w:rPr>
          <w:rFonts w:hint="cs"/>
          <w:sz w:val="24"/>
          <w:szCs w:val="24"/>
          <w:rtl/>
        </w:rPr>
        <w:t xml:space="preserve">תשובה אפשרית, המזכירה את טיעוניו של וובר תתמקד במרכזיותה של העבודה, </w:t>
      </w:r>
      <w:r w:rsidR="003A0E69">
        <w:rPr>
          <w:rFonts w:hint="cs"/>
          <w:sz w:val="24"/>
          <w:szCs w:val="24"/>
          <w:rtl/>
        </w:rPr>
        <w:t>כיוון ש</w:t>
      </w:r>
      <w:r w:rsidR="001F5092">
        <w:rPr>
          <w:rFonts w:hint="cs"/>
          <w:sz w:val="24"/>
          <w:szCs w:val="24"/>
          <w:rtl/>
        </w:rPr>
        <w:t>ה</w:t>
      </w:r>
      <w:r w:rsidR="003A0E69">
        <w:rPr>
          <w:rFonts w:hint="cs"/>
          <w:sz w:val="24"/>
          <w:szCs w:val="24"/>
          <w:rtl/>
        </w:rPr>
        <w:t>עבודה ה</w:t>
      </w:r>
      <w:r w:rsidR="001F5092">
        <w:rPr>
          <w:rFonts w:hint="cs"/>
          <w:sz w:val="24"/>
          <w:szCs w:val="24"/>
          <w:rtl/>
        </w:rPr>
        <w:t>פכה</w:t>
      </w:r>
      <w:r w:rsidR="003A0E69">
        <w:rPr>
          <w:rFonts w:hint="cs"/>
          <w:sz w:val="24"/>
          <w:szCs w:val="24"/>
          <w:rtl/>
        </w:rPr>
        <w:t xml:space="preserve"> </w:t>
      </w:r>
      <w:r w:rsidR="001F5092">
        <w:rPr>
          <w:rFonts w:hint="cs"/>
          <w:sz w:val="24"/>
          <w:szCs w:val="24"/>
          <w:rtl/>
        </w:rPr>
        <w:t>ל</w:t>
      </w:r>
      <w:r w:rsidR="003A0E69">
        <w:rPr>
          <w:rFonts w:hint="cs"/>
          <w:sz w:val="24"/>
          <w:szCs w:val="24"/>
          <w:rtl/>
        </w:rPr>
        <w:t>זירה בה ניתן לזהות את האות האלוהי היא הופכת לייעוד ולאמצעי לעבודת האל. העבודה הכפייתית היא התשובה לחרדה דתית וקיומית בלתי רציונאלית</w:t>
      </w:r>
      <w:r w:rsidR="002F028D">
        <w:rPr>
          <w:rFonts w:hint="cs"/>
          <w:sz w:val="24"/>
          <w:szCs w:val="24"/>
          <w:rtl/>
        </w:rPr>
        <w:t xml:space="preserve"> (אילוז 2002, 44)</w:t>
      </w:r>
      <w:r w:rsidR="003A0E69">
        <w:rPr>
          <w:rFonts w:hint="cs"/>
          <w:sz w:val="24"/>
          <w:szCs w:val="24"/>
          <w:rtl/>
        </w:rPr>
        <w:t xml:space="preserve">. </w:t>
      </w:r>
      <w:r>
        <w:rPr>
          <w:rFonts w:hint="cs"/>
          <w:sz w:val="24"/>
          <w:szCs w:val="24"/>
          <w:rtl/>
        </w:rPr>
        <w:t>רוטנברג מסביר זאת</w:t>
      </w:r>
      <w:r w:rsidR="002F028D">
        <w:rPr>
          <w:rFonts w:hint="cs"/>
          <w:sz w:val="24"/>
          <w:szCs w:val="24"/>
          <w:rtl/>
        </w:rPr>
        <w:t xml:space="preserve"> באופן שונה,</w:t>
      </w:r>
      <w:r>
        <w:rPr>
          <w:rFonts w:hint="cs"/>
          <w:sz w:val="24"/>
          <w:szCs w:val="24"/>
          <w:rtl/>
        </w:rPr>
        <w:t xml:space="preserve"> באמצעות המושג "מוטיבציה בלתי-מודעת"</w:t>
      </w:r>
      <w:r w:rsidR="003A0E69">
        <w:rPr>
          <w:rFonts w:hint="cs"/>
          <w:sz w:val="24"/>
          <w:szCs w:val="24"/>
          <w:rtl/>
        </w:rPr>
        <w:t xml:space="preserve"> (</w:t>
      </w:r>
      <w:r w:rsidR="002F028D">
        <w:rPr>
          <w:rFonts w:hint="cs"/>
          <w:sz w:val="24"/>
          <w:szCs w:val="24"/>
          <w:rtl/>
        </w:rPr>
        <w:t xml:space="preserve">רוטנברג 1994, </w:t>
      </w:r>
      <w:r w:rsidR="003A0E69">
        <w:rPr>
          <w:rFonts w:hint="cs"/>
          <w:sz w:val="24"/>
          <w:szCs w:val="24"/>
          <w:rtl/>
        </w:rPr>
        <w:t>38)</w:t>
      </w:r>
      <w:r>
        <w:rPr>
          <w:rFonts w:hint="cs"/>
          <w:sz w:val="24"/>
          <w:szCs w:val="24"/>
          <w:rtl/>
        </w:rPr>
        <w:t>, מושג שהשתרש בפסיכיאטריה המודרנית. כלומר, יש לי מוטיבציה, שזה מעיד על רצון חופשי, אבל זהו רצון בלתי-מודע, שכן משהו דטרמיניסטי משפיע עליו.</w:t>
      </w:r>
      <w:r w:rsidR="001F5092">
        <w:rPr>
          <w:rFonts w:hint="cs"/>
          <w:sz w:val="24"/>
          <w:szCs w:val="24"/>
          <w:rtl/>
        </w:rPr>
        <w:t xml:space="preserve"> </w:t>
      </w:r>
    </w:p>
    <w:p w:rsidR="002F028D" w:rsidRDefault="002F028D" w:rsidP="003A0E69">
      <w:pPr>
        <w:spacing w:line="360" w:lineRule="auto"/>
        <w:jc w:val="both"/>
        <w:rPr>
          <w:rFonts w:hint="cs"/>
          <w:sz w:val="24"/>
          <w:szCs w:val="24"/>
          <w:rtl/>
        </w:rPr>
      </w:pPr>
    </w:p>
    <w:p w:rsidR="00D85D3C" w:rsidRDefault="00D85D3C" w:rsidP="003A0E69">
      <w:pPr>
        <w:spacing w:line="360" w:lineRule="auto"/>
        <w:jc w:val="both"/>
        <w:rPr>
          <w:sz w:val="24"/>
          <w:szCs w:val="24"/>
          <w:rtl/>
        </w:rPr>
      </w:pPr>
      <w:bookmarkStart w:id="0" w:name="_GoBack"/>
      <w:bookmarkEnd w:id="0"/>
    </w:p>
    <w:p w:rsidR="002C3251" w:rsidRDefault="00D814FE" w:rsidP="003A0E69">
      <w:pPr>
        <w:spacing w:line="360" w:lineRule="auto"/>
        <w:jc w:val="both"/>
        <w:rPr>
          <w:sz w:val="24"/>
          <w:szCs w:val="24"/>
          <w:rtl/>
        </w:rPr>
      </w:pPr>
      <w:r>
        <w:rPr>
          <w:rFonts w:hint="cs"/>
          <w:sz w:val="24"/>
          <w:szCs w:val="24"/>
          <w:rtl/>
        </w:rPr>
        <w:lastRenderedPageBreak/>
        <w:t>5</w:t>
      </w:r>
    </w:p>
    <w:p w:rsidR="00CB5859" w:rsidRDefault="00CB5859" w:rsidP="009C2F19">
      <w:pPr>
        <w:spacing w:line="360" w:lineRule="auto"/>
        <w:jc w:val="both"/>
        <w:rPr>
          <w:sz w:val="24"/>
          <w:szCs w:val="24"/>
          <w:rtl/>
        </w:rPr>
      </w:pPr>
      <w:r>
        <w:rPr>
          <w:rFonts w:hint="cs"/>
          <w:sz w:val="24"/>
          <w:szCs w:val="24"/>
          <w:rtl/>
        </w:rPr>
        <w:t xml:space="preserve">בזרמים הפרוטסטנטיים </w:t>
      </w:r>
      <w:r w:rsidR="009C2F19">
        <w:rPr>
          <w:rFonts w:hint="cs"/>
          <w:sz w:val="24"/>
          <w:szCs w:val="24"/>
          <w:rtl/>
        </w:rPr>
        <w:t xml:space="preserve">כמו הקלוויניסטים, </w:t>
      </w:r>
      <w:proofErr w:type="spellStart"/>
      <w:r w:rsidR="009C2F19">
        <w:rPr>
          <w:rFonts w:hint="cs"/>
          <w:sz w:val="24"/>
          <w:szCs w:val="24"/>
          <w:rtl/>
        </w:rPr>
        <w:t>הלותרנים</w:t>
      </w:r>
      <w:proofErr w:type="spellEnd"/>
      <w:r w:rsidR="009C2F19">
        <w:rPr>
          <w:rFonts w:hint="cs"/>
          <w:sz w:val="24"/>
          <w:szCs w:val="24"/>
          <w:rtl/>
        </w:rPr>
        <w:t xml:space="preserve"> והפוריטנים</w:t>
      </w:r>
    </w:p>
    <w:p w:rsidR="00CB5859" w:rsidRDefault="00D814FE" w:rsidP="003A0E69">
      <w:pPr>
        <w:spacing w:line="360" w:lineRule="auto"/>
        <w:jc w:val="both"/>
        <w:rPr>
          <w:sz w:val="24"/>
          <w:szCs w:val="24"/>
          <w:rtl/>
        </w:rPr>
      </w:pPr>
      <w:r>
        <w:rPr>
          <w:rFonts w:hint="cs"/>
          <w:sz w:val="24"/>
          <w:szCs w:val="24"/>
          <w:rtl/>
        </w:rPr>
        <w:t>6</w:t>
      </w:r>
    </w:p>
    <w:p w:rsidR="002F028D" w:rsidRDefault="00CB5859" w:rsidP="00276D34">
      <w:pPr>
        <w:spacing w:line="360" w:lineRule="auto"/>
        <w:jc w:val="both"/>
        <w:rPr>
          <w:sz w:val="24"/>
          <w:szCs w:val="24"/>
          <w:rtl/>
        </w:rPr>
      </w:pPr>
      <w:r>
        <w:rPr>
          <w:rFonts w:hint="cs"/>
          <w:sz w:val="24"/>
          <w:szCs w:val="24"/>
          <w:rtl/>
        </w:rPr>
        <w:t xml:space="preserve"> </w:t>
      </w:r>
      <w:r w:rsidR="00276D34">
        <w:rPr>
          <w:rFonts w:hint="cs"/>
          <w:sz w:val="24"/>
          <w:szCs w:val="24"/>
          <w:rtl/>
        </w:rPr>
        <w:t xml:space="preserve">הכישלון האנושי, כך למדנו, מופיע כבר בספר בראשית והוא מהווה קונספט דתי יסודי בתרבות המערב. אדם החי בתחושת כישלון ואשמה יחפש בכל מאודו סימני בחירה או נחמה. האדם חייב להצליח </w:t>
      </w:r>
      <w:r w:rsidR="00276D34">
        <w:rPr>
          <w:sz w:val="24"/>
          <w:szCs w:val="24"/>
          <w:rtl/>
        </w:rPr>
        <w:t>–</w:t>
      </w:r>
      <w:r w:rsidR="00276D34">
        <w:rPr>
          <w:rFonts w:hint="cs"/>
          <w:sz w:val="24"/>
          <w:szCs w:val="24"/>
          <w:rtl/>
        </w:rPr>
        <w:t xml:space="preserve"> זו הנחת יסוד עמוקה בתרבות המערבית שהפכה למרכזית עוד יותר בתרבות הצרכנית הקפיטליסטית המונעת על-ידי הצלחה, משווקת הצלחה ומבטיחה הצלחה. </w:t>
      </w:r>
      <w:r w:rsidR="00276D34" w:rsidRPr="00276D34">
        <w:rPr>
          <w:sz w:val="24"/>
          <w:szCs w:val="24"/>
          <w:rtl/>
        </w:rPr>
        <w:t xml:space="preserve">למעמד המיוחס </w:t>
      </w:r>
      <w:r w:rsidR="00276D34">
        <w:rPr>
          <w:rFonts w:hint="cs"/>
          <w:sz w:val="24"/>
          <w:szCs w:val="24"/>
          <w:rtl/>
        </w:rPr>
        <w:t xml:space="preserve">כיום </w:t>
      </w:r>
      <w:r w:rsidR="00276D34" w:rsidRPr="00276D34">
        <w:rPr>
          <w:sz w:val="24"/>
          <w:szCs w:val="24"/>
          <w:rtl/>
        </w:rPr>
        <w:t xml:space="preserve">להצלחה יש השפעה מרחיקת לכת על הערכתם העצמית של בני החברה המערבית. בתרבות </w:t>
      </w:r>
      <w:r w:rsidR="00276D34">
        <w:rPr>
          <w:rFonts w:hint="cs"/>
          <w:sz w:val="24"/>
          <w:szCs w:val="24"/>
          <w:rtl/>
        </w:rPr>
        <w:t xml:space="preserve">העכשווית </w:t>
      </w:r>
      <w:r w:rsidR="00276D34" w:rsidRPr="00276D34">
        <w:rPr>
          <w:sz w:val="24"/>
          <w:szCs w:val="24"/>
          <w:rtl/>
        </w:rPr>
        <w:t>שבה ההצלחה היא ערך עליון, הכישלון קשה מנשוא</w:t>
      </w:r>
      <w:r w:rsidR="00276D34">
        <w:rPr>
          <w:rFonts w:hint="cs"/>
          <w:sz w:val="24"/>
          <w:szCs w:val="24"/>
          <w:rtl/>
        </w:rPr>
        <w:t>.</w:t>
      </w:r>
    </w:p>
    <w:p w:rsidR="00276D34" w:rsidRDefault="00276D34" w:rsidP="00276D34">
      <w:pPr>
        <w:spacing w:line="360" w:lineRule="auto"/>
        <w:jc w:val="both"/>
        <w:rPr>
          <w:sz w:val="24"/>
          <w:szCs w:val="24"/>
          <w:rtl/>
        </w:rPr>
      </w:pPr>
    </w:p>
    <w:p w:rsidR="002F028D" w:rsidRPr="00B10C56" w:rsidRDefault="002F028D" w:rsidP="002F028D">
      <w:pPr>
        <w:spacing w:line="360" w:lineRule="auto"/>
        <w:jc w:val="both"/>
        <w:rPr>
          <w:color w:val="FF0000"/>
          <w:sz w:val="24"/>
          <w:szCs w:val="24"/>
          <w:rtl/>
        </w:rPr>
      </w:pPr>
      <w:r w:rsidRPr="00B10C56">
        <w:rPr>
          <w:rFonts w:hint="cs"/>
          <w:color w:val="FF0000"/>
          <w:sz w:val="24"/>
          <w:szCs w:val="24"/>
          <w:rtl/>
        </w:rPr>
        <w:t>מקור</w:t>
      </w:r>
      <w:r w:rsidR="00EE4FB1" w:rsidRPr="00B10C56">
        <w:rPr>
          <w:rFonts w:hint="cs"/>
          <w:color w:val="FF0000"/>
          <w:sz w:val="24"/>
          <w:szCs w:val="24"/>
          <w:rtl/>
        </w:rPr>
        <w:t xml:space="preserve"> נוסף</w:t>
      </w:r>
    </w:p>
    <w:p w:rsidR="00EE4FB1" w:rsidRDefault="002F028D" w:rsidP="00EE4FB1">
      <w:pPr>
        <w:spacing w:line="360" w:lineRule="auto"/>
        <w:jc w:val="both"/>
        <w:rPr>
          <w:sz w:val="24"/>
          <w:szCs w:val="24"/>
          <w:rtl/>
        </w:rPr>
      </w:pPr>
      <w:r>
        <w:rPr>
          <w:rFonts w:hint="cs"/>
          <w:sz w:val="24"/>
          <w:szCs w:val="24"/>
          <w:rtl/>
        </w:rPr>
        <w:t>אילוז</w:t>
      </w:r>
      <w:r w:rsidR="00EE4FB1">
        <w:rPr>
          <w:rFonts w:hint="cs"/>
          <w:sz w:val="24"/>
          <w:szCs w:val="24"/>
          <w:rtl/>
        </w:rPr>
        <w:t>,</w:t>
      </w:r>
      <w:r>
        <w:rPr>
          <w:rFonts w:hint="cs"/>
          <w:sz w:val="24"/>
          <w:szCs w:val="24"/>
          <w:rtl/>
        </w:rPr>
        <w:t xml:space="preserve"> אווה</w:t>
      </w:r>
      <w:r w:rsidR="00EE4FB1">
        <w:rPr>
          <w:rFonts w:hint="cs"/>
          <w:sz w:val="24"/>
          <w:szCs w:val="24"/>
          <w:rtl/>
        </w:rPr>
        <w:t xml:space="preserve"> (2002). </w:t>
      </w:r>
      <w:r w:rsidR="00EE4FB1" w:rsidRPr="00EE4FB1">
        <w:rPr>
          <w:rFonts w:hint="cs"/>
          <w:i/>
          <w:iCs/>
          <w:sz w:val="24"/>
          <w:szCs w:val="24"/>
          <w:rtl/>
        </w:rPr>
        <w:t xml:space="preserve">תרבות </w:t>
      </w:r>
      <w:proofErr w:type="spellStart"/>
      <w:r w:rsidR="00EE4FB1" w:rsidRPr="00EE4FB1">
        <w:rPr>
          <w:rFonts w:hint="cs"/>
          <w:i/>
          <w:iCs/>
          <w:sz w:val="24"/>
          <w:szCs w:val="24"/>
          <w:rtl/>
        </w:rPr>
        <w:t>הקפיטליזים</w:t>
      </w:r>
      <w:proofErr w:type="spellEnd"/>
      <w:r w:rsidR="00EE4FB1">
        <w:rPr>
          <w:rFonts w:hint="cs"/>
          <w:sz w:val="24"/>
          <w:szCs w:val="24"/>
          <w:rtl/>
        </w:rPr>
        <w:t xml:space="preserve">. </w:t>
      </w:r>
      <w:r w:rsidR="00EE4FB1" w:rsidRPr="00EE4FB1">
        <w:rPr>
          <w:sz w:val="24"/>
          <w:szCs w:val="24"/>
        </w:rPr>
        <w:t>Tel Aviv: Ministry of Defense Press</w:t>
      </w:r>
    </w:p>
    <w:p w:rsidR="00B10C56" w:rsidRDefault="00B10C56" w:rsidP="00EE4FB1">
      <w:pPr>
        <w:spacing w:line="360" w:lineRule="auto"/>
        <w:jc w:val="both"/>
        <w:rPr>
          <w:sz w:val="24"/>
          <w:szCs w:val="24"/>
          <w:rtl/>
        </w:rPr>
      </w:pPr>
    </w:p>
    <w:p w:rsidR="00B10C56" w:rsidRDefault="00B10C56" w:rsidP="00EE4FB1">
      <w:pPr>
        <w:spacing w:line="360" w:lineRule="auto"/>
        <w:jc w:val="both"/>
        <w:rPr>
          <w:color w:val="FF0000"/>
          <w:sz w:val="24"/>
          <w:szCs w:val="24"/>
          <w:rtl/>
        </w:rPr>
      </w:pPr>
      <w:r w:rsidRPr="00B10C56">
        <w:rPr>
          <w:rFonts w:hint="cs"/>
          <w:color w:val="FF0000"/>
          <w:sz w:val="24"/>
          <w:szCs w:val="24"/>
          <w:rtl/>
        </w:rPr>
        <w:t>תרגום מייל לעורכות הספר</w:t>
      </w:r>
    </w:p>
    <w:p w:rsidR="00B10C56" w:rsidRPr="00B10C56" w:rsidRDefault="00B10C56" w:rsidP="00EE4FB1">
      <w:pPr>
        <w:spacing w:line="360" w:lineRule="auto"/>
        <w:jc w:val="both"/>
        <w:rPr>
          <w:sz w:val="24"/>
          <w:szCs w:val="24"/>
          <w:rtl/>
        </w:rPr>
      </w:pPr>
      <w:proofErr w:type="spellStart"/>
      <w:r w:rsidRPr="00B10C56">
        <w:rPr>
          <w:rFonts w:hint="cs"/>
          <w:sz w:val="24"/>
          <w:szCs w:val="24"/>
          <w:rtl/>
        </w:rPr>
        <w:t>קתרינה</w:t>
      </w:r>
      <w:proofErr w:type="spellEnd"/>
      <w:r w:rsidRPr="00B10C56">
        <w:rPr>
          <w:rFonts w:hint="cs"/>
          <w:sz w:val="24"/>
          <w:szCs w:val="24"/>
          <w:rtl/>
        </w:rPr>
        <w:t xml:space="preserve"> </w:t>
      </w:r>
      <w:proofErr w:type="spellStart"/>
      <w:r w:rsidRPr="00B10C56">
        <w:rPr>
          <w:rFonts w:hint="cs"/>
          <w:sz w:val="24"/>
          <w:szCs w:val="24"/>
          <w:rtl/>
        </w:rPr>
        <w:t>ורג'ינה</w:t>
      </w:r>
      <w:proofErr w:type="spellEnd"/>
      <w:r w:rsidRPr="00B10C56">
        <w:rPr>
          <w:rFonts w:hint="cs"/>
          <w:sz w:val="24"/>
          <w:szCs w:val="24"/>
          <w:rtl/>
        </w:rPr>
        <w:t xml:space="preserve"> היקרות</w:t>
      </w:r>
    </w:p>
    <w:p w:rsidR="00B10C56" w:rsidRPr="00B10C56" w:rsidRDefault="00B10C56" w:rsidP="00B10C56">
      <w:pPr>
        <w:spacing w:line="360" w:lineRule="auto"/>
        <w:jc w:val="both"/>
        <w:rPr>
          <w:sz w:val="24"/>
          <w:szCs w:val="24"/>
          <w:rtl/>
        </w:rPr>
      </w:pPr>
      <w:r w:rsidRPr="00B10C56">
        <w:rPr>
          <w:rFonts w:hint="cs"/>
          <w:sz w:val="24"/>
          <w:szCs w:val="24"/>
          <w:rtl/>
        </w:rPr>
        <w:t xml:space="preserve">תודה לכן על </w:t>
      </w:r>
      <w:r>
        <w:rPr>
          <w:rFonts w:hint="cs"/>
          <w:sz w:val="24"/>
          <w:szCs w:val="24"/>
          <w:rtl/>
        </w:rPr>
        <w:t>העבודה המרובה שהשקעתן</w:t>
      </w:r>
      <w:r w:rsidRPr="00B10C56">
        <w:rPr>
          <w:rFonts w:hint="cs"/>
          <w:sz w:val="24"/>
          <w:szCs w:val="24"/>
          <w:rtl/>
        </w:rPr>
        <w:t xml:space="preserve"> במאמר שלי, זו הפעם השנייה, ביסודיות ובמקצועיות</w:t>
      </w:r>
    </w:p>
    <w:p w:rsidR="00B10C56" w:rsidRPr="00B10C56" w:rsidRDefault="00B10C56" w:rsidP="00B10C56">
      <w:pPr>
        <w:spacing w:line="360" w:lineRule="auto"/>
        <w:jc w:val="both"/>
        <w:rPr>
          <w:sz w:val="24"/>
          <w:szCs w:val="24"/>
          <w:rtl/>
        </w:rPr>
      </w:pPr>
      <w:r w:rsidRPr="00B10C56">
        <w:rPr>
          <w:rFonts w:hint="cs"/>
          <w:sz w:val="24"/>
          <w:szCs w:val="24"/>
          <w:rtl/>
        </w:rPr>
        <w:t xml:space="preserve">אני מצרפת את </w:t>
      </w:r>
      <w:proofErr w:type="spellStart"/>
      <w:r w:rsidRPr="00B10C56">
        <w:rPr>
          <w:rFonts w:hint="cs"/>
          <w:sz w:val="24"/>
          <w:szCs w:val="24"/>
          <w:rtl/>
        </w:rPr>
        <w:t>הגירסה</w:t>
      </w:r>
      <w:proofErr w:type="spellEnd"/>
      <w:r w:rsidRPr="00B10C56">
        <w:rPr>
          <w:rFonts w:hint="cs"/>
          <w:sz w:val="24"/>
          <w:szCs w:val="24"/>
          <w:rtl/>
        </w:rPr>
        <w:t xml:space="preserve"> הסופית לאור ההערות שקיבלתי מכן</w:t>
      </w:r>
    </w:p>
    <w:p w:rsidR="00B10C56" w:rsidRPr="00B10C56" w:rsidRDefault="00B10C56" w:rsidP="00B10C56">
      <w:pPr>
        <w:spacing w:line="360" w:lineRule="auto"/>
        <w:jc w:val="both"/>
        <w:rPr>
          <w:sz w:val="24"/>
          <w:szCs w:val="24"/>
          <w:rtl/>
        </w:rPr>
      </w:pPr>
      <w:r w:rsidRPr="00B10C56">
        <w:rPr>
          <w:rFonts w:hint="cs"/>
          <w:sz w:val="24"/>
          <w:szCs w:val="24"/>
          <w:rtl/>
        </w:rPr>
        <w:t>תודה על הכל,</w:t>
      </w:r>
    </w:p>
    <w:p w:rsidR="00B10C56" w:rsidRPr="00B10C56" w:rsidRDefault="00B10C56" w:rsidP="00B10C56">
      <w:pPr>
        <w:spacing w:line="360" w:lineRule="auto"/>
        <w:jc w:val="both"/>
        <w:rPr>
          <w:sz w:val="24"/>
          <w:szCs w:val="24"/>
        </w:rPr>
      </w:pPr>
      <w:r w:rsidRPr="00B10C56">
        <w:rPr>
          <w:rFonts w:hint="cs"/>
          <w:sz w:val="24"/>
          <w:szCs w:val="24"/>
          <w:rtl/>
        </w:rPr>
        <w:t>בינה</w:t>
      </w:r>
    </w:p>
    <w:p w:rsidR="002F028D" w:rsidRPr="00B10C56" w:rsidRDefault="002F028D" w:rsidP="002F028D">
      <w:pPr>
        <w:spacing w:line="360" w:lineRule="auto"/>
        <w:jc w:val="both"/>
        <w:rPr>
          <w:sz w:val="24"/>
          <w:szCs w:val="24"/>
          <w:rtl/>
        </w:rPr>
      </w:pPr>
    </w:p>
    <w:p w:rsidR="00C242F1" w:rsidRDefault="00C242F1" w:rsidP="001D212D">
      <w:pPr>
        <w:spacing w:line="360" w:lineRule="auto"/>
        <w:jc w:val="both"/>
        <w:rPr>
          <w:sz w:val="24"/>
          <w:szCs w:val="24"/>
          <w:rtl/>
        </w:rPr>
      </w:pPr>
    </w:p>
    <w:p w:rsidR="00C242F1" w:rsidRPr="00DC67E3" w:rsidRDefault="00C242F1" w:rsidP="001D212D">
      <w:pPr>
        <w:spacing w:line="360" w:lineRule="auto"/>
        <w:jc w:val="both"/>
        <w:rPr>
          <w:sz w:val="24"/>
          <w:szCs w:val="24"/>
        </w:rPr>
      </w:pPr>
    </w:p>
    <w:p w:rsidR="00CD0195" w:rsidRPr="00DC67E3" w:rsidRDefault="00CD0195"/>
    <w:sectPr w:rsidR="00CD0195" w:rsidRPr="00DC67E3" w:rsidSect="002752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37D" w:rsidRDefault="004B137D" w:rsidP="00DC67E3">
      <w:pPr>
        <w:spacing w:after="0" w:line="240" w:lineRule="auto"/>
      </w:pPr>
      <w:r>
        <w:separator/>
      </w:r>
    </w:p>
  </w:endnote>
  <w:endnote w:type="continuationSeparator" w:id="0">
    <w:p w:rsidR="004B137D" w:rsidRDefault="004B137D" w:rsidP="00DC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37D" w:rsidRDefault="004B137D" w:rsidP="00DC67E3">
      <w:pPr>
        <w:spacing w:after="0" w:line="240" w:lineRule="auto"/>
      </w:pPr>
      <w:r>
        <w:separator/>
      </w:r>
    </w:p>
  </w:footnote>
  <w:footnote w:type="continuationSeparator" w:id="0">
    <w:p w:rsidR="004B137D" w:rsidRDefault="004B137D" w:rsidP="00DC67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E3"/>
    <w:rsid w:val="00194B37"/>
    <w:rsid w:val="001A7DC6"/>
    <w:rsid w:val="001D212D"/>
    <w:rsid w:val="001F5092"/>
    <w:rsid w:val="00275219"/>
    <w:rsid w:val="00276D34"/>
    <w:rsid w:val="002C3251"/>
    <w:rsid w:val="002F028D"/>
    <w:rsid w:val="003110A8"/>
    <w:rsid w:val="00337515"/>
    <w:rsid w:val="003A0E69"/>
    <w:rsid w:val="004B137D"/>
    <w:rsid w:val="0058670B"/>
    <w:rsid w:val="00712913"/>
    <w:rsid w:val="007241F9"/>
    <w:rsid w:val="00747C2B"/>
    <w:rsid w:val="00912750"/>
    <w:rsid w:val="009C2F19"/>
    <w:rsid w:val="00B10C56"/>
    <w:rsid w:val="00B918B3"/>
    <w:rsid w:val="00C242F1"/>
    <w:rsid w:val="00CB5859"/>
    <w:rsid w:val="00CD0195"/>
    <w:rsid w:val="00D814FE"/>
    <w:rsid w:val="00D85D3C"/>
    <w:rsid w:val="00DC67E3"/>
    <w:rsid w:val="00E54DA8"/>
    <w:rsid w:val="00EE4FB1"/>
    <w:rsid w:val="00EF1C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C67E3"/>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uiPriority w:val="99"/>
    <w:semiHidden/>
    <w:rsid w:val="00DC67E3"/>
    <w:rPr>
      <w:rFonts w:ascii="Times New Roman" w:eastAsia="Times New Roman" w:hAnsi="Times New Roman" w:cs="Times New Roman"/>
      <w:sz w:val="20"/>
      <w:szCs w:val="20"/>
    </w:rPr>
  </w:style>
  <w:style w:type="character" w:styleId="a5">
    <w:name w:val="footnote reference"/>
    <w:basedOn w:val="a0"/>
    <w:uiPriority w:val="99"/>
    <w:semiHidden/>
    <w:unhideWhenUsed/>
    <w:rsid w:val="00DC67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C67E3"/>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uiPriority w:val="99"/>
    <w:semiHidden/>
    <w:rsid w:val="00DC67E3"/>
    <w:rPr>
      <w:rFonts w:ascii="Times New Roman" w:eastAsia="Times New Roman" w:hAnsi="Times New Roman" w:cs="Times New Roman"/>
      <w:sz w:val="20"/>
      <w:szCs w:val="20"/>
    </w:rPr>
  </w:style>
  <w:style w:type="character" w:styleId="a5">
    <w:name w:val="footnote reference"/>
    <w:basedOn w:val="a0"/>
    <w:uiPriority w:val="99"/>
    <w:semiHidden/>
    <w:unhideWhenUsed/>
    <w:rsid w:val="00DC67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416</Words>
  <Characters>2082</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bina</cp:lastModifiedBy>
  <cp:revision>15</cp:revision>
  <dcterms:created xsi:type="dcterms:W3CDTF">2017-05-20T18:43:00Z</dcterms:created>
  <dcterms:modified xsi:type="dcterms:W3CDTF">2017-05-21T20:26:00Z</dcterms:modified>
</cp:coreProperties>
</file>