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2E" w:rsidRDefault="0026342E" w:rsidP="0026342E">
      <w:pPr>
        <w:pStyle w:val="1"/>
        <w:rPr>
          <w:rFonts w:hint="cs"/>
          <w:rtl/>
        </w:rPr>
      </w:pPr>
      <w:proofErr w:type="spellStart"/>
      <w:r>
        <w:t>Menahem</w:t>
      </w:r>
      <w:proofErr w:type="spellEnd"/>
      <w:r>
        <w:t xml:space="preserve"> </w:t>
      </w:r>
      <w:proofErr w:type="spellStart"/>
      <w:r>
        <w:t>ben</w:t>
      </w:r>
      <w:proofErr w:type="spellEnd"/>
      <w:r>
        <w:t xml:space="preserve"> Solomon</w:t>
      </w:r>
    </w:p>
    <w:p w:rsidR="000D4415" w:rsidRPr="000D4415" w:rsidRDefault="000D4415" w:rsidP="000D4415"/>
    <w:p w:rsidR="00955D5B" w:rsidRPr="005F4DB8" w:rsidRDefault="00E26060" w:rsidP="00B90BF9">
      <w:pPr>
        <w:spacing w:line="360" w:lineRule="auto"/>
        <w:rPr>
          <w:rFonts w:hint="cs"/>
          <w:sz w:val="24"/>
          <w:rtl/>
        </w:rPr>
      </w:pPr>
      <w:r w:rsidRPr="005F4DB8">
        <w:rPr>
          <w:rFonts w:hint="cs"/>
          <w:sz w:val="24"/>
          <w:rtl/>
        </w:rPr>
        <w:t>ר' מנחם בן שלמה</w:t>
      </w:r>
      <w:r w:rsidR="00955D5B" w:rsidRPr="005F4DB8">
        <w:rPr>
          <w:rFonts w:hint="cs"/>
          <w:sz w:val="24"/>
          <w:rtl/>
        </w:rPr>
        <w:t xml:space="preserve"> </w:t>
      </w:r>
      <w:r w:rsidR="00EE608E" w:rsidRPr="005F4DB8">
        <w:rPr>
          <w:rFonts w:hint="cs"/>
          <w:sz w:val="24"/>
          <w:rtl/>
        </w:rPr>
        <w:t>השתייך</w:t>
      </w:r>
      <w:r w:rsidR="00955D5B" w:rsidRPr="005F4DB8">
        <w:rPr>
          <w:rFonts w:hint="cs"/>
          <w:sz w:val="24"/>
          <w:rtl/>
        </w:rPr>
        <w:t xml:space="preserve"> לאסכולת הפרשנות היהודית-ביזנטית למקרא (הכוללת גם את ר' טוביה בן אליעזר, ר' מיוחס בן אליהו </w:t>
      </w:r>
      <w:proofErr w:type="spellStart"/>
      <w:r w:rsidR="00955D5B" w:rsidRPr="005F4DB8">
        <w:rPr>
          <w:rFonts w:hint="cs"/>
          <w:sz w:val="24"/>
          <w:rtl/>
        </w:rPr>
        <w:t>ור</w:t>
      </w:r>
      <w:proofErr w:type="spellEnd"/>
      <w:r w:rsidR="00955D5B" w:rsidRPr="005F4DB8">
        <w:rPr>
          <w:rFonts w:hint="cs"/>
          <w:sz w:val="24"/>
          <w:rtl/>
        </w:rPr>
        <w:t xml:space="preserve">' שמואל </w:t>
      </w:r>
      <w:proofErr w:type="spellStart"/>
      <w:r w:rsidR="00955D5B" w:rsidRPr="005F4DB8">
        <w:rPr>
          <w:rFonts w:hint="cs"/>
          <w:sz w:val="24"/>
          <w:rtl/>
        </w:rPr>
        <w:t>רושיינא</w:t>
      </w:r>
      <w:proofErr w:type="spellEnd"/>
      <w:r w:rsidR="00955D5B" w:rsidRPr="005F4DB8">
        <w:rPr>
          <w:rFonts w:hint="cs"/>
          <w:sz w:val="24"/>
          <w:rtl/>
        </w:rPr>
        <w:t>). מקובל להניח שחי במאה השתים-עשרה באיטל</w:t>
      </w:r>
      <w:r w:rsidR="000D4415">
        <w:rPr>
          <w:rFonts w:hint="cs"/>
          <w:sz w:val="24"/>
          <w:rtl/>
        </w:rPr>
        <w:t>יה, אחת הראיות לכך היא ש</w:t>
      </w:r>
      <w:r w:rsidR="00955D5B" w:rsidRPr="005F4DB8">
        <w:rPr>
          <w:rFonts w:hint="cs"/>
          <w:sz w:val="24"/>
          <w:rtl/>
        </w:rPr>
        <w:t xml:space="preserve">בחיבוריו </w:t>
      </w:r>
      <w:r w:rsidR="00B90BF9">
        <w:rPr>
          <w:rFonts w:hint="cs"/>
          <w:sz w:val="24"/>
          <w:rtl/>
        </w:rPr>
        <w:t>הוא ה</w:t>
      </w:r>
      <w:r w:rsidR="00955D5B" w:rsidRPr="005F4DB8">
        <w:rPr>
          <w:rFonts w:hint="cs"/>
          <w:sz w:val="24"/>
          <w:rtl/>
        </w:rPr>
        <w:t xml:space="preserve">ביא רק לעזים איטלקיים. </w:t>
      </w:r>
      <w:r w:rsidR="006C55EB" w:rsidRPr="005F4DB8">
        <w:rPr>
          <w:rFonts w:hint="cs"/>
          <w:sz w:val="24"/>
          <w:rtl/>
        </w:rPr>
        <w:t>בסוף ספרו 'אבן בוחן'</w:t>
      </w:r>
      <w:r w:rsidR="00B90BF9">
        <w:rPr>
          <w:rFonts w:hint="cs"/>
          <w:sz w:val="24"/>
          <w:rtl/>
        </w:rPr>
        <w:t xml:space="preserve"> ה</w:t>
      </w:r>
      <w:r w:rsidR="00955D5B" w:rsidRPr="005F4DB8">
        <w:rPr>
          <w:rFonts w:hint="cs"/>
          <w:sz w:val="24"/>
          <w:rtl/>
        </w:rPr>
        <w:t xml:space="preserve">זכיר שלושה מבניו: </w:t>
      </w:r>
      <w:r w:rsidR="00C81DF7" w:rsidRPr="005F4DB8">
        <w:rPr>
          <w:rFonts w:hint="cs"/>
          <w:sz w:val="24"/>
          <w:rtl/>
        </w:rPr>
        <w:t>ידידיה, שאלתיאל</w:t>
      </w:r>
      <w:r w:rsidR="00955D5B" w:rsidRPr="005F4DB8">
        <w:rPr>
          <w:rFonts w:hint="cs"/>
          <w:sz w:val="24"/>
          <w:rtl/>
        </w:rPr>
        <w:t xml:space="preserve"> ויצחק</w:t>
      </w:r>
      <w:r w:rsidR="00C81DF7" w:rsidRPr="005F4DB8">
        <w:rPr>
          <w:rFonts w:hint="cs"/>
          <w:sz w:val="24"/>
          <w:rtl/>
        </w:rPr>
        <w:t>,</w:t>
      </w:r>
      <w:r w:rsidR="00955D5B" w:rsidRPr="005F4DB8">
        <w:rPr>
          <w:rFonts w:hint="cs"/>
          <w:sz w:val="24"/>
          <w:rtl/>
        </w:rPr>
        <w:t xml:space="preserve"> שהם שמות הרווחים בקרב היהדות האיטלקית בתקופה</w:t>
      </w:r>
      <w:r w:rsidR="00EE608E" w:rsidRPr="005F4DB8">
        <w:rPr>
          <w:rFonts w:hint="cs"/>
          <w:sz w:val="24"/>
          <w:rtl/>
        </w:rPr>
        <w:t xml:space="preserve"> זו</w:t>
      </w:r>
      <w:r w:rsidR="00955D5B" w:rsidRPr="005F4DB8">
        <w:rPr>
          <w:rFonts w:hint="cs"/>
          <w:sz w:val="24"/>
          <w:rtl/>
        </w:rPr>
        <w:t>. על פי ההערכות נראה שנולד בסביבות 1100, ונפטר בסביבות 1190.</w:t>
      </w:r>
    </w:p>
    <w:p w:rsidR="00955D5B" w:rsidRPr="005F4DB8" w:rsidRDefault="00EE608E" w:rsidP="00B90BF9">
      <w:pPr>
        <w:spacing w:line="360" w:lineRule="auto"/>
        <w:rPr>
          <w:rFonts w:hint="cs"/>
          <w:sz w:val="24"/>
          <w:rtl/>
        </w:rPr>
      </w:pPr>
      <w:r w:rsidRPr="005F4DB8">
        <w:rPr>
          <w:rFonts w:hint="cs"/>
          <w:sz w:val="24"/>
          <w:rtl/>
        </w:rPr>
        <w:t xml:space="preserve">ר' מנחם נהג להפנות </w:t>
      </w:r>
      <w:r w:rsidR="005F4DB8">
        <w:rPr>
          <w:rFonts w:hint="cs"/>
          <w:sz w:val="24"/>
          <w:rtl/>
        </w:rPr>
        <w:t>בספריו המאוחרים לספר</w:t>
      </w:r>
      <w:r w:rsidRPr="005F4DB8">
        <w:rPr>
          <w:rFonts w:hint="cs"/>
          <w:sz w:val="24"/>
          <w:rtl/>
        </w:rPr>
        <w:t xml:space="preserve">ים מוקדמים שלו, ולכן ניתן לשחזר את סדר </w:t>
      </w:r>
      <w:r w:rsidR="005F4DB8">
        <w:rPr>
          <w:rFonts w:hint="cs"/>
          <w:sz w:val="24"/>
          <w:rtl/>
        </w:rPr>
        <w:t>חיבורם</w:t>
      </w:r>
      <w:r w:rsidRPr="005F4DB8">
        <w:rPr>
          <w:rFonts w:hint="cs"/>
          <w:sz w:val="24"/>
          <w:rtl/>
        </w:rPr>
        <w:t xml:space="preserve">. </w:t>
      </w:r>
      <w:r w:rsidR="005F4DB8">
        <w:rPr>
          <w:rFonts w:hint="cs"/>
          <w:sz w:val="24"/>
          <w:rtl/>
        </w:rPr>
        <w:t>ספריו</w:t>
      </w:r>
      <w:r w:rsidRPr="005F4DB8">
        <w:rPr>
          <w:rFonts w:hint="cs"/>
          <w:sz w:val="24"/>
          <w:rtl/>
        </w:rPr>
        <w:t xml:space="preserve"> הידועים לנו הם: שכל טוב שחובר בשנת 1139 (על פי פירושו </w:t>
      </w:r>
      <w:proofErr w:type="spellStart"/>
      <w:r w:rsidRPr="005F4DB8">
        <w:rPr>
          <w:rFonts w:hint="cs"/>
          <w:sz w:val="24"/>
          <w:rtl/>
        </w:rPr>
        <w:t>לשמ</w:t>
      </w:r>
      <w:proofErr w:type="spellEnd"/>
      <w:r w:rsidRPr="005F4DB8">
        <w:rPr>
          <w:rFonts w:hint="cs"/>
          <w:sz w:val="24"/>
          <w:rtl/>
        </w:rPr>
        <w:t xml:space="preserve">' </w:t>
      </w:r>
      <w:proofErr w:type="spellStart"/>
      <w:r w:rsidRPr="005F4DB8">
        <w:rPr>
          <w:rFonts w:hint="cs"/>
          <w:sz w:val="24"/>
          <w:rtl/>
        </w:rPr>
        <w:t>יב</w:t>
      </w:r>
      <w:proofErr w:type="spellEnd"/>
      <w:r w:rsidRPr="005F4DB8">
        <w:rPr>
          <w:rFonts w:hint="cs"/>
          <w:sz w:val="24"/>
          <w:rtl/>
        </w:rPr>
        <w:t xml:space="preserve">, </w:t>
      </w:r>
      <w:proofErr w:type="spellStart"/>
      <w:r w:rsidRPr="005F4DB8">
        <w:rPr>
          <w:rFonts w:hint="cs"/>
          <w:sz w:val="24"/>
          <w:rtl/>
        </w:rPr>
        <w:t>מא</w:t>
      </w:r>
      <w:proofErr w:type="spellEnd"/>
      <w:r w:rsidRPr="005F4DB8">
        <w:rPr>
          <w:rFonts w:hint="cs"/>
          <w:sz w:val="24"/>
          <w:rtl/>
        </w:rPr>
        <w:t>-</w:t>
      </w:r>
      <w:proofErr w:type="spellStart"/>
      <w:r w:rsidRPr="005F4DB8">
        <w:rPr>
          <w:rFonts w:hint="cs"/>
          <w:sz w:val="24"/>
          <w:rtl/>
        </w:rPr>
        <w:t>מב</w:t>
      </w:r>
      <w:proofErr w:type="spellEnd"/>
      <w:r w:rsidRPr="005F4DB8">
        <w:rPr>
          <w:rFonts w:hint="cs"/>
          <w:sz w:val="24"/>
          <w:rtl/>
        </w:rPr>
        <w:t>); ספר משכיל שהוא ככל הנראה פירוש לספר תהלים; ספר דקדוק - 'אבן בוחן' שחובר בשנת 1143; פירוש לחמש המגילות (</w:t>
      </w:r>
      <w:r w:rsidR="00B90BF9">
        <w:t>Emanuel 2015</w:t>
      </w:r>
      <w:r w:rsidRPr="005F4DB8">
        <w:rPr>
          <w:rFonts w:hint="cs"/>
          <w:sz w:val="24"/>
          <w:rtl/>
        </w:rPr>
        <w:t xml:space="preserve">). כמו כן כתב ספר נוסף בדקדוק בשם 'תוכן עזרא' שזמנו לא ברור. </w:t>
      </w:r>
      <w:r w:rsidR="00C81DF7" w:rsidRPr="005F4DB8">
        <w:rPr>
          <w:rFonts w:hint="cs"/>
          <w:sz w:val="24"/>
          <w:rtl/>
        </w:rPr>
        <w:t xml:space="preserve">ספרי הדקדוק שלו </w:t>
      </w:r>
      <w:r w:rsidR="005F4DB8">
        <w:rPr>
          <w:rFonts w:hint="cs"/>
          <w:sz w:val="24"/>
          <w:rtl/>
        </w:rPr>
        <w:t xml:space="preserve">שרדו בכתב יד אך </w:t>
      </w:r>
      <w:r w:rsidR="00C81DF7" w:rsidRPr="005F4DB8">
        <w:rPr>
          <w:rFonts w:hint="cs"/>
          <w:sz w:val="24"/>
          <w:rtl/>
        </w:rPr>
        <w:t>לא נדפסו עד היום. מהפירוש לתהלים לא שרד מאומה, ומהפירוש לחמש מגילות שרדו קטעים בודדים.</w:t>
      </w:r>
    </w:p>
    <w:p w:rsidR="006C55EB" w:rsidRPr="005F4DB8" w:rsidRDefault="00EE608E" w:rsidP="000D4415">
      <w:pPr>
        <w:spacing w:line="360" w:lineRule="auto"/>
        <w:rPr>
          <w:sz w:val="24"/>
          <w:rtl/>
        </w:rPr>
      </w:pPr>
      <w:r w:rsidRPr="005F4DB8">
        <w:rPr>
          <w:rFonts w:hint="cs"/>
          <w:sz w:val="24"/>
          <w:rtl/>
        </w:rPr>
        <w:t>חיבורו המרכזי הוא שכל טוב</w:t>
      </w:r>
      <w:r w:rsidR="005F4DB8" w:rsidRPr="005F4DB8">
        <w:rPr>
          <w:rFonts w:hint="cs"/>
          <w:sz w:val="24"/>
          <w:rtl/>
        </w:rPr>
        <w:t xml:space="preserve"> על התורה</w:t>
      </w:r>
      <w:r w:rsidRPr="005F4DB8">
        <w:rPr>
          <w:rFonts w:hint="cs"/>
          <w:sz w:val="24"/>
          <w:rtl/>
        </w:rPr>
        <w:t xml:space="preserve">. </w:t>
      </w:r>
      <w:r w:rsidR="005F4DB8" w:rsidRPr="005F4DB8">
        <w:rPr>
          <w:rFonts w:hint="cs"/>
          <w:sz w:val="24"/>
          <w:rtl/>
        </w:rPr>
        <w:t xml:space="preserve">גם </w:t>
      </w:r>
      <w:r w:rsidRPr="005F4DB8">
        <w:rPr>
          <w:rFonts w:hint="cs"/>
          <w:sz w:val="24"/>
          <w:rtl/>
        </w:rPr>
        <w:t xml:space="preserve">ספר זה שרד רק בחלקו, מבר' </w:t>
      </w:r>
      <w:proofErr w:type="spellStart"/>
      <w:r w:rsidRPr="005F4DB8">
        <w:rPr>
          <w:rFonts w:hint="cs"/>
          <w:sz w:val="24"/>
          <w:rtl/>
        </w:rPr>
        <w:t>טו</w:t>
      </w:r>
      <w:proofErr w:type="spellEnd"/>
      <w:r w:rsidRPr="005F4DB8">
        <w:rPr>
          <w:rFonts w:hint="cs"/>
          <w:sz w:val="24"/>
          <w:rtl/>
        </w:rPr>
        <w:t xml:space="preserve">, </w:t>
      </w:r>
      <w:proofErr w:type="spellStart"/>
      <w:r w:rsidRPr="005F4DB8">
        <w:rPr>
          <w:rFonts w:hint="cs"/>
          <w:sz w:val="24"/>
          <w:rtl/>
        </w:rPr>
        <w:t>יב</w:t>
      </w:r>
      <w:proofErr w:type="spellEnd"/>
      <w:r w:rsidRPr="005F4DB8">
        <w:rPr>
          <w:rFonts w:hint="cs"/>
          <w:sz w:val="24"/>
          <w:rtl/>
        </w:rPr>
        <w:t xml:space="preserve"> עד שמ' </w:t>
      </w:r>
      <w:proofErr w:type="spellStart"/>
      <w:r w:rsidRPr="005F4DB8">
        <w:rPr>
          <w:rFonts w:hint="cs"/>
          <w:sz w:val="24"/>
          <w:rtl/>
        </w:rPr>
        <w:t>יט</w:t>
      </w:r>
      <w:proofErr w:type="spellEnd"/>
      <w:r w:rsidRPr="005F4DB8">
        <w:rPr>
          <w:rFonts w:hint="cs"/>
          <w:sz w:val="24"/>
          <w:rtl/>
        </w:rPr>
        <w:t>, י וכן ויק' א, א-ג</w:t>
      </w:r>
      <w:r w:rsidR="000D4415">
        <w:rPr>
          <w:rFonts w:hint="cs"/>
          <w:sz w:val="24"/>
          <w:rtl/>
        </w:rPr>
        <w:t xml:space="preserve">. הספר </w:t>
      </w:r>
      <w:r w:rsidRPr="005F4DB8">
        <w:rPr>
          <w:rFonts w:hint="cs"/>
          <w:sz w:val="24"/>
          <w:rtl/>
        </w:rPr>
        <w:t xml:space="preserve">הודפס </w:t>
      </w:r>
      <w:r w:rsidR="000D4415">
        <w:rPr>
          <w:rFonts w:hint="cs"/>
          <w:sz w:val="24"/>
          <w:rtl/>
        </w:rPr>
        <w:t xml:space="preserve">לראשונה </w:t>
      </w:r>
      <w:r w:rsidRPr="005F4DB8">
        <w:rPr>
          <w:rFonts w:hint="cs"/>
          <w:sz w:val="24"/>
          <w:rtl/>
        </w:rPr>
        <w:t>על ידי בובר ב</w:t>
      </w:r>
      <w:r w:rsidR="000D4415">
        <w:rPr>
          <w:rFonts w:hint="cs"/>
          <w:sz w:val="24"/>
          <w:rtl/>
        </w:rPr>
        <w:t>תחילת ה</w:t>
      </w:r>
      <w:r w:rsidRPr="005F4DB8">
        <w:rPr>
          <w:rFonts w:hint="cs"/>
          <w:sz w:val="24"/>
          <w:rtl/>
        </w:rPr>
        <w:t xml:space="preserve">מאה התשע-עשרה. </w:t>
      </w:r>
      <w:r w:rsidR="005F4DB8">
        <w:rPr>
          <w:rFonts w:hint="cs"/>
          <w:sz w:val="24"/>
          <w:rtl/>
        </w:rPr>
        <w:t xml:space="preserve">ספר זה </w:t>
      </w:r>
      <w:r w:rsidR="005F4DB8" w:rsidRPr="005F4DB8">
        <w:rPr>
          <w:rFonts w:hint="cs"/>
          <w:sz w:val="24"/>
          <w:rtl/>
        </w:rPr>
        <w:t xml:space="preserve">חובר בהשפעה ובהשראה של </w:t>
      </w:r>
      <w:r w:rsidR="005F4DB8">
        <w:rPr>
          <w:rFonts w:hint="cs"/>
          <w:sz w:val="24"/>
          <w:rtl/>
        </w:rPr>
        <w:t>חיבורו של ר' טוביה בן אליעזר - לקח טוב על התורה</w:t>
      </w:r>
      <w:r w:rsidR="005F4DB8" w:rsidRPr="005F4DB8">
        <w:rPr>
          <w:rFonts w:hint="cs"/>
          <w:sz w:val="24"/>
          <w:rtl/>
        </w:rPr>
        <w:t xml:space="preserve">. </w:t>
      </w:r>
      <w:r w:rsidR="005F4DB8">
        <w:rPr>
          <w:rFonts w:hint="cs"/>
          <w:sz w:val="24"/>
          <w:rtl/>
        </w:rPr>
        <w:t>ר' מנחם ה</w:t>
      </w:r>
      <w:r w:rsidR="005F4DB8" w:rsidRPr="005F4DB8">
        <w:rPr>
          <w:rFonts w:hint="cs"/>
          <w:sz w:val="24"/>
          <w:rtl/>
        </w:rPr>
        <w:t xml:space="preserve">זכירו רבות, רחש כלפיו כבוד רב, וגם כשחלק עליו </w:t>
      </w:r>
      <w:r w:rsidR="005F4DB8">
        <w:rPr>
          <w:rFonts w:hint="cs"/>
          <w:sz w:val="24"/>
          <w:rtl/>
        </w:rPr>
        <w:t xml:space="preserve">הוא </w:t>
      </w:r>
      <w:r w:rsidR="005F4DB8" w:rsidRPr="005F4DB8">
        <w:rPr>
          <w:rFonts w:hint="cs"/>
          <w:sz w:val="24"/>
          <w:rtl/>
        </w:rPr>
        <w:t>עשה זאת בעדינות.</w:t>
      </w:r>
      <w:r w:rsidR="005F4DB8">
        <w:rPr>
          <w:rFonts w:hint="cs"/>
          <w:sz w:val="24"/>
          <w:rtl/>
        </w:rPr>
        <w:t xml:space="preserve"> החיבור </w:t>
      </w:r>
      <w:r w:rsidRPr="005F4DB8">
        <w:rPr>
          <w:sz w:val="24"/>
          <w:rtl/>
        </w:rPr>
        <w:t xml:space="preserve">מדגים את המעבר מספרות המדרש המאוחרת, </w:t>
      </w:r>
      <w:proofErr w:type="spellStart"/>
      <w:r w:rsidRPr="005F4DB8">
        <w:rPr>
          <w:sz w:val="24"/>
          <w:rtl/>
        </w:rPr>
        <w:t>הילקוטית</w:t>
      </w:r>
      <w:proofErr w:type="spellEnd"/>
      <w:r w:rsidRPr="005F4DB8">
        <w:rPr>
          <w:sz w:val="24"/>
          <w:rtl/>
        </w:rPr>
        <w:t>, לפרשנות ימה"ב.</w:t>
      </w:r>
      <w:r w:rsidRPr="005F4DB8">
        <w:rPr>
          <w:rFonts w:hint="cs"/>
          <w:sz w:val="24"/>
          <w:rtl/>
        </w:rPr>
        <w:t xml:space="preserve"> </w:t>
      </w:r>
      <w:r w:rsidR="005F4DB8">
        <w:rPr>
          <w:rFonts w:hint="cs"/>
          <w:sz w:val="24"/>
          <w:rtl/>
        </w:rPr>
        <w:t xml:space="preserve">ר' מנחם </w:t>
      </w:r>
      <w:r w:rsidRPr="005F4DB8">
        <w:rPr>
          <w:rFonts w:hint="cs"/>
          <w:sz w:val="24"/>
          <w:rtl/>
        </w:rPr>
        <w:t>כ</w:t>
      </w:r>
      <w:r w:rsidR="00B90BF9">
        <w:rPr>
          <w:rFonts w:hint="cs"/>
          <w:sz w:val="24"/>
          <w:rtl/>
        </w:rPr>
        <w:t>י</w:t>
      </w:r>
      <w:r w:rsidRPr="005F4DB8">
        <w:rPr>
          <w:rFonts w:hint="cs"/>
          <w:sz w:val="24"/>
          <w:rtl/>
        </w:rPr>
        <w:t>נה את חיבורו 'ספר' ולא ילקוט או מדרש</w:t>
      </w:r>
      <w:r w:rsidR="000D4415">
        <w:rPr>
          <w:rFonts w:hint="cs"/>
          <w:sz w:val="24"/>
          <w:rtl/>
        </w:rPr>
        <w:t xml:space="preserve"> ונראה ש</w:t>
      </w:r>
      <w:r w:rsidR="006C55EB" w:rsidRPr="005F4DB8">
        <w:rPr>
          <w:rFonts w:hint="cs"/>
          <w:sz w:val="24"/>
          <w:rtl/>
        </w:rPr>
        <w:t xml:space="preserve">מבחינת הסוגה הספרותית </w:t>
      </w:r>
      <w:r w:rsidR="005F4DB8">
        <w:rPr>
          <w:rFonts w:hint="cs"/>
          <w:sz w:val="24"/>
          <w:rtl/>
        </w:rPr>
        <w:t xml:space="preserve">הוא </w:t>
      </w:r>
      <w:r w:rsidR="006C55EB" w:rsidRPr="005F4DB8">
        <w:rPr>
          <w:rFonts w:hint="cs"/>
          <w:sz w:val="24"/>
          <w:rtl/>
        </w:rPr>
        <w:t>התכוון לכתוב חיבור פרשני</w:t>
      </w:r>
      <w:r w:rsidR="005F4DB8">
        <w:rPr>
          <w:rFonts w:hint="cs"/>
          <w:sz w:val="24"/>
          <w:rtl/>
        </w:rPr>
        <w:t xml:space="preserve">. במהלך הדורות טושטש </w:t>
      </w:r>
      <w:r w:rsidR="006C55EB" w:rsidRPr="005F4DB8">
        <w:rPr>
          <w:rFonts w:hint="cs"/>
          <w:sz w:val="24"/>
          <w:rtl/>
        </w:rPr>
        <w:t xml:space="preserve">האופי הפרשני של הספר בגלל </w:t>
      </w:r>
      <w:r w:rsidR="00B90BF9">
        <w:rPr>
          <w:rFonts w:hint="cs"/>
          <w:sz w:val="24"/>
          <w:rtl/>
        </w:rPr>
        <w:t>ה</w:t>
      </w:r>
      <w:r w:rsidR="006C55EB" w:rsidRPr="005F4DB8">
        <w:rPr>
          <w:rFonts w:hint="cs"/>
          <w:sz w:val="24"/>
          <w:rtl/>
        </w:rPr>
        <w:t xml:space="preserve">שם </w:t>
      </w:r>
      <w:r w:rsidR="00B90BF9">
        <w:rPr>
          <w:rFonts w:hint="cs"/>
          <w:sz w:val="24"/>
          <w:rtl/>
        </w:rPr>
        <w:t>ה</w:t>
      </w:r>
      <w:r w:rsidR="006C55EB" w:rsidRPr="005F4DB8">
        <w:rPr>
          <w:rFonts w:hint="cs"/>
          <w:sz w:val="24"/>
          <w:rtl/>
        </w:rPr>
        <w:t xml:space="preserve">מטעה, </w:t>
      </w:r>
      <w:r w:rsidR="000D4415">
        <w:rPr>
          <w:rFonts w:hint="cs"/>
          <w:sz w:val="24"/>
          <w:rtl/>
        </w:rPr>
        <w:t xml:space="preserve">בגלל </w:t>
      </w:r>
      <w:r w:rsidR="006C55EB" w:rsidRPr="005F4DB8">
        <w:rPr>
          <w:rFonts w:hint="cs"/>
          <w:sz w:val="24"/>
          <w:rtl/>
        </w:rPr>
        <w:t xml:space="preserve">חוסר אבחנה במבנהו של הספר, </w:t>
      </w:r>
      <w:r w:rsidR="005F4DB8">
        <w:rPr>
          <w:rFonts w:hint="cs"/>
          <w:sz w:val="24"/>
          <w:rtl/>
        </w:rPr>
        <w:t xml:space="preserve">ובשל </w:t>
      </w:r>
      <w:r w:rsidR="006C55EB" w:rsidRPr="005F4DB8">
        <w:rPr>
          <w:rFonts w:hint="cs"/>
          <w:sz w:val="24"/>
          <w:rtl/>
        </w:rPr>
        <w:t>ה</w:t>
      </w:r>
      <w:r w:rsidR="005F4DB8">
        <w:rPr>
          <w:rFonts w:hint="cs"/>
          <w:sz w:val="24"/>
          <w:rtl/>
        </w:rPr>
        <w:t>ישענות רחבה על חומרים מדרשיים שה</w:t>
      </w:r>
      <w:r w:rsidR="006C55EB" w:rsidRPr="005F4DB8">
        <w:rPr>
          <w:rFonts w:hint="cs"/>
          <w:sz w:val="24"/>
          <w:rtl/>
        </w:rPr>
        <w:t>אפיל</w:t>
      </w:r>
      <w:r w:rsidR="00B90BF9">
        <w:rPr>
          <w:rFonts w:hint="cs"/>
          <w:sz w:val="24"/>
          <w:rtl/>
        </w:rPr>
        <w:t>ו</w:t>
      </w:r>
      <w:r w:rsidR="006C55EB" w:rsidRPr="005F4DB8">
        <w:rPr>
          <w:rFonts w:hint="cs"/>
          <w:sz w:val="24"/>
          <w:rtl/>
        </w:rPr>
        <w:t xml:space="preserve"> על </w:t>
      </w:r>
      <w:r w:rsidR="005F4DB8">
        <w:rPr>
          <w:rFonts w:hint="cs"/>
          <w:sz w:val="24"/>
          <w:rtl/>
        </w:rPr>
        <w:t>דמותו הפרשנית</w:t>
      </w:r>
      <w:r w:rsidR="006C55EB" w:rsidRPr="005F4DB8">
        <w:rPr>
          <w:rFonts w:hint="cs"/>
          <w:sz w:val="24"/>
          <w:rtl/>
        </w:rPr>
        <w:t>.</w:t>
      </w:r>
      <w:r w:rsidR="005F4DB8">
        <w:rPr>
          <w:rFonts w:hint="cs"/>
          <w:sz w:val="24"/>
          <w:rtl/>
        </w:rPr>
        <w:t xml:space="preserve"> </w:t>
      </w:r>
      <w:r w:rsidR="006C55EB" w:rsidRPr="005F4DB8">
        <w:rPr>
          <w:rFonts w:hint="cs"/>
          <w:sz w:val="24"/>
          <w:rtl/>
        </w:rPr>
        <w:t xml:space="preserve">גם ההישענות על לקח טוב וההנחה </w:t>
      </w:r>
      <w:r w:rsidR="005F4DB8">
        <w:rPr>
          <w:rFonts w:hint="cs"/>
          <w:sz w:val="24"/>
          <w:rtl/>
        </w:rPr>
        <w:t xml:space="preserve">(המוטעית) </w:t>
      </w:r>
      <w:r w:rsidR="006C55EB" w:rsidRPr="005F4DB8">
        <w:rPr>
          <w:rFonts w:hint="cs"/>
          <w:sz w:val="24"/>
          <w:rtl/>
        </w:rPr>
        <w:t xml:space="preserve">שלקח טוב הוא </w:t>
      </w:r>
      <w:r w:rsidR="000D4415">
        <w:rPr>
          <w:rFonts w:hint="cs"/>
          <w:sz w:val="24"/>
          <w:rtl/>
        </w:rPr>
        <w:t xml:space="preserve">רק </w:t>
      </w:r>
      <w:r w:rsidR="006C55EB" w:rsidRPr="005F4DB8">
        <w:rPr>
          <w:rFonts w:hint="cs"/>
          <w:sz w:val="24"/>
          <w:rtl/>
        </w:rPr>
        <w:t>קובץ מדרשים השפיעה על הטשטוש (</w:t>
      </w:r>
      <w:r w:rsidR="00B90BF9">
        <w:t>Ben Shalom</w:t>
      </w:r>
      <w:r w:rsidR="00454AC2">
        <w:t xml:space="preserve"> 2008: 1*–3*</w:t>
      </w:r>
      <w:r w:rsidR="006C55EB" w:rsidRPr="005F4DB8">
        <w:rPr>
          <w:rFonts w:hint="cs"/>
          <w:sz w:val="24"/>
          <w:rtl/>
        </w:rPr>
        <w:t>)</w:t>
      </w:r>
      <w:r w:rsidR="005F4DB8">
        <w:rPr>
          <w:rFonts w:hint="cs"/>
          <w:sz w:val="24"/>
          <w:rtl/>
        </w:rPr>
        <w:t xml:space="preserve">. עם זאת זהו כאמור חיבור עצמאי </w:t>
      </w:r>
      <w:r w:rsidR="006C55EB" w:rsidRPr="005F4DB8">
        <w:rPr>
          <w:rFonts w:hint="cs"/>
          <w:sz w:val="24"/>
          <w:rtl/>
        </w:rPr>
        <w:t xml:space="preserve">- דמותו של המחבר מורגשת בו, שמו נזכר, </w:t>
      </w:r>
      <w:r w:rsidR="005F4DB8">
        <w:rPr>
          <w:rFonts w:hint="cs"/>
          <w:sz w:val="24"/>
          <w:rtl/>
        </w:rPr>
        <w:t>הוא ה</w:t>
      </w:r>
      <w:r w:rsidR="006C55EB" w:rsidRPr="005F4DB8">
        <w:rPr>
          <w:rFonts w:hint="cs"/>
          <w:sz w:val="24"/>
          <w:rtl/>
        </w:rPr>
        <w:t xml:space="preserve">רבה לדבר בלשון </w:t>
      </w:r>
      <w:r w:rsidR="00454AC2">
        <w:rPr>
          <w:rFonts w:hint="cs"/>
          <w:sz w:val="24"/>
          <w:rtl/>
        </w:rPr>
        <w:t>'</w:t>
      </w:r>
      <w:r w:rsidR="006C55EB" w:rsidRPr="005F4DB8">
        <w:rPr>
          <w:rFonts w:hint="cs"/>
          <w:sz w:val="24"/>
          <w:rtl/>
        </w:rPr>
        <w:t>מדבר בעד עצמו</w:t>
      </w:r>
      <w:r w:rsidR="00454AC2">
        <w:rPr>
          <w:rFonts w:hint="cs"/>
          <w:sz w:val="24"/>
          <w:rtl/>
        </w:rPr>
        <w:t>'</w:t>
      </w:r>
      <w:r w:rsidR="005F4DB8">
        <w:rPr>
          <w:rFonts w:hint="cs"/>
          <w:sz w:val="24"/>
          <w:rtl/>
        </w:rPr>
        <w:t xml:space="preserve"> ול</w:t>
      </w:r>
      <w:r w:rsidR="006C55EB" w:rsidRPr="005F4DB8">
        <w:rPr>
          <w:rFonts w:hint="cs"/>
          <w:sz w:val="24"/>
          <w:rtl/>
        </w:rPr>
        <w:t xml:space="preserve">עמת </w:t>
      </w:r>
      <w:r w:rsidR="005F4DB8">
        <w:rPr>
          <w:rFonts w:hint="cs"/>
          <w:sz w:val="24"/>
          <w:rtl/>
        </w:rPr>
        <w:t xml:space="preserve">את </w:t>
      </w:r>
      <w:r w:rsidR="006C55EB" w:rsidRPr="005F4DB8">
        <w:rPr>
          <w:rFonts w:hint="cs"/>
          <w:sz w:val="24"/>
          <w:rtl/>
        </w:rPr>
        <w:t>דעתו עם דעת קודמיו.</w:t>
      </w:r>
      <w:r w:rsidR="005F4DB8">
        <w:rPr>
          <w:rFonts w:hint="cs"/>
          <w:sz w:val="24"/>
          <w:rtl/>
        </w:rPr>
        <w:t xml:space="preserve"> </w:t>
      </w:r>
      <w:r w:rsidR="006C55EB" w:rsidRPr="005F4DB8">
        <w:rPr>
          <w:rFonts w:hint="cs"/>
          <w:sz w:val="24"/>
          <w:rtl/>
        </w:rPr>
        <w:t>הפניות פנימיות לפסוקים קודמים ולעתים גם לפירושים עתידיים</w:t>
      </w:r>
      <w:r w:rsidR="005F4DB8">
        <w:rPr>
          <w:rFonts w:hint="cs"/>
          <w:sz w:val="24"/>
          <w:rtl/>
        </w:rPr>
        <w:t xml:space="preserve"> מעידים גם הם </w:t>
      </w:r>
      <w:r w:rsidR="006C55EB" w:rsidRPr="005F4DB8">
        <w:rPr>
          <w:rFonts w:hint="cs"/>
          <w:sz w:val="24"/>
          <w:rtl/>
        </w:rPr>
        <w:t>על תכנון מוקדם של החיבור.</w:t>
      </w:r>
    </w:p>
    <w:p w:rsidR="006C55EB" w:rsidRPr="005F4DB8" w:rsidRDefault="005F4DB8" w:rsidP="00454AC2">
      <w:pPr>
        <w:spacing w:line="360" w:lineRule="auto"/>
        <w:rPr>
          <w:sz w:val="24"/>
          <w:rtl/>
        </w:rPr>
      </w:pPr>
      <w:r>
        <w:rPr>
          <w:rFonts w:hint="cs"/>
          <w:sz w:val="24"/>
          <w:rtl/>
        </w:rPr>
        <w:t>מבנהו של החיבור מעיד על מחשבה ושיקול דעת: הטקסט המקראי</w:t>
      </w:r>
      <w:r w:rsidR="006C55EB" w:rsidRPr="005F4DB8">
        <w:rPr>
          <w:rFonts w:hint="cs"/>
          <w:sz w:val="24"/>
          <w:rtl/>
        </w:rPr>
        <w:t xml:space="preserve"> חולק </w:t>
      </w:r>
      <w:r>
        <w:rPr>
          <w:rFonts w:hint="cs"/>
          <w:sz w:val="24"/>
          <w:rtl/>
        </w:rPr>
        <w:t xml:space="preserve">על ידי ר' מנחם </w:t>
      </w:r>
      <w:r w:rsidR="006C55EB" w:rsidRPr="005F4DB8">
        <w:rPr>
          <w:rFonts w:hint="cs"/>
          <w:sz w:val="24"/>
          <w:rtl/>
        </w:rPr>
        <w:t xml:space="preserve">ליחידות טקסט על פי תוכנן. לכל יחידה יש פתיחה קצרה בלשון </w:t>
      </w:r>
      <w:r>
        <w:rPr>
          <w:rFonts w:hint="cs"/>
          <w:sz w:val="24"/>
          <w:rtl/>
        </w:rPr>
        <w:t>"</w:t>
      </w:r>
      <w:r w:rsidR="000D4415">
        <w:rPr>
          <w:rFonts w:hint="cs"/>
          <w:sz w:val="24"/>
          <w:rtl/>
        </w:rPr>
        <w:t>ירוויחו דורשי</w:t>
      </w:r>
      <w:r w:rsidR="006C55EB" w:rsidRPr="005F4DB8">
        <w:rPr>
          <w:rFonts w:hint="cs"/>
          <w:sz w:val="24"/>
          <w:rtl/>
        </w:rPr>
        <w:t xml:space="preserve"> הפרשה וישכילו</w:t>
      </w:r>
      <w:r>
        <w:rPr>
          <w:rFonts w:hint="cs"/>
          <w:sz w:val="24"/>
          <w:rtl/>
        </w:rPr>
        <w:t>",</w:t>
      </w:r>
      <w:r w:rsidR="006C55EB" w:rsidRPr="005F4DB8">
        <w:rPr>
          <w:rFonts w:hint="cs"/>
          <w:sz w:val="24"/>
          <w:rtl/>
        </w:rPr>
        <w:t xml:space="preserve"> ובה הוא ב</w:t>
      </w:r>
      <w:r w:rsidR="00454AC2">
        <w:rPr>
          <w:rFonts w:hint="cs"/>
          <w:sz w:val="24"/>
          <w:rtl/>
        </w:rPr>
        <w:t>י</w:t>
      </w:r>
      <w:r w:rsidR="006C55EB" w:rsidRPr="005F4DB8">
        <w:rPr>
          <w:rFonts w:hint="cs"/>
          <w:sz w:val="24"/>
          <w:rtl/>
        </w:rPr>
        <w:t xml:space="preserve">אר את </w:t>
      </w:r>
      <w:r>
        <w:rPr>
          <w:rFonts w:hint="cs"/>
          <w:sz w:val="24"/>
          <w:rtl/>
        </w:rPr>
        <w:t>הסדר וה</w:t>
      </w:r>
      <w:r w:rsidR="006C55EB" w:rsidRPr="005F4DB8">
        <w:rPr>
          <w:rFonts w:hint="cs"/>
          <w:sz w:val="24"/>
          <w:rtl/>
        </w:rPr>
        <w:t xml:space="preserve">סמיכות </w:t>
      </w:r>
      <w:r>
        <w:rPr>
          <w:rFonts w:hint="cs"/>
          <w:sz w:val="24"/>
          <w:rtl/>
        </w:rPr>
        <w:t xml:space="preserve">שבין </w:t>
      </w:r>
      <w:r w:rsidR="006C55EB" w:rsidRPr="005F4DB8">
        <w:rPr>
          <w:rFonts w:hint="cs"/>
          <w:sz w:val="24"/>
          <w:rtl/>
        </w:rPr>
        <w:t>הפרשיות. הפירוש לכל פרשה מח</w:t>
      </w:r>
      <w:r>
        <w:rPr>
          <w:rFonts w:hint="cs"/>
          <w:sz w:val="24"/>
          <w:rtl/>
        </w:rPr>
        <w:t>ו</w:t>
      </w:r>
      <w:r w:rsidR="006C55EB" w:rsidRPr="005F4DB8">
        <w:rPr>
          <w:rFonts w:hint="cs"/>
          <w:sz w:val="24"/>
          <w:rtl/>
        </w:rPr>
        <w:t>ל</w:t>
      </w:r>
      <w:r>
        <w:rPr>
          <w:rFonts w:hint="cs"/>
          <w:sz w:val="24"/>
          <w:rtl/>
        </w:rPr>
        <w:t xml:space="preserve">ק לשתי חטיבות </w:t>
      </w:r>
      <w:r w:rsidR="006C55EB" w:rsidRPr="005F4DB8">
        <w:rPr>
          <w:rFonts w:hint="cs"/>
          <w:sz w:val="24"/>
          <w:rtl/>
        </w:rPr>
        <w:t>נפרדות</w:t>
      </w:r>
      <w:r>
        <w:rPr>
          <w:rFonts w:hint="cs"/>
          <w:sz w:val="24"/>
          <w:rtl/>
        </w:rPr>
        <w:t>,</w:t>
      </w:r>
      <w:r w:rsidR="006C55EB" w:rsidRPr="005F4DB8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>ו</w:t>
      </w:r>
      <w:r w:rsidR="006C55EB" w:rsidRPr="005F4DB8">
        <w:rPr>
          <w:rFonts w:hint="cs"/>
          <w:sz w:val="24"/>
          <w:rtl/>
        </w:rPr>
        <w:t xml:space="preserve">ביניהן </w:t>
      </w:r>
      <w:r>
        <w:rPr>
          <w:rFonts w:hint="cs"/>
          <w:sz w:val="24"/>
          <w:rtl/>
        </w:rPr>
        <w:t>נמצא את ה</w:t>
      </w:r>
      <w:r w:rsidR="006C55EB" w:rsidRPr="005F4DB8">
        <w:rPr>
          <w:rFonts w:hint="cs"/>
          <w:sz w:val="24"/>
          <w:rtl/>
        </w:rPr>
        <w:t xml:space="preserve">לשון </w:t>
      </w:r>
      <w:r w:rsidR="00454AC2">
        <w:rPr>
          <w:rFonts w:hint="cs"/>
          <w:sz w:val="24"/>
          <w:rtl/>
        </w:rPr>
        <w:t>"</w:t>
      </w:r>
      <w:r w:rsidR="006C55EB" w:rsidRPr="005F4DB8">
        <w:rPr>
          <w:rFonts w:hint="cs"/>
          <w:sz w:val="24"/>
          <w:rtl/>
        </w:rPr>
        <w:t>ורבותינו דרשו</w:t>
      </w:r>
      <w:r w:rsidR="00454AC2">
        <w:rPr>
          <w:rFonts w:hint="cs"/>
          <w:sz w:val="24"/>
          <w:rtl/>
        </w:rPr>
        <w:t>"</w:t>
      </w:r>
      <w:r w:rsidR="006C55EB" w:rsidRPr="005F4DB8">
        <w:rPr>
          <w:rFonts w:hint="cs"/>
          <w:sz w:val="24"/>
          <w:rtl/>
        </w:rPr>
        <w:t>.</w:t>
      </w:r>
      <w:r>
        <w:rPr>
          <w:rFonts w:hint="cs"/>
          <w:sz w:val="24"/>
          <w:rtl/>
        </w:rPr>
        <w:t xml:space="preserve"> </w:t>
      </w:r>
      <w:r w:rsidR="006C55EB" w:rsidRPr="005F4DB8">
        <w:rPr>
          <w:rFonts w:hint="cs"/>
          <w:sz w:val="24"/>
          <w:rtl/>
        </w:rPr>
        <w:t>החלק הראשון הוא תמיד ביאור יסודי לטקסט - משמעות הכתוב, ביאורי מילים</w:t>
      </w:r>
      <w:r w:rsidR="00454AC2">
        <w:rPr>
          <w:rFonts w:hint="cs"/>
          <w:sz w:val="24"/>
          <w:rtl/>
        </w:rPr>
        <w:t>, לעתים חידושים אישיים של המחבר</w:t>
      </w:r>
      <w:r w:rsidR="006C55EB" w:rsidRPr="005F4DB8">
        <w:rPr>
          <w:rFonts w:hint="cs"/>
          <w:sz w:val="24"/>
          <w:rtl/>
        </w:rPr>
        <w:t xml:space="preserve"> (</w:t>
      </w:r>
      <w:r w:rsidR="00454AC2">
        <w:t>Ben Shalom 2008: 5*–8*</w:t>
      </w:r>
      <w:r w:rsidR="006C55EB" w:rsidRPr="005F4DB8">
        <w:rPr>
          <w:rFonts w:hint="cs"/>
          <w:sz w:val="24"/>
          <w:rtl/>
        </w:rPr>
        <w:t>)</w:t>
      </w:r>
      <w:r w:rsidR="00C81DF7" w:rsidRPr="005F4DB8">
        <w:rPr>
          <w:rFonts w:hint="cs"/>
          <w:sz w:val="24"/>
          <w:rtl/>
        </w:rPr>
        <w:t xml:space="preserve">. בחלק השני מביא ר' מנחם </w:t>
      </w:r>
      <w:r>
        <w:rPr>
          <w:rFonts w:hint="cs"/>
          <w:sz w:val="24"/>
          <w:rtl/>
        </w:rPr>
        <w:t>לקט מדרשות חז"ל</w:t>
      </w:r>
      <w:r w:rsidR="00454AC2">
        <w:rPr>
          <w:rFonts w:hint="cs"/>
          <w:sz w:val="24"/>
          <w:rtl/>
        </w:rPr>
        <w:t xml:space="preserve"> על אותם פסוקים שביאר בחלק הראשון</w:t>
      </w:r>
      <w:r w:rsidR="00C81DF7" w:rsidRPr="005F4DB8">
        <w:rPr>
          <w:rFonts w:hint="cs"/>
          <w:sz w:val="24"/>
          <w:rtl/>
        </w:rPr>
        <w:t>.</w:t>
      </w:r>
    </w:p>
    <w:p w:rsidR="006C55EB" w:rsidRPr="005F4DB8" w:rsidRDefault="005F4DB8" w:rsidP="00454AC2">
      <w:pPr>
        <w:spacing w:line="360" w:lineRule="auto"/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ר' מנחם </w:t>
      </w:r>
      <w:r w:rsidR="00EE608E" w:rsidRPr="005F4DB8">
        <w:rPr>
          <w:rFonts w:hint="cs"/>
          <w:sz w:val="24"/>
          <w:rtl/>
        </w:rPr>
        <w:t xml:space="preserve">הבדיל </w:t>
      </w:r>
      <w:r>
        <w:rPr>
          <w:rFonts w:hint="cs"/>
          <w:sz w:val="24"/>
          <w:rtl/>
        </w:rPr>
        <w:t xml:space="preserve">בצורה שיטתית </w:t>
      </w:r>
      <w:r w:rsidR="00EE608E" w:rsidRPr="005F4DB8">
        <w:rPr>
          <w:rFonts w:hint="cs"/>
          <w:sz w:val="24"/>
          <w:rtl/>
        </w:rPr>
        <w:t xml:space="preserve">בין הפשט לדרש. </w:t>
      </w:r>
      <w:r w:rsidR="00454AC2">
        <w:rPr>
          <w:rFonts w:hint="cs"/>
          <w:sz w:val="24"/>
          <w:rtl/>
        </w:rPr>
        <w:t xml:space="preserve">הוא </w:t>
      </w:r>
      <w:r w:rsidR="00EE608E" w:rsidRPr="005F4DB8">
        <w:rPr>
          <w:rFonts w:hint="cs"/>
          <w:sz w:val="24"/>
          <w:rtl/>
        </w:rPr>
        <w:t>הרשה לעצמו לפרש פשט אלטרנטיבי לחז"ל</w:t>
      </w:r>
      <w:r>
        <w:rPr>
          <w:rFonts w:hint="cs"/>
          <w:sz w:val="24"/>
          <w:rtl/>
        </w:rPr>
        <w:t>, לעתים</w:t>
      </w:r>
      <w:r w:rsidR="00EE608E" w:rsidRPr="005F4DB8">
        <w:rPr>
          <w:rFonts w:hint="cs"/>
          <w:sz w:val="24"/>
          <w:rtl/>
        </w:rPr>
        <w:t xml:space="preserve"> גם בפסוקים הלכתיים, אם כי בהיסוס ובהתנצלות (שמ' </w:t>
      </w:r>
      <w:proofErr w:type="spellStart"/>
      <w:r w:rsidR="00EE608E" w:rsidRPr="005F4DB8">
        <w:rPr>
          <w:rFonts w:hint="cs"/>
          <w:sz w:val="24"/>
          <w:rtl/>
        </w:rPr>
        <w:t>יב</w:t>
      </w:r>
      <w:proofErr w:type="spellEnd"/>
      <w:r w:rsidR="00EE608E" w:rsidRPr="005F4DB8">
        <w:rPr>
          <w:rFonts w:hint="cs"/>
          <w:sz w:val="24"/>
          <w:rtl/>
        </w:rPr>
        <w:t xml:space="preserve">, ט). </w:t>
      </w:r>
      <w:r w:rsidR="006C55EB" w:rsidRPr="005F4DB8">
        <w:rPr>
          <w:rFonts w:hint="cs"/>
          <w:sz w:val="24"/>
          <w:rtl/>
        </w:rPr>
        <w:t xml:space="preserve">הפשט בעיניו </w:t>
      </w:r>
      <w:r>
        <w:rPr>
          <w:rFonts w:hint="cs"/>
          <w:sz w:val="24"/>
          <w:rtl/>
        </w:rPr>
        <w:t xml:space="preserve">אומנם היה </w:t>
      </w:r>
      <w:r w:rsidR="006C55EB" w:rsidRPr="005F4DB8">
        <w:rPr>
          <w:rFonts w:hint="cs"/>
          <w:sz w:val="24"/>
          <w:rtl/>
        </w:rPr>
        <w:t>חשוב, אך</w:t>
      </w:r>
      <w:r>
        <w:rPr>
          <w:rFonts w:hint="cs"/>
          <w:sz w:val="24"/>
          <w:rtl/>
        </w:rPr>
        <w:t xml:space="preserve"> </w:t>
      </w:r>
      <w:r w:rsidR="00454AC2">
        <w:rPr>
          <w:rFonts w:hint="cs"/>
          <w:sz w:val="24"/>
          <w:rtl/>
        </w:rPr>
        <w:t xml:space="preserve">לדעתו </w:t>
      </w:r>
      <w:r>
        <w:rPr>
          <w:rFonts w:hint="cs"/>
          <w:sz w:val="24"/>
          <w:rtl/>
        </w:rPr>
        <w:t>הוא</w:t>
      </w:r>
      <w:r w:rsidR="006C55EB" w:rsidRPr="005F4DB8">
        <w:rPr>
          <w:rFonts w:hint="cs"/>
          <w:sz w:val="24"/>
          <w:rtl/>
        </w:rPr>
        <w:t xml:space="preserve"> מיועד</w:t>
      </w:r>
      <w:r w:rsidR="000D4415">
        <w:rPr>
          <w:rFonts w:hint="cs"/>
          <w:sz w:val="24"/>
          <w:rtl/>
        </w:rPr>
        <w:t xml:space="preserve"> בעיקר</w:t>
      </w:r>
      <w:r w:rsidR="006C55EB" w:rsidRPr="005F4DB8">
        <w:rPr>
          <w:rFonts w:hint="cs"/>
          <w:sz w:val="24"/>
          <w:rtl/>
        </w:rPr>
        <w:t xml:space="preserve"> לבירור הלשון</w:t>
      </w:r>
      <w:r w:rsidR="000D4415">
        <w:rPr>
          <w:rFonts w:hint="cs"/>
          <w:sz w:val="24"/>
          <w:rtl/>
        </w:rPr>
        <w:t xml:space="preserve"> וביאור הטקסט</w:t>
      </w:r>
      <w:r w:rsidR="00454AC2">
        <w:rPr>
          <w:rFonts w:hint="cs"/>
          <w:sz w:val="24"/>
          <w:rtl/>
        </w:rPr>
        <w:t>.</w:t>
      </w:r>
      <w:r w:rsidR="006C55EB" w:rsidRPr="005F4DB8">
        <w:rPr>
          <w:rFonts w:hint="cs"/>
          <w:sz w:val="24"/>
          <w:rtl/>
        </w:rPr>
        <w:t xml:space="preserve"> לצורך </w:t>
      </w:r>
      <w:r w:rsidR="00454AC2">
        <w:rPr>
          <w:rFonts w:hint="cs"/>
          <w:sz w:val="24"/>
          <w:rtl/>
        </w:rPr>
        <w:t xml:space="preserve">הבנת </w:t>
      </w:r>
      <w:r w:rsidR="006C55EB" w:rsidRPr="005F4DB8">
        <w:rPr>
          <w:rFonts w:hint="cs"/>
          <w:sz w:val="24"/>
          <w:rtl/>
        </w:rPr>
        <w:t xml:space="preserve">המסר </w:t>
      </w:r>
      <w:r w:rsidR="000D4415">
        <w:rPr>
          <w:rFonts w:hint="cs"/>
          <w:sz w:val="24"/>
          <w:rtl/>
        </w:rPr>
        <w:t xml:space="preserve">והרעיון </w:t>
      </w:r>
      <w:r w:rsidR="006C55EB" w:rsidRPr="005F4DB8">
        <w:rPr>
          <w:rFonts w:hint="cs"/>
          <w:sz w:val="24"/>
          <w:rtl/>
        </w:rPr>
        <w:t>של הכתוב יש להיעזר במדרשים.</w:t>
      </w:r>
      <w:r>
        <w:rPr>
          <w:rFonts w:hint="cs"/>
          <w:sz w:val="24"/>
          <w:rtl/>
        </w:rPr>
        <w:t xml:space="preserve"> </w:t>
      </w:r>
      <w:r w:rsidR="000D4415">
        <w:rPr>
          <w:rFonts w:hint="cs"/>
          <w:sz w:val="24"/>
          <w:rtl/>
        </w:rPr>
        <w:t>יצוין ש</w:t>
      </w:r>
      <w:r>
        <w:rPr>
          <w:rFonts w:hint="cs"/>
          <w:sz w:val="24"/>
          <w:rtl/>
        </w:rPr>
        <w:t xml:space="preserve">במקרים רבים </w:t>
      </w:r>
      <w:r w:rsidRPr="005F4DB8">
        <w:rPr>
          <w:rFonts w:hint="cs"/>
          <w:sz w:val="24"/>
          <w:rtl/>
        </w:rPr>
        <w:t xml:space="preserve">השתדל </w:t>
      </w:r>
      <w:r>
        <w:rPr>
          <w:rFonts w:hint="cs"/>
          <w:sz w:val="24"/>
          <w:rtl/>
        </w:rPr>
        <w:t xml:space="preserve">ר' מנחם </w:t>
      </w:r>
      <w:r w:rsidRPr="005F4DB8">
        <w:rPr>
          <w:rFonts w:hint="cs"/>
          <w:sz w:val="24"/>
          <w:rtl/>
        </w:rPr>
        <w:t>להסמיך את המדרשים על הטקסט המקראי.</w:t>
      </w:r>
    </w:p>
    <w:p w:rsidR="006C55EB" w:rsidRPr="005F4DB8" w:rsidRDefault="0074799F" w:rsidP="0074799F">
      <w:pPr>
        <w:spacing w:line="360" w:lineRule="auto"/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בקיאותו של ר' מנחם בספרות חז"ל הייתה גדולה, והוא השתמש במגוון מדרשים לצורך פירושי המקראות. הוא </w:t>
      </w:r>
      <w:r w:rsidR="006C55EB" w:rsidRPr="005F4DB8">
        <w:rPr>
          <w:rFonts w:hint="cs"/>
          <w:sz w:val="24"/>
          <w:rtl/>
        </w:rPr>
        <w:t xml:space="preserve">לא הזכיר </w:t>
      </w:r>
      <w:r>
        <w:rPr>
          <w:rFonts w:hint="cs"/>
          <w:sz w:val="24"/>
          <w:rtl/>
        </w:rPr>
        <w:t xml:space="preserve">בדרך כלל </w:t>
      </w:r>
      <w:r w:rsidR="006C55EB" w:rsidRPr="005F4DB8">
        <w:rPr>
          <w:rFonts w:hint="cs"/>
          <w:sz w:val="24"/>
          <w:rtl/>
        </w:rPr>
        <w:t>את רבותיו בשמות</w:t>
      </w:r>
      <w:r w:rsidR="00454AC2">
        <w:rPr>
          <w:rFonts w:hint="cs"/>
          <w:sz w:val="24"/>
          <w:rtl/>
        </w:rPr>
        <w:t>יה</w:t>
      </w:r>
      <w:r w:rsidR="006C55EB" w:rsidRPr="005F4DB8">
        <w:rPr>
          <w:rFonts w:hint="cs"/>
          <w:sz w:val="24"/>
          <w:rtl/>
        </w:rPr>
        <w:t xml:space="preserve">ם. במקרים אחדים שהזכיר 'רבותיי' </w:t>
      </w:r>
      <w:r w:rsidR="006C55EB" w:rsidRPr="005F4DB8">
        <w:rPr>
          <w:rFonts w:hint="cs"/>
          <w:sz w:val="24"/>
          <w:rtl/>
        </w:rPr>
        <w:lastRenderedPageBreak/>
        <w:t xml:space="preserve">התכוון ללקח טוב, </w:t>
      </w:r>
      <w:r>
        <w:rPr>
          <w:rFonts w:hint="cs"/>
          <w:sz w:val="24"/>
          <w:rtl/>
        </w:rPr>
        <w:t>ב</w:t>
      </w:r>
      <w:r w:rsidR="006C55EB" w:rsidRPr="005F4DB8">
        <w:rPr>
          <w:rFonts w:hint="cs"/>
          <w:sz w:val="24"/>
          <w:rtl/>
        </w:rPr>
        <w:t xml:space="preserve">מקרים </w:t>
      </w:r>
      <w:r>
        <w:rPr>
          <w:rFonts w:hint="cs"/>
          <w:sz w:val="24"/>
          <w:rtl/>
        </w:rPr>
        <w:t xml:space="preserve">אחרים </w:t>
      </w:r>
      <w:r w:rsidR="006C55EB" w:rsidRPr="005F4DB8">
        <w:rPr>
          <w:rFonts w:hint="cs"/>
          <w:sz w:val="24"/>
          <w:rtl/>
        </w:rPr>
        <w:t>התכוון למנחם בן סרוק שאותו החשיב כרבו המובהק</w:t>
      </w:r>
      <w:r>
        <w:rPr>
          <w:rFonts w:hint="cs"/>
          <w:sz w:val="24"/>
          <w:rtl/>
        </w:rPr>
        <w:t xml:space="preserve"> גם אם לא למד ממנו ישירות</w:t>
      </w:r>
      <w:r w:rsidR="006C55EB" w:rsidRPr="005F4DB8">
        <w:rPr>
          <w:rFonts w:hint="cs"/>
          <w:sz w:val="24"/>
          <w:rtl/>
        </w:rPr>
        <w:t>.</w:t>
      </w:r>
      <w:r>
        <w:rPr>
          <w:rFonts w:hint="cs"/>
          <w:sz w:val="24"/>
          <w:rtl/>
        </w:rPr>
        <w:t xml:space="preserve"> </w:t>
      </w:r>
      <w:r w:rsidR="006C55EB" w:rsidRPr="005F4DB8">
        <w:rPr>
          <w:rFonts w:hint="cs"/>
          <w:sz w:val="24"/>
          <w:rtl/>
        </w:rPr>
        <w:t xml:space="preserve">מקובל להניח שהוא לא נחשף לפירושו של רש"י לתורה. </w:t>
      </w:r>
    </w:p>
    <w:p w:rsidR="00EE608E" w:rsidRPr="005F4DB8" w:rsidRDefault="00EE608E" w:rsidP="005F4DB8">
      <w:pPr>
        <w:spacing w:line="360" w:lineRule="auto"/>
        <w:rPr>
          <w:rFonts w:hint="cs"/>
          <w:sz w:val="24"/>
          <w:rtl/>
        </w:rPr>
      </w:pPr>
    </w:p>
    <w:p w:rsidR="00955D5B" w:rsidRPr="005F4DB8" w:rsidRDefault="00955D5B" w:rsidP="005F4DB8">
      <w:pPr>
        <w:spacing w:line="360" w:lineRule="auto"/>
        <w:rPr>
          <w:rFonts w:hint="cs"/>
          <w:sz w:val="24"/>
          <w:rtl/>
        </w:rPr>
      </w:pPr>
      <w:r w:rsidRPr="005F4DB8">
        <w:rPr>
          <w:rFonts w:hint="cs"/>
          <w:sz w:val="24"/>
          <w:rtl/>
        </w:rPr>
        <w:t>ביבליוגרפיה:</w:t>
      </w:r>
    </w:p>
    <w:p w:rsidR="00A045EA" w:rsidRDefault="00A045EA" w:rsidP="00F56AF2">
      <w:pPr>
        <w:bidi w:val="0"/>
        <w:spacing w:line="360" w:lineRule="auto"/>
      </w:pPr>
      <w:proofErr w:type="spellStart"/>
      <w:proofErr w:type="gramStart"/>
      <w:r>
        <w:t>Menahem</w:t>
      </w:r>
      <w:proofErr w:type="spellEnd"/>
      <w:r>
        <w:t xml:space="preserve"> </w:t>
      </w:r>
      <w:proofErr w:type="spellStart"/>
      <w:r>
        <w:t>ben</w:t>
      </w:r>
      <w:proofErr w:type="spellEnd"/>
      <w:r>
        <w:t xml:space="preserve"> Solomon, </w:t>
      </w:r>
      <w:r w:rsidRPr="00521FF9">
        <w:rPr>
          <w:i/>
          <w:iCs/>
        </w:rPr>
        <w:t xml:space="preserve">Midrash </w:t>
      </w:r>
      <w:proofErr w:type="spellStart"/>
      <w:r w:rsidRPr="00521FF9">
        <w:rPr>
          <w:i/>
          <w:iCs/>
        </w:rPr>
        <w:t>Se</w:t>
      </w:r>
      <w:r>
        <w:rPr>
          <w:i/>
          <w:iCs/>
        </w:rPr>
        <w:t>k</w:t>
      </w:r>
      <w:r w:rsidRPr="00521FF9">
        <w:rPr>
          <w:i/>
          <w:iCs/>
        </w:rPr>
        <w:t>hel-Tov</w:t>
      </w:r>
      <w:proofErr w:type="spellEnd"/>
      <w:r>
        <w:t xml:space="preserve">, </w:t>
      </w:r>
      <w:r w:rsidR="00F56AF2">
        <w:t>(ed. S. Buber;</w:t>
      </w:r>
      <w:r>
        <w:t xml:space="preserve"> Berlin 1900–1901</w:t>
      </w:r>
      <w:r w:rsidR="00F56AF2">
        <w:t>)</w:t>
      </w:r>
      <w:r>
        <w:t>.</w:t>
      </w:r>
      <w:proofErr w:type="gramEnd"/>
      <w:r w:rsidR="00B90BF9">
        <w:t xml:space="preserve"> </w:t>
      </w:r>
      <w:proofErr w:type="gramStart"/>
      <w:r w:rsidR="00B90BF9">
        <w:t>[Heb.</w:t>
      </w:r>
      <w:r w:rsidR="00B90BF9">
        <w:rPr>
          <w:sz w:val="24"/>
        </w:rPr>
        <w:t>]</w:t>
      </w:r>
      <w:proofErr w:type="gramEnd"/>
    </w:p>
    <w:p w:rsidR="00A045EA" w:rsidRDefault="00B90BF9" w:rsidP="00F56AF2">
      <w:pPr>
        <w:bidi w:val="0"/>
        <w:spacing w:line="360" w:lineRule="auto"/>
      </w:pPr>
      <w:r>
        <w:t xml:space="preserve">Ben Shalom </w:t>
      </w:r>
      <w:r w:rsidR="00A045EA">
        <w:t>H</w:t>
      </w:r>
      <w:r>
        <w:t>.</w:t>
      </w:r>
      <w:r w:rsidR="00A045EA">
        <w:t xml:space="preserve">, "R. </w:t>
      </w:r>
      <w:proofErr w:type="spellStart"/>
      <w:r w:rsidR="00A045EA">
        <w:t>Menahem</w:t>
      </w:r>
      <w:proofErr w:type="spellEnd"/>
      <w:r w:rsidR="00A045EA">
        <w:t xml:space="preserve"> </w:t>
      </w:r>
      <w:proofErr w:type="spellStart"/>
      <w:r w:rsidR="00A045EA">
        <w:t>ben</w:t>
      </w:r>
      <w:proofErr w:type="spellEnd"/>
      <w:r w:rsidR="00A045EA">
        <w:t xml:space="preserve"> Solomon</w:t>
      </w:r>
      <w:r w:rsidR="00A045EA" w:rsidRPr="00515709">
        <w:t xml:space="preserve"> </w:t>
      </w:r>
      <w:r w:rsidR="00A045EA" w:rsidRPr="002C0304">
        <w:t>Exegetic Method According to his Commentary to</w:t>
      </w:r>
      <w:r w:rsidR="00A045EA">
        <w:t xml:space="preserve"> the Torah </w:t>
      </w:r>
      <w:proofErr w:type="spellStart"/>
      <w:r w:rsidR="00A045EA" w:rsidRPr="00521FF9">
        <w:rPr>
          <w:i/>
          <w:iCs/>
        </w:rPr>
        <w:t>Se</w:t>
      </w:r>
      <w:r w:rsidR="00A045EA">
        <w:rPr>
          <w:i/>
          <w:iCs/>
        </w:rPr>
        <w:t>k</w:t>
      </w:r>
      <w:r w:rsidR="00A045EA" w:rsidRPr="00521FF9">
        <w:rPr>
          <w:i/>
          <w:iCs/>
        </w:rPr>
        <w:t>hel-Tov</w:t>
      </w:r>
      <w:proofErr w:type="spellEnd"/>
      <w:r w:rsidR="00A045EA">
        <w:t xml:space="preserve">", </w:t>
      </w:r>
      <w:proofErr w:type="spellStart"/>
      <w:r w:rsidR="00A045EA" w:rsidRPr="00521FF9">
        <w:rPr>
          <w:i/>
          <w:iCs/>
        </w:rPr>
        <w:t>Turim</w:t>
      </w:r>
      <w:proofErr w:type="spellEnd"/>
      <w:r w:rsidR="00A045EA" w:rsidRPr="00521FF9">
        <w:rPr>
          <w:i/>
          <w:iCs/>
        </w:rPr>
        <w:t xml:space="preserve"> - Studies in Jewish History and Literature presented to Dr. Bernard Lander</w:t>
      </w:r>
      <w:r w:rsidR="00A045EA">
        <w:t>,</w:t>
      </w:r>
      <w:r w:rsidR="00F56AF2">
        <w:t xml:space="preserve"> II (</w:t>
      </w:r>
      <w:r w:rsidR="00A045EA">
        <w:t>ed. M</w:t>
      </w:r>
      <w:r w:rsidR="00F56AF2">
        <w:t>.</w:t>
      </w:r>
      <w:r w:rsidR="00A045EA">
        <w:t xml:space="preserve"> A. </w:t>
      </w:r>
      <w:proofErr w:type="spellStart"/>
      <w:r w:rsidR="00A045EA">
        <w:t>Shmidman</w:t>
      </w:r>
      <w:proofErr w:type="spellEnd"/>
      <w:r w:rsidR="00F56AF2">
        <w:t>;</w:t>
      </w:r>
      <w:r w:rsidR="00A045EA">
        <w:t xml:space="preserve"> New York 2008</w:t>
      </w:r>
      <w:r w:rsidR="00F56AF2">
        <w:t>)</w:t>
      </w:r>
      <w:r w:rsidR="00A045EA">
        <w:t>, 1*–58*.</w:t>
      </w:r>
      <w:r>
        <w:t xml:space="preserve">  </w:t>
      </w:r>
      <w:proofErr w:type="gramStart"/>
      <w:r>
        <w:t>[Heb.</w:t>
      </w:r>
      <w:r>
        <w:rPr>
          <w:sz w:val="24"/>
        </w:rPr>
        <w:t>]</w:t>
      </w:r>
      <w:proofErr w:type="gramEnd"/>
    </w:p>
    <w:p w:rsidR="00A045EA" w:rsidRDefault="00B90BF9" w:rsidP="00F56AF2">
      <w:pPr>
        <w:bidi w:val="0"/>
        <w:spacing w:line="360" w:lineRule="auto"/>
      </w:pPr>
      <w:proofErr w:type="spellStart"/>
      <w:r>
        <w:t>Elbaum</w:t>
      </w:r>
      <w:proofErr w:type="spellEnd"/>
      <w:r>
        <w:rPr>
          <w:rFonts w:hint="cs"/>
        </w:rPr>
        <w:t xml:space="preserve"> </w:t>
      </w:r>
      <w:r w:rsidR="00A045EA">
        <w:rPr>
          <w:rFonts w:hint="cs"/>
        </w:rPr>
        <w:t>J</w:t>
      </w:r>
      <w:r>
        <w:t>.</w:t>
      </w:r>
      <w:r w:rsidR="00A045EA">
        <w:t xml:space="preserve">, "The anthology </w:t>
      </w:r>
      <w:proofErr w:type="spellStart"/>
      <w:r w:rsidR="00A045EA" w:rsidRPr="001A1788">
        <w:rPr>
          <w:i/>
          <w:iCs/>
        </w:rPr>
        <w:t>Sekhel</w:t>
      </w:r>
      <w:proofErr w:type="spellEnd"/>
      <w:r w:rsidR="00A045EA" w:rsidRPr="001A1788">
        <w:rPr>
          <w:i/>
          <w:iCs/>
        </w:rPr>
        <w:t xml:space="preserve"> </w:t>
      </w:r>
      <w:proofErr w:type="spellStart"/>
      <w:r w:rsidR="00A045EA">
        <w:rPr>
          <w:i/>
          <w:iCs/>
        </w:rPr>
        <w:t>T</w:t>
      </w:r>
      <w:r w:rsidR="00A045EA" w:rsidRPr="001A1788">
        <w:rPr>
          <w:i/>
          <w:iCs/>
        </w:rPr>
        <w:t>ov</w:t>
      </w:r>
      <w:proofErr w:type="spellEnd"/>
      <w:r w:rsidR="00A045EA" w:rsidRPr="001A1788">
        <w:rPr>
          <w:i/>
          <w:iCs/>
        </w:rPr>
        <w:t>: derash, peshat</w:t>
      </w:r>
      <w:r w:rsidR="00A045EA">
        <w:t xml:space="preserve"> and the issue of the redactor (the </w:t>
      </w:r>
      <w:proofErr w:type="spellStart"/>
      <w:r w:rsidR="00A045EA" w:rsidRPr="001A1788">
        <w:rPr>
          <w:i/>
          <w:iCs/>
        </w:rPr>
        <w:t>sadran</w:t>
      </w:r>
      <w:proofErr w:type="spellEnd"/>
      <w:r w:rsidR="00A045EA">
        <w:t xml:space="preserve">)", </w:t>
      </w:r>
      <w:r w:rsidR="00A045EA" w:rsidRPr="001A1788">
        <w:rPr>
          <w:i/>
          <w:iCs/>
        </w:rPr>
        <w:t xml:space="preserve">A Word Fifty Spoken: Studies in medieval Exegesis of the Hebrew Bible and the </w:t>
      </w:r>
      <w:proofErr w:type="spellStart"/>
      <w:r w:rsidR="00A045EA" w:rsidRPr="001A1788">
        <w:rPr>
          <w:i/>
          <w:iCs/>
        </w:rPr>
        <w:t>Qur'</w:t>
      </w:r>
      <w:r w:rsidR="00A045EA" w:rsidRPr="001A1788">
        <w:rPr>
          <w:rFonts w:cs="Times New Roman"/>
          <w:i/>
          <w:iCs/>
        </w:rPr>
        <w:t>ā</w:t>
      </w:r>
      <w:r w:rsidR="00A045EA" w:rsidRPr="001A1788">
        <w:rPr>
          <w:i/>
          <w:iCs/>
        </w:rPr>
        <w:t>n</w:t>
      </w:r>
      <w:proofErr w:type="spellEnd"/>
      <w:r w:rsidR="00A045EA" w:rsidRPr="001A1788">
        <w:rPr>
          <w:i/>
          <w:iCs/>
        </w:rPr>
        <w:t xml:space="preserve"> presented to Haggai </w:t>
      </w:r>
      <w:proofErr w:type="spellStart"/>
      <w:r w:rsidR="00A045EA" w:rsidRPr="001A1788">
        <w:rPr>
          <w:i/>
          <w:iCs/>
        </w:rPr>
        <w:t>ben-Shammai</w:t>
      </w:r>
      <w:proofErr w:type="spellEnd"/>
      <w:r w:rsidR="00A045EA">
        <w:t xml:space="preserve">, </w:t>
      </w:r>
      <w:r w:rsidR="00F56AF2">
        <w:t>(</w:t>
      </w:r>
      <w:r w:rsidR="00A045EA">
        <w:t xml:space="preserve">ed. M. Bar-Asher, S. Hopkins, S. </w:t>
      </w:r>
      <w:proofErr w:type="spellStart"/>
      <w:r w:rsidR="00A045EA">
        <w:t>Strumsa</w:t>
      </w:r>
      <w:proofErr w:type="spellEnd"/>
      <w:r w:rsidR="00F56AF2">
        <w:t xml:space="preserve">, B. </w:t>
      </w:r>
      <w:proofErr w:type="spellStart"/>
      <w:r w:rsidR="00F56AF2">
        <w:t>Chiesa</w:t>
      </w:r>
      <w:proofErr w:type="spellEnd"/>
      <w:r w:rsidR="00F56AF2">
        <w:t>;</w:t>
      </w:r>
      <w:r>
        <w:t xml:space="preserve"> Jerusalem 2007</w:t>
      </w:r>
      <w:r w:rsidR="00F56AF2">
        <w:t>)</w:t>
      </w:r>
      <w:r>
        <w:t>,</w:t>
      </w:r>
      <w:r w:rsidR="00A045EA">
        <w:t xml:space="preserve"> 71–96. </w:t>
      </w:r>
      <w:proofErr w:type="gramStart"/>
      <w:r>
        <w:t>[Heb.</w:t>
      </w:r>
      <w:r>
        <w:rPr>
          <w:sz w:val="24"/>
        </w:rPr>
        <w:t>]</w:t>
      </w:r>
      <w:proofErr w:type="gramEnd"/>
    </w:p>
    <w:p w:rsidR="00A045EA" w:rsidRDefault="00B90BF9" w:rsidP="00F56AF2">
      <w:pPr>
        <w:bidi w:val="0"/>
        <w:spacing w:line="360" w:lineRule="auto"/>
      </w:pPr>
      <w:r>
        <w:t xml:space="preserve">Emanuel </w:t>
      </w:r>
      <w:r w:rsidR="00A045EA">
        <w:t>S</w:t>
      </w:r>
      <w:r>
        <w:t>.</w:t>
      </w:r>
      <w:r w:rsidR="00A045EA">
        <w:t xml:space="preserve">, </w:t>
      </w:r>
      <w:r w:rsidR="00A045EA" w:rsidRPr="00515709">
        <w:rPr>
          <w:i/>
          <w:iCs/>
        </w:rPr>
        <w:t>Hidden Treasures from Europe</w:t>
      </w:r>
      <w:r w:rsidR="00A045EA">
        <w:t xml:space="preserve">, I </w:t>
      </w:r>
      <w:r w:rsidR="00F56AF2">
        <w:t>(</w:t>
      </w:r>
      <w:r w:rsidR="00A045EA">
        <w:t>Jerusalem 2015</w:t>
      </w:r>
      <w:r w:rsidR="00F56AF2">
        <w:t>)</w:t>
      </w:r>
      <w:r w:rsidR="00A045EA">
        <w:t>, 104–182.</w:t>
      </w:r>
      <w:r>
        <w:t xml:space="preserve"> </w:t>
      </w:r>
      <w:proofErr w:type="gramStart"/>
      <w:r>
        <w:t>[Heb.</w:t>
      </w:r>
      <w:r>
        <w:rPr>
          <w:sz w:val="24"/>
        </w:rPr>
        <w:t>]</w:t>
      </w:r>
      <w:proofErr w:type="gramEnd"/>
    </w:p>
    <w:p w:rsidR="00955D5B" w:rsidRPr="00A045EA" w:rsidRDefault="00B90BF9" w:rsidP="00B90BF9">
      <w:pPr>
        <w:bidi w:val="0"/>
        <w:spacing w:line="360" w:lineRule="auto"/>
        <w:rPr>
          <w:rFonts w:hint="cs"/>
          <w:sz w:val="24"/>
        </w:rPr>
      </w:pPr>
      <w:r w:rsidRPr="002C0304">
        <w:t>Ta-</w:t>
      </w:r>
      <w:proofErr w:type="spellStart"/>
      <w:r w:rsidRPr="002C0304">
        <w:t>Shma</w:t>
      </w:r>
      <w:proofErr w:type="spellEnd"/>
      <w:r w:rsidRPr="002C0304">
        <w:t xml:space="preserve"> </w:t>
      </w:r>
      <w:r w:rsidR="00A045EA" w:rsidRPr="002C0304">
        <w:t>I</w:t>
      </w:r>
      <w:r>
        <w:t xml:space="preserve">. </w:t>
      </w:r>
      <w:r w:rsidR="00A045EA" w:rsidRPr="002C0304">
        <w:t xml:space="preserve">M., </w:t>
      </w:r>
      <w:r w:rsidR="00A045EA" w:rsidRPr="002C0304">
        <w:rPr>
          <w:i/>
          <w:iCs/>
        </w:rPr>
        <w:t>Studies in Medieval Rabbinic Literature, Part 3: Italy and Byzantium</w:t>
      </w:r>
      <w:r w:rsidR="00A045EA">
        <w:t xml:space="preserve"> </w:t>
      </w:r>
      <w:r w:rsidR="00F56AF2">
        <w:t>(</w:t>
      </w:r>
      <w:r w:rsidR="00A045EA">
        <w:t>Jerusalem 2005</w:t>
      </w:r>
      <w:r w:rsidR="00F56AF2">
        <w:t>)</w:t>
      </w:r>
      <w:r>
        <w:t>,</w:t>
      </w:r>
      <w:r w:rsidR="00A045EA">
        <w:t xml:space="preserve"> 293–294</w:t>
      </w:r>
      <w:r>
        <w:t>.</w:t>
      </w:r>
      <w:r w:rsidR="00A045EA">
        <w:t xml:space="preserve"> </w:t>
      </w:r>
      <w:proofErr w:type="gramStart"/>
      <w:r>
        <w:t>[</w:t>
      </w:r>
      <w:r w:rsidR="00A045EA">
        <w:t>Heb</w:t>
      </w:r>
      <w:r>
        <w:t>.</w:t>
      </w:r>
      <w:r>
        <w:rPr>
          <w:sz w:val="24"/>
        </w:rPr>
        <w:t>]</w:t>
      </w:r>
      <w:proofErr w:type="gramEnd"/>
    </w:p>
    <w:sectPr w:rsidR="00955D5B" w:rsidRPr="00A045EA" w:rsidSect="008945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D5B" w:rsidRDefault="00955D5B" w:rsidP="00955D5B">
      <w:r>
        <w:separator/>
      </w:r>
    </w:p>
  </w:endnote>
  <w:endnote w:type="continuationSeparator" w:id="0">
    <w:p w:rsidR="00955D5B" w:rsidRDefault="00955D5B" w:rsidP="00955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D5B" w:rsidRDefault="00955D5B" w:rsidP="00955D5B">
      <w:r>
        <w:separator/>
      </w:r>
    </w:p>
  </w:footnote>
  <w:footnote w:type="continuationSeparator" w:id="0">
    <w:p w:rsidR="00955D5B" w:rsidRDefault="00955D5B" w:rsidP="00955D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060"/>
    <w:rsid w:val="000D4415"/>
    <w:rsid w:val="00116C35"/>
    <w:rsid w:val="001A5561"/>
    <w:rsid w:val="0026342E"/>
    <w:rsid w:val="00297D5E"/>
    <w:rsid w:val="003125DB"/>
    <w:rsid w:val="0036456F"/>
    <w:rsid w:val="00383673"/>
    <w:rsid w:val="003839F9"/>
    <w:rsid w:val="00397147"/>
    <w:rsid w:val="004041DF"/>
    <w:rsid w:val="00454AC2"/>
    <w:rsid w:val="005F4DB8"/>
    <w:rsid w:val="006336C7"/>
    <w:rsid w:val="006B166E"/>
    <w:rsid w:val="006C55EB"/>
    <w:rsid w:val="007248AB"/>
    <w:rsid w:val="0074799F"/>
    <w:rsid w:val="00760C2A"/>
    <w:rsid w:val="00797F09"/>
    <w:rsid w:val="00805B44"/>
    <w:rsid w:val="00831E57"/>
    <w:rsid w:val="00894551"/>
    <w:rsid w:val="008B696A"/>
    <w:rsid w:val="008C6C30"/>
    <w:rsid w:val="00955D5B"/>
    <w:rsid w:val="00A045EA"/>
    <w:rsid w:val="00A21B98"/>
    <w:rsid w:val="00AF605A"/>
    <w:rsid w:val="00B06576"/>
    <w:rsid w:val="00B87849"/>
    <w:rsid w:val="00B90BF9"/>
    <w:rsid w:val="00C53A2B"/>
    <w:rsid w:val="00C62EE8"/>
    <w:rsid w:val="00C7295D"/>
    <w:rsid w:val="00C81DF7"/>
    <w:rsid w:val="00CA6CC6"/>
    <w:rsid w:val="00D37453"/>
    <w:rsid w:val="00DC0E0A"/>
    <w:rsid w:val="00DC722B"/>
    <w:rsid w:val="00E02F1E"/>
    <w:rsid w:val="00E26060"/>
    <w:rsid w:val="00E61589"/>
    <w:rsid w:val="00E76DF7"/>
    <w:rsid w:val="00ED451C"/>
    <w:rsid w:val="00ED4971"/>
    <w:rsid w:val="00ED6327"/>
    <w:rsid w:val="00EE608E"/>
    <w:rsid w:val="00F06D4B"/>
    <w:rsid w:val="00F37A63"/>
    <w:rsid w:val="00F56AF2"/>
    <w:rsid w:val="00FA5C1A"/>
    <w:rsid w:val="00FC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David"/>
        <w:sz w:val="22"/>
        <w:szCs w:val="24"/>
        <w:lang w:val="en-US" w:eastAsia="en-US" w:bidi="he-I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09"/>
    <w:pPr>
      <w:bidi/>
    </w:pPr>
  </w:style>
  <w:style w:type="paragraph" w:styleId="1">
    <w:name w:val="heading 1"/>
    <w:basedOn w:val="a"/>
    <w:next w:val="a"/>
    <w:link w:val="10"/>
    <w:autoRedefine/>
    <w:uiPriority w:val="9"/>
    <w:qFormat/>
    <w:rsid w:val="0026342E"/>
    <w:pPr>
      <w:keepNext/>
      <w:keepLines/>
      <w:jc w:val="center"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60C2A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26342E"/>
    <w:rPr>
      <w:rFonts w:asciiTheme="majorHAnsi" w:eastAsiaTheme="majorEastAsia" w:hAnsiTheme="majorHAnsi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760C2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footnote text"/>
    <w:basedOn w:val="a"/>
    <w:link w:val="a4"/>
    <w:autoRedefine/>
    <w:semiHidden/>
    <w:unhideWhenUsed/>
    <w:rsid w:val="003839F9"/>
    <w:rPr>
      <w:sz w:val="20"/>
      <w:szCs w:val="22"/>
    </w:rPr>
  </w:style>
  <w:style w:type="character" w:customStyle="1" w:styleId="a4">
    <w:name w:val="טקסט הערת שוליים תו"/>
    <w:basedOn w:val="a0"/>
    <w:link w:val="a3"/>
    <w:uiPriority w:val="99"/>
    <w:semiHidden/>
    <w:rsid w:val="003839F9"/>
    <w:rPr>
      <w:sz w:val="20"/>
      <w:szCs w:val="22"/>
    </w:rPr>
  </w:style>
  <w:style w:type="character" w:styleId="a5">
    <w:name w:val="footnote reference"/>
    <w:uiPriority w:val="99"/>
    <w:semiHidden/>
    <w:rsid w:val="00ED451C"/>
    <w:rPr>
      <w:rFonts w:cs="David"/>
      <w:szCs w:val="22"/>
      <w:vertAlign w:val="superscript"/>
    </w:rPr>
  </w:style>
  <w:style w:type="paragraph" w:customStyle="1" w:styleId="a6">
    <w:name w:val="ביבליו"/>
    <w:basedOn w:val="a"/>
    <w:rsid w:val="00955D5B"/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E3A4B-EA3B-47A0-AD97-F576CD35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שלום</dc:creator>
  <cp:lastModifiedBy>שלום</cp:lastModifiedBy>
  <cp:revision>2</cp:revision>
  <dcterms:created xsi:type="dcterms:W3CDTF">2017-10-30T11:26:00Z</dcterms:created>
  <dcterms:modified xsi:type="dcterms:W3CDTF">2017-10-30T11:26:00Z</dcterms:modified>
</cp:coreProperties>
</file>