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E56D4" w14:textId="4D74EBAB" w:rsidR="00232C5F" w:rsidRDefault="005A1F29" w:rsidP="005A1F29">
      <w:pPr>
        <w:bidi/>
        <w:rPr>
          <w:rFonts w:ascii="FrankRuehl" w:hAnsi="FrankRuehl" w:cs="FrankRuehl"/>
          <w:color w:val="FF0000"/>
          <w:sz w:val="23"/>
          <w:szCs w:val="23"/>
          <w:rtl/>
        </w:rPr>
      </w:pPr>
      <w:r w:rsidRPr="000833B9">
        <w:rPr>
          <w:rFonts w:ascii="FrankRuehl" w:hAnsi="FrankRuehl" w:cs="FrankRuehl"/>
          <w:color w:val="FF0000"/>
          <w:sz w:val="23"/>
          <w:szCs w:val="23"/>
          <w:rtl/>
        </w:rPr>
        <w:t>במחקר נוסף שילבתי שיקולים מתחום האנתרופולוגיה ומחקר הדתות כדי לשפוך אור חדש על שאלת קיומם של איסורי מזון ביהדות</w:t>
      </w:r>
      <w:r>
        <w:rPr>
          <w:rFonts w:ascii="FrankRuehl" w:hAnsi="FrankRuehl" w:cs="FrankRuehl" w:hint="cs"/>
          <w:color w:val="FF0000"/>
          <w:sz w:val="23"/>
          <w:szCs w:val="23"/>
          <w:rtl/>
        </w:rPr>
        <w:t>.</w:t>
      </w:r>
    </w:p>
    <w:p w14:paraId="63AF78A7" w14:textId="77777777" w:rsidR="005A1F29" w:rsidRDefault="005A1F29" w:rsidP="005A1F29">
      <w:pPr>
        <w:bidi/>
        <w:rPr>
          <w:rFonts w:ascii="FrankRuehl" w:hAnsi="FrankRuehl" w:cs="FrankRuehl"/>
          <w:color w:val="FF0000"/>
          <w:sz w:val="23"/>
          <w:szCs w:val="23"/>
          <w:rtl/>
        </w:rPr>
      </w:pPr>
    </w:p>
    <w:p w14:paraId="1981D54B" w14:textId="140A2162" w:rsidR="005A1F29" w:rsidRDefault="005A1F29" w:rsidP="005A1F29">
      <w:pPr>
        <w:bidi/>
        <w:rPr>
          <w:rFonts w:ascii="FrankRuehl" w:hAnsi="FrankRuehl" w:cs="FrankRuehl"/>
          <w:color w:val="FF0000"/>
          <w:sz w:val="23"/>
          <w:szCs w:val="23"/>
          <w:rtl/>
        </w:rPr>
      </w:pPr>
      <w:r w:rsidRPr="000833B9">
        <w:rPr>
          <w:rFonts w:ascii="FrankRuehl" w:hAnsi="FrankRuehl" w:cs="FrankRuehl"/>
          <w:color w:val="FF0000"/>
          <w:sz w:val="23"/>
          <w:szCs w:val="23"/>
          <w:rtl/>
        </w:rPr>
        <w:t xml:space="preserve">במחקר </w:t>
      </w:r>
      <w:r>
        <w:rPr>
          <w:rFonts w:ascii="FrankRuehl" w:hAnsi="FrankRuehl" w:cs="FrankRuehl" w:hint="cs"/>
          <w:color w:val="FF0000"/>
          <w:sz w:val="23"/>
          <w:szCs w:val="23"/>
          <w:rtl/>
        </w:rPr>
        <w:t>המשך</w:t>
      </w:r>
      <w:r w:rsidRPr="000833B9">
        <w:rPr>
          <w:rFonts w:ascii="FrankRuehl" w:hAnsi="FrankRuehl" w:cs="FrankRuehl"/>
          <w:color w:val="FF0000"/>
          <w:sz w:val="23"/>
          <w:szCs w:val="23"/>
          <w:rtl/>
        </w:rPr>
        <w:t xml:space="preserve"> העמקתי בהתפתחותן של הקונספציות והמתודולוגיות הפרשניות</w:t>
      </w:r>
      <w:r>
        <w:rPr>
          <w:rFonts w:ascii="FrankRuehl" w:hAnsi="FrankRuehl" w:cs="FrankRuehl" w:hint="cs"/>
          <w:color w:val="FF0000"/>
          <w:sz w:val="23"/>
          <w:szCs w:val="23"/>
          <w:rtl/>
        </w:rPr>
        <w:t>.</w:t>
      </w:r>
    </w:p>
    <w:p w14:paraId="71996CB6" w14:textId="77777777" w:rsidR="005A1F29" w:rsidRDefault="005A1F29" w:rsidP="005A1F29">
      <w:pPr>
        <w:bidi/>
        <w:rPr>
          <w:rFonts w:ascii="FrankRuehl" w:hAnsi="FrankRuehl" w:cs="FrankRuehl"/>
          <w:color w:val="FF0000"/>
          <w:sz w:val="23"/>
          <w:szCs w:val="23"/>
          <w:rtl/>
        </w:rPr>
      </w:pPr>
    </w:p>
    <w:p w14:paraId="5A9E5F11" w14:textId="5DB48684" w:rsidR="005A1F29" w:rsidRPr="005A1F29" w:rsidRDefault="005A1F29" w:rsidP="005A1F29">
      <w:pPr>
        <w:bidi/>
        <w:rPr>
          <w:rFonts w:ascii="FrankRuehl" w:hAnsi="FrankRuehl" w:cs="FrankRuehl"/>
          <w:color w:val="FF0000"/>
          <w:sz w:val="24"/>
          <w:szCs w:val="24"/>
          <w:rtl/>
        </w:rPr>
      </w:pPr>
      <w:r w:rsidRPr="000833B9">
        <w:rPr>
          <w:rFonts w:ascii="FrankRuehl" w:hAnsi="FrankRuehl" w:cs="FrankRuehl"/>
          <w:color w:val="FF0000"/>
          <w:sz w:val="23"/>
          <w:szCs w:val="23"/>
          <w:rtl/>
        </w:rPr>
        <w:t xml:space="preserve">מחקר רחב יריעה זה מציע תמונה פנורמית ומחדד את ההכרח </w:t>
      </w:r>
      <w:r w:rsidRPr="005A1F29">
        <w:rPr>
          <w:rFonts w:ascii="FrankRuehl" w:hAnsi="FrankRuehl" w:cs="FrankRuehl"/>
          <w:color w:val="FF0000"/>
          <w:sz w:val="24"/>
          <w:szCs w:val="24"/>
          <w:rtl/>
        </w:rPr>
        <w:t>לבחון את תולדותיה של כל דיסציפלינה מחקרית בהתחשב בזמנם ובמקומם של החוקרים</w:t>
      </w:r>
      <w:r w:rsidRPr="005A1F29">
        <w:rPr>
          <w:rFonts w:ascii="FrankRuehl" w:hAnsi="FrankRuehl" w:cs="FrankRuehl" w:hint="cs"/>
          <w:color w:val="FF0000"/>
          <w:sz w:val="24"/>
          <w:szCs w:val="24"/>
          <w:rtl/>
        </w:rPr>
        <w:t>, ו</w:t>
      </w:r>
      <w:r w:rsidRPr="005A1F29">
        <w:rPr>
          <w:rFonts w:ascii="FrankRuehl" w:hAnsi="FrankRuehl" w:cs="FrankRuehl"/>
          <w:color w:val="FF0000"/>
          <w:sz w:val="24"/>
          <w:szCs w:val="24"/>
          <w:rtl/>
        </w:rPr>
        <w:t>בתנאים התרבותיים, האינטלקטואליים, החברתיים והפוליטיים המשפיעים מבלי דעת על המחקר ועל תוצאותיו</w:t>
      </w:r>
      <w:r w:rsidRPr="005A1F29">
        <w:rPr>
          <w:rFonts w:ascii="FrankRuehl" w:hAnsi="FrankRuehl" w:cs="FrankRuehl" w:hint="cs"/>
          <w:color w:val="FF0000"/>
          <w:sz w:val="24"/>
          <w:szCs w:val="24"/>
          <w:rtl/>
        </w:rPr>
        <w:t>.</w:t>
      </w:r>
    </w:p>
    <w:p w14:paraId="7CBDBC0E" w14:textId="77777777" w:rsidR="005A1F29" w:rsidRDefault="005A1F29" w:rsidP="005A1F29">
      <w:pPr>
        <w:bidi/>
        <w:rPr>
          <w:rFonts w:ascii="FrankRuehl" w:hAnsi="FrankRuehl" w:cs="FrankRuehl"/>
          <w:color w:val="FF0000"/>
          <w:sz w:val="24"/>
          <w:szCs w:val="24"/>
          <w:rtl/>
        </w:rPr>
      </w:pPr>
    </w:p>
    <w:p w14:paraId="762F6007" w14:textId="2D235B5A" w:rsidR="005A1F29" w:rsidRPr="005A1F29" w:rsidRDefault="005A1F29" w:rsidP="005A1F29">
      <w:pPr>
        <w:bidi/>
        <w:rPr>
          <w:rFonts w:ascii="FrankRuehl" w:hAnsi="FrankRuehl" w:cs="FrankRuehl"/>
          <w:color w:val="FF0000"/>
          <w:sz w:val="24"/>
          <w:szCs w:val="24"/>
          <w:rtl/>
        </w:rPr>
      </w:pPr>
      <w:r w:rsidRPr="005A1F29">
        <w:rPr>
          <w:rFonts w:ascii="FrankRuehl" w:hAnsi="FrankRuehl" w:cs="FrankRuehl"/>
          <w:color w:val="FF0000"/>
          <w:sz w:val="24"/>
          <w:szCs w:val="24"/>
          <w:rtl/>
        </w:rPr>
        <w:t>כרך ראשון של</w:t>
      </w:r>
      <w:r w:rsidR="00E4333C">
        <w:rPr>
          <w:rFonts w:ascii="FrankRuehl" w:hAnsi="FrankRuehl" w:cs="FrankRuehl" w:hint="cs"/>
          <w:color w:val="FF0000"/>
          <w:sz w:val="24"/>
          <w:szCs w:val="24"/>
          <w:rtl/>
        </w:rPr>
        <w:t xml:space="preserve">... </w:t>
      </w:r>
      <w:r w:rsidRPr="005A1F29">
        <w:rPr>
          <w:rFonts w:ascii="FrankRuehl" w:hAnsi="FrankRuehl" w:cs="FrankRuehl"/>
          <w:color w:val="FF0000"/>
          <w:sz w:val="24"/>
          <w:szCs w:val="24"/>
          <w:rtl/>
        </w:rPr>
        <w:t>בער</w:t>
      </w:r>
      <w:r w:rsidRPr="005A1F29">
        <w:rPr>
          <w:rFonts w:ascii="FrankRuehl" w:hAnsi="FrankRuehl" w:cs="FrankRuehl" w:hint="cs"/>
          <w:color w:val="FF0000"/>
          <w:sz w:val="24"/>
          <w:szCs w:val="24"/>
          <w:rtl/>
        </w:rPr>
        <w:t>י</w:t>
      </w:r>
      <w:r w:rsidRPr="005A1F29">
        <w:rPr>
          <w:rFonts w:ascii="FrankRuehl" w:hAnsi="FrankRuehl" w:cs="FrankRuehl"/>
          <w:color w:val="FF0000"/>
          <w:sz w:val="24"/>
          <w:szCs w:val="24"/>
          <w:rtl/>
        </w:rPr>
        <w:t>כתי ראה אור ב-2021</w:t>
      </w:r>
      <w:r w:rsidRPr="005A1F29">
        <w:rPr>
          <w:rFonts w:ascii="FrankRuehl" w:hAnsi="FrankRuehl" w:cs="FrankRuehl" w:hint="cs"/>
          <w:color w:val="FF0000"/>
          <w:sz w:val="24"/>
          <w:szCs w:val="24"/>
          <w:rtl/>
        </w:rPr>
        <w:t>.</w:t>
      </w:r>
      <w:r w:rsidRPr="005A1F29">
        <w:rPr>
          <w:rFonts w:ascii="FrankRuehl" w:hAnsi="FrankRuehl" w:cs="FrankRuehl"/>
          <w:color w:val="FF0000"/>
          <w:sz w:val="24"/>
          <w:szCs w:val="24"/>
          <w:rtl/>
        </w:rPr>
        <w:t xml:space="preserve"> הכרך השני </w:t>
      </w:r>
      <w:r w:rsidRPr="005A1F29">
        <w:rPr>
          <w:rFonts w:ascii="FrankRuehl" w:hAnsi="FrankRuehl" w:cs="FrankRuehl" w:hint="cs"/>
          <w:color w:val="FF0000"/>
          <w:sz w:val="24"/>
          <w:szCs w:val="24"/>
          <w:rtl/>
        </w:rPr>
        <w:t>עתיד לראות</w:t>
      </w:r>
      <w:r w:rsidRPr="005A1F29">
        <w:rPr>
          <w:rFonts w:ascii="FrankRuehl" w:hAnsi="FrankRuehl" w:cs="FrankRuehl"/>
          <w:color w:val="FF0000"/>
          <w:sz w:val="24"/>
          <w:szCs w:val="24"/>
          <w:rtl/>
        </w:rPr>
        <w:t xml:space="preserve"> אור בשנה הבאה</w:t>
      </w:r>
      <w:r w:rsidRPr="005A1F29">
        <w:rPr>
          <w:rFonts w:ascii="FrankRuehl" w:hAnsi="FrankRuehl" w:cs="FrankRuehl" w:hint="cs"/>
          <w:color w:val="FF0000"/>
          <w:sz w:val="24"/>
          <w:szCs w:val="24"/>
          <w:rtl/>
        </w:rPr>
        <w:t>.</w:t>
      </w:r>
    </w:p>
    <w:p w14:paraId="72FDDD02" w14:textId="77777777" w:rsidR="005A1F29" w:rsidRDefault="005A1F29" w:rsidP="005A1F29">
      <w:pPr>
        <w:bidi/>
        <w:spacing w:line="360" w:lineRule="auto"/>
        <w:rPr>
          <w:rFonts w:ascii="FrankRuehl" w:hAnsi="FrankRuehl" w:cs="FrankRuehl"/>
          <w:color w:val="FF0000"/>
          <w:sz w:val="24"/>
          <w:szCs w:val="24"/>
          <w:rtl/>
        </w:rPr>
      </w:pPr>
    </w:p>
    <w:p w14:paraId="064698D9" w14:textId="15E450D6" w:rsidR="005A1F29" w:rsidRPr="005A1F29" w:rsidRDefault="005A1F29" w:rsidP="005A1F29">
      <w:pPr>
        <w:bidi/>
        <w:spacing w:line="360" w:lineRule="auto"/>
        <w:rPr>
          <w:rFonts w:ascii="FrankRuehl" w:hAnsi="FrankRuehl" w:cs="FrankRuehl"/>
          <w:color w:val="FF0000"/>
          <w:sz w:val="24"/>
          <w:szCs w:val="24"/>
          <w:rtl/>
        </w:rPr>
      </w:pPr>
      <w:r w:rsidRPr="005A1F29">
        <w:rPr>
          <w:rFonts w:ascii="FrankRuehl" w:hAnsi="FrankRuehl" w:cs="FrankRuehl"/>
          <w:color w:val="FF0000"/>
          <w:sz w:val="24"/>
          <w:szCs w:val="24"/>
          <w:rtl/>
        </w:rPr>
        <w:t>לפרויקט המחקר הממומן מהקרן הלאומית למדע הקדשתי חלק נ</w:t>
      </w:r>
      <w:r w:rsidRPr="005A1F29">
        <w:rPr>
          <w:rFonts w:ascii="FrankRuehl" w:hAnsi="FrankRuehl" w:cs="FrankRuehl" w:hint="cs"/>
          <w:color w:val="FF0000"/>
          <w:sz w:val="24"/>
          <w:szCs w:val="24"/>
          <w:rtl/>
        </w:rPr>
        <w:t>יכר</w:t>
      </w:r>
      <w:r w:rsidRPr="005A1F29">
        <w:rPr>
          <w:rFonts w:ascii="FrankRuehl" w:hAnsi="FrankRuehl" w:cs="FrankRuehl"/>
          <w:color w:val="FF0000"/>
          <w:sz w:val="24"/>
          <w:szCs w:val="24"/>
          <w:rtl/>
        </w:rPr>
        <w:t xml:space="preserve"> מעבודתי המחקרית בשנים האחרונות. המחקרים והפרסומים שהשלמתי כחלק מפרויקט זה ושעוד בכוונתי להשלים בהמשך (ראו להלן), ניתנים לחלוקה </w:t>
      </w:r>
      <w:r w:rsidRPr="005A1F29">
        <w:rPr>
          <w:rFonts w:ascii="FrankRuehl" w:hAnsi="FrankRuehl" w:cs="FrankRuehl" w:hint="cs"/>
          <w:color w:val="FF0000"/>
          <w:sz w:val="24"/>
          <w:szCs w:val="24"/>
          <w:rtl/>
        </w:rPr>
        <w:t>ה</w:t>
      </w:r>
      <w:r w:rsidRPr="005A1F29">
        <w:rPr>
          <w:rFonts w:ascii="FrankRuehl" w:hAnsi="FrankRuehl" w:cs="FrankRuehl"/>
          <w:color w:val="FF0000"/>
          <w:sz w:val="24"/>
          <w:szCs w:val="24"/>
          <w:rtl/>
        </w:rPr>
        <w:t>משולשת</w:t>
      </w:r>
      <w:r w:rsidRPr="005A1F29">
        <w:rPr>
          <w:rFonts w:ascii="FrankRuehl" w:hAnsi="FrankRuehl" w:cs="FrankRuehl" w:hint="cs"/>
          <w:color w:val="FF0000"/>
          <w:sz w:val="24"/>
          <w:szCs w:val="24"/>
          <w:rtl/>
        </w:rPr>
        <w:t xml:space="preserve"> הבאה</w:t>
      </w:r>
      <w:r w:rsidRPr="005A1F29">
        <w:rPr>
          <w:rFonts w:ascii="FrankRuehl" w:hAnsi="FrankRuehl" w:cs="FrankRuehl"/>
          <w:color w:val="FF0000"/>
          <w:sz w:val="24"/>
          <w:szCs w:val="24"/>
          <w:rtl/>
        </w:rPr>
        <w:t xml:space="preserve">: </w:t>
      </w:r>
    </w:p>
    <w:p w14:paraId="5D62722E" w14:textId="792BC63B" w:rsidR="005A1F29" w:rsidRPr="005A1F29" w:rsidRDefault="005A1F29" w:rsidP="005A1F29">
      <w:pPr>
        <w:bidi/>
        <w:spacing w:line="360" w:lineRule="auto"/>
        <w:rPr>
          <w:rFonts w:ascii="FrankRuehl" w:hAnsi="FrankRuehl" w:cs="FrankRuehl"/>
          <w:color w:val="FF0000"/>
          <w:sz w:val="24"/>
          <w:szCs w:val="24"/>
          <w:rtl/>
        </w:rPr>
      </w:pPr>
      <w:r w:rsidRPr="005A1F29">
        <w:rPr>
          <w:rFonts w:ascii="FrankRuehl" w:hAnsi="FrankRuehl" w:cs="FrankRuehl"/>
          <w:color w:val="FF0000"/>
          <w:sz w:val="24"/>
          <w:szCs w:val="24"/>
          <w:rtl/>
        </w:rPr>
        <w:t>1. ספר</w:t>
      </w:r>
      <w:r>
        <w:rPr>
          <w:rFonts w:ascii="FrankRuehl" w:hAnsi="FrankRuehl" w:cs="FrankRuehl" w:hint="cs"/>
          <w:color w:val="FF0000"/>
          <w:sz w:val="24"/>
          <w:szCs w:val="24"/>
          <w:rtl/>
        </w:rPr>
        <w:t xml:space="preserve"> ..</w:t>
      </w:r>
      <w:r w:rsidRPr="005A1F29">
        <w:rPr>
          <w:rFonts w:ascii="FrankRuehl" w:hAnsi="FrankRuehl" w:cs="FrankRuehl" w:hint="cs"/>
          <w:color w:val="FF0000"/>
          <w:sz w:val="24"/>
          <w:szCs w:val="24"/>
          <w:rtl/>
        </w:rPr>
        <w:t>. העמדתו של 'מבוא למקרא יהודי</w:t>
      </w:r>
      <w:r w:rsidR="00D81A22">
        <w:rPr>
          <w:rFonts w:ascii="FrankRuehl" w:hAnsi="FrankRuehl" w:cs="FrankRuehl" w:hint="cs"/>
          <w:color w:val="FF0000"/>
          <w:sz w:val="24"/>
          <w:szCs w:val="24"/>
          <w:rtl/>
        </w:rPr>
        <w:t>-</w:t>
      </w:r>
      <w:r w:rsidRPr="005A1F29">
        <w:rPr>
          <w:rFonts w:ascii="FrankRuehl" w:hAnsi="FrankRuehl" w:cs="FrankRuehl" w:hint="cs"/>
          <w:color w:val="FF0000"/>
          <w:sz w:val="24"/>
          <w:szCs w:val="24"/>
          <w:rtl/>
        </w:rPr>
        <w:t>רבני' חייב אותי להקדים ולעסוק בשאלת ייחוס התורה וכלל ספרי המקרא לאלוהים ולנביאיו. ייחוס זה עיצב את אופק הציפיות של החכמים לדורותיהם מהתורה, כפה עליהם התמודדויות כבדות משקל, והוא מהווה גורם מכריע בהתעצבותן של דרכי הפרשנות המשתנות.</w:t>
      </w:r>
      <w:r w:rsidRPr="005A1F29">
        <w:rPr>
          <w:rFonts w:asciiTheme="majorBidi" w:hAnsiTheme="majorBidi" w:cs="FrankRuehl" w:hint="cs"/>
          <w:color w:val="FF0000"/>
          <w:sz w:val="24"/>
          <w:szCs w:val="24"/>
          <w:rtl/>
        </w:rPr>
        <w:t xml:space="preserve"> תולדות העיסוק במקרא, מסוף ימי הבית השני ועד ימינו אנו, מוצגים בספרי כרצף בלתי פוסק של התמודדויות שאופק ציפיות ייחודי ולמעשה בלתי אפשרי כפה על הקוראים והפרשנים. אלו הם ניסיונות רבי הוד לקרב את התורה אל זמנם ומקומם של האוחזים בה ולהתאים את כוונתה לכוונתם.</w:t>
      </w:r>
    </w:p>
    <w:p w14:paraId="24C33524" w14:textId="28604E0B" w:rsidR="005A1F29" w:rsidRPr="005A1F29" w:rsidRDefault="005A1F29" w:rsidP="005A1F29">
      <w:pPr>
        <w:bidi/>
        <w:spacing w:line="360" w:lineRule="auto"/>
        <w:rPr>
          <w:rFonts w:ascii="FrankRuehl" w:hAnsi="FrankRuehl" w:cs="FrankRuehl"/>
          <w:color w:val="FF0000"/>
          <w:sz w:val="24"/>
          <w:szCs w:val="24"/>
          <w:rtl/>
        </w:rPr>
      </w:pPr>
      <w:r w:rsidRPr="005A1F29">
        <w:rPr>
          <w:rFonts w:ascii="FrankRuehl" w:hAnsi="FrankRuehl" w:cs="FrankRuehl"/>
          <w:color w:val="FF0000"/>
          <w:sz w:val="24"/>
          <w:szCs w:val="24"/>
          <w:rtl/>
        </w:rPr>
        <w:t>2. מחקרים המוקדשים לשאלות נקודתיות ולנושאי יסוד</w:t>
      </w:r>
      <w:r w:rsidRPr="005A1F29">
        <w:rPr>
          <w:rFonts w:ascii="FrankRuehl" w:hAnsi="FrankRuehl" w:cs="FrankRuehl" w:hint="cs"/>
          <w:color w:val="FF0000"/>
          <w:sz w:val="24"/>
          <w:szCs w:val="24"/>
          <w:rtl/>
        </w:rPr>
        <w:t xml:space="preserve"> שיהוו תשתית לפרקים במונוגרפיה המסכמת את הפרויקט. </w:t>
      </w:r>
      <w:r w:rsidRPr="005A1F29">
        <w:rPr>
          <w:rFonts w:ascii="FrankRuehl" w:hAnsi="FrankRuehl" w:cs="FrankRuehl"/>
          <w:color w:val="FF0000"/>
          <w:sz w:val="24"/>
          <w:szCs w:val="24"/>
          <w:rtl/>
        </w:rPr>
        <w:t xml:space="preserve">מחקרים אלו מתייחדים בפרספקטיבה </w:t>
      </w:r>
      <w:r w:rsidRPr="005A1F29">
        <w:rPr>
          <w:rFonts w:ascii="FrankRuehl" w:hAnsi="FrankRuehl" w:cs="FrankRuehl" w:hint="cs"/>
          <w:color w:val="FF0000"/>
          <w:sz w:val="24"/>
          <w:szCs w:val="24"/>
          <w:rtl/>
        </w:rPr>
        <w:t>רחבה</w:t>
      </w:r>
      <w:r w:rsidRPr="005A1F29">
        <w:rPr>
          <w:rFonts w:ascii="FrankRuehl" w:hAnsi="FrankRuehl" w:cs="FrankRuehl"/>
          <w:color w:val="FF0000"/>
          <w:sz w:val="24"/>
          <w:szCs w:val="24"/>
          <w:rtl/>
        </w:rPr>
        <w:t>, מ</w:t>
      </w:r>
      <w:r w:rsidRPr="005A1F29">
        <w:rPr>
          <w:rFonts w:ascii="FrankRuehl" w:hAnsi="FrankRuehl" w:cs="FrankRuehl" w:hint="cs"/>
          <w:color w:val="FF0000"/>
          <w:sz w:val="24"/>
          <w:szCs w:val="24"/>
          <w:rtl/>
        </w:rPr>
        <w:t>ימי המקרא</w:t>
      </w:r>
      <w:r w:rsidRPr="005A1F29">
        <w:rPr>
          <w:rFonts w:ascii="FrankRuehl" w:hAnsi="FrankRuehl" w:cs="FrankRuehl"/>
          <w:color w:val="FF0000"/>
          <w:sz w:val="24"/>
          <w:szCs w:val="24"/>
          <w:rtl/>
        </w:rPr>
        <w:t xml:space="preserve"> ועד ימינו אנו</w:t>
      </w:r>
      <w:r w:rsidRPr="005A1F29">
        <w:rPr>
          <w:rFonts w:ascii="FrankRuehl" w:hAnsi="FrankRuehl" w:cs="FrankRuehl" w:hint="cs"/>
          <w:color w:val="FF0000"/>
          <w:sz w:val="24"/>
          <w:szCs w:val="24"/>
          <w:rtl/>
        </w:rPr>
        <w:t>, ובעושר המקורות (מאות מקורות!) העומד ברקעם. עד כה השלמתי 5 מאמרים, כולם רחבי היקף, ומאמרים נוספים נמצאים בהכנה.</w:t>
      </w:r>
    </w:p>
    <w:p w14:paraId="2C3CAEC9" w14:textId="6FDA652A" w:rsidR="005A1F29" w:rsidRPr="005A1F29" w:rsidRDefault="005A1F29" w:rsidP="005A1F29">
      <w:pPr>
        <w:bidi/>
        <w:rPr>
          <w:sz w:val="24"/>
          <w:szCs w:val="24"/>
        </w:rPr>
      </w:pPr>
      <w:r w:rsidRPr="005A1F29">
        <w:rPr>
          <w:rFonts w:ascii="FrankRuehl" w:hAnsi="FrankRuehl" w:cs="FrankRuehl"/>
          <w:color w:val="FF0000"/>
          <w:sz w:val="24"/>
          <w:szCs w:val="24"/>
          <w:rtl/>
        </w:rPr>
        <w:t>3. מונוגרפיה מסכמת</w:t>
      </w:r>
      <w:r w:rsidRPr="005A1F29">
        <w:rPr>
          <w:rFonts w:ascii="FrankRuehl" w:hAnsi="FrankRuehl" w:cs="FrankRuehl" w:hint="cs"/>
          <w:color w:val="FF0000"/>
          <w:sz w:val="24"/>
          <w:szCs w:val="24"/>
          <w:rtl/>
        </w:rPr>
        <w:t>: ספר זה יהווה סיכום של הפרויקט כולו. להשלמתו, בכוונתי להגיש בקשה למימון המשך מהקרן הלאומית למדע.</w:t>
      </w:r>
    </w:p>
    <w:sectPr w:rsidR="005A1F29" w:rsidRPr="005A1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29"/>
    <w:rsid w:val="00232C5F"/>
    <w:rsid w:val="005A1F29"/>
    <w:rsid w:val="00D81A22"/>
    <w:rsid w:val="00E4333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E852"/>
  <w15:chartTrackingRefBased/>
  <w15:docId w15:val="{A128034B-1697-4574-A9D5-8954ECCB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ויזל</dc:creator>
  <cp:keywords/>
  <dc:description/>
  <cp:lastModifiedBy>ערן ויזל</cp:lastModifiedBy>
  <cp:revision>3</cp:revision>
  <dcterms:created xsi:type="dcterms:W3CDTF">2021-02-21T06:25:00Z</dcterms:created>
  <dcterms:modified xsi:type="dcterms:W3CDTF">2021-02-21T06:54:00Z</dcterms:modified>
</cp:coreProperties>
</file>