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765" w:rsidRPr="00D053B9" w:rsidRDefault="005E0765" w:rsidP="005E0765">
      <w:pPr>
        <w:bidi w:val="0"/>
        <w:jc w:val="both"/>
        <w:rPr>
          <w:rFonts w:cs="David"/>
          <w:b/>
          <w:bCs/>
          <w:sz w:val="24"/>
          <w:szCs w:val="24"/>
        </w:rPr>
      </w:pPr>
      <w:r w:rsidRPr="00D053B9">
        <w:rPr>
          <w:rFonts w:cs="David"/>
          <w:b/>
          <w:bCs/>
          <w:sz w:val="24"/>
          <w:szCs w:val="24"/>
        </w:rPr>
        <w:t>Part III: How to Engage in Terror and Guerilla Warfare Successfully While Gaining Greater International Legitimacy</w:t>
      </w:r>
    </w:p>
    <w:p w:rsidR="00212944" w:rsidRPr="00D053B9" w:rsidRDefault="00212944" w:rsidP="005E0765">
      <w:pPr>
        <w:bidi w:val="0"/>
        <w:spacing w:after="0"/>
        <w:jc w:val="both"/>
        <w:rPr>
          <w:rFonts w:cs="David"/>
          <w:b/>
          <w:bCs/>
          <w:sz w:val="24"/>
          <w:szCs w:val="24"/>
        </w:rPr>
      </w:pPr>
    </w:p>
    <w:p w:rsidR="005E0765" w:rsidRPr="00D053B9" w:rsidRDefault="005E0765" w:rsidP="00212944">
      <w:pPr>
        <w:bidi w:val="0"/>
        <w:spacing w:after="0"/>
        <w:jc w:val="both"/>
        <w:rPr>
          <w:rFonts w:cs="David"/>
          <w:b/>
          <w:bCs/>
          <w:sz w:val="24"/>
          <w:szCs w:val="24"/>
        </w:rPr>
      </w:pPr>
      <w:r w:rsidRPr="00D053B9">
        <w:rPr>
          <w:rFonts w:cs="David"/>
          <w:b/>
          <w:bCs/>
          <w:sz w:val="24"/>
          <w:szCs w:val="24"/>
        </w:rPr>
        <w:t>Chapter</w:t>
      </w:r>
      <w:r w:rsidR="00D053B9">
        <w:rPr>
          <w:rFonts w:cs="David"/>
          <w:b/>
          <w:bCs/>
          <w:sz w:val="24"/>
          <w:szCs w:val="24"/>
        </w:rPr>
        <w:t xml:space="preserve"> 7</w:t>
      </w:r>
      <w:r w:rsidRPr="00D053B9">
        <w:rPr>
          <w:rFonts w:cs="David"/>
          <w:b/>
          <w:bCs/>
          <w:sz w:val="24"/>
          <w:szCs w:val="24"/>
        </w:rPr>
        <w:t xml:space="preserve">: </w:t>
      </w:r>
      <w:r w:rsidRPr="00D053B9">
        <w:rPr>
          <w:rFonts w:cs="David"/>
          <w:b/>
          <w:bCs/>
          <w:sz w:val="24"/>
          <w:szCs w:val="24"/>
        </w:rPr>
        <w:t>Different Fighting Methods in Different States</w:t>
      </w:r>
    </w:p>
    <w:p w:rsidR="005E0765" w:rsidRPr="00D053B9" w:rsidRDefault="005E0765" w:rsidP="005E0765">
      <w:pPr>
        <w:bidi w:val="0"/>
        <w:spacing w:after="0"/>
        <w:jc w:val="both"/>
        <w:rPr>
          <w:rFonts w:cs="David"/>
          <w:sz w:val="24"/>
          <w:szCs w:val="24"/>
        </w:rPr>
      </w:pPr>
    </w:p>
    <w:p w:rsidR="00196ED4" w:rsidRPr="00D053B9" w:rsidRDefault="00196ED4" w:rsidP="00FA069D">
      <w:pPr>
        <w:spacing w:after="0" w:line="480" w:lineRule="auto"/>
        <w:jc w:val="both"/>
        <w:rPr>
          <w:rFonts w:cs="David"/>
          <w:sz w:val="24"/>
          <w:szCs w:val="24"/>
          <w:rtl/>
        </w:rPr>
      </w:pPr>
      <w:r w:rsidRPr="00D053B9">
        <w:rPr>
          <w:rFonts w:cs="David" w:hint="cs"/>
          <w:sz w:val="24"/>
          <w:szCs w:val="24"/>
          <w:rtl/>
        </w:rPr>
        <w:t>בפרק זה נבחנת באופן רוחבי ההשוואה בין אופי לחימת המדינות בכמה עקרונות בולטים (כפי שהם מופיעים בדוקטרינה של כשר וידלין)</w:t>
      </w:r>
      <w:r w:rsidR="00FA069D" w:rsidRPr="00D053B9">
        <w:rPr>
          <w:rFonts w:cs="David" w:hint="cs"/>
          <w:sz w:val="24"/>
          <w:szCs w:val="24"/>
          <w:rtl/>
        </w:rPr>
        <w:t>. נראה שיש עקרונות שמדינה מסוימת הקפידה על קיומן בעוד אחרות לא, בעוד יש עקרונות שכל המדינות הקפידו על קיומן (אפילו אם לכאורה זה לא נראה כך).</w:t>
      </w:r>
      <w:r w:rsidRPr="00D053B9">
        <w:rPr>
          <w:rFonts w:cs="David" w:hint="cs"/>
          <w:sz w:val="24"/>
          <w:szCs w:val="24"/>
          <w:rtl/>
        </w:rPr>
        <w:t xml:space="preserve"> למשל </w:t>
      </w:r>
      <w:r w:rsidRPr="00D053B9">
        <w:rPr>
          <w:rFonts w:cs="David" w:hint="cs"/>
          <w:b/>
          <w:bCs/>
          <w:sz w:val="24"/>
          <w:szCs w:val="24"/>
          <w:rtl/>
        </w:rPr>
        <w:t>עקרון האזהרה המתמדת</w:t>
      </w:r>
      <w:r w:rsidR="00212944" w:rsidRPr="00D053B9">
        <w:rPr>
          <w:rFonts w:cs="David" w:hint="cs"/>
          <w:sz w:val="24"/>
          <w:szCs w:val="24"/>
          <w:rtl/>
        </w:rPr>
        <w:t>. מ</w:t>
      </w:r>
      <w:r w:rsidRPr="00D053B9">
        <w:rPr>
          <w:rFonts w:cs="David" w:hint="cs"/>
          <w:sz w:val="24"/>
          <w:szCs w:val="24"/>
          <w:rtl/>
        </w:rPr>
        <w:t>ניתוח</w:t>
      </w:r>
      <w:r w:rsidR="00212944" w:rsidRPr="00D053B9">
        <w:rPr>
          <w:rFonts w:cs="David" w:hint="cs"/>
          <w:sz w:val="24"/>
          <w:szCs w:val="24"/>
          <w:rtl/>
        </w:rPr>
        <w:t xml:space="preserve"> מקרי המבחן</w:t>
      </w:r>
      <w:r w:rsidRPr="00D053B9">
        <w:rPr>
          <w:rFonts w:cs="David" w:hint="cs"/>
          <w:sz w:val="24"/>
          <w:szCs w:val="24"/>
          <w:rtl/>
        </w:rPr>
        <w:t xml:space="preserve"> עלה </w:t>
      </w:r>
      <w:proofErr w:type="spellStart"/>
      <w:r w:rsidRPr="00D053B9">
        <w:rPr>
          <w:rFonts w:cs="David" w:hint="cs"/>
          <w:sz w:val="24"/>
          <w:szCs w:val="24"/>
          <w:rtl/>
        </w:rPr>
        <w:t>שסרי</w:t>
      </w:r>
      <w:proofErr w:type="spellEnd"/>
      <w:r w:rsidRPr="00D053B9">
        <w:rPr>
          <w:rFonts w:cs="David" w:hint="cs"/>
          <w:sz w:val="24"/>
          <w:szCs w:val="24"/>
          <w:rtl/>
        </w:rPr>
        <w:t xml:space="preserve"> </w:t>
      </w:r>
      <w:r w:rsidRPr="00D053B9">
        <w:rPr>
          <w:rFonts w:cs="David"/>
          <w:sz w:val="24"/>
          <w:szCs w:val="24"/>
          <w:rtl/>
        </w:rPr>
        <w:t>–</w:t>
      </w:r>
      <w:r w:rsidRPr="00D053B9">
        <w:rPr>
          <w:rFonts w:cs="David" w:hint="cs"/>
          <w:sz w:val="24"/>
          <w:szCs w:val="24"/>
          <w:rtl/>
        </w:rPr>
        <w:t xml:space="preserve">לנקה לא הקפידה כלל על </w:t>
      </w:r>
      <w:proofErr w:type="spellStart"/>
      <w:r w:rsidRPr="00D053B9">
        <w:rPr>
          <w:rFonts w:cs="David" w:hint="cs"/>
          <w:sz w:val="24"/>
          <w:szCs w:val="24"/>
          <w:rtl/>
        </w:rPr>
        <w:t>מיליוי</w:t>
      </w:r>
      <w:proofErr w:type="spellEnd"/>
      <w:r w:rsidRPr="00D053B9">
        <w:rPr>
          <w:rFonts w:cs="David" w:hint="cs"/>
          <w:sz w:val="24"/>
          <w:szCs w:val="24"/>
          <w:rtl/>
        </w:rPr>
        <w:t xml:space="preserve"> </w:t>
      </w:r>
      <w:proofErr w:type="spellStart"/>
      <w:r w:rsidRPr="00D053B9">
        <w:rPr>
          <w:rFonts w:cs="David" w:hint="cs"/>
          <w:sz w:val="24"/>
          <w:szCs w:val="24"/>
          <w:rtl/>
        </w:rPr>
        <w:t>העקרון</w:t>
      </w:r>
      <w:proofErr w:type="spellEnd"/>
      <w:r w:rsidRPr="00D053B9">
        <w:rPr>
          <w:rFonts w:cs="David" w:hint="cs"/>
          <w:sz w:val="24"/>
          <w:szCs w:val="24"/>
          <w:rtl/>
        </w:rPr>
        <w:t xml:space="preserve"> כולל הפצצות שביצע ללא התרעה חיל האוויר </w:t>
      </w:r>
      <w:proofErr w:type="spellStart"/>
      <w:r w:rsidRPr="00D053B9">
        <w:rPr>
          <w:rFonts w:cs="David" w:hint="cs"/>
          <w:sz w:val="24"/>
          <w:szCs w:val="24"/>
          <w:rtl/>
        </w:rPr>
        <w:t>הסרי</w:t>
      </w:r>
      <w:proofErr w:type="spellEnd"/>
      <w:r w:rsidRPr="00D053B9">
        <w:rPr>
          <w:rFonts w:cs="David" w:hint="cs"/>
          <w:sz w:val="24"/>
          <w:szCs w:val="24"/>
          <w:rtl/>
        </w:rPr>
        <w:t xml:space="preserve"> לנקי, לעבר אזורים שהוגדרו כ"בטוחים. ארצות-הברית וישראל, לעומת זאת, השתדלו להקפיד ולת</w:t>
      </w:r>
      <w:r w:rsidR="00FA069D" w:rsidRPr="00D053B9">
        <w:rPr>
          <w:rFonts w:cs="David" w:hint="cs"/>
          <w:sz w:val="24"/>
          <w:szCs w:val="24"/>
          <w:rtl/>
        </w:rPr>
        <w:t>ת</w:t>
      </w:r>
      <w:r w:rsidRPr="00D053B9">
        <w:rPr>
          <w:rFonts w:cs="David" w:hint="cs"/>
          <w:sz w:val="24"/>
          <w:szCs w:val="24"/>
          <w:rtl/>
        </w:rPr>
        <w:t xml:space="preserve"> התראה מוקדמת </w:t>
      </w:r>
      <w:proofErr w:type="spellStart"/>
      <w:r w:rsidRPr="00D053B9">
        <w:rPr>
          <w:rFonts w:cs="David" w:hint="cs"/>
          <w:sz w:val="24"/>
          <w:szCs w:val="24"/>
          <w:rtl/>
        </w:rPr>
        <w:t>לאוכלוסיה</w:t>
      </w:r>
      <w:proofErr w:type="spellEnd"/>
      <w:r w:rsidRPr="00D053B9">
        <w:rPr>
          <w:rFonts w:cs="David" w:hint="cs"/>
          <w:sz w:val="24"/>
          <w:szCs w:val="24"/>
          <w:rtl/>
        </w:rPr>
        <w:t xml:space="preserve"> המקומית על-ידי הפצת כרזות ומסרונים.</w:t>
      </w:r>
    </w:p>
    <w:p w:rsidR="00FA069D" w:rsidRPr="00D053B9" w:rsidRDefault="00196ED4" w:rsidP="00FA069D">
      <w:pPr>
        <w:spacing w:after="0" w:line="480" w:lineRule="auto"/>
        <w:jc w:val="both"/>
        <w:rPr>
          <w:rFonts w:cs="David"/>
          <w:sz w:val="24"/>
          <w:szCs w:val="24"/>
          <w:rtl/>
        </w:rPr>
      </w:pPr>
      <w:r w:rsidRPr="00D053B9">
        <w:rPr>
          <w:rFonts w:cs="David" w:hint="cs"/>
          <w:sz w:val="24"/>
          <w:szCs w:val="24"/>
          <w:rtl/>
        </w:rPr>
        <w:t xml:space="preserve">באשר </w:t>
      </w:r>
      <w:r w:rsidRPr="00D053B9">
        <w:rPr>
          <w:rFonts w:cs="David" w:hint="cs"/>
          <w:b/>
          <w:bCs/>
          <w:sz w:val="24"/>
          <w:szCs w:val="24"/>
          <w:rtl/>
        </w:rPr>
        <w:t>לעקרון המידתיות הצבאית</w:t>
      </w:r>
      <w:r w:rsidRPr="00D053B9">
        <w:rPr>
          <w:rFonts w:cs="David" w:hint="cs"/>
          <w:sz w:val="24"/>
          <w:szCs w:val="24"/>
          <w:rtl/>
        </w:rPr>
        <w:t>, ניתן היה לראות מניתוח מקרי המבחן כי שלוש המדינות פעלו באופן דומה, וניסו לערוך איזון ראוי בין התועלת הצבאית העולה מן הפעולה אל מול סכנת הפגיעה בסביבה האנושית. במקרה של סרי לנקה אמנם סלו האזרחים כתוצאה מהפגזות צבא סרי לנקה , אך אין עוררין על כך שארגון ה-</w:t>
      </w:r>
      <w:r w:rsidRPr="00D053B9">
        <w:rPr>
          <w:rFonts w:cs="David" w:hint="cs"/>
          <w:sz w:val="24"/>
          <w:szCs w:val="24"/>
        </w:rPr>
        <w:t>LTTE</w:t>
      </w:r>
      <w:r w:rsidRPr="00D053B9">
        <w:rPr>
          <w:rFonts w:cs="David" w:hint="cs"/>
          <w:sz w:val="24"/>
          <w:szCs w:val="24"/>
          <w:rtl/>
        </w:rPr>
        <w:t xml:space="preserve"> היה ברוטאלי ביותר ולא היסס לפגוע </w:t>
      </w:r>
      <w:proofErr w:type="spellStart"/>
      <w:r w:rsidRPr="00D053B9">
        <w:rPr>
          <w:rFonts w:cs="David" w:hint="cs"/>
          <w:sz w:val="24"/>
          <w:szCs w:val="24"/>
          <w:rtl/>
        </w:rPr>
        <w:t>באוכלוסיה</w:t>
      </w:r>
      <w:proofErr w:type="spellEnd"/>
      <w:r w:rsidRPr="00D053B9">
        <w:rPr>
          <w:rFonts w:cs="David" w:hint="cs"/>
          <w:sz w:val="24"/>
          <w:szCs w:val="24"/>
          <w:rtl/>
        </w:rPr>
        <w:t xml:space="preserve"> האזרחית, ואף לעשות בה שימוש כבני ערובה בידיה שזה עלול להביא למותם. </w:t>
      </w:r>
      <w:r w:rsidR="00FA069D" w:rsidRPr="00D053B9">
        <w:rPr>
          <w:rFonts w:cs="David" w:hint="cs"/>
          <w:sz w:val="24"/>
          <w:szCs w:val="24"/>
          <w:rtl/>
        </w:rPr>
        <w:t xml:space="preserve">עקרונות בולטים נוספים הינם </w:t>
      </w:r>
      <w:r w:rsidR="00FA069D" w:rsidRPr="00D053B9">
        <w:rPr>
          <w:rFonts w:cs="David" w:hint="cs"/>
          <w:b/>
          <w:bCs/>
          <w:sz w:val="24"/>
          <w:szCs w:val="24"/>
          <w:rtl/>
        </w:rPr>
        <w:t>עקרון הכורח הצבאי, עקרון ההרתעה המבצעית, עקרון ההבנה המקצועית, עקרון השיקולים של טווחי הזמן ועוד.</w:t>
      </w:r>
      <w:r w:rsidR="00FA069D" w:rsidRPr="00D053B9">
        <w:rPr>
          <w:rFonts w:cs="David" w:hint="cs"/>
          <w:sz w:val="24"/>
          <w:szCs w:val="24"/>
          <w:rtl/>
        </w:rPr>
        <w:t xml:space="preserve"> </w:t>
      </w:r>
    </w:p>
    <w:p w:rsidR="00FA069D" w:rsidRPr="00D053B9" w:rsidRDefault="00FA069D" w:rsidP="00FA069D">
      <w:pPr>
        <w:spacing w:after="0" w:line="480" w:lineRule="auto"/>
        <w:jc w:val="both"/>
        <w:rPr>
          <w:rFonts w:cs="David"/>
          <w:sz w:val="24"/>
          <w:szCs w:val="24"/>
          <w:rtl/>
        </w:rPr>
      </w:pPr>
      <w:r w:rsidRPr="00D053B9">
        <w:rPr>
          <w:rFonts w:cs="David" w:hint="cs"/>
          <w:sz w:val="24"/>
          <w:szCs w:val="24"/>
          <w:rtl/>
        </w:rPr>
        <w:t xml:space="preserve">בחינה זו של השוואת אופי לחימת המדינות באותם עקרונות בולטים סייעה גם היא לפיתוחן של אותן דוקטרינות אתיות ייחודית ללחימה בטרור וללחימה בגרילה. למידה ממקרי העבר, תוך בדיקה של עקרונות שקשה לעמוד בהם או לחלופין עקרונות שניתן לעמוד בהם, באה להבטיח את היותן של הדוקטרינות אוניברסאליות וישימות ככל הניתן. </w:t>
      </w:r>
    </w:p>
    <w:p w:rsidR="00FA069D" w:rsidRPr="00D053B9" w:rsidRDefault="00FA069D" w:rsidP="00FA069D">
      <w:pPr>
        <w:spacing w:after="0" w:line="480" w:lineRule="auto"/>
        <w:jc w:val="both"/>
        <w:rPr>
          <w:rFonts w:cs="David"/>
          <w:sz w:val="24"/>
          <w:szCs w:val="24"/>
          <w:rtl/>
        </w:rPr>
      </w:pPr>
      <w:r w:rsidRPr="00D053B9">
        <w:rPr>
          <w:rFonts w:cs="David" w:hint="cs"/>
          <w:sz w:val="24"/>
          <w:szCs w:val="24"/>
          <w:rtl/>
        </w:rPr>
        <w:t>בפרק גם יוסבר שישנם הבדלים בין מקרי המבחן שנותחו, שגרמו לאופן הלחימה של המדינה הדמוקרטית להיות שונה. למשל, להבדיל מהחמאס, חיזבאללה וה-</w:t>
      </w:r>
      <w:r w:rsidRPr="00D053B9">
        <w:rPr>
          <w:rFonts w:cs="David" w:hint="cs"/>
          <w:sz w:val="24"/>
          <w:szCs w:val="24"/>
        </w:rPr>
        <w:t>LTTE</w:t>
      </w:r>
      <w:r w:rsidRPr="00D053B9">
        <w:rPr>
          <w:rFonts w:cs="David" w:hint="cs"/>
          <w:sz w:val="24"/>
          <w:szCs w:val="24"/>
          <w:rtl/>
        </w:rPr>
        <w:t xml:space="preserve"> </w:t>
      </w:r>
      <w:r w:rsidRPr="00D053B9">
        <w:rPr>
          <w:rFonts w:cs="David"/>
          <w:sz w:val="24"/>
          <w:szCs w:val="24"/>
          <w:rtl/>
        </w:rPr>
        <w:t>–</w:t>
      </w:r>
      <w:r w:rsidRPr="00D053B9">
        <w:rPr>
          <w:rFonts w:cs="David" w:hint="cs"/>
          <w:sz w:val="24"/>
          <w:szCs w:val="24"/>
          <w:rtl/>
        </w:rPr>
        <w:t xml:space="preserve"> אשר בכוונה תחילה נטמעו בתוך האוכלוס</w:t>
      </w:r>
      <w:r w:rsidR="00C92190" w:rsidRPr="00D053B9">
        <w:rPr>
          <w:rFonts w:cs="David" w:hint="cs"/>
          <w:sz w:val="24"/>
          <w:szCs w:val="24"/>
          <w:rtl/>
        </w:rPr>
        <w:t>י</w:t>
      </w:r>
      <w:r w:rsidRPr="00D053B9">
        <w:rPr>
          <w:rFonts w:cs="David" w:hint="cs"/>
          <w:sz w:val="24"/>
          <w:szCs w:val="24"/>
          <w:rtl/>
        </w:rPr>
        <w:t xml:space="preserve">יה האזרחית, והאסטרטגיה שלהם </w:t>
      </w:r>
      <w:proofErr w:type="spellStart"/>
      <w:r w:rsidRPr="00D053B9">
        <w:rPr>
          <w:rFonts w:cs="David" w:hint="cs"/>
          <w:sz w:val="24"/>
          <w:szCs w:val="24"/>
          <w:rtl/>
        </w:rPr>
        <w:t>היתה</w:t>
      </w:r>
      <w:proofErr w:type="spellEnd"/>
      <w:r w:rsidRPr="00D053B9">
        <w:rPr>
          <w:rFonts w:cs="David" w:hint="cs"/>
          <w:sz w:val="24"/>
          <w:szCs w:val="24"/>
          <w:rtl/>
        </w:rPr>
        <w:t xml:space="preserve"> לעשות שימוש באזרחים כדי להביא לסופה של המלחמה או כדי להביא לגינוי בינלאומי כלפי המדינה הדמוקרטית </w:t>
      </w:r>
      <w:r w:rsidRPr="00D053B9">
        <w:rPr>
          <w:rFonts w:cs="David"/>
          <w:sz w:val="24"/>
          <w:szCs w:val="24"/>
          <w:rtl/>
        </w:rPr>
        <w:t>–</w:t>
      </w:r>
      <w:r w:rsidRPr="00D053B9">
        <w:rPr>
          <w:rFonts w:cs="David" w:hint="cs"/>
          <w:sz w:val="24"/>
          <w:szCs w:val="24"/>
          <w:rtl/>
        </w:rPr>
        <w:t xml:space="preserve"> לא עשה זאת הטאליבן. </w:t>
      </w:r>
    </w:p>
    <w:p w:rsidR="00C92190" w:rsidRPr="00D053B9" w:rsidRDefault="00C92190" w:rsidP="00FA069D">
      <w:pPr>
        <w:spacing w:after="0" w:line="480" w:lineRule="auto"/>
        <w:jc w:val="both"/>
        <w:rPr>
          <w:rFonts w:cs="David"/>
          <w:sz w:val="24"/>
          <w:szCs w:val="24"/>
          <w:rtl/>
        </w:rPr>
      </w:pPr>
    </w:p>
    <w:p w:rsidR="001B2F90" w:rsidRPr="00D053B9" w:rsidRDefault="001B2F90">
      <w:pPr>
        <w:bidi w:val="0"/>
        <w:rPr>
          <w:rFonts w:cs="David"/>
          <w:sz w:val="24"/>
          <w:szCs w:val="24"/>
        </w:rPr>
      </w:pPr>
      <w:r w:rsidRPr="00D053B9">
        <w:rPr>
          <w:rFonts w:cs="David"/>
          <w:sz w:val="24"/>
          <w:szCs w:val="24"/>
        </w:rPr>
        <w:br w:type="page"/>
      </w:r>
    </w:p>
    <w:p w:rsidR="00C92190" w:rsidRPr="00D053B9" w:rsidRDefault="00C92190" w:rsidP="00C92190">
      <w:pPr>
        <w:bidi w:val="0"/>
        <w:spacing w:after="0"/>
        <w:contextualSpacing/>
        <w:jc w:val="both"/>
        <w:rPr>
          <w:rFonts w:cs="David"/>
          <w:sz w:val="24"/>
          <w:szCs w:val="24"/>
        </w:rPr>
      </w:pPr>
      <w:r w:rsidRPr="00D053B9">
        <w:rPr>
          <w:rFonts w:cs="David"/>
          <w:b/>
          <w:bCs/>
          <w:sz w:val="24"/>
          <w:szCs w:val="24"/>
        </w:rPr>
        <w:lastRenderedPageBreak/>
        <w:t>Chapter</w:t>
      </w:r>
      <w:r w:rsidR="00D053B9">
        <w:rPr>
          <w:rFonts w:cs="David"/>
          <w:b/>
          <w:bCs/>
          <w:sz w:val="24"/>
          <w:szCs w:val="24"/>
        </w:rPr>
        <w:t xml:space="preserve"> 9</w:t>
      </w:r>
      <w:r w:rsidRPr="00D053B9">
        <w:rPr>
          <w:rFonts w:cs="David"/>
          <w:b/>
          <w:bCs/>
          <w:sz w:val="24"/>
          <w:szCs w:val="24"/>
        </w:rPr>
        <w:t xml:space="preserve">: </w:t>
      </w:r>
      <w:r w:rsidRPr="00D053B9">
        <w:rPr>
          <w:rFonts w:cs="David"/>
          <w:b/>
          <w:bCs/>
          <w:sz w:val="24"/>
          <w:szCs w:val="24"/>
        </w:rPr>
        <w:t>Universal Ethical Doctrine for Fighting Guerilla Warfare</w:t>
      </w:r>
    </w:p>
    <w:p w:rsidR="00C92190" w:rsidRPr="00D053B9" w:rsidRDefault="00C92190" w:rsidP="00C92190">
      <w:pPr>
        <w:spacing w:after="0"/>
        <w:contextualSpacing/>
        <w:jc w:val="both"/>
        <w:rPr>
          <w:rFonts w:cs="David"/>
          <w:sz w:val="24"/>
          <w:szCs w:val="24"/>
          <w:rtl/>
        </w:rPr>
      </w:pPr>
    </w:p>
    <w:p w:rsidR="00C92190" w:rsidRPr="00D053B9" w:rsidRDefault="00C92190" w:rsidP="00C92190">
      <w:pPr>
        <w:spacing w:after="0"/>
        <w:contextualSpacing/>
        <w:jc w:val="both"/>
        <w:rPr>
          <w:rFonts w:cs="David" w:hint="cs"/>
          <w:sz w:val="24"/>
          <w:szCs w:val="24"/>
          <w:rtl/>
        </w:rPr>
      </w:pPr>
    </w:p>
    <w:p w:rsidR="00C92190" w:rsidRPr="00D053B9" w:rsidRDefault="00C92190" w:rsidP="001B2F90">
      <w:pPr>
        <w:spacing w:after="0" w:line="480" w:lineRule="auto"/>
        <w:jc w:val="both"/>
        <w:rPr>
          <w:rFonts w:ascii="David" w:hAnsi="David" w:cs="David"/>
          <w:color w:val="000000" w:themeColor="text1"/>
          <w:sz w:val="24"/>
          <w:szCs w:val="24"/>
          <w:rtl/>
        </w:rPr>
      </w:pPr>
      <w:r w:rsidRPr="00D053B9">
        <w:rPr>
          <w:rFonts w:ascii="David" w:hAnsi="David" w:cs="David" w:hint="cs"/>
          <w:color w:val="000000" w:themeColor="text1"/>
          <w:sz w:val="24"/>
          <w:szCs w:val="24"/>
          <w:rtl/>
        </w:rPr>
        <w:t xml:space="preserve">על-פניו נראה שכללי הלחימה הרגילים יכולים לשרת את המדינה הדמוקרטית כשמדובר בפעולות גרילה המופנות כלפיה מצד ארגון הטרור ו/או הגרילה, מאחר ומדובר בפעולות המופנות נגד אנשי צבא ובטחון. אך אין זה כך מאחר ובניגוד לכללי הלחימה הרגילים אשר יוצאים מתוך הנחה שלאזרחים ישנה קדימות מוסרית על פני חיילים. במלחמה נגד ארגון גרילה לחיילים ניתנת קדימות מוסרית פעמים רבות על פני אוכלוסיית הצד השני (כפי </w:t>
      </w:r>
      <w:r w:rsidRPr="00D053B9">
        <w:rPr>
          <w:rFonts w:ascii="David" w:hAnsi="David" w:cs="David" w:hint="cs"/>
          <w:color w:val="000000" w:themeColor="text1"/>
          <w:sz w:val="24"/>
          <w:szCs w:val="24"/>
          <w:rtl/>
        </w:rPr>
        <w:t>שייעלה</w:t>
      </w:r>
      <w:r w:rsidRPr="00D053B9">
        <w:rPr>
          <w:rFonts w:ascii="David" w:hAnsi="David" w:cs="David" w:hint="cs"/>
          <w:color w:val="000000" w:themeColor="text1"/>
          <w:sz w:val="24"/>
          <w:szCs w:val="24"/>
          <w:rtl/>
        </w:rPr>
        <w:t xml:space="preserve"> בדוקטרינה) מאחר וארגונים אלה פועלים במתכונת של ארגוני הטרור של ימינו </w:t>
      </w:r>
      <w:r w:rsidRPr="00D053B9">
        <w:rPr>
          <w:rFonts w:ascii="David" w:hAnsi="David" w:cs="David"/>
          <w:color w:val="000000" w:themeColor="text1"/>
          <w:sz w:val="24"/>
          <w:szCs w:val="24"/>
          <w:rtl/>
        </w:rPr>
        <w:t>–</w:t>
      </w:r>
      <w:r w:rsidRPr="00D053B9">
        <w:rPr>
          <w:rFonts w:ascii="David" w:hAnsi="David" w:cs="David" w:hint="cs"/>
          <w:color w:val="000000" w:themeColor="text1"/>
          <w:sz w:val="24"/>
          <w:szCs w:val="24"/>
          <w:rtl/>
        </w:rPr>
        <w:t xml:space="preserve"> מתוך </w:t>
      </w:r>
      <w:proofErr w:type="spellStart"/>
      <w:r w:rsidRPr="00D053B9">
        <w:rPr>
          <w:rFonts w:ascii="David" w:hAnsi="David" w:cs="David" w:hint="cs"/>
          <w:color w:val="000000" w:themeColor="text1"/>
          <w:sz w:val="24"/>
          <w:szCs w:val="24"/>
          <w:rtl/>
        </w:rPr>
        <w:t>אוכלוסיה</w:t>
      </w:r>
      <w:proofErr w:type="spellEnd"/>
      <w:r w:rsidRPr="00D053B9">
        <w:rPr>
          <w:rFonts w:ascii="David" w:hAnsi="David" w:cs="David" w:hint="cs"/>
          <w:color w:val="000000" w:themeColor="text1"/>
          <w:sz w:val="24"/>
          <w:szCs w:val="24"/>
          <w:rtl/>
        </w:rPr>
        <w:t xml:space="preserve"> אזרחית, נגד </w:t>
      </w:r>
      <w:proofErr w:type="spellStart"/>
      <w:r w:rsidRPr="00D053B9">
        <w:rPr>
          <w:rFonts w:ascii="David" w:hAnsi="David" w:cs="David" w:hint="cs"/>
          <w:color w:val="000000" w:themeColor="text1"/>
          <w:sz w:val="24"/>
          <w:szCs w:val="24"/>
          <w:rtl/>
        </w:rPr>
        <w:t>אוכלוסיה</w:t>
      </w:r>
      <w:proofErr w:type="spellEnd"/>
      <w:r w:rsidRPr="00D053B9">
        <w:rPr>
          <w:rFonts w:ascii="David" w:hAnsi="David" w:cs="David" w:hint="cs"/>
          <w:color w:val="000000" w:themeColor="text1"/>
          <w:sz w:val="24"/>
          <w:szCs w:val="24"/>
          <w:rtl/>
        </w:rPr>
        <w:t xml:space="preserve"> אזרחית </w:t>
      </w:r>
      <w:r w:rsidRPr="00D053B9">
        <w:rPr>
          <w:rFonts w:ascii="David" w:hAnsi="David" w:cs="David"/>
          <w:color w:val="000000" w:themeColor="text1"/>
          <w:sz w:val="24"/>
          <w:szCs w:val="24"/>
          <w:rtl/>
        </w:rPr>
        <w:t>–</w:t>
      </w:r>
      <w:r w:rsidRPr="00D053B9">
        <w:rPr>
          <w:rFonts w:ascii="David" w:hAnsi="David" w:cs="David" w:hint="cs"/>
          <w:color w:val="000000" w:themeColor="text1"/>
          <w:sz w:val="24"/>
          <w:szCs w:val="24"/>
          <w:rtl/>
        </w:rPr>
        <w:t xml:space="preserve"> הם מנסים בכוונה תחילה לשבש את ההבחנה ביניהם לבין האזרחים, דבר המטיל עליהם את האחריות לשלומם של אותם אזרחים. </w:t>
      </w:r>
      <w:r w:rsidRPr="00D053B9">
        <w:rPr>
          <w:rFonts w:ascii="David" w:hAnsi="David" w:cs="David"/>
          <w:color w:val="000000"/>
          <w:sz w:val="24"/>
          <w:szCs w:val="24"/>
          <w:shd w:val="clear" w:color="auto" w:fill="FFFFFF"/>
          <w:rtl/>
        </w:rPr>
        <w:t>שוני זה בקדימות המוסרית מביא לצורך בכללים אחרים מכללי המלחמה הקיימים</w:t>
      </w:r>
      <w:r w:rsidRPr="00D053B9">
        <w:rPr>
          <w:rFonts w:ascii="David" w:hAnsi="David" w:cs="David"/>
          <w:color w:val="000000"/>
          <w:sz w:val="24"/>
          <w:szCs w:val="24"/>
          <w:shd w:val="clear" w:color="auto" w:fill="FFFFFF"/>
        </w:rPr>
        <w:t>.</w:t>
      </w:r>
    </w:p>
    <w:p w:rsidR="00C92190" w:rsidRPr="00D053B9" w:rsidRDefault="00C92190" w:rsidP="00C92190">
      <w:pPr>
        <w:spacing w:after="0" w:line="480" w:lineRule="auto"/>
        <w:jc w:val="both"/>
        <w:rPr>
          <w:rFonts w:ascii="David" w:eastAsia="Times New Roman" w:hAnsi="David" w:cs="David"/>
          <w:sz w:val="24"/>
          <w:szCs w:val="24"/>
          <w:rtl/>
        </w:rPr>
      </w:pPr>
    </w:p>
    <w:p w:rsidR="00715EEB" w:rsidRPr="00D053B9" w:rsidRDefault="00715EEB" w:rsidP="00715EEB">
      <w:pPr>
        <w:spacing w:line="480" w:lineRule="auto"/>
        <w:jc w:val="both"/>
        <w:rPr>
          <w:rFonts w:ascii="Times New Roman" w:eastAsia="Times New Roman" w:hAnsi="Times New Roman" w:cs="David"/>
          <w:sz w:val="24"/>
          <w:szCs w:val="24"/>
          <w:rtl/>
        </w:rPr>
      </w:pPr>
      <w:r w:rsidRPr="00D053B9">
        <w:rPr>
          <w:rFonts w:ascii="Times New Roman" w:eastAsia="Times New Roman" w:hAnsi="Times New Roman" w:cs="David" w:hint="cs"/>
          <w:sz w:val="24"/>
          <w:szCs w:val="24"/>
          <w:rtl/>
        </w:rPr>
        <w:t xml:space="preserve">ההבדלים בין הדוקטרינות לא מאוד גדולים. יש הבדלים בטרמינולוגיה, כמו גם הבדלים בחלק מהעקרונות. למשל </w:t>
      </w:r>
      <w:r w:rsidRPr="00D053B9">
        <w:rPr>
          <w:rFonts w:ascii="Times New Roman" w:eastAsia="Times New Roman" w:hAnsi="Times New Roman" w:cs="David" w:hint="cs"/>
          <w:sz w:val="24"/>
          <w:szCs w:val="24"/>
          <w:rtl/>
        </w:rPr>
        <w:t xml:space="preserve">במקרה של </w:t>
      </w:r>
      <w:r w:rsidRPr="00D053B9">
        <w:rPr>
          <w:rFonts w:ascii="Times New Roman" w:eastAsia="Times New Roman" w:hAnsi="Times New Roman" w:cs="David" w:hint="cs"/>
          <w:b/>
          <w:bCs/>
          <w:sz w:val="24"/>
          <w:szCs w:val="24"/>
          <w:rtl/>
        </w:rPr>
        <w:t>עקרון האזהרה המקודמת</w:t>
      </w:r>
      <w:r w:rsidRPr="00D053B9">
        <w:rPr>
          <w:rFonts w:ascii="Times New Roman" w:eastAsia="Times New Roman" w:hAnsi="Times New Roman" w:cs="David" w:hint="cs"/>
          <w:sz w:val="24"/>
          <w:szCs w:val="24"/>
          <w:rtl/>
        </w:rPr>
        <w:t xml:space="preserve">, </w:t>
      </w:r>
      <w:r w:rsidRPr="00D053B9">
        <w:rPr>
          <w:rFonts w:ascii="David" w:hAnsi="David" w:cs="David" w:hint="cs"/>
          <w:sz w:val="24"/>
          <w:szCs w:val="24"/>
          <w:rtl/>
        </w:rPr>
        <w:t>מאחר שמדובר בפעולות גרילה המבוצעות נגד חיילים, ולא בפעולות המבוצעות נגד אזרחים, הרי בשונה מהדוקטרינה האתית ללוחמה בטרור אין למדינה במקרה זה אפשרות לשקול אם לתת אזהרה מוקדמת, או לאו. נהפוך הוא; מוטלת עליה חובה רבה יותר להזהיר את האזרחים.</w:t>
      </w:r>
      <w:r w:rsidRPr="00D053B9">
        <w:rPr>
          <w:rFonts w:ascii="Times New Roman" w:eastAsia="Times New Roman" w:hAnsi="Times New Roman" w:cs="David" w:hint="cs"/>
          <w:sz w:val="24"/>
          <w:szCs w:val="24"/>
          <w:rtl/>
        </w:rPr>
        <w:t xml:space="preserve"> </w:t>
      </w:r>
    </w:p>
    <w:p w:rsidR="001B2F90" w:rsidRPr="00D053B9" w:rsidRDefault="001B2F90" w:rsidP="00715EEB">
      <w:pPr>
        <w:spacing w:line="480" w:lineRule="auto"/>
        <w:jc w:val="both"/>
        <w:rPr>
          <w:rFonts w:ascii="Times New Roman" w:eastAsia="Times New Roman" w:hAnsi="Times New Roman" w:cs="David"/>
          <w:sz w:val="24"/>
          <w:szCs w:val="24"/>
          <w:rtl/>
        </w:rPr>
      </w:pPr>
      <w:r w:rsidRPr="00D053B9">
        <w:rPr>
          <w:rFonts w:ascii="Times New Roman" w:eastAsia="Times New Roman" w:hAnsi="Times New Roman" w:cs="David" w:hint="cs"/>
          <w:sz w:val="24"/>
          <w:szCs w:val="24"/>
          <w:rtl/>
        </w:rPr>
        <w:t xml:space="preserve">ההבחנה בין צבא חובה לצבא מקצועי הופכת לקריטית בדוקטרינה זו. למשל בתנאי המידתיות, </w:t>
      </w:r>
      <w:r w:rsidRPr="00D053B9">
        <w:rPr>
          <w:rFonts w:ascii="Times New Roman" w:eastAsia="Times New Roman" w:hAnsi="Times New Roman" w:cs="David" w:hint="cs"/>
          <w:sz w:val="24"/>
          <w:szCs w:val="24"/>
          <w:rtl/>
        </w:rPr>
        <w:t xml:space="preserve">אם מדובר בחיילי צבא חובה, דאז ערך גבוה של </w:t>
      </w:r>
      <w:r w:rsidRPr="00D053B9">
        <w:rPr>
          <w:rFonts w:ascii="Times New Roman" w:eastAsia="Times New Roman" w:hAnsi="Times New Roman" w:cs="David" w:hint="cs"/>
          <w:b/>
          <w:bCs/>
          <w:sz w:val="24"/>
          <w:szCs w:val="24"/>
          <w:rtl/>
        </w:rPr>
        <w:t>שני פרמטרים</w:t>
      </w:r>
      <w:r w:rsidRPr="00D053B9">
        <w:rPr>
          <w:rFonts w:ascii="Times New Roman" w:eastAsia="Times New Roman" w:hAnsi="Times New Roman" w:cs="David" w:hint="cs"/>
          <w:sz w:val="24"/>
          <w:szCs w:val="24"/>
          <w:rtl/>
        </w:rPr>
        <w:t xml:space="preserve"> לפחות של התועלת הצבאית יוצר כורח צבאי לפעולה </w:t>
      </w:r>
      <w:proofErr w:type="spellStart"/>
      <w:r w:rsidRPr="00D053B9">
        <w:rPr>
          <w:rFonts w:ascii="Times New Roman" w:eastAsia="Times New Roman" w:hAnsi="Times New Roman" w:cs="David" w:hint="cs"/>
          <w:sz w:val="24"/>
          <w:szCs w:val="24"/>
          <w:rtl/>
        </w:rPr>
        <w:t>מיידית</w:t>
      </w:r>
      <w:proofErr w:type="spellEnd"/>
      <w:r w:rsidRPr="00D053B9">
        <w:rPr>
          <w:rFonts w:ascii="Times New Roman" w:eastAsia="Times New Roman" w:hAnsi="Times New Roman" w:cs="David" w:hint="cs"/>
          <w:sz w:val="24"/>
          <w:szCs w:val="24"/>
          <w:rtl/>
        </w:rPr>
        <w:t xml:space="preserve"> - גם אם ערך הפרמטר של סכנת הפגיעה בסביבה האנושית גבוה במידה דומה. </w:t>
      </w:r>
      <w:r w:rsidRPr="00D053B9">
        <w:rPr>
          <w:rFonts w:ascii="Times New Roman" w:eastAsia="Times New Roman" w:hAnsi="Times New Roman" w:cs="David" w:hint="cs"/>
          <w:sz w:val="24"/>
          <w:szCs w:val="24"/>
          <w:rtl/>
        </w:rPr>
        <w:t xml:space="preserve">לעומת זאת </w:t>
      </w:r>
      <w:r w:rsidRPr="00D053B9">
        <w:rPr>
          <w:rFonts w:ascii="Times New Roman" w:eastAsia="Times New Roman" w:hAnsi="Times New Roman" w:cs="David" w:hint="cs"/>
          <w:sz w:val="24"/>
          <w:szCs w:val="24"/>
          <w:rtl/>
        </w:rPr>
        <w:t xml:space="preserve">אם מדובר בחיילי צבא מקצועי (התנדבותי), ערך גבוה של </w:t>
      </w:r>
      <w:r w:rsidRPr="00D053B9">
        <w:rPr>
          <w:rFonts w:ascii="Times New Roman" w:eastAsia="Times New Roman" w:hAnsi="Times New Roman" w:cs="David" w:hint="cs"/>
          <w:b/>
          <w:bCs/>
          <w:sz w:val="24"/>
          <w:szCs w:val="24"/>
          <w:rtl/>
        </w:rPr>
        <w:t>שלושה פרמטרים</w:t>
      </w:r>
      <w:r w:rsidRPr="00D053B9">
        <w:rPr>
          <w:rFonts w:ascii="Times New Roman" w:eastAsia="Times New Roman" w:hAnsi="Times New Roman" w:cs="David" w:hint="cs"/>
          <w:sz w:val="24"/>
          <w:szCs w:val="24"/>
          <w:rtl/>
        </w:rPr>
        <w:t xml:space="preserve"> לפחות של התועלת הצבאית יוצר כורח צבאי לפעולה </w:t>
      </w:r>
      <w:proofErr w:type="spellStart"/>
      <w:r w:rsidRPr="00D053B9">
        <w:rPr>
          <w:rFonts w:ascii="Times New Roman" w:eastAsia="Times New Roman" w:hAnsi="Times New Roman" w:cs="David" w:hint="cs"/>
          <w:sz w:val="24"/>
          <w:szCs w:val="24"/>
          <w:rtl/>
        </w:rPr>
        <w:t>מיידית</w:t>
      </w:r>
      <w:proofErr w:type="spellEnd"/>
      <w:r w:rsidRPr="00D053B9">
        <w:rPr>
          <w:rFonts w:ascii="Times New Roman" w:eastAsia="Times New Roman" w:hAnsi="Times New Roman" w:cs="David" w:hint="cs"/>
          <w:sz w:val="24"/>
          <w:szCs w:val="24"/>
          <w:rtl/>
        </w:rPr>
        <w:t xml:space="preserve"> - גם אם ערך הפרמטר של סכנת הפגיעה בסביבה האנושית גבוה במ</w:t>
      </w:r>
      <w:bookmarkStart w:id="0" w:name="_GoBack"/>
      <w:bookmarkEnd w:id="0"/>
      <w:r w:rsidRPr="00D053B9">
        <w:rPr>
          <w:rFonts w:ascii="Times New Roman" w:eastAsia="Times New Roman" w:hAnsi="Times New Roman" w:cs="David" w:hint="cs"/>
          <w:sz w:val="24"/>
          <w:szCs w:val="24"/>
          <w:rtl/>
        </w:rPr>
        <w:t>ידה דומה</w:t>
      </w:r>
      <w:r w:rsidRPr="00D053B9">
        <w:rPr>
          <w:rFonts w:ascii="Times New Roman" w:eastAsia="Times New Roman" w:hAnsi="Times New Roman" w:cs="David" w:hint="cs"/>
          <w:sz w:val="24"/>
          <w:szCs w:val="24"/>
          <w:rtl/>
        </w:rPr>
        <w:t xml:space="preserve">. </w:t>
      </w:r>
    </w:p>
    <w:p w:rsidR="00153EAA" w:rsidRPr="00D053B9" w:rsidRDefault="001B2F90" w:rsidP="00715EEB">
      <w:pPr>
        <w:spacing w:after="0" w:line="480" w:lineRule="auto"/>
        <w:jc w:val="both"/>
        <w:rPr>
          <w:rFonts w:ascii="David" w:hAnsi="David" w:cs="David" w:hint="cs"/>
          <w:color w:val="000000" w:themeColor="text1"/>
          <w:sz w:val="24"/>
          <w:szCs w:val="24"/>
        </w:rPr>
      </w:pPr>
      <w:r w:rsidRPr="00D053B9">
        <w:rPr>
          <w:rFonts w:ascii="David" w:hAnsi="David" w:cs="David"/>
          <w:color w:val="000000" w:themeColor="text1"/>
          <w:sz w:val="24"/>
          <w:szCs w:val="24"/>
          <w:rtl/>
        </w:rPr>
        <w:t>הגדרת העבודה לגרילה</w:t>
      </w:r>
      <w:r w:rsidRPr="00D053B9">
        <w:rPr>
          <w:rFonts w:ascii="David" w:hAnsi="David" w:cs="David" w:hint="cs"/>
          <w:color w:val="000000" w:themeColor="text1"/>
          <w:sz w:val="24"/>
          <w:szCs w:val="24"/>
          <w:rtl/>
        </w:rPr>
        <w:t>,</w:t>
      </w:r>
      <w:r w:rsidRPr="00D053B9">
        <w:rPr>
          <w:rFonts w:ascii="David" w:hAnsi="David" w:cs="David"/>
          <w:color w:val="000000" w:themeColor="text1"/>
          <w:sz w:val="24"/>
          <w:szCs w:val="24"/>
          <w:rtl/>
        </w:rPr>
        <w:t xml:space="preserve"> </w:t>
      </w:r>
      <w:r w:rsidRPr="00D053B9">
        <w:rPr>
          <w:rFonts w:ascii="David" w:hAnsi="David" w:cs="David" w:hint="cs"/>
          <w:color w:val="000000" w:themeColor="text1"/>
          <w:sz w:val="24"/>
          <w:szCs w:val="24"/>
          <w:rtl/>
        </w:rPr>
        <w:t>ה</w:t>
      </w:r>
      <w:r w:rsidRPr="00D053B9">
        <w:rPr>
          <w:rFonts w:ascii="David" w:hAnsi="David" w:cs="David"/>
          <w:color w:val="000000" w:themeColor="text1"/>
          <w:sz w:val="24"/>
          <w:szCs w:val="24"/>
          <w:rtl/>
        </w:rPr>
        <w:t>מלווה את המחקר</w:t>
      </w:r>
      <w:r w:rsidRPr="00D053B9">
        <w:rPr>
          <w:rFonts w:ascii="David" w:hAnsi="David" w:cs="David" w:hint="cs"/>
          <w:color w:val="000000" w:themeColor="text1"/>
          <w:sz w:val="24"/>
          <w:szCs w:val="24"/>
          <w:rtl/>
        </w:rPr>
        <w:t xml:space="preserve"> </w:t>
      </w:r>
      <w:r w:rsidRPr="00D053B9">
        <w:rPr>
          <w:rFonts w:ascii="David" w:hAnsi="David" w:cs="David"/>
          <w:color w:val="000000" w:themeColor="text1"/>
          <w:sz w:val="24"/>
          <w:szCs w:val="24"/>
          <w:rtl/>
        </w:rPr>
        <w:t>מ</w:t>
      </w:r>
      <w:r w:rsidRPr="00D053B9">
        <w:rPr>
          <w:rFonts w:ascii="David" w:hAnsi="David" w:cs="David" w:hint="cs"/>
          <w:color w:val="000000" w:themeColor="text1"/>
          <w:sz w:val="24"/>
          <w:szCs w:val="24"/>
          <w:rtl/>
        </w:rPr>
        <w:t>תייחסת</w:t>
      </w:r>
      <w:r w:rsidRPr="00D053B9">
        <w:rPr>
          <w:rFonts w:ascii="David" w:hAnsi="David" w:cs="David"/>
          <w:color w:val="000000" w:themeColor="text1"/>
          <w:sz w:val="24"/>
          <w:szCs w:val="24"/>
          <w:rtl/>
        </w:rPr>
        <w:t xml:space="preserve"> </w:t>
      </w:r>
      <w:r w:rsidRPr="00D053B9">
        <w:rPr>
          <w:rFonts w:ascii="David" w:hAnsi="David" w:cs="David" w:hint="cs"/>
          <w:color w:val="000000" w:themeColor="text1"/>
          <w:sz w:val="24"/>
          <w:szCs w:val="24"/>
          <w:rtl/>
        </w:rPr>
        <w:t>גם ל</w:t>
      </w:r>
      <w:r w:rsidRPr="00D053B9">
        <w:rPr>
          <w:rFonts w:ascii="David" w:hAnsi="David" w:cs="David"/>
          <w:color w:val="000000" w:themeColor="text1"/>
          <w:sz w:val="24"/>
          <w:szCs w:val="24"/>
          <w:rtl/>
        </w:rPr>
        <w:t xml:space="preserve">קהל </w:t>
      </w:r>
      <w:r w:rsidRPr="00D053B9">
        <w:rPr>
          <w:rFonts w:ascii="David" w:hAnsi="David" w:cs="David" w:hint="cs"/>
          <w:color w:val="000000" w:themeColor="text1"/>
          <w:sz w:val="24"/>
          <w:szCs w:val="24"/>
          <w:rtl/>
        </w:rPr>
        <w:t>ה</w:t>
      </w:r>
      <w:r w:rsidRPr="00D053B9">
        <w:rPr>
          <w:rFonts w:ascii="David" w:hAnsi="David" w:cs="David"/>
          <w:color w:val="000000" w:themeColor="text1"/>
          <w:sz w:val="24"/>
          <w:szCs w:val="24"/>
          <w:rtl/>
        </w:rPr>
        <w:t>יעד של אנשי צבא ובטחון</w:t>
      </w:r>
      <w:r w:rsidRPr="00D053B9">
        <w:rPr>
          <w:rFonts w:ascii="David" w:hAnsi="David" w:cs="David" w:hint="cs"/>
          <w:color w:val="000000" w:themeColor="text1"/>
          <w:sz w:val="24"/>
          <w:szCs w:val="24"/>
          <w:rtl/>
        </w:rPr>
        <w:t>,</w:t>
      </w:r>
      <w:r w:rsidRPr="00D053B9">
        <w:rPr>
          <w:rFonts w:ascii="David" w:hAnsi="David" w:cs="David"/>
          <w:color w:val="000000" w:themeColor="text1"/>
          <w:sz w:val="24"/>
          <w:szCs w:val="24"/>
          <w:rtl/>
        </w:rPr>
        <w:t xml:space="preserve"> שנגדו מכוונות הפעולות, </w:t>
      </w:r>
      <w:r w:rsidRPr="00D053B9">
        <w:rPr>
          <w:rFonts w:ascii="David" w:hAnsi="David" w:cs="David" w:hint="cs"/>
          <w:color w:val="000000" w:themeColor="text1"/>
          <w:sz w:val="24"/>
          <w:szCs w:val="24"/>
          <w:rtl/>
        </w:rPr>
        <w:t xml:space="preserve">וגם לשיטות הלחימה של הגרילה. </w:t>
      </w:r>
      <w:r w:rsidRPr="00D053B9">
        <w:rPr>
          <w:rFonts w:ascii="David" w:hAnsi="David" w:cs="David"/>
          <w:color w:val="000000" w:themeColor="text1"/>
          <w:sz w:val="24"/>
          <w:szCs w:val="24"/>
          <w:rtl/>
        </w:rPr>
        <w:t>כך גם נותחו מקרי המבחן</w:t>
      </w:r>
      <w:r w:rsidRPr="00D053B9">
        <w:rPr>
          <w:rFonts w:ascii="David" w:hAnsi="David" w:cs="David" w:hint="cs"/>
          <w:color w:val="000000" w:themeColor="text1"/>
          <w:sz w:val="24"/>
          <w:szCs w:val="24"/>
          <w:rtl/>
        </w:rPr>
        <w:t>,</w:t>
      </w:r>
      <w:r w:rsidRPr="00D053B9">
        <w:rPr>
          <w:rFonts w:ascii="David" w:hAnsi="David" w:cs="David"/>
          <w:color w:val="000000" w:themeColor="text1"/>
          <w:sz w:val="24"/>
          <w:szCs w:val="24"/>
          <w:rtl/>
        </w:rPr>
        <w:t xml:space="preserve"> ובהתאם לכך בנויה הדוקטרינה. בהנחה </w:t>
      </w:r>
      <w:r w:rsidRPr="00D053B9">
        <w:rPr>
          <w:rFonts w:ascii="David" w:hAnsi="David" w:cs="David" w:hint="cs"/>
          <w:color w:val="000000" w:themeColor="text1"/>
          <w:sz w:val="24"/>
          <w:szCs w:val="24"/>
          <w:rtl/>
        </w:rPr>
        <w:t>ש</w:t>
      </w:r>
      <w:r w:rsidRPr="00D053B9">
        <w:rPr>
          <w:rFonts w:ascii="David" w:hAnsi="David" w:cs="David"/>
          <w:color w:val="000000" w:themeColor="text1"/>
          <w:sz w:val="24"/>
          <w:szCs w:val="24"/>
          <w:rtl/>
        </w:rPr>
        <w:t>ייעשה שימוש בדוקטרינ</w:t>
      </w:r>
      <w:r w:rsidRPr="00D053B9">
        <w:rPr>
          <w:rFonts w:ascii="David" w:hAnsi="David" w:cs="David" w:hint="cs"/>
          <w:color w:val="000000" w:themeColor="text1"/>
          <w:sz w:val="24"/>
          <w:szCs w:val="24"/>
          <w:rtl/>
        </w:rPr>
        <w:t>ה</w:t>
      </w:r>
      <w:r w:rsidRPr="00D053B9">
        <w:rPr>
          <w:rFonts w:ascii="David" w:hAnsi="David" w:cs="David"/>
          <w:color w:val="000000" w:themeColor="text1"/>
          <w:sz w:val="24"/>
          <w:szCs w:val="24"/>
          <w:rtl/>
        </w:rPr>
        <w:t xml:space="preserve"> המוצעת על-ידי המשתמשים בהגדרות שונות, ראוי להבהיר כי </w:t>
      </w:r>
      <w:r w:rsidRPr="00D053B9">
        <w:rPr>
          <w:rFonts w:ascii="David" w:hAnsi="David" w:cs="David" w:hint="cs"/>
          <w:color w:val="000000" w:themeColor="text1"/>
          <w:sz w:val="24"/>
          <w:szCs w:val="24"/>
          <w:rtl/>
        </w:rPr>
        <w:t xml:space="preserve">אם עומד </w:t>
      </w:r>
      <w:r w:rsidRPr="00D053B9">
        <w:rPr>
          <w:rFonts w:ascii="David" w:hAnsi="David" w:cs="David"/>
          <w:color w:val="000000" w:themeColor="text1"/>
          <w:sz w:val="24"/>
          <w:szCs w:val="24"/>
          <w:rtl/>
        </w:rPr>
        <w:t>ארגון גרילה לבצע פעולת גרילה ו/או טרור</w:t>
      </w:r>
      <w:r w:rsidRPr="00D053B9">
        <w:rPr>
          <w:rFonts w:ascii="David" w:hAnsi="David" w:cs="David" w:hint="cs"/>
          <w:color w:val="000000" w:themeColor="text1"/>
          <w:sz w:val="24"/>
          <w:szCs w:val="24"/>
          <w:rtl/>
        </w:rPr>
        <w:t>,</w:t>
      </w:r>
      <w:r w:rsidRPr="00D053B9">
        <w:rPr>
          <w:rFonts w:ascii="David" w:hAnsi="David" w:cs="David"/>
          <w:color w:val="000000" w:themeColor="text1"/>
          <w:sz w:val="24"/>
          <w:szCs w:val="24"/>
          <w:rtl/>
        </w:rPr>
        <w:t xml:space="preserve"> שצפויים להיפגע </w:t>
      </w:r>
      <w:r w:rsidRPr="00D053B9">
        <w:rPr>
          <w:rFonts w:ascii="David" w:hAnsi="David" w:cs="David" w:hint="cs"/>
          <w:color w:val="000000" w:themeColor="text1"/>
          <w:sz w:val="24"/>
          <w:szCs w:val="24"/>
          <w:rtl/>
        </w:rPr>
        <w:t>ממנה</w:t>
      </w:r>
      <w:r w:rsidRPr="00D053B9">
        <w:rPr>
          <w:rFonts w:ascii="David" w:hAnsi="David" w:cs="David"/>
          <w:color w:val="000000" w:themeColor="text1"/>
          <w:sz w:val="24"/>
          <w:szCs w:val="24"/>
          <w:rtl/>
        </w:rPr>
        <w:t xml:space="preserve"> אזרחים, </w:t>
      </w:r>
      <w:r w:rsidRPr="00D053B9">
        <w:rPr>
          <w:rFonts w:ascii="David" w:hAnsi="David" w:cs="David" w:hint="cs"/>
          <w:color w:val="000000" w:themeColor="text1"/>
          <w:sz w:val="24"/>
          <w:szCs w:val="24"/>
          <w:rtl/>
        </w:rPr>
        <w:t xml:space="preserve">יש </w:t>
      </w:r>
      <w:r w:rsidRPr="00D053B9">
        <w:rPr>
          <w:rFonts w:ascii="David" w:hAnsi="David" w:cs="David"/>
          <w:color w:val="000000" w:themeColor="text1"/>
          <w:sz w:val="24"/>
          <w:szCs w:val="24"/>
          <w:rtl/>
        </w:rPr>
        <w:t>לבחון את הפעולה המיועדת באמצעות דוקטרינת</w:t>
      </w:r>
      <w:r w:rsidRPr="00D053B9">
        <w:rPr>
          <w:rFonts w:ascii="David" w:hAnsi="David" w:cs="David" w:hint="cs"/>
          <w:color w:val="000000" w:themeColor="text1"/>
          <w:sz w:val="24"/>
          <w:szCs w:val="24"/>
          <w:rtl/>
        </w:rPr>
        <w:t xml:space="preserve"> הלחימה האתית-אוניברסלית</w:t>
      </w:r>
      <w:r w:rsidRPr="00D053B9">
        <w:rPr>
          <w:rFonts w:ascii="David" w:hAnsi="David" w:cs="David"/>
          <w:color w:val="000000" w:themeColor="text1"/>
          <w:sz w:val="24"/>
          <w:szCs w:val="24"/>
          <w:rtl/>
        </w:rPr>
        <w:t xml:space="preserve"> </w:t>
      </w:r>
      <w:r w:rsidRPr="00D053B9">
        <w:rPr>
          <w:rFonts w:ascii="David" w:hAnsi="David" w:cs="David" w:hint="cs"/>
          <w:color w:val="000000" w:themeColor="text1"/>
          <w:sz w:val="24"/>
          <w:szCs w:val="24"/>
          <w:rtl/>
        </w:rPr>
        <w:t>ל</w:t>
      </w:r>
      <w:r w:rsidRPr="00D053B9">
        <w:rPr>
          <w:rFonts w:ascii="David" w:hAnsi="David" w:cs="David"/>
          <w:color w:val="000000" w:themeColor="text1"/>
          <w:sz w:val="24"/>
          <w:szCs w:val="24"/>
          <w:rtl/>
        </w:rPr>
        <w:t xml:space="preserve">טרור. </w:t>
      </w:r>
    </w:p>
    <w:sectPr w:rsidR="00153EAA" w:rsidRPr="00D053B9" w:rsidSect="004C4AD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11D76"/>
    <w:multiLevelType w:val="hybridMultilevel"/>
    <w:tmpl w:val="B12C98D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77217ED5"/>
    <w:multiLevelType w:val="hybridMultilevel"/>
    <w:tmpl w:val="350681AC"/>
    <w:lvl w:ilvl="0" w:tplc="1D743FE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765"/>
    <w:rsid w:val="00196ED4"/>
    <w:rsid w:val="001B2F90"/>
    <w:rsid w:val="00212944"/>
    <w:rsid w:val="004C4ADE"/>
    <w:rsid w:val="005E0765"/>
    <w:rsid w:val="00715EEB"/>
    <w:rsid w:val="00B83EAC"/>
    <w:rsid w:val="00C92190"/>
    <w:rsid w:val="00D053B9"/>
    <w:rsid w:val="00FA06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C8B5"/>
  <w15:chartTrackingRefBased/>
  <w15:docId w15:val="{F48656BB-40C2-4B21-8A63-D37CD157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765"/>
    <w:pPr>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641</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IDC</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Koblentz Liram</dc:creator>
  <cp:keywords/>
  <dc:description/>
  <cp:lastModifiedBy>Koblentz Liram</cp:lastModifiedBy>
  <cp:revision>3</cp:revision>
  <dcterms:created xsi:type="dcterms:W3CDTF">2018-07-04T14:12:00Z</dcterms:created>
  <dcterms:modified xsi:type="dcterms:W3CDTF">2018-07-04T15:06:00Z</dcterms:modified>
</cp:coreProperties>
</file>