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252" w:rsidRPr="00167252" w:rsidRDefault="00167252" w:rsidP="00167252">
      <w:pPr>
        <w:spacing w:line="480" w:lineRule="auto"/>
        <w:ind w:firstLine="720"/>
        <w:jc w:val="center"/>
        <w:rPr>
          <w:rFonts w:cs="David"/>
          <w:b/>
          <w:bCs/>
          <w:sz w:val="28"/>
          <w:szCs w:val="28"/>
          <w:rtl/>
        </w:rPr>
      </w:pPr>
      <w:r w:rsidRPr="00167252">
        <w:rPr>
          <w:rFonts w:cs="David" w:hint="cs"/>
          <w:b/>
          <w:bCs/>
          <w:sz w:val="28"/>
          <w:szCs w:val="28"/>
          <w:rtl/>
        </w:rPr>
        <w:t>המשמעות המוענקת לתופעת ההזדקנות</w:t>
      </w:r>
    </w:p>
    <w:p w:rsidR="00167252" w:rsidRDefault="00167252" w:rsidP="00167252">
      <w:pPr>
        <w:spacing w:line="480" w:lineRule="auto"/>
        <w:ind w:firstLine="720"/>
        <w:jc w:val="center"/>
        <w:rPr>
          <w:rFonts w:asciiTheme="majorHAnsi" w:eastAsiaTheme="majorEastAsia" w:hAnsiTheme="majorHAnsi" w:cs="David" w:hint="cs"/>
          <w:b/>
          <w:bCs/>
          <w:sz w:val="28"/>
          <w:szCs w:val="28"/>
          <w:rtl/>
        </w:rPr>
      </w:pPr>
      <w:r w:rsidRPr="00167252">
        <w:rPr>
          <w:rFonts w:cs="David" w:hint="cs"/>
          <w:b/>
          <w:bCs/>
          <w:sz w:val="28"/>
          <w:szCs w:val="28"/>
          <w:rtl/>
        </w:rPr>
        <w:t>בידי ראשי רשויות מקומיות בישראל</w:t>
      </w:r>
      <w:bookmarkStart w:id="0" w:name="_Toc470557845"/>
    </w:p>
    <w:p w:rsidR="00167252" w:rsidRPr="00167252" w:rsidRDefault="00167252" w:rsidP="00167252">
      <w:pPr>
        <w:spacing w:line="480" w:lineRule="auto"/>
        <w:ind w:firstLine="720"/>
        <w:jc w:val="center"/>
        <w:rPr>
          <w:rFonts w:asciiTheme="majorHAnsi" w:eastAsiaTheme="majorEastAsia" w:hAnsiTheme="majorHAnsi" w:cs="David"/>
          <w:b/>
          <w:bCs/>
          <w:sz w:val="28"/>
          <w:szCs w:val="28"/>
          <w:rtl/>
        </w:rPr>
      </w:pPr>
      <w:bookmarkStart w:id="1" w:name="_GoBack"/>
      <w:bookmarkEnd w:id="1"/>
      <w:r w:rsidRPr="00167252">
        <w:rPr>
          <w:rFonts w:asciiTheme="majorHAnsi" w:eastAsiaTheme="majorEastAsia" w:hAnsiTheme="majorHAnsi" w:cs="David" w:hint="cs"/>
          <w:b/>
          <w:bCs/>
          <w:sz w:val="28"/>
          <w:szCs w:val="28"/>
          <w:rtl/>
        </w:rPr>
        <w:t>תקציר</w:t>
      </w:r>
      <w:bookmarkEnd w:id="0"/>
    </w:p>
    <w:p w:rsidR="00167252" w:rsidRPr="00167252" w:rsidRDefault="00167252" w:rsidP="00167252">
      <w:pPr>
        <w:spacing w:line="480" w:lineRule="auto"/>
        <w:ind w:firstLine="720"/>
        <w:jc w:val="both"/>
        <w:rPr>
          <w:rFonts w:ascii="Calibri" w:eastAsia="Calibri" w:hAnsi="Calibri" w:cs="David"/>
          <w:sz w:val="24"/>
          <w:szCs w:val="24"/>
          <w:rtl/>
        </w:rPr>
      </w:pPr>
      <w:r w:rsidRPr="00167252">
        <w:rPr>
          <w:rFonts w:ascii="Calibri" w:eastAsia="Calibri" w:hAnsi="Calibri" w:cs="David" w:hint="cs"/>
          <w:sz w:val="24"/>
          <w:szCs w:val="24"/>
          <w:rtl/>
        </w:rPr>
        <w:t xml:space="preserve">הרשות המקומית, היא זו  שמהווה את רמת הממשל הקרובה והנגישה ביותר לאזרחים, ובשל כך מצופה ממנה להיענות  לצרכים המשתנים, הרלוונטיים לאיכות החיים. במציאות עניין זה הופך מורכב, בין היתר, בשל העובדה שבישראל אין הגדרה ברורה ביחס למהות היחסים שבין השלטון המרכזי לשלטון המקומי, ובין זה לבין התושב, וקיימת אי בהירות רבה בקשר למידת האחריות של הרשות המקומית </w:t>
      </w:r>
      <w:proofErr w:type="spellStart"/>
      <w:r w:rsidRPr="00167252">
        <w:rPr>
          <w:rFonts w:ascii="Calibri" w:eastAsia="Calibri" w:hAnsi="Calibri" w:cs="David" w:hint="cs"/>
          <w:sz w:val="24"/>
          <w:szCs w:val="24"/>
          <w:rtl/>
        </w:rPr>
        <w:t>ואופיה</w:t>
      </w:r>
      <w:proofErr w:type="spellEnd"/>
      <w:r w:rsidRPr="00167252">
        <w:rPr>
          <w:rFonts w:ascii="Calibri" w:eastAsia="Calibri" w:hAnsi="Calibri" w:cs="David" w:hint="cs"/>
          <w:sz w:val="24"/>
          <w:szCs w:val="24"/>
          <w:rtl/>
        </w:rPr>
        <w:t xml:space="preserve"> בכל הנוגע לפיתוח השירותי</w:t>
      </w:r>
      <w:r w:rsidRPr="00167252">
        <w:rPr>
          <w:rFonts w:ascii="Calibri" w:eastAsia="Calibri" w:hAnsi="Calibri" w:cs="David" w:hint="cs"/>
          <w:color w:val="000000"/>
          <w:sz w:val="24"/>
          <w:szCs w:val="24"/>
          <w:rtl/>
        </w:rPr>
        <w:t xml:space="preserve">ם החברתיים בכלל, וביחס לזקנים בפרט. למרות האמור לעיל, אנחנו עדים ליצירתיות בתחום פיתוח השירותים לזקנים ברשויות המקומיות, כאלה שמשקפים גם קידום ערכים דמוקרטיים ומיצוי זכויות כמו גם, חשיבה אסטרטגית, מקומית, בתחום ההזדקנות </w:t>
      </w:r>
      <w:proofErr w:type="spellStart"/>
      <w:r w:rsidRPr="00167252">
        <w:rPr>
          <w:rFonts w:ascii="Calibri" w:eastAsia="Calibri" w:hAnsi="Calibri" w:cs="David" w:hint="cs"/>
          <w:color w:val="000000"/>
          <w:sz w:val="24"/>
          <w:szCs w:val="24"/>
          <w:rtl/>
        </w:rPr>
        <w:t>והזיקנה</w:t>
      </w:r>
      <w:proofErr w:type="spellEnd"/>
      <w:r w:rsidRPr="00167252">
        <w:rPr>
          <w:rFonts w:ascii="Calibri" w:eastAsia="Calibri" w:hAnsi="Calibri" w:cs="David" w:hint="cs"/>
          <w:color w:val="000000"/>
          <w:sz w:val="24"/>
          <w:szCs w:val="24"/>
          <w:rtl/>
        </w:rPr>
        <w:t xml:space="preserve">. </w:t>
      </w:r>
    </w:p>
    <w:p w:rsidR="00167252" w:rsidRPr="00167252" w:rsidRDefault="00167252" w:rsidP="00167252">
      <w:pPr>
        <w:spacing w:line="480" w:lineRule="auto"/>
        <w:ind w:firstLine="720"/>
        <w:jc w:val="both"/>
        <w:rPr>
          <w:rFonts w:ascii="Calibri" w:eastAsia="Calibri" w:hAnsi="Calibri" w:cs="David"/>
          <w:sz w:val="24"/>
          <w:szCs w:val="24"/>
          <w:rtl/>
        </w:rPr>
      </w:pPr>
      <w:r w:rsidRPr="00167252">
        <w:rPr>
          <w:rFonts w:ascii="Calibri" w:eastAsia="Calibri" w:hAnsi="Calibri" w:cs="David" w:hint="cs"/>
          <w:sz w:val="24"/>
          <w:szCs w:val="24"/>
          <w:rtl/>
        </w:rPr>
        <w:t xml:space="preserve">הספרות המחקרית, מראה שישנה מודעות תיאורטית ומעשית כאחד לחשיבות של ההיבט הפרסונאלי של זהות ראש הרשות המקומית בכל הנוגע לעיצוב המדיניות המקומית, בהקשרים שונים, כמו: חינוך או איכות סביבה, אך אין </w:t>
      </w:r>
      <w:proofErr w:type="spellStart"/>
      <w:r w:rsidRPr="00167252">
        <w:rPr>
          <w:rFonts w:ascii="Calibri" w:eastAsia="Calibri" w:hAnsi="Calibri" w:cs="David" w:hint="cs"/>
          <w:sz w:val="24"/>
          <w:szCs w:val="24"/>
          <w:rtl/>
        </w:rPr>
        <w:t>התיחסות</w:t>
      </w:r>
      <w:proofErr w:type="spellEnd"/>
      <w:r w:rsidRPr="00167252">
        <w:rPr>
          <w:rFonts w:ascii="Calibri" w:eastAsia="Calibri" w:hAnsi="Calibri" w:cs="David" w:hint="cs"/>
          <w:sz w:val="24"/>
          <w:szCs w:val="24"/>
          <w:rtl/>
        </w:rPr>
        <w:t xml:space="preserve"> קונקרטית לתחום </w:t>
      </w:r>
      <w:proofErr w:type="spellStart"/>
      <w:r w:rsidRPr="00167252">
        <w:rPr>
          <w:rFonts w:ascii="Calibri" w:eastAsia="Calibri" w:hAnsi="Calibri" w:cs="David" w:hint="cs"/>
          <w:sz w:val="24"/>
          <w:szCs w:val="24"/>
          <w:rtl/>
        </w:rPr>
        <w:t>הזיקנה</w:t>
      </w:r>
      <w:proofErr w:type="spellEnd"/>
      <w:r w:rsidRPr="00167252">
        <w:rPr>
          <w:rFonts w:ascii="Calibri" w:eastAsia="Calibri" w:hAnsi="Calibri" w:cs="David" w:hint="cs"/>
          <w:sz w:val="24"/>
          <w:szCs w:val="24"/>
          <w:rtl/>
        </w:rPr>
        <w:t xml:space="preserve">. </w:t>
      </w:r>
      <w:r w:rsidRPr="00167252">
        <w:rPr>
          <w:rFonts w:ascii="David" w:hAnsi="David" w:cs="David"/>
          <w:sz w:val="24"/>
          <w:szCs w:val="24"/>
          <w:rtl/>
        </w:rPr>
        <w:t>זווית מבט חשובה זו לא נחקרה, עד היום בספרות המדעית: לא בהקשר הבנת תפקודו של השלטון המקומי מול הארצי, לא בהקשר של הבנת פיתוח השירותים לאוכלוס</w:t>
      </w:r>
      <w:r w:rsidRPr="00167252">
        <w:rPr>
          <w:rFonts w:ascii="David" w:hAnsi="David" w:cs="David" w:hint="cs"/>
          <w:sz w:val="24"/>
          <w:szCs w:val="24"/>
          <w:rtl/>
        </w:rPr>
        <w:t>י</w:t>
      </w:r>
      <w:r w:rsidRPr="00167252">
        <w:rPr>
          <w:rFonts w:ascii="David" w:hAnsi="David" w:cs="David"/>
          <w:sz w:val="24"/>
          <w:szCs w:val="24"/>
          <w:rtl/>
        </w:rPr>
        <w:t xml:space="preserve">יה הזקנה וגם לא בהקשר של העמקת הידע וההבנה של תופעת </w:t>
      </w:r>
      <w:proofErr w:type="spellStart"/>
      <w:r w:rsidRPr="00167252">
        <w:rPr>
          <w:rFonts w:ascii="David" w:hAnsi="David" w:cs="David"/>
          <w:sz w:val="24"/>
          <w:szCs w:val="24"/>
          <w:rtl/>
        </w:rPr>
        <w:t>הגילנות</w:t>
      </w:r>
      <w:proofErr w:type="spellEnd"/>
      <w:r w:rsidRPr="00167252">
        <w:rPr>
          <w:rFonts w:ascii="David" w:hAnsi="David" w:cs="David"/>
          <w:sz w:val="24"/>
          <w:szCs w:val="24"/>
          <w:rtl/>
        </w:rPr>
        <w:t xml:space="preserve"> בהקשר</w:t>
      </w:r>
      <w:r w:rsidRPr="00167252">
        <w:rPr>
          <w:rFonts w:ascii="David" w:hAnsi="David" w:cs="David" w:hint="cs"/>
          <w:sz w:val="24"/>
          <w:szCs w:val="24"/>
          <w:rtl/>
        </w:rPr>
        <w:t>ה</w:t>
      </w:r>
      <w:r w:rsidRPr="00167252">
        <w:rPr>
          <w:rFonts w:ascii="David" w:hAnsi="David" w:cs="David"/>
          <w:sz w:val="24"/>
          <w:szCs w:val="24"/>
          <w:rtl/>
        </w:rPr>
        <w:t xml:space="preserve"> הפוליטי</w:t>
      </w:r>
      <w:r w:rsidRPr="00167252">
        <w:rPr>
          <w:rFonts w:ascii="David" w:hAnsi="David" w:cs="David" w:hint="cs"/>
          <w:sz w:val="24"/>
          <w:szCs w:val="24"/>
          <w:rtl/>
        </w:rPr>
        <w:t>-מקומי</w:t>
      </w:r>
      <w:r w:rsidRPr="00167252">
        <w:rPr>
          <w:rFonts w:ascii="David" w:hAnsi="David" w:cs="David"/>
          <w:sz w:val="24"/>
          <w:szCs w:val="24"/>
          <w:rtl/>
        </w:rPr>
        <w:t>.</w:t>
      </w:r>
    </w:p>
    <w:p w:rsidR="00167252" w:rsidRPr="00167252" w:rsidRDefault="00167252" w:rsidP="00167252">
      <w:pPr>
        <w:spacing w:line="480" w:lineRule="auto"/>
        <w:ind w:firstLine="720"/>
        <w:jc w:val="both"/>
        <w:rPr>
          <w:rFonts w:ascii="Arial" w:eastAsia="Times New Roman" w:hAnsi="Arial" w:cs="David"/>
          <w:sz w:val="24"/>
          <w:szCs w:val="24"/>
          <w:rtl/>
        </w:rPr>
      </w:pPr>
      <w:r w:rsidRPr="00167252">
        <w:rPr>
          <w:rFonts w:ascii="Calibri" w:eastAsia="Calibri" w:hAnsi="Calibri" w:cs="David" w:hint="cs"/>
          <w:sz w:val="24"/>
          <w:szCs w:val="24"/>
          <w:rtl/>
        </w:rPr>
        <w:t xml:space="preserve">לכן מחקר זה ביקש לבחון את המשמעות המוענקת לתופעת הזדקנות בידי ראשי רשויות מקומיות בישראל כפי שהיא מובנת ונחווית, באופן אישי על ידי ראשי הרשויות המקומיות: כיצד הם מבינים את השלכות התופעה והשפעותיה על יישוביהם ואת דפוסי המדיניות החברתית המאומצים על ידם מתוקף תפקידם להתמודדות עם תופעה זו. </w:t>
      </w:r>
    </w:p>
    <w:p w:rsidR="00167252" w:rsidRPr="00167252" w:rsidRDefault="00167252" w:rsidP="00167252">
      <w:pPr>
        <w:spacing w:line="480" w:lineRule="auto"/>
        <w:ind w:firstLine="720"/>
        <w:jc w:val="both"/>
        <w:rPr>
          <w:rFonts w:ascii="David" w:hAnsi="David" w:cs="David"/>
          <w:sz w:val="24"/>
          <w:szCs w:val="24"/>
          <w:rtl/>
        </w:rPr>
      </w:pPr>
      <w:r w:rsidRPr="00167252">
        <w:rPr>
          <w:rFonts w:ascii="David" w:hAnsi="David" w:cs="David"/>
          <w:sz w:val="24"/>
          <w:szCs w:val="24"/>
          <w:rtl/>
        </w:rPr>
        <w:t>המחקר הינו מחקר איכותני-פנומנולוגי. כלי המחקר הי</w:t>
      </w:r>
      <w:r w:rsidRPr="00167252">
        <w:rPr>
          <w:rFonts w:ascii="David" w:hAnsi="David" w:cs="David" w:hint="cs"/>
          <w:sz w:val="24"/>
          <w:szCs w:val="24"/>
          <w:rtl/>
        </w:rPr>
        <w:t>ה</w:t>
      </w:r>
      <w:r w:rsidRPr="00167252">
        <w:rPr>
          <w:rFonts w:ascii="David" w:hAnsi="David" w:cs="David"/>
          <w:sz w:val="24"/>
          <w:szCs w:val="24"/>
          <w:rtl/>
        </w:rPr>
        <w:t xml:space="preserve"> ראיון</w:t>
      </w:r>
      <w:r w:rsidRPr="00167252">
        <w:rPr>
          <w:rFonts w:ascii="David" w:hAnsi="David" w:cs="David" w:hint="cs"/>
          <w:sz w:val="24"/>
          <w:szCs w:val="24"/>
          <w:rtl/>
        </w:rPr>
        <w:t xml:space="preserve"> עומק</w:t>
      </w:r>
      <w:r w:rsidRPr="00167252">
        <w:rPr>
          <w:rFonts w:ascii="David" w:hAnsi="David" w:cs="David"/>
          <w:sz w:val="24"/>
          <w:szCs w:val="24"/>
          <w:rtl/>
        </w:rPr>
        <w:t xml:space="preserve"> חצי מובנה. מדגם המחקר כלל </w:t>
      </w:r>
      <w:r w:rsidRPr="00167252">
        <w:rPr>
          <w:rFonts w:ascii="David" w:eastAsia="Times New Roman" w:hAnsi="David" w:cs="David"/>
          <w:sz w:val="24"/>
          <w:szCs w:val="24"/>
          <w:rtl/>
        </w:rPr>
        <w:t>16 ראשי רשויות</w:t>
      </w:r>
      <w:r w:rsidRPr="00167252">
        <w:rPr>
          <w:rFonts w:ascii="David" w:eastAsia="Times New Roman" w:hAnsi="David" w:cs="David" w:hint="cs"/>
          <w:sz w:val="24"/>
          <w:szCs w:val="24"/>
          <w:rtl/>
        </w:rPr>
        <w:t>,</w:t>
      </w:r>
      <w:r w:rsidRPr="00167252">
        <w:rPr>
          <w:rFonts w:ascii="David" w:eastAsia="Times New Roman" w:hAnsi="David" w:cs="David"/>
          <w:sz w:val="24"/>
          <w:szCs w:val="24"/>
          <w:rtl/>
        </w:rPr>
        <w:t xml:space="preserve"> 15 גברים ואשה אחת, המייצגים רשויות בעלות אפיונים שונים: רשויות</w:t>
      </w:r>
      <w:r w:rsidRPr="00167252">
        <w:rPr>
          <w:rFonts w:ascii="David" w:hAnsi="David" w:cs="David"/>
          <w:sz w:val="24"/>
          <w:szCs w:val="24"/>
          <w:rtl/>
        </w:rPr>
        <w:t xml:space="preserve"> גדולות, בינוניות וקטנות, מרכזיות ופריפריאליות , יהודיות, מעורבות ורשות דרוזית, עירוניות וכפריות. טווח גילאי ראשי הרשויות רחב: מגיל 40 ועד נושק לשמונים. שניים מתוכם </w:t>
      </w:r>
      <w:r w:rsidRPr="00167252">
        <w:rPr>
          <w:rFonts w:ascii="David" w:hAnsi="David" w:cs="David" w:hint="cs"/>
          <w:sz w:val="24"/>
          <w:szCs w:val="24"/>
          <w:rtl/>
        </w:rPr>
        <w:t>מגדירים עצמם דתיים.</w:t>
      </w:r>
      <w:r w:rsidRPr="00167252">
        <w:rPr>
          <w:rFonts w:ascii="David" w:hAnsi="David" w:cs="David"/>
          <w:sz w:val="24"/>
          <w:szCs w:val="24"/>
          <w:rtl/>
        </w:rPr>
        <w:t xml:space="preserve"> </w:t>
      </w:r>
    </w:p>
    <w:p w:rsidR="00167252" w:rsidRPr="00167252" w:rsidRDefault="00167252" w:rsidP="00167252">
      <w:pPr>
        <w:spacing w:after="160" w:line="480" w:lineRule="auto"/>
        <w:ind w:firstLine="720"/>
        <w:contextualSpacing/>
        <w:jc w:val="both"/>
        <w:rPr>
          <w:rFonts w:ascii="David" w:eastAsia="Calibri" w:hAnsi="David" w:cs="David"/>
          <w:sz w:val="24"/>
          <w:szCs w:val="24"/>
        </w:rPr>
      </w:pPr>
      <w:r>
        <w:rPr>
          <w:rFonts w:ascii="David" w:hAnsi="David" w:cs="David" w:hint="cs"/>
          <w:sz w:val="24"/>
          <w:szCs w:val="24"/>
          <w:rtl/>
        </w:rPr>
        <w:lastRenderedPageBreak/>
        <w:t>מ</w:t>
      </w:r>
      <w:r w:rsidRPr="00167252">
        <w:rPr>
          <w:rFonts w:ascii="David" w:hAnsi="David" w:cs="David"/>
          <w:sz w:val="24"/>
          <w:szCs w:val="24"/>
          <w:rtl/>
        </w:rPr>
        <w:t>ניתוח הממצאים עלו 3 תמות מרכזיות:</w:t>
      </w:r>
    </w:p>
    <w:p w:rsidR="00167252" w:rsidRPr="00167252" w:rsidRDefault="00167252" w:rsidP="00167252">
      <w:pPr>
        <w:spacing w:after="160" w:line="480" w:lineRule="auto"/>
        <w:ind w:firstLine="720"/>
        <w:contextualSpacing/>
        <w:jc w:val="both"/>
        <w:rPr>
          <w:rFonts w:ascii="David" w:eastAsia="Calibri" w:hAnsi="David" w:cs="David"/>
          <w:sz w:val="24"/>
          <w:szCs w:val="24"/>
          <w:rtl/>
        </w:rPr>
      </w:pPr>
      <w:r w:rsidRPr="00167252">
        <w:rPr>
          <w:rFonts w:ascii="David" w:hAnsi="David" w:cs="David"/>
          <w:b/>
          <w:bCs/>
          <w:sz w:val="24"/>
          <w:szCs w:val="24"/>
          <w:rtl/>
        </w:rPr>
        <w:t>התמה הראשונה</w:t>
      </w:r>
      <w:r w:rsidRPr="00167252">
        <w:rPr>
          <w:rFonts w:ascii="David" w:hAnsi="David" w:cs="David"/>
          <w:sz w:val="24"/>
          <w:szCs w:val="24"/>
          <w:rtl/>
        </w:rPr>
        <w:t xml:space="preserve"> </w:t>
      </w:r>
      <w:r w:rsidRPr="00167252">
        <w:rPr>
          <w:rFonts w:ascii="David" w:hAnsi="David" w:cs="David" w:hint="cs"/>
          <w:sz w:val="24"/>
          <w:szCs w:val="24"/>
          <w:rtl/>
        </w:rPr>
        <w:t>עוסקת</w:t>
      </w:r>
      <w:r w:rsidRPr="00167252">
        <w:rPr>
          <w:rFonts w:ascii="David" w:hAnsi="David" w:cs="David"/>
          <w:sz w:val="24"/>
          <w:szCs w:val="24"/>
          <w:rtl/>
        </w:rPr>
        <w:t xml:space="preserve"> </w:t>
      </w:r>
      <w:r w:rsidRPr="00167252">
        <w:rPr>
          <w:rFonts w:ascii="David" w:eastAsia="Calibri" w:hAnsi="David" w:cs="David"/>
          <w:sz w:val="24"/>
          <w:szCs w:val="24"/>
          <w:rtl/>
        </w:rPr>
        <w:t xml:space="preserve">במבט כלפי </w:t>
      </w:r>
      <w:r w:rsidRPr="00167252">
        <w:rPr>
          <w:rFonts w:ascii="David" w:eastAsia="Calibri" w:hAnsi="David" w:cs="David" w:hint="cs"/>
          <w:sz w:val="24"/>
          <w:szCs w:val="24"/>
          <w:rtl/>
        </w:rPr>
        <w:t>"</w:t>
      </w:r>
      <w:r w:rsidRPr="00167252">
        <w:rPr>
          <w:rFonts w:ascii="David" w:eastAsia="Calibri" w:hAnsi="David" w:cs="David"/>
          <w:sz w:val="24"/>
          <w:szCs w:val="24"/>
          <w:rtl/>
        </w:rPr>
        <w:t>מעלה</w:t>
      </w:r>
      <w:r w:rsidRPr="00167252">
        <w:rPr>
          <w:rFonts w:ascii="David" w:eastAsia="Calibri" w:hAnsi="David" w:cs="David" w:hint="cs"/>
          <w:sz w:val="24"/>
          <w:szCs w:val="24"/>
          <w:rtl/>
        </w:rPr>
        <w:t xml:space="preserve">" ומבטאת את </w:t>
      </w:r>
      <w:r w:rsidRPr="00167252">
        <w:rPr>
          <w:rFonts w:ascii="David" w:eastAsia="Calibri" w:hAnsi="David" w:cs="David"/>
          <w:sz w:val="24"/>
          <w:szCs w:val="24"/>
          <w:rtl/>
        </w:rPr>
        <w:t xml:space="preserve">יחס </w:t>
      </w:r>
      <w:r w:rsidRPr="00167252">
        <w:rPr>
          <w:rFonts w:ascii="David" w:eastAsia="Calibri" w:hAnsi="David" w:cs="David" w:hint="cs"/>
          <w:sz w:val="24"/>
          <w:szCs w:val="24"/>
          <w:rtl/>
        </w:rPr>
        <w:t xml:space="preserve">השלטון המקומי </w:t>
      </w:r>
      <w:r w:rsidRPr="00167252">
        <w:rPr>
          <w:rFonts w:ascii="David" w:eastAsia="Calibri" w:hAnsi="David" w:cs="David"/>
          <w:sz w:val="24"/>
          <w:szCs w:val="24"/>
          <w:rtl/>
        </w:rPr>
        <w:t>לשלטון המרכזי</w:t>
      </w:r>
      <w:r w:rsidRPr="00167252">
        <w:rPr>
          <w:rFonts w:ascii="David" w:eastAsia="Calibri" w:hAnsi="David" w:cs="David" w:hint="cs"/>
          <w:sz w:val="24"/>
          <w:szCs w:val="24"/>
          <w:rtl/>
        </w:rPr>
        <w:t xml:space="preserve">, כל זאת בשני היבטים: בהיבט של ביקורת כלפי השלטון המרכזי בתחום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xml:space="preserve"> בהקשרים שונים כמו: העדר תכנון, תחלופה, העדר חשיבות, התמקדות בחולשה; ובהיבט ה"מיצוב" העצמי של השלטון המקומי ביחס לשלטון המרכזי </w:t>
      </w:r>
      <w:r w:rsidRPr="00167252">
        <w:rPr>
          <w:rFonts w:ascii="David" w:eastAsia="Calibri" w:hAnsi="David" w:cs="David"/>
          <w:sz w:val="24"/>
          <w:szCs w:val="24"/>
          <w:rtl/>
        </w:rPr>
        <w:t>–</w:t>
      </w:r>
      <w:r w:rsidRPr="00167252">
        <w:rPr>
          <w:rFonts w:ascii="David" w:eastAsia="Calibri" w:hAnsi="David" w:cs="David" w:hint="cs"/>
          <w:sz w:val="24"/>
          <w:szCs w:val="24"/>
          <w:rtl/>
        </w:rPr>
        <w:t xml:space="preserve"> בכלל, ובתחום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xml:space="preserve"> - בפרט.</w:t>
      </w:r>
    </w:p>
    <w:p w:rsidR="00167252" w:rsidRPr="00167252" w:rsidRDefault="00167252" w:rsidP="00167252">
      <w:pPr>
        <w:spacing w:after="160" w:line="480" w:lineRule="auto"/>
        <w:ind w:firstLine="720"/>
        <w:contextualSpacing/>
        <w:jc w:val="both"/>
        <w:rPr>
          <w:rFonts w:ascii="David" w:eastAsia="Calibri" w:hAnsi="David" w:cs="David"/>
          <w:sz w:val="24"/>
          <w:szCs w:val="24"/>
          <w:rtl/>
        </w:rPr>
      </w:pPr>
      <w:r w:rsidRPr="00167252">
        <w:rPr>
          <w:rFonts w:ascii="David" w:eastAsia="Calibri" w:hAnsi="David" w:cs="David" w:hint="cs"/>
          <w:b/>
          <w:bCs/>
          <w:sz w:val="24"/>
          <w:szCs w:val="24"/>
          <w:rtl/>
        </w:rPr>
        <w:t xml:space="preserve">התמה </w:t>
      </w:r>
      <w:proofErr w:type="spellStart"/>
      <w:r w:rsidRPr="00167252">
        <w:rPr>
          <w:rFonts w:ascii="David" w:eastAsia="Calibri" w:hAnsi="David" w:cs="David" w:hint="cs"/>
          <w:b/>
          <w:bCs/>
          <w:sz w:val="24"/>
          <w:szCs w:val="24"/>
          <w:rtl/>
        </w:rPr>
        <w:t>השניה</w:t>
      </w:r>
      <w:proofErr w:type="spellEnd"/>
      <w:r w:rsidRPr="00167252">
        <w:rPr>
          <w:rFonts w:ascii="David" w:eastAsia="Calibri" w:hAnsi="David" w:cs="David" w:hint="cs"/>
          <w:sz w:val="24"/>
          <w:szCs w:val="24"/>
          <w:rtl/>
        </w:rPr>
        <w:t xml:space="preserve"> עוסקת במבט "לרוחב" ומבטאת את היחס של ראשי הרשויות המקומיות </w:t>
      </w:r>
      <w:proofErr w:type="spellStart"/>
      <w:r w:rsidRPr="00167252">
        <w:rPr>
          <w:rFonts w:ascii="David" w:eastAsia="Calibri" w:hAnsi="David" w:cs="David" w:hint="cs"/>
          <w:sz w:val="24"/>
          <w:szCs w:val="24"/>
          <w:rtl/>
        </w:rPr>
        <w:t>לזיקנה</w:t>
      </w:r>
      <w:proofErr w:type="spellEnd"/>
      <w:r w:rsidRPr="00167252">
        <w:rPr>
          <w:rFonts w:ascii="David" w:eastAsia="Calibri" w:hAnsi="David" w:cs="David" w:hint="cs"/>
          <w:sz w:val="24"/>
          <w:szCs w:val="24"/>
          <w:rtl/>
        </w:rPr>
        <w:t xml:space="preserve"> כלפי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xml:space="preserve"> , בשלושה היבטים: הראשון - התפיסה האישית של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על ידי ראש הרשות</w:t>
      </w:r>
      <w:r w:rsidRPr="00167252">
        <w:rPr>
          <w:rFonts w:ascii="David" w:eastAsia="Calibri" w:hAnsi="David" w:cs="David"/>
          <w:sz w:val="24"/>
          <w:szCs w:val="24"/>
        </w:rPr>
        <w:t xml:space="preserve"> ;</w:t>
      </w:r>
      <w:r w:rsidRPr="00167252">
        <w:rPr>
          <w:rFonts w:ascii="David" w:eastAsia="Calibri" w:hAnsi="David" w:cs="David" w:hint="cs"/>
          <w:sz w:val="24"/>
          <w:szCs w:val="24"/>
          <w:rtl/>
        </w:rPr>
        <w:t xml:space="preserve">השני - התפיסה </w:t>
      </w:r>
      <w:proofErr w:type="spellStart"/>
      <w:r w:rsidRPr="00167252">
        <w:rPr>
          <w:rFonts w:ascii="David" w:eastAsia="Calibri" w:hAnsi="David" w:cs="David" w:hint="cs"/>
          <w:sz w:val="24"/>
          <w:szCs w:val="24"/>
          <w:rtl/>
        </w:rPr>
        <w:t>הרשותית</w:t>
      </w:r>
      <w:proofErr w:type="spellEnd"/>
      <w:r w:rsidRPr="00167252">
        <w:rPr>
          <w:rFonts w:ascii="David" w:eastAsia="Calibri" w:hAnsi="David" w:cs="David" w:hint="cs"/>
          <w:sz w:val="24"/>
          <w:szCs w:val="24"/>
          <w:rtl/>
        </w:rPr>
        <w:t xml:space="preserve"> של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xml:space="preserve"> על האתגר בעיצוב מדיניות בתחום </w:t>
      </w:r>
      <w:proofErr w:type="spellStart"/>
      <w:r w:rsidRPr="00167252">
        <w:rPr>
          <w:rFonts w:ascii="David" w:eastAsia="Calibri" w:hAnsi="David" w:cs="David" w:hint="cs"/>
          <w:sz w:val="24"/>
          <w:szCs w:val="24"/>
          <w:rtl/>
        </w:rPr>
        <w:t>הזיקנה</w:t>
      </w:r>
      <w:proofErr w:type="spellEnd"/>
      <w:r w:rsidRPr="00167252">
        <w:rPr>
          <w:rFonts w:ascii="David" w:eastAsia="Calibri" w:hAnsi="David" w:cs="David" w:hint="cs"/>
          <w:sz w:val="24"/>
          <w:szCs w:val="24"/>
          <w:rtl/>
        </w:rPr>
        <w:t xml:space="preserve"> ברשות המקומית; ולבסוף - המודעות וההבנה האישית בצורך לפתח מדיניות ייחודית לתחום.</w:t>
      </w:r>
    </w:p>
    <w:p w:rsidR="00167252" w:rsidRPr="00167252" w:rsidRDefault="00167252" w:rsidP="00167252">
      <w:pPr>
        <w:spacing w:after="160" w:line="480" w:lineRule="auto"/>
        <w:ind w:firstLine="720"/>
        <w:contextualSpacing/>
        <w:jc w:val="both"/>
        <w:rPr>
          <w:rFonts w:ascii="David" w:eastAsia="Calibri" w:hAnsi="David" w:cs="David"/>
          <w:sz w:val="24"/>
          <w:szCs w:val="24"/>
        </w:rPr>
      </w:pPr>
      <w:r w:rsidRPr="00167252">
        <w:rPr>
          <w:rFonts w:ascii="David" w:eastAsia="Calibri" w:hAnsi="David" w:cs="David" w:hint="cs"/>
          <w:b/>
          <w:bCs/>
          <w:sz w:val="24"/>
          <w:szCs w:val="24"/>
          <w:rtl/>
        </w:rPr>
        <w:t>התמה השלישית</w:t>
      </w:r>
      <w:r w:rsidRPr="00167252">
        <w:rPr>
          <w:rFonts w:ascii="David" w:eastAsia="Calibri" w:hAnsi="David" w:cs="David" w:hint="cs"/>
          <w:sz w:val="24"/>
          <w:szCs w:val="24"/>
          <w:rtl/>
        </w:rPr>
        <w:t xml:space="preserve"> עוסקת במבט כלפי "מטה": דהיינו, פיתוח ועיצוב השירותים לזקנים ברשות המקומית על שירותים ספציפיים :בהיבט הקהילה, בהיבט  דיור מוגן ומוסדות ובהיבט היצירתיות והחדשנות.</w:t>
      </w:r>
    </w:p>
    <w:p w:rsidR="00167252" w:rsidRPr="00167252" w:rsidRDefault="00167252" w:rsidP="00167252">
      <w:pPr>
        <w:spacing w:after="160" w:line="480" w:lineRule="auto"/>
        <w:ind w:firstLine="720"/>
        <w:jc w:val="both"/>
        <w:rPr>
          <w:rFonts w:ascii="David" w:hAnsi="David" w:cs="David"/>
          <w:sz w:val="24"/>
          <w:szCs w:val="24"/>
          <w:rtl/>
        </w:rPr>
      </w:pPr>
      <w:r w:rsidRPr="00167252">
        <w:rPr>
          <w:rFonts w:ascii="David" w:hAnsi="David" w:cs="David" w:hint="cs"/>
          <w:sz w:val="24"/>
          <w:szCs w:val="24"/>
          <w:rtl/>
        </w:rPr>
        <w:t xml:space="preserve">ניתוח אינטגרטיבי של שלושת </w:t>
      </w:r>
      <w:proofErr w:type="spellStart"/>
      <w:r w:rsidRPr="00167252">
        <w:rPr>
          <w:rFonts w:ascii="David" w:hAnsi="David" w:cs="David" w:hint="cs"/>
          <w:sz w:val="24"/>
          <w:szCs w:val="24"/>
          <w:rtl/>
        </w:rPr>
        <w:t>התימות</w:t>
      </w:r>
      <w:proofErr w:type="spellEnd"/>
      <w:r w:rsidRPr="00167252">
        <w:rPr>
          <w:rFonts w:ascii="David" w:hAnsi="David" w:cs="David" w:hint="cs"/>
          <w:sz w:val="24"/>
          <w:szCs w:val="24"/>
          <w:rtl/>
        </w:rPr>
        <w:t xml:space="preserve"> המרכזיות לעיל משקף מציאות מורכבת שבמסגרתה ראשי רשויות מקומיות מבטאים מנעד שונות גבוה בהבניית משמעות ההזדקנות, הנע בין שני קטבים מנוגדים, המצויים ברמות שונות: ברמת המשילות המקומית = מחד גיסא, ישנם ראשי רשויות שמעידים על תחושה גבוהה של אוטונומיה ומרחב עשייה לעומת אלה החווים תלות גבוהה בשלטון המרכזי המעקרת את יכולתם לפעול באופן חופשי; ברמת </w:t>
      </w:r>
      <w:proofErr w:type="spellStart"/>
      <w:r w:rsidRPr="00167252">
        <w:rPr>
          <w:rFonts w:ascii="David" w:hAnsi="David" w:cs="David" w:hint="cs"/>
          <w:sz w:val="24"/>
          <w:szCs w:val="24"/>
          <w:rtl/>
        </w:rPr>
        <w:t>הגילנות</w:t>
      </w:r>
      <w:proofErr w:type="spellEnd"/>
      <w:r w:rsidRPr="00167252">
        <w:rPr>
          <w:rFonts w:ascii="David" w:hAnsi="David" w:cs="David" w:hint="cs"/>
          <w:sz w:val="24"/>
          <w:szCs w:val="24"/>
          <w:rtl/>
        </w:rPr>
        <w:t xml:space="preserve"> =  מחד גיסא ישנם ראשי רשויות המבטאים תפישות </w:t>
      </w:r>
      <w:proofErr w:type="spellStart"/>
      <w:r w:rsidRPr="00167252">
        <w:rPr>
          <w:rFonts w:ascii="David" w:hAnsi="David" w:cs="David" w:hint="cs"/>
          <w:sz w:val="24"/>
          <w:szCs w:val="24"/>
          <w:rtl/>
        </w:rPr>
        <w:t>גילניות</w:t>
      </w:r>
      <w:proofErr w:type="spellEnd"/>
      <w:r w:rsidRPr="00167252">
        <w:rPr>
          <w:rFonts w:ascii="David" w:hAnsi="David" w:cs="David" w:hint="cs"/>
          <w:sz w:val="24"/>
          <w:szCs w:val="24"/>
          <w:rtl/>
        </w:rPr>
        <w:t xml:space="preserve"> </w:t>
      </w:r>
      <w:proofErr w:type="spellStart"/>
      <w:r w:rsidRPr="00167252">
        <w:rPr>
          <w:rFonts w:ascii="David" w:hAnsi="David" w:cs="David" w:hint="cs"/>
          <w:sz w:val="24"/>
          <w:szCs w:val="24"/>
          <w:rtl/>
        </w:rPr>
        <w:t>וסטיגמטיות</w:t>
      </w:r>
      <w:proofErr w:type="spellEnd"/>
      <w:r w:rsidRPr="00167252">
        <w:rPr>
          <w:rFonts w:ascii="David" w:hAnsi="David" w:cs="David" w:hint="cs"/>
          <w:sz w:val="24"/>
          <w:szCs w:val="24"/>
          <w:rtl/>
        </w:rPr>
        <w:t>, בהקשר זקנים בעלי מוגבלויות או בהיבט שוק העבודה,  ומאידך, ישנם כאלה המאמצים ראיית עולם אנטי-</w:t>
      </w:r>
      <w:proofErr w:type="spellStart"/>
      <w:r w:rsidRPr="00167252">
        <w:rPr>
          <w:rFonts w:ascii="David" w:hAnsi="David" w:cs="David" w:hint="cs"/>
          <w:sz w:val="24"/>
          <w:szCs w:val="24"/>
          <w:rtl/>
        </w:rPr>
        <w:t>גילנית</w:t>
      </w:r>
      <w:proofErr w:type="spellEnd"/>
      <w:r w:rsidRPr="00167252">
        <w:rPr>
          <w:rFonts w:ascii="David" w:hAnsi="David" w:cs="David" w:hint="cs"/>
          <w:sz w:val="24"/>
          <w:szCs w:val="24"/>
          <w:rtl/>
        </w:rPr>
        <w:t xml:space="preserve"> שתופסת את תקופת </w:t>
      </w:r>
      <w:proofErr w:type="spellStart"/>
      <w:r w:rsidRPr="00167252">
        <w:rPr>
          <w:rFonts w:ascii="David" w:hAnsi="David" w:cs="David" w:hint="cs"/>
          <w:sz w:val="24"/>
          <w:szCs w:val="24"/>
          <w:rtl/>
        </w:rPr>
        <w:t>הזיקנה</w:t>
      </w:r>
      <w:proofErr w:type="spellEnd"/>
      <w:r w:rsidRPr="00167252">
        <w:rPr>
          <w:rFonts w:ascii="David" w:hAnsi="David" w:cs="David" w:hint="cs"/>
          <w:sz w:val="24"/>
          <w:szCs w:val="24"/>
          <w:rtl/>
        </w:rPr>
        <w:t xml:space="preserve"> כמאפשרת התחדשות ויצירתיות, ומהווה שלב חדש ואופטימי; ולבסוף, ברמת השירותים המקומיים:  מחד גיסא </w:t>
      </w:r>
      <w:r w:rsidRPr="00167252">
        <w:rPr>
          <w:rFonts w:ascii="David" w:hAnsi="David" w:cs="David"/>
          <w:sz w:val="24"/>
          <w:szCs w:val="24"/>
          <w:rtl/>
        </w:rPr>
        <w:t>–</w:t>
      </w:r>
      <w:r w:rsidRPr="00167252">
        <w:rPr>
          <w:rFonts w:ascii="David" w:hAnsi="David" w:cs="David" w:hint="cs"/>
          <w:sz w:val="24"/>
          <w:szCs w:val="24"/>
          <w:rtl/>
        </w:rPr>
        <w:t xml:space="preserve"> ישנם ראשי רשויות החווים חוויה של חוסר אפשרות ליצירתיות תוך כפיפות לשירותים קיימים, אף שאינם עונים על צרכים </w:t>
      </w:r>
      <w:proofErr w:type="spellStart"/>
      <w:r w:rsidRPr="00167252">
        <w:rPr>
          <w:rFonts w:ascii="David" w:hAnsi="David" w:cs="David" w:hint="cs"/>
          <w:sz w:val="24"/>
          <w:szCs w:val="24"/>
          <w:rtl/>
        </w:rPr>
        <w:t>אמיתיים</w:t>
      </w:r>
      <w:proofErr w:type="spellEnd"/>
      <w:r w:rsidRPr="00167252">
        <w:rPr>
          <w:rFonts w:ascii="David" w:hAnsi="David" w:cs="David" w:hint="cs"/>
          <w:sz w:val="24"/>
          <w:szCs w:val="24"/>
          <w:rtl/>
        </w:rPr>
        <w:t xml:space="preserve">, ומאידך, ישנם ראשי רשויות המאופיינים באנרגיות של יצירת שירותים חדשניים ומותאמים יותר לזקנים תוך תכנון ארוך טווח בהיבט נדל"ן ומוסדות. </w:t>
      </w:r>
    </w:p>
    <w:p w:rsidR="00167252" w:rsidRPr="00167252" w:rsidRDefault="00167252" w:rsidP="00167252">
      <w:pPr>
        <w:spacing w:after="160" w:line="480" w:lineRule="auto"/>
        <w:ind w:firstLine="720"/>
        <w:jc w:val="both"/>
        <w:rPr>
          <w:rFonts w:ascii="David" w:hAnsi="David" w:cs="David"/>
          <w:sz w:val="24"/>
          <w:szCs w:val="24"/>
          <w:rtl/>
        </w:rPr>
      </w:pPr>
      <w:r w:rsidRPr="00167252">
        <w:rPr>
          <w:rFonts w:ascii="David" w:hAnsi="David" w:cs="David" w:hint="cs"/>
          <w:sz w:val="24"/>
          <w:szCs w:val="24"/>
          <w:rtl/>
        </w:rPr>
        <w:t xml:space="preserve">ממצאי המחקר, </w:t>
      </w:r>
      <w:r w:rsidRPr="00167252">
        <w:rPr>
          <w:rFonts w:ascii="David" w:hAnsi="David" w:cs="David"/>
          <w:sz w:val="24"/>
          <w:szCs w:val="24"/>
          <w:rtl/>
        </w:rPr>
        <w:t>מ</w:t>
      </w:r>
      <w:r w:rsidRPr="00167252">
        <w:rPr>
          <w:rFonts w:ascii="David" w:hAnsi="David" w:cs="David" w:hint="cs"/>
          <w:sz w:val="24"/>
          <w:szCs w:val="24"/>
          <w:rtl/>
        </w:rPr>
        <w:t>אוששים ומדגישים</w:t>
      </w:r>
      <w:r w:rsidRPr="00167252">
        <w:rPr>
          <w:rFonts w:ascii="David" w:hAnsi="David" w:cs="David"/>
          <w:sz w:val="24"/>
          <w:szCs w:val="24"/>
          <w:rtl/>
        </w:rPr>
        <w:t xml:space="preserve"> את </w:t>
      </w:r>
      <w:r w:rsidRPr="00167252">
        <w:rPr>
          <w:rFonts w:ascii="David" w:hAnsi="David" w:cs="David" w:hint="cs"/>
          <w:sz w:val="24"/>
          <w:szCs w:val="24"/>
          <w:rtl/>
        </w:rPr>
        <w:t xml:space="preserve">חשיבות </w:t>
      </w:r>
      <w:r w:rsidRPr="00167252">
        <w:rPr>
          <w:rFonts w:ascii="David" w:hAnsi="David" w:cs="David"/>
          <w:sz w:val="24"/>
          <w:szCs w:val="24"/>
          <w:rtl/>
        </w:rPr>
        <w:t xml:space="preserve">ההיבט הפרסונאלי </w:t>
      </w:r>
      <w:r w:rsidRPr="00167252">
        <w:rPr>
          <w:rFonts w:ascii="David" w:hAnsi="David" w:cs="David" w:hint="cs"/>
          <w:sz w:val="24"/>
          <w:szCs w:val="24"/>
          <w:rtl/>
        </w:rPr>
        <w:t>ו</w:t>
      </w:r>
      <w:r w:rsidRPr="00167252">
        <w:rPr>
          <w:rFonts w:ascii="David" w:hAnsi="David" w:cs="David"/>
          <w:sz w:val="24"/>
          <w:szCs w:val="24"/>
          <w:rtl/>
        </w:rPr>
        <w:t>הסובייקטיבי</w:t>
      </w:r>
      <w:r w:rsidRPr="00167252">
        <w:rPr>
          <w:rFonts w:ascii="David" w:hAnsi="David" w:cs="David" w:hint="cs"/>
          <w:sz w:val="24"/>
          <w:szCs w:val="24"/>
          <w:rtl/>
        </w:rPr>
        <w:t xml:space="preserve"> של זהות ותפיסת העולם של ראשי הרשויות המקומיות בכל הנוגע להבניית </w:t>
      </w:r>
      <w:proofErr w:type="spellStart"/>
      <w:r w:rsidRPr="00167252">
        <w:rPr>
          <w:rFonts w:ascii="David" w:hAnsi="David" w:cs="David" w:hint="cs"/>
          <w:sz w:val="24"/>
          <w:szCs w:val="24"/>
          <w:rtl/>
        </w:rPr>
        <w:t>הזיקנה</w:t>
      </w:r>
      <w:proofErr w:type="spellEnd"/>
      <w:r w:rsidRPr="00167252">
        <w:rPr>
          <w:rFonts w:ascii="David" w:hAnsi="David" w:cs="David" w:hint="cs"/>
          <w:sz w:val="24"/>
          <w:szCs w:val="24"/>
          <w:rtl/>
        </w:rPr>
        <w:t xml:space="preserve"> ופיתוח השירותים ברמה המקומית</w:t>
      </w:r>
      <w:r w:rsidRPr="00167252">
        <w:rPr>
          <w:rFonts w:ascii="David" w:hAnsi="David" w:cs="David"/>
          <w:sz w:val="24"/>
          <w:szCs w:val="24"/>
          <w:rtl/>
        </w:rPr>
        <w:t xml:space="preserve">. </w:t>
      </w:r>
      <w:r w:rsidRPr="00167252">
        <w:rPr>
          <w:rFonts w:ascii="David" w:hAnsi="David" w:cs="David" w:hint="cs"/>
          <w:sz w:val="24"/>
          <w:szCs w:val="24"/>
          <w:rtl/>
        </w:rPr>
        <w:t>הממצאים מצביעים על קיומו של</w:t>
      </w:r>
      <w:r w:rsidRPr="00167252">
        <w:rPr>
          <w:rFonts w:ascii="David" w:hAnsi="David" w:cs="David"/>
          <w:sz w:val="24"/>
          <w:szCs w:val="24"/>
          <w:rtl/>
        </w:rPr>
        <w:t xml:space="preserve"> פוטנציאל</w:t>
      </w:r>
      <w:r w:rsidRPr="00167252">
        <w:rPr>
          <w:rFonts w:ascii="David" w:hAnsi="David" w:cs="David" w:hint="cs"/>
          <w:sz w:val="24"/>
          <w:szCs w:val="24"/>
          <w:rtl/>
        </w:rPr>
        <w:t xml:space="preserve"> ל</w:t>
      </w:r>
      <w:r w:rsidRPr="00167252">
        <w:rPr>
          <w:rFonts w:ascii="David" w:hAnsi="David" w:cs="David"/>
          <w:sz w:val="24"/>
          <w:szCs w:val="24"/>
          <w:rtl/>
        </w:rPr>
        <w:t>מימוש</w:t>
      </w:r>
      <w:r w:rsidRPr="00167252">
        <w:rPr>
          <w:rFonts w:ascii="David" w:hAnsi="David" w:cs="David" w:hint="cs"/>
          <w:sz w:val="24"/>
          <w:szCs w:val="24"/>
          <w:rtl/>
        </w:rPr>
        <w:t xml:space="preserve"> של</w:t>
      </w:r>
      <w:r w:rsidRPr="00167252">
        <w:rPr>
          <w:rFonts w:ascii="David" w:hAnsi="David" w:cs="David"/>
          <w:sz w:val="24"/>
          <w:szCs w:val="24"/>
          <w:rtl/>
        </w:rPr>
        <w:t xml:space="preserve"> מערכות ערכים וחזון</w:t>
      </w:r>
      <w:r w:rsidRPr="00167252">
        <w:rPr>
          <w:rFonts w:ascii="David" w:hAnsi="David" w:cs="David" w:hint="cs"/>
          <w:sz w:val="24"/>
          <w:szCs w:val="24"/>
          <w:rtl/>
        </w:rPr>
        <w:t xml:space="preserve"> </w:t>
      </w:r>
      <w:proofErr w:type="spellStart"/>
      <w:r w:rsidRPr="00167252">
        <w:rPr>
          <w:rFonts w:ascii="David" w:hAnsi="David" w:cs="David" w:hint="cs"/>
          <w:sz w:val="24"/>
          <w:szCs w:val="24"/>
          <w:rtl/>
        </w:rPr>
        <w:t>מוכווני</w:t>
      </w:r>
      <w:proofErr w:type="spellEnd"/>
      <w:r w:rsidRPr="00167252">
        <w:rPr>
          <w:rFonts w:ascii="David" w:hAnsi="David" w:cs="David" w:hint="cs"/>
          <w:sz w:val="24"/>
          <w:szCs w:val="24"/>
          <w:rtl/>
        </w:rPr>
        <w:t xml:space="preserve"> </w:t>
      </w:r>
      <w:proofErr w:type="spellStart"/>
      <w:r w:rsidRPr="00167252">
        <w:rPr>
          <w:rFonts w:ascii="David" w:hAnsi="David" w:cs="David" w:hint="cs"/>
          <w:sz w:val="24"/>
          <w:szCs w:val="24"/>
          <w:rtl/>
        </w:rPr>
        <w:t>זיקנה</w:t>
      </w:r>
      <w:proofErr w:type="spellEnd"/>
      <w:r w:rsidRPr="00167252">
        <w:rPr>
          <w:rFonts w:ascii="David" w:hAnsi="David" w:cs="David" w:hint="cs"/>
          <w:sz w:val="24"/>
          <w:szCs w:val="24"/>
          <w:rtl/>
        </w:rPr>
        <w:t xml:space="preserve"> ברמת השלטון המקומי, זאת</w:t>
      </w:r>
      <w:r w:rsidRPr="00167252">
        <w:rPr>
          <w:rFonts w:ascii="David" w:hAnsi="David" w:cs="David"/>
          <w:sz w:val="24"/>
          <w:szCs w:val="24"/>
          <w:rtl/>
        </w:rPr>
        <w:t xml:space="preserve"> למרות המכשולים האובייקטיביים</w:t>
      </w:r>
      <w:r w:rsidRPr="00167252">
        <w:rPr>
          <w:rFonts w:ascii="David" w:hAnsi="David" w:cs="David" w:hint="cs"/>
          <w:sz w:val="24"/>
          <w:szCs w:val="24"/>
          <w:rtl/>
        </w:rPr>
        <w:t xml:space="preserve">, </w:t>
      </w:r>
      <w:r w:rsidRPr="00167252">
        <w:rPr>
          <w:rFonts w:ascii="David" w:hAnsi="David" w:cs="David" w:hint="cs"/>
          <w:sz w:val="24"/>
          <w:szCs w:val="24"/>
          <w:rtl/>
        </w:rPr>
        <w:lastRenderedPageBreak/>
        <w:t xml:space="preserve">לכאורה, הקיימים במבנה השלטון המקומי ובחוק הישראלי </w:t>
      </w:r>
      <w:r w:rsidRPr="00167252">
        <w:rPr>
          <w:rFonts w:ascii="David" w:hAnsi="David" w:cs="David"/>
          <w:sz w:val="24"/>
          <w:szCs w:val="24"/>
          <w:rtl/>
        </w:rPr>
        <w:t>–</w:t>
      </w:r>
      <w:r w:rsidRPr="00167252">
        <w:rPr>
          <w:rFonts w:ascii="David" w:hAnsi="David" w:cs="David" w:hint="cs"/>
          <w:sz w:val="24"/>
          <w:szCs w:val="24"/>
          <w:rtl/>
        </w:rPr>
        <w:t xml:space="preserve"> וכל זאת כתלות בהבניית הסמכות, ומשמעות </w:t>
      </w:r>
      <w:proofErr w:type="spellStart"/>
      <w:r w:rsidRPr="00167252">
        <w:rPr>
          <w:rFonts w:ascii="David" w:hAnsi="David" w:cs="David" w:hint="cs"/>
          <w:sz w:val="24"/>
          <w:szCs w:val="24"/>
          <w:rtl/>
        </w:rPr>
        <w:t>הזיקנה</w:t>
      </w:r>
      <w:proofErr w:type="spellEnd"/>
      <w:r w:rsidRPr="00167252">
        <w:rPr>
          <w:rFonts w:ascii="David" w:hAnsi="David" w:cs="David" w:hint="cs"/>
          <w:sz w:val="24"/>
          <w:szCs w:val="24"/>
          <w:rtl/>
        </w:rPr>
        <w:t>, בקרב מי שעומדים בראש ההיררכיה השלטונית המקומית</w:t>
      </w:r>
      <w:r w:rsidRPr="00167252">
        <w:rPr>
          <w:rFonts w:ascii="David" w:hAnsi="David" w:cs="David"/>
          <w:sz w:val="24"/>
          <w:szCs w:val="24"/>
          <w:rtl/>
        </w:rPr>
        <w:t xml:space="preserve">. </w:t>
      </w:r>
    </w:p>
    <w:p w:rsidR="00875686" w:rsidRDefault="00875686">
      <w:pPr>
        <w:rPr>
          <w:rFonts w:hint="cs"/>
        </w:rPr>
      </w:pPr>
    </w:p>
    <w:sectPr w:rsidR="00875686" w:rsidSect="005310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52"/>
    <w:rsid w:val="00167252"/>
    <w:rsid w:val="004D5A7F"/>
    <w:rsid w:val="005310C4"/>
    <w:rsid w:val="008756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3286</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2017-01-19T07:56:00Z</dcterms:created>
  <dcterms:modified xsi:type="dcterms:W3CDTF">2017-01-19T07:56:00Z</dcterms:modified>
</cp:coreProperties>
</file>