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ECB3E" w14:textId="32A9DF63" w:rsidR="00BB2577" w:rsidRPr="001968EA" w:rsidRDefault="00245501" w:rsidP="001968EA">
      <w:pPr>
        <w:jc w:val="center"/>
        <w:rPr>
          <w:rFonts w:cs="Guttman Keren"/>
          <w:b/>
          <w:bCs/>
          <w:szCs w:val="24"/>
        </w:rPr>
      </w:pPr>
      <w:bookmarkStart w:id="0" w:name="_GoBack"/>
      <w:bookmarkEnd w:id="0"/>
      <w:r w:rsidRPr="001968EA">
        <w:rPr>
          <w:rFonts w:cs="Guttman Keren"/>
          <w:b/>
          <w:bCs/>
          <w:szCs w:val="24"/>
        </w:rPr>
        <w:t xml:space="preserve">The Development of the </w:t>
      </w:r>
      <w:r w:rsidR="00D051F5" w:rsidRPr="001968EA">
        <w:rPr>
          <w:rFonts w:cs="Guttman Keren"/>
          <w:b/>
          <w:bCs/>
          <w:szCs w:val="24"/>
        </w:rPr>
        <w:t xml:space="preserve">First </w:t>
      </w:r>
      <w:r w:rsidRPr="001968EA">
        <w:rPr>
          <w:rFonts w:cs="Guttman Keren"/>
          <w:b/>
          <w:bCs/>
          <w:szCs w:val="24"/>
        </w:rPr>
        <w:t xml:space="preserve">Benediction of the Grace after Meals in light of the Cairo </w:t>
      </w:r>
      <w:proofErr w:type="spellStart"/>
      <w:r w:rsidRPr="001968EA">
        <w:rPr>
          <w:rFonts w:cs="Guttman Keren"/>
          <w:b/>
          <w:bCs/>
          <w:szCs w:val="24"/>
        </w:rPr>
        <w:t>Genizah</w:t>
      </w:r>
      <w:proofErr w:type="spellEnd"/>
      <w:r w:rsidRPr="001968EA">
        <w:rPr>
          <w:rFonts w:cs="Guttman Keren"/>
          <w:b/>
          <w:bCs/>
          <w:szCs w:val="24"/>
        </w:rPr>
        <w:t xml:space="preserve"> Liturgical Fragments</w:t>
      </w:r>
    </w:p>
    <w:p w14:paraId="3695063C" w14:textId="77777777" w:rsidR="001968EA" w:rsidRPr="001968EA" w:rsidRDefault="001968EA" w:rsidP="001968EA">
      <w:pPr>
        <w:pStyle w:val="Heading3"/>
        <w:shd w:val="clear" w:color="auto" w:fill="FFFFFF"/>
        <w:spacing w:line="300" w:lineRule="atLeast"/>
        <w:rPr>
          <w:rFonts w:asciiTheme="minorHAnsi" w:eastAsiaTheme="minorHAnsi" w:hAnsiTheme="minorHAnsi" w:cs="Guttman Keren"/>
          <w:sz w:val="22"/>
          <w:szCs w:val="24"/>
        </w:rPr>
      </w:pPr>
      <w:proofErr w:type="spellStart"/>
      <w:r w:rsidRPr="001968EA">
        <w:rPr>
          <w:rFonts w:asciiTheme="minorHAnsi" w:eastAsiaTheme="minorHAnsi" w:hAnsiTheme="minorHAnsi" w:cs="Guttman Keren"/>
          <w:sz w:val="22"/>
          <w:szCs w:val="24"/>
        </w:rPr>
        <w:t>Avi</w:t>
      </w:r>
      <w:proofErr w:type="spellEnd"/>
      <w:r w:rsidRPr="001968EA">
        <w:rPr>
          <w:rFonts w:asciiTheme="minorHAnsi" w:eastAsiaTheme="minorHAnsi" w:hAnsiTheme="minorHAnsi" w:cs="Guttman Keren"/>
          <w:sz w:val="22"/>
          <w:szCs w:val="24"/>
        </w:rPr>
        <w:t xml:space="preserve"> </w:t>
      </w:r>
      <w:proofErr w:type="spellStart"/>
      <w:r w:rsidRPr="001968EA">
        <w:rPr>
          <w:rFonts w:asciiTheme="minorHAnsi" w:eastAsiaTheme="minorHAnsi" w:hAnsiTheme="minorHAnsi" w:cs="Guttman Keren"/>
          <w:sz w:val="22"/>
          <w:szCs w:val="24"/>
        </w:rPr>
        <w:t>Shmidman</w:t>
      </w:r>
      <w:proofErr w:type="spellEnd"/>
    </w:p>
    <w:p w14:paraId="5D2ED339" w14:textId="76EC1749" w:rsidR="001968EA" w:rsidRPr="001968EA" w:rsidRDefault="001968EA" w:rsidP="001968EA">
      <w:pPr>
        <w:pStyle w:val="Heading3"/>
        <w:shd w:val="clear" w:color="auto" w:fill="FFFFFF"/>
        <w:spacing w:line="300" w:lineRule="atLeast"/>
        <w:rPr>
          <w:rFonts w:asciiTheme="minorHAnsi" w:eastAsiaTheme="minorHAnsi" w:hAnsiTheme="minorHAnsi" w:cs="Guttman Keren"/>
          <w:sz w:val="22"/>
          <w:szCs w:val="24"/>
        </w:rPr>
      </w:pPr>
      <w:r w:rsidRPr="001968EA">
        <w:rPr>
          <w:rFonts w:asciiTheme="minorHAnsi" w:eastAsiaTheme="minorHAnsi" w:hAnsiTheme="minorHAnsi" w:cs="Guttman Keren"/>
          <w:sz w:val="22"/>
          <w:szCs w:val="24"/>
        </w:rPr>
        <w:t>Department of Jewish Literature, Bar-</w:t>
      </w:r>
      <w:proofErr w:type="spellStart"/>
      <w:r w:rsidRPr="001968EA">
        <w:rPr>
          <w:rFonts w:asciiTheme="minorHAnsi" w:eastAsiaTheme="minorHAnsi" w:hAnsiTheme="minorHAnsi" w:cs="Guttman Keren"/>
          <w:sz w:val="22"/>
          <w:szCs w:val="24"/>
        </w:rPr>
        <w:t>Ilan</w:t>
      </w:r>
      <w:proofErr w:type="spellEnd"/>
      <w:r w:rsidRPr="001968EA">
        <w:rPr>
          <w:rFonts w:asciiTheme="minorHAnsi" w:eastAsiaTheme="minorHAnsi" w:hAnsiTheme="minorHAnsi" w:cs="Guttman Keren"/>
          <w:sz w:val="22"/>
          <w:szCs w:val="24"/>
        </w:rPr>
        <w:t xml:space="preserve"> University</w:t>
      </w:r>
    </w:p>
    <w:p w14:paraId="53014118" w14:textId="722B1925" w:rsidR="001968EA" w:rsidRPr="001968EA" w:rsidRDefault="001968EA" w:rsidP="00FD784B">
      <w:pPr>
        <w:rPr>
          <w:rFonts w:cs="Guttman Keren"/>
          <w:b/>
          <w:bCs/>
          <w:szCs w:val="24"/>
        </w:rPr>
      </w:pPr>
      <w:r w:rsidRPr="001968EA">
        <w:rPr>
          <w:rFonts w:cs="Guttman Keren"/>
          <w:b/>
          <w:bCs/>
          <w:szCs w:val="24"/>
        </w:rPr>
        <w:t xml:space="preserve">Uri </w:t>
      </w:r>
      <w:proofErr w:type="spellStart"/>
      <w:r w:rsidRPr="001968EA">
        <w:rPr>
          <w:rFonts w:cs="Guttman Keren"/>
          <w:b/>
          <w:bCs/>
          <w:szCs w:val="24"/>
        </w:rPr>
        <w:t>Erlich</w:t>
      </w:r>
      <w:proofErr w:type="spellEnd"/>
    </w:p>
    <w:p w14:paraId="7A70A210" w14:textId="7CAB8FB3" w:rsidR="001968EA" w:rsidRPr="001968EA" w:rsidRDefault="001968EA" w:rsidP="00FD784B">
      <w:pPr>
        <w:rPr>
          <w:rFonts w:cs="Guttman Keren"/>
          <w:b/>
          <w:bCs/>
          <w:szCs w:val="24"/>
        </w:rPr>
      </w:pPr>
      <w:r w:rsidRPr="001968EA">
        <w:rPr>
          <w:rFonts w:cs="Guttman Keren"/>
          <w:b/>
          <w:bCs/>
          <w:szCs w:val="24"/>
        </w:rPr>
        <w:t>Department of Jewish Thought, Ben-Gurion University</w:t>
      </w:r>
    </w:p>
    <w:p w14:paraId="2DE6A258" w14:textId="5D91C0D4" w:rsidR="00EF1574" w:rsidRDefault="009D20B9" w:rsidP="00FD784B">
      <w:pPr>
        <w:rPr>
          <w:rFonts w:cs="Guttman Keren"/>
          <w:szCs w:val="24"/>
        </w:rPr>
      </w:pPr>
      <w:r>
        <w:rPr>
          <w:rFonts w:cs="Guttman Keren"/>
          <w:szCs w:val="24"/>
        </w:rPr>
        <w:t xml:space="preserve">In this article, we collect and publish, for the very first time, the full corpus of </w:t>
      </w:r>
      <w:proofErr w:type="spellStart"/>
      <w:r>
        <w:rPr>
          <w:rFonts w:cs="Guttman Keren"/>
          <w:szCs w:val="24"/>
        </w:rPr>
        <w:t>Genizah</w:t>
      </w:r>
      <w:proofErr w:type="spellEnd"/>
      <w:r>
        <w:rPr>
          <w:rFonts w:cs="Guttman Keren"/>
          <w:szCs w:val="24"/>
        </w:rPr>
        <w:t xml:space="preserve"> fragments attesting to the text of the </w:t>
      </w:r>
      <w:r w:rsidR="0075656D">
        <w:rPr>
          <w:rFonts w:cs="Guttman Keren"/>
          <w:szCs w:val="24"/>
        </w:rPr>
        <w:t>first</w:t>
      </w:r>
      <w:r>
        <w:rPr>
          <w:rFonts w:cs="Guttman Keren"/>
          <w:szCs w:val="24"/>
        </w:rPr>
        <w:t xml:space="preserve"> benediction of the Grace after Meals</w:t>
      </w:r>
      <w:r w:rsidR="00251584">
        <w:rPr>
          <w:rFonts w:cs="Guttman Keren"/>
          <w:szCs w:val="24"/>
        </w:rPr>
        <w:t>, over 150 in number</w:t>
      </w:r>
      <w:r>
        <w:rPr>
          <w:rFonts w:cs="Guttman Keren"/>
          <w:szCs w:val="24"/>
        </w:rPr>
        <w:t xml:space="preserve">. </w:t>
      </w:r>
      <w:r w:rsidR="002A4456">
        <w:rPr>
          <w:rFonts w:cs="Guttman Keren"/>
          <w:szCs w:val="24"/>
        </w:rPr>
        <w:t xml:space="preserve">After </w:t>
      </w:r>
      <w:r>
        <w:rPr>
          <w:rFonts w:cs="Guttman Keren"/>
          <w:szCs w:val="24"/>
        </w:rPr>
        <w:t>subdivid</w:t>
      </w:r>
      <w:r w:rsidR="002A4456">
        <w:rPr>
          <w:rFonts w:cs="Guttman Keren"/>
          <w:szCs w:val="24"/>
        </w:rPr>
        <w:t>ing</w:t>
      </w:r>
      <w:r>
        <w:rPr>
          <w:rFonts w:cs="Guttman Keren"/>
          <w:szCs w:val="24"/>
        </w:rPr>
        <w:t xml:space="preserve"> these texts into </w:t>
      </w:r>
      <w:r w:rsidR="00C43323">
        <w:rPr>
          <w:rFonts w:cs="Guttman Keren"/>
          <w:szCs w:val="24"/>
        </w:rPr>
        <w:t>seven</w:t>
      </w:r>
      <w:r>
        <w:rPr>
          <w:rFonts w:cs="Guttman Keren"/>
          <w:szCs w:val="24"/>
        </w:rPr>
        <w:t xml:space="preserve"> essential groups</w:t>
      </w:r>
      <w:r w:rsidR="002A4456">
        <w:rPr>
          <w:rFonts w:cs="Guttman Keren"/>
          <w:szCs w:val="24"/>
        </w:rPr>
        <w:t>, we analyze the developmental stages represented by the text groups</w:t>
      </w:r>
      <w:r w:rsidR="00B546F1">
        <w:rPr>
          <w:rFonts w:cs="Guttman Keren"/>
          <w:szCs w:val="24"/>
        </w:rPr>
        <w:t xml:space="preserve">. We </w:t>
      </w:r>
      <w:r w:rsidR="00850BFE">
        <w:rPr>
          <w:rFonts w:cs="Guttman Keren"/>
          <w:szCs w:val="24"/>
        </w:rPr>
        <w:t xml:space="preserve">highlight </w:t>
      </w:r>
      <w:r w:rsidR="00B546F1">
        <w:rPr>
          <w:rFonts w:cs="Guttman Keren"/>
          <w:szCs w:val="24"/>
        </w:rPr>
        <w:t xml:space="preserve">the fragments which </w:t>
      </w:r>
      <w:r w:rsidR="00FD784B">
        <w:rPr>
          <w:rFonts w:cs="Guttman Keren"/>
          <w:szCs w:val="24"/>
        </w:rPr>
        <w:t xml:space="preserve">most likely </w:t>
      </w:r>
      <w:r w:rsidR="00B546F1">
        <w:rPr>
          <w:rFonts w:cs="Guttman Keren"/>
          <w:szCs w:val="24"/>
        </w:rPr>
        <w:t xml:space="preserve">represent the initial form of the benediction, and we </w:t>
      </w:r>
      <w:r w:rsidR="002A4456">
        <w:rPr>
          <w:rFonts w:cs="Guttman Keren"/>
          <w:szCs w:val="24"/>
        </w:rPr>
        <w:t xml:space="preserve">consider the factors which </w:t>
      </w:r>
      <w:r w:rsidR="00360E2B">
        <w:rPr>
          <w:rFonts w:cs="Guttman Keren"/>
          <w:szCs w:val="24"/>
        </w:rPr>
        <w:t xml:space="preserve">motivated shifts from one </w:t>
      </w:r>
      <w:r w:rsidR="00412180">
        <w:rPr>
          <w:rFonts w:cs="Guttman Keren"/>
          <w:szCs w:val="24"/>
        </w:rPr>
        <w:t xml:space="preserve">formulation </w:t>
      </w:r>
      <w:r w:rsidR="00360E2B">
        <w:rPr>
          <w:rFonts w:cs="Guttman Keren"/>
          <w:szCs w:val="24"/>
        </w:rPr>
        <w:t>to another.</w:t>
      </w:r>
      <w:r w:rsidR="0016544C">
        <w:rPr>
          <w:rFonts w:cs="Guttman Keren"/>
          <w:szCs w:val="24"/>
        </w:rPr>
        <w:t xml:space="preserve"> </w:t>
      </w:r>
      <w:r w:rsidR="00B56E36">
        <w:rPr>
          <w:rFonts w:cs="Guttman Keren"/>
          <w:szCs w:val="24"/>
        </w:rPr>
        <w:t xml:space="preserve">Following our philological analysis, we provide </w:t>
      </w:r>
      <w:r w:rsidR="009F548F">
        <w:rPr>
          <w:rFonts w:cs="Guttman Keren"/>
          <w:szCs w:val="24"/>
        </w:rPr>
        <w:t xml:space="preserve">an apparatus </w:t>
      </w:r>
      <w:proofErr w:type="spellStart"/>
      <w:r w:rsidR="009F548F">
        <w:rPr>
          <w:rFonts w:cs="Guttman Keren"/>
          <w:szCs w:val="24"/>
        </w:rPr>
        <w:t>criticus</w:t>
      </w:r>
      <w:proofErr w:type="spellEnd"/>
      <w:r w:rsidR="009F548F">
        <w:rPr>
          <w:rFonts w:cs="Guttman Keren"/>
          <w:szCs w:val="24"/>
        </w:rPr>
        <w:t xml:space="preserve"> </w:t>
      </w:r>
      <w:r w:rsidR="00E57BB3">
        <w:rPr>
          <w:rFonts w:cs="Guttman Keren"/>
          <w:szCs w:val="24"/>
        </w:rPr>
        <w:t xml:space="preserve">recording </w:t>
      </w:r>
      <w:r w:rsidR="009F548F">
        <w:rPr>
          <w:rFonts w:cs="Guttman Keren"/>
          <w:szCs w:val="24"/>
        </w:rPr>
        <w:t xml:space="preserve">all </w:t>
      </w:r>
      <w:r w:rsidR="00E57BB3">
        <w:rPr>
          <w:rFonts w:cs="Guttman Keren"/>
          <w:szCs w:val="24"/>
        </w:rPr>
        <w:t xml:space="preserve">of the </w:t>
      </w:r>
      <w:r w:rsidR="009F548F">
        <w:rPr>
          <w:rFonts w:cs="Guttman Keren"/>
          <w:szCs w:val="24"/>
        </w:rPr>
        <w:t xml:space="preserve">textual variants </w:t>
      </w:r>
      <w:r w:rsidR="00E57BB3">
        <w:rPr>
          <w:rFonts w:cs="Guttman Keren"/>
          <w:szCs w:val="24"/>
        </w:rPr>
        <w:t>within the corpus</w:t>
      </w:r>
      <w:r w:rsidR="005348AD">
        <w:rPr>
          <w:rFonts w:cs="Guttman Keren"/>
          <w:szCs w:val="24"/>
        </w:rPr>
        <w:t xml:space="preserve">, </w:t>
      </w:r>
      <w:r w:rsidR="00EF1574">
        <w:rPr>
          <w:rFonts w:cs="Guttman Keren"/>
          <w:szCs w:val="24"/>
        </w:rPr>
        <w:t xml:space="preserve">thus providing the </w:t>
      </w:r>
      <w:r w:rsidR="00897197">
        <w:rPr>
          <w:rFonts w:cs="Guttman Keren"/>
          <w:szCs w:val="24"/>
        </w:rPr>
        <w:t xml:space="preserve">scholarly community with the </w:t>
      </w:r>
      <w:r w:rsidR="00EF1574">
        <w:rPr>
          <w:rFonts w:cs="Guttman Keren"/>
          <w:szCs w:val="24"/>
        </w:rPr>
        <w:t>full body of evidence for further analysis and consideration.</w:t>
      </w:r>
    </w:p>
    <w:p w14:paraId="1C6492EC" w14:textId="77777777" w:rsidR="00897197" w:rsidRDefault="00897197" w:rsidP="002A4456">
      <w:pPr>
        <w:rPr>
          <w:rFonts w:cs="Guttman Keren"/>
          <w:szCs w:val="24"/>
        </w:rPr>
      </w:pPr>
    </w:p>
    <w:sectPr w:rsidR="008971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B3278" w14:textId="77777777" w:rsidR="00061FB8" w:rsidRDefault="00061FB8" w:rsidP="00925562">
      <w:pPr>
        <w:spacing w:after="0" w:line="240" w:lineRule="auto"/>
      </w:pPr>
      <w:r>
        <w:separator/>
      </w:r>
    </w:p>
  </w:endnote>
  <w:endnote w:type="continuationSeparator" w:id="0">
    <w:p w14:paraId="370487E2" w14:textId="77777777" w:rsidR="00061FB8" w:rsidRDefault="00061FB8" w:rsidP="0092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CA025" w14:textId="77777777" w:rsidR="00061FB8" w:rsidRDefault="00061FB8" w:rsidP="00925562">
      <w:pPr>
        <w:spacing w:after="0" w:line="240" w:lineRule="auto"/>
      </w:pPr>
      <w:r>
        <w:separator/>
      </w:r>
    </w:p>
  </w:footnote>
  <w:footnote w:type="continuationSeparator" w:id="0">
    <w:p w14:paraId="34D42AD9" w14:textId="77777777" w:rsidR="00061FB8" w:rsidRDefault="00061FB8" w:rsidP="00925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01"/>
    <w:rsid w:val="00061FB8"/>
    <w:rsid w:val="00080ABB"/>
    <w:rsid w:val="000A5863"/>
    <w:rsid w:val="00102779"/>
    <w:rsid w:val="00147579"/>
    <w:rsid w:val="0016544C"/>
    <w:rsid w:val="001968EA"/>
    <w:rsid w:val="001B5F4A"/>
    <w:rsid w:val="00245501"/>
    <w:rsid w:val="002459CB"/>
    <w:rsid w:val="00251584"/>
    <w:rsid w:val="002922B2"/>
    <w:rsid w:val="002A4456"/>
    <w:rsid w:val="002C45F4"/>
    <w:rsid w:val="002C6BC3"/>
    <w:rsid w:val="00311F19"/>
    <w:rsid w:val="00360E2B"/>
    <w:rsid w:val="00412180"/>
    <w:rsid w:val="0042549A"/>
    <w:rsid w:val="00477AF2"/>
    <w:rsid w:val="004B1209"/>
    <w:rsid w:val="004D3EF1"/>
    <w:rsid w:val="005348AD"/>
    <w:rsid w:val="0054660E"/>
    <w:rsid w:val="006469E8"/>
    <w:rsid w:val="00662A9C"/>
    <w:rsid w:val="006C32BB"/>
    <w:rsid w:val="006D24ED"/>
    <w:rsid w:val="00700F8E"/>
    <w:rsid w:val="007021D1"/>
    <w:rsid w:val="0075656D"/>
    <w:rsid w:val="00786862"/>
    <w:rsid w:val="00836319"/>
    <w:rsid w:val="00850BFE"/>
    <w:rsid w:val="00897197"/>
    <w:rsid w:val="008A6D1A"/>
    <w:rsid w:val="008E1FDC"/>
    <w:rsid w:val="008F1C48"/>
    <w:rsid w:val="009153A1"/>
    <w:rsid w:val="00925562"/>
    <w:rsid w:val="00933A2B"/>
    <w:rsid w:val="0094641A"/>
    <w:rsid w:val="0098159E"/>
    <w:rsid w:val="00990494"/>
    <w:rsid w:val="009A3875"/>
    <w:rsid w:val="009D20B9"/>
    <w:rsid w:val="009D704B"/>
    <w:rsid w:val="009F353E"/>
    <w:rsid w:val="009F548F"/>
    <w:rsid w:val="00A1452B"/>
    <w:rsid w:val="00A615A8"/>
    <w:rsid w:val="00A90166"/>
    <w:rsid w:val="00AD1E53"/>
    <w:rsid w:val="00B546F1"/>
    <w:rsid w:val="00B56E36"/>
    <w:rsid w:val="00B93A16"/>
    <w:rsid w:val="00BB2577"/>
    <w:rsid w:val="00BC1F2D"/>
    <w:rsid w:val="00C308A5"/>
    <w:rsid w:val="00C43323"/>
    <w:rsid w:val="00C92981"/>
    <w:rsid w:val="00D01037"/>
    <w:rsid w:val="00D051F5"/>
    <w:rsid w:val="00D84333"/>
    <w:rsid w:val="00D97C16"/>
    <w:rsid w:val="00DE2194"/>
    <w:rsid w:val="00E57BB3"/>
    <w:rsid w:val="00E64936"/>
    <w:rsid w:val="00EE7A7C"/>
    <w:rsid w:val="00EF1574"/>
    <w:rsid w:val="00F214DF"/>
    <w:rsid w:val="00F4170B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454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6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62"/>
  </w:style>
  <w:style w:type="paragraph" w:styleId="Footer">
    <w:name w:val="footer"/>
    <w:basedOn w:val="Normal"/>
    <w:link w:val="FooterChar"/>
    <w:uiPriority w:val="99"/>
    <w:unhideWhenUsed/>
    <w:rsid w:val="00925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62"/>
  </w:style>
  <w:style w:type="character" w:customStyle="1" w:styleId="Heading3Char">
    <w:name w:val="Heading 3 Char"/>
    <w:basedOn w:val="DefaultParagraphFont"/>
    <w:link w:val="Heading3"/>
    <w:uiPriority w:val="9"/>
    <w:rsid w:val="001968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9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2019-07-05T07:03:00Z</dcterms:created>
  <dcterms:modified xsi:type="dcterms:W3CDTF">2019-07-05T07:03:00Z</dcterms:modified>
</cp:coreProperties>
</file>