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8EA" w:rsidRDefault="004A18EA" w:rsidP="00307E30">
      <w:pPr>
        <w:spacing w:line="276" w:lineRule="auto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  <w:r>
        <w:rPr>
          <w:rFonts w:ascii="David" w:hAnsi="David" w:cs="David" w:hint="cs"/>
          <w:sz w:val="24"/>
          <w:szCs w:val="24"/>
          <w:rtl/>
        </w:rPr>
        <w:t>תקציר.</w:t>
      </w:r>
    </w:p>
    <w:p w:rsidR="00D24D0A" w:rsidRPr="00307E30" w:rsidRDefault="00D24D0A" w:rsidP="00307E30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307E30">
        <w:rPr>
          <w:rFonts w:ascii="David" w:hAnsi="David" w:cs="David"/>
          <w:sz w:val="24"/>
          <w:szCs w:val="24"/>
          <w:rtl/>
        </w:rPr>
        <w:t>תופעה של פגיעה מינית בילדים הינה תופעה שכיחה ומוכרת בעולם (</w:t>
      </w:r>
      <w:r w:rsidR="009C33BD" w:rsidRPr="00307E30">
        <w:rPr>
          <w:rFonts w:ascii="David" w:hAnsi="David" w:cs="David"/>
          <w:sz w:val="24"/>
          <w:szCs w:val="24"/>
          <w:rtl/>
        </w:rPr>
        <w:t>לב ויזל &amp; איזיקוביץ, 2016).</w:t>
      </w:r>
      <w:r w:rsidRPr="00307E30">
        <w:rPr>
          <w:rFonts w:ascii="David" w:hAnsi="David" w:cs="David"/>
          <w:sz w:val="24"/>
          <w:szCs w:val="24"/>
          <w:rtl/>
        </w:rPr>
        <w:t xml:space="preserve"> </w:t>
      </w:r>
      <w:r w:rsidR="009C33BD" w:rsidRPr="00307E30">
        <w:rPr>
          <w:rFonts w:ascii="David" w:hAnsi="David" w:cs="David"/>
          <w:sz w:val="24"/>
          <w:szCs w:val="24"/>
          <w:rtl/>
        </w:rPr>
        <w:t>פגיעה מינית מוגדרת לפי ה</w:t>
      </w:r>
      <w:r w:rsidR="009C33BD" w:rsidRPr="00307E30">
        <w:rPr>
          <w:rFonts w:ascii="David" w:hAnsi="David" w:cs="David"/>
          <w:sz w:val="24"/>
          <w:szCs w:val="24"/>
        </w:rPr>
        <w:t xml:space="preserve">  DSM-IV-</w:t>
      </w:r>
      <w:r w:rsidR="009C33BD" w:rsidRPr="00307E30">
        <w:rPr>
          <w:rFonts w:ascii="David" w:hAnsi="David" w:cs="David"/>
          <w:sz w:val="24"/>
          <w:szCs w:val="24"/>
          <w:rtl/>
        </w:rPr>
        <w:t>כשימוש בקטין לסיפוק צרכיו המיניים של אדם בוגר (</w:t>
      </w:r>
      <w:r w:rsidR="009C33BD" w:rsidRPr="00307E30">
        <w:rPr>
          <w:rFonts w:ascii="David" w:hAnsi="David" w:cs="David"/>
          <w:sz w:val="24"/>
          <w:szCs w:val="24"/>
        </w:rPr>
        <w:t>APA,1994</w:t>
      </w:r>
      <w:r w:rsidR="009C33BD" w:rsidRPr="00307E30">
        <w:rPr>
          <w:rFonts w:ascii="David" w:hAnsi="David" w:cs="David"/>
          <w:sz w:val="24"/>
          <w:szCs w:val="24"/>
          <w:rtl/>
        </w:rPr>
        <w:t xml:space="preserve">).  </w:t>
      </w:r>
      <w:r w:rsidR="009C33BD" w:rsidRPr="00307E30">
        <w:rPr>
          <w:rFonts w:ascii="David" w:hAnsi="David" w:cs="David"/>
          <w:sz w:val="24"/>
          <w:szCs w:val="24"/>
          <w:rtl/>
        </w:rPr>
        <w:br/>
      </w:r>
      <w:r w:rsidRPr="00307E30">
        <w:rPr>
          <w:rFonts w:ascii="David" w:hAnsi="David" w:cs="David"/>
          <w:sz w:val="24"/>
          <w:szCs w:val="24"/>
          <w:rtl/>
        </w:rPr>
        <w:t>לפגיעה מינית יש נזקים פסיכ</w:t>
      </w:r>
      <w:r w:rsidR="009C33BD" w:rsidRPr="00307E30">
        <w:rPr>
          <w:rFonts w:ascii="David" w:hAnsi="David" w:cs="David"/>
          <w:sz w:val="24"/>
          <w:szCs w:val="24"/>
          <w:rtl/>
        </w:rPr>
        <w:t>ולוגיים ופיזיים קשים ומתמשכים (</w:t>
      </w:r>
      <w:r w:rsidRPr="00307E30">
        <w:rPr>
          <w:rFonts w:ascii="David" w:hAnsi="David" w:cs="David"/>
          <w:sz w:val="24"/>
          <w:szCs w:val="24"/>
          <w:rtl/>
        </w:rPr>
        <w:t xml:space="preserve">בעיקר שהפגיעה </w:t>
      </w:r>
      <w:r w:rsidR="00622290" w:rsidRPr="00307E30">
        <w:rPr>
          <w:rFonts w:ascii="David" w:hAnsi="David" w:cs="David"/>
          <w:sz w:val="24"/>
          <w:szCs w:val="24"/>
          <w:rtl/>
        </w:rPr>
        <w:t>מבוצעת במסגרת המשפחה) (</w:t>
      </w:r>
      <w:r w:rsidRPr="00307E30">
        <w:rPr>
          <w:rFonts w:ascii="David" w:hAnsi="David" w:cs="David"/>
          <w:sz w:val="24"/>
          <w:szCs w:val="24"/>
          <w:rtl/>
        </w:rPr>
        <w:t xml:space="preserve">לב-ויזל, </w:t>
      </w:r>
      <w:r w:rsidR="00622290" w:rsidRPr="00307E30">
        <w:rPr>
          <w:rFonts w:ascii="David" w:hAnsi="David" w:cs="David"/>
          <w:sz w:val="24"/>
          <w:szCs w:val="24"/>
          <w:rtl/>
        </w:rPr>
        <w:t>2007).</w:t>
      </w:r>
      <w:r w:rsidR="00622290" w:rsidRPr="00307E30">
        <w:rPr>
          <w:rFonts w:ascii="David" w:hAnsi="David" w:cs="David"/>
          <w:sz w:val="24"/>
          <w:szCs w:val="24"/>
          <w:rtl/>
        </w:rPr>
        <w:br/>
        <w:t>חשיפה מאוחרת וטיפול מאוחר בפגיעה הם בעלי השפעה שלילית על הצלחת הטיפול וצמצום הנזק שנגרם, ולמרות זאת נדירים המקרים בהם מתרחשת חשיפה מהירה או מיידית של הפגיעה</w:t>
      </w:r>
      <w:r w:rsidR="00307E30" w:rsidRPr="00307E30">
        <w:rPr>
          <w:rFonts w:ascii="David" w:hAnsi="David" w:cs="David"/>
          <w:sz w:val="24"/>
          <w:szCs w:val="24"/>
          <w:rtl/>
        </w:rPr>
        <w:t xml:space="preserve"> (לב ויזל &amp; איזיקוביץ, 2016).</w:t>
      </w:r>
    </w:p>
    <w:p w:rsidR="004845DE" w:rsidRPr="00307E30" w:rsidRDefault="00622290" w:rsidP="00307E30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307E30">
        <w:rPr>
          <w:rFonts w:ascii="David" w:hAnsi="David" w:cs="David"/>
          <w:sz w:val="24"/>
          <w:szCs w:val="24"/>
          <w:rtl/>
        </w:rPr>
        <w:t>מנקודת מבטו של הילד השמירה על הסוד מהווה עבורו את מקור הפחד, הגילוי מע</w:t>
      </w:r>
      <w:r w:rsidR="001D7935" w:rsidRPr="00307E30">
        <w:rPr>
          <w:rFonts w:ascii="David" w:hAnsi="David" w:cs="David"/>
          <w:sz w:val="24"/>
          <w:szCs w:val="24"/>
          <w:rtl/>
        </w:rPr>
        <w:t>ורר פחד רב לעיתים</w:t>
      </w:r>
      <w:r w:rsidRPr="00307E30">
        <w:rPr>
          <w:rFonts w:ascii="David" w:hAnsi="David" w:cs="David"/>
          <w:sz w:val="24"/>
          <w:szCs w:val="24"/>
          <w:rtl/>
        </w:rPr>
        <w:t xml:space="preserve"> פחד מאגי ולא מותאם</w:t>
      </w:r>
      <w:r w:rsidR="009C33BD" w:rsidRPr="00307E30">
        <w:rPr>
          <w:rFonts w:ascii="David" w:hAnsi="David" w:cs="David"/>
          <w:sz w:val="24"/>
          <w:szCs w:val="24"/>
          <w:rtl/>
        </w:rPr>
        <w:t xml:space="preserve"> (</w:t>
      </w:r>
      <w:r w:rsidR="009C33BD" w:rsidRPr="00307E30">
        <w:rPr>
          <w:rFonts w:ascii="David" w:hAnsi="David" w:cs="David"/>
          <w:sz w:val="24"/>
          <w:szCs w:val="24"/>
        </w:rPr>
        <w:t>Summit, 1983</w:t>
      </w:r>
      <w:r w:rsidR="001D7935" w:rsidRPr="00307E30">
        <w:rPr>
          <w:rFonts w:ascii="David" w:hAnsi="David" w:cs="David"/>
          <w:sz w:val="24"/>
          <w:szCs w:val="24"/>
          <w:rtl/>
        </w:rPr>
        <w:t>), בשל כך הילד שעבר התעללות מינית, במרבית המקרים, ישמור על חשאיות ולא יספר. ואכן, מחקרים רטרוספקטיביים מראים כי מרבית קורבנות ההתעללות המינית לא סיפרו על ההתעללות במהלך ילדותם</w:t>
      </w:r>
      <w:r w:rsidR="001D7935" w:rsidRPr="00307E30">
        <w:rPr>
          <w:rFonts w:ascii="David" w:hAnsi="David" w:cs="David"/>
          <w:sz w:val="24"/>
          <w:szCs w:val="24"/>
        </w:rPr>
        <w:t xml:space="preserve"> (Russell,1983 in Summit, 1983) </w:t>
      </w:r>
      <w:r w:rsidR="001D7935" w:rsidRPr="00307E30">
        <w:rPr>
          <w:rFonts w:ascii="David" w:hAnsi="David" w:cs="David"/>
          <w:sz w:val="24"/>
          <w:szCs w:val="24"/>
          <w:rtl/>
        </w:rPr>
        <w:t>.</w:t>
      </w:r>
      <w:r w:rsidR="001D7935" w:rsidRPr="00307E30">
        <w:rPr>
          <w:rFonts w:ascii="David" w:hAnsi="David" w:cs="David"/>
          <w:sz w:val="24"/>
          <w:szCs w:val="24"/>
          <w:rtl/>
        </w:rPr>
        <w:br/>
      </w:r>
      <w:r w:rsidR="004845DE" w:rsidRPr="00307E30">
        <w:rPr>
          <w:rFonts w:ascii="David" w:hAnsi="David" w:cs="David"/>
          <w:sz w:val="24"/>
          <w:szCs w:val="24"/>
          <w:rtl/>
        </w:rPr>
        <w:t>שמירת הפגיעה בסוד מונעת מהנפגע לקבל עזרה ולכן הוא ממשיך לסבול מפוסט טראומה במשך שנים רבות (</w:t>
      </w:r>
      <w:r w:rsidR="004845DE" w:rsidRPr="00307E30">
        <w:rPr>
          <w:rFonts w:ascii="David" w:hAnsi="David" w:cs="David"/>
          <w:sz w:val="24"/>
          <w:szCs w:val="24"/>
        </w:rPr>
        <w:t>Gibbons, 1996; Courtois, 1988; Nayak, 2000</w:t>
      </w:r>
      <w:r w:rsidR="004845DE" w:rsidRPr="00307E30">
        <w:rPr>
          <w:rFonts w:ascii="David" w:hAnsi="David" w:cs="David"/>
          <w:sz w:val="24"/>
          <w:szCs w:val="24"/>
          <w:rtl/>
        </w:rPr>
        <w:t>) .</w:t>
      </w:r>
    </w:p>
    <w:p w:rsidR="00175356" w:rsidRDefault="001D7935" w:rsidP="00175356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307E30">
        <w:rPr>
          <w:rFonts w:ascii="David" w:hAnsi="David" w:cs="David"/>
          <w:sz w:val="24"/>
          <w:szCs w:val="24"/>
          <w:rtl/>
        </w:rPr>
        <w:t>ישנם מחקרים שטענו על השפעה חיובית של הגילוי. נטען כי גילוי הטראומה המינית משפיעה באופן חיובי על הסתגלות הילד ועל יכולת ההתמודדות שלו עם הפגיעה (</w:t>
      </w:r>
      <w:r w:rsidR="007D5E0C" w:rsidRPr="00307E30">
        <w:rPr>
          <w:rFonts w:ascii="David" w:hAnsi="David" w:cs="David"/>
          <w:sz w:val="24"/>
          <w:szCs w:val="24"/>
        </w:rPr>
        <w:t> Gries, et al.,</w:t>
      </w:r>
      <w:r w:rsidRPr="00307E30">
        <w:rPr>
          <w:rFonts w:ascii="David" w:hAnsi="David" w:cs="David"/>
          <w:sz w:val="24"/>
          <w:szCs w:val="24"/>
        </w:rPr>
        <w:t xml:space="preserve"> 2000</w:t>
      </w:r>
      <w:r w:rsidRPr="00307E30">
        <w:rPr>
          <w:rFonts w:ascii="David" w:hAnsi="David" w:cs="David"/>
          <w:sz w:val="24"/>
          <w:szCs w:val="24"/>
          <w:rtl/>
        </w:rPr>
        <w:t xml:space="preserve">) כמו כן מחקר נוסף אסף עדויות משכנעות לחשיבות הגילוי </w:t>
      </w:r>
      <w:r w:rsidR="007D5E0C" w:rsidRPr="00307E30">
        <w:rPr>
          <w:rFonts w:ascii="David" w:hAnsi="David" w:cs="David"/>
          <w:sz w:val="24"/>
          <w:szCs w:val="24"/>
          <w:rtl/>
        </w:rPr>
        <w:t xml:space="preserve">של </w:t>
      </w:r>
      <w:r w:rsidRPr="00307E30">
        <w:rPr>
          <w:rFonts w:ascii="David" w:hAnsi="David" w:cs="David"/>
          <w:sz w:val="24"/>
          <w:szCs w:val="24"/>
          <w:rtl/>
        </w:rPr>
        <w:t xml:space="preserve">פגיעה מינית </w:t>
      </w:r>
      <w:r w:rsidR="007D5E0C" w:rsidRPr="00307E30">
        <w:rPr>
          <w:rFonts w:ascii="David" w:hAnsi="David" w:cs="David"/>
          <w:sz w:val="24"/>
          <w:szCs w:val="24"/>
          <w:rtl/>
        </w:rPr>
        <w:t>על בריאות פסיכולוגית ופיזית של הילד (</w:t>
      </w:r>
      <w:r w:rsidR="007D5E0C" w:rsidRPr="00307E30">
        <w:rPr>
          <w:rFonts w:ascii="David" w:hAnsi="David" w:cs="David"/>
          <w:sz w:val="24"/>
          <w:szCs w:val="24"/>
        </w:rPr>
        <w:t>Pennebaker, 1995</w:t>
      </w:r>
      <w:r w:rsidR="007D5E0C" w:rsidRPr="00307E30">
        <w:rPr>
          <w:rFonts w:ascii="David" w:hAnsi="David" w:cs="David"/>
          <w:sz w:val="24"/>
          <w:szCs w:val="24"/>
          <w:rtl/>
        </w:rPr>
        <w:t>).</w:t>
      </w:r>
    </w:p>
    <w:p w:rsidR="00175356" w:rsidRDefault="00175356" w:rsidP="00175356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175356">
        <w:rPr>
          <w:rFonts w:ascii="David" w:hAnsi="David" w:cs="David" w:hint="cs"/>
          <w:sz w:val="24"/>
          <w:szCs w:val="24"/>
          <w:rtl/>
        </w:rPr>
        <w:t>במחקר אפידמיולוגי שנערך בישראל נמצא כי 74.3% מכלל הילדים שעברו פגיעה מינית דיווחו כי הגילוי עזר להם, 70.5% מכלל הילדים שעברו פגיעה מינית דיווחו שהם חשים חזקים יותר ומחצית מכלל הילדים שעברו פגיעה מינית דיווחו שהם חשו כי כולם בסביבתם היו בעדם (לב ויזל &amp; איזיקוביץ, 2016).</w:t>
      </w:r>
      <w:r>
        <w:rPr>
          <w:rFonts w:ascii="David" w:hAnsi="David" w:cs="David" w:hint="cs"/>
          <w:sz w:val="24"/>
          <w:szCs w:val="24"/>
          <w:rtl/>
        </w:rPr>
        <w:t xml:space="preserve">  אך בניגוד לכך </w:t>
      </w:r>
      <w:r w:rsidRPr="00175356">
        <w:rPr>
          <w:rFonts w:ascii="David" w:hAnsi="David" w:cs="David" w:hint="cs"/>
          <w:sz w:val="24"/>
          <w:szCs w:val="24"/>
          <w:rtl/>
        </w:rPr>
        <w:t xml:space="preserve">42.8% מכלל הילדים שהשתתפו במחקר ועברו פגיעה מינית דיווחו כי הגילוי לא שינה כלום עבורם </w:t>
      </w:r>
      <w:r w:rsidRPr="00175356">
        <w:rPr>
          <w:rFonts w:ascii="David" w:hAnsi="David" w:cs="David"/>
          <w:sz w:val="24"/>
          <w:szCs w:val="24"/>
          <w:rtl/>
        </w:rPr>
        <w:t>(לב ויזל &amp; איזיקוביץ, 2016).</w:t>
      </w:r>
    </w:p>
    <w:p w:rsidR="00175356" w:rsidRDefault="00175356" w:rsidP="00175356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175356">
        <w:rPr>
          <w:rFonts w:ascii="David" w:hAnsi="David" w:cs="David"/>
          <w:sz w:val="24"/>
          <w:szCs w:val="24"/>
          <w:rtl/>
        </w:rPr>
        <w:t xml:space="preserve">מרבית הטיפולים </w:t>
      </w:r>
      <w:r w:rsidRPr="00175356">
        <w:rPr>
          <w:rFonts w:ascii="David" w:hAnsi="David" w:cs="David" w:hint="cs"/>
          <w:sz w:val="24"/>
          <w:szCs w:val="24"/>
          <w:rtl/>
        </w:rPr>
        <w:t xml:space="preserve">מעודדים גילוי של הפגיעה מתוך הנחה שהגילוי יהיה בעל השפעה מרפאת שתוביל </w:t>
      </w:r>
      <w:r w:rsidRPr="00175356">
        <w:rPr>
          <w:rFonts w:ascii="David" w:hAnsi="David" w:cs="David"/>
          <w:sz w:val="24"/>
          <w:szCs w:val="24"/>
          <w:rtl/>
        </w:rPr>
        <w:t>להפחתה בסימפטומטולוגיה ההתנהגותית והרגשית</w:t>
      </w:r>
      <w:r w:rsidRPr="00175356">
        <w:rPr>
          <w:rFonts w:ascii="David" w:hAnsi="David" w:cs="David" w:hint="cs"/>
          <w:sz w:val="24"/>
          <w:szCs w:val="24"/>
          <w:rtl/>
        </w:rPr>
        <w:t xml:space="preserve"> (</w:t>
      </w:r>
      <w:r w:rsidRPr="00175356">
        <w:rPr>
          <w:rFonts w:ascii="David" w:hAnsi="David" w:cs="David"/>
          <w:sz w:val="24"/>
          <w:szCs w:val="24"/>
        </w:rPr>
        <w:t> Gries, et al., 2000</w:t>
      </w:r>
      <w:r w:rsidRPr="00175356">
        <w:rPr>
          <w:rFonts w:ascii="David" w:hAnsi="David" w:cs="David" w:hint="cs"/>
          <w:sz w:val="24"/>
          <w:szCs w:val="24"/>
          <w:rtl/>
        </w:rPr>
        <w:t>).</w:t>
      </w:r>
    </w:p>
    <w:p w:rsidR="00175356" w:rsidRPr="00175356" w:rsidRDefault="00175356" w:rsidP="00175356">
      <w:pPr>
        <w:spacing w:line="276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אך מנגד </w:t>
      </w:r>
      <w:r w:rsidRPr="00175356">
        <w:rPr>
          <w:rFonts w:ascii="David" w:hAnsi="David" w:cs="David" w:hint="cs"/>
          <w:sz w:val="24"/>
          <w:szCs w:val="24"/>
          <w:rtl/>
        </w:rPr>
        <w:t xml:space="preserve">ישנם הטוענים כי </w:t>
      </w:r>
      <w:r w:rsidRPr="00175356">
        <w:rPr>
          <w:rFonts w:ascii="David" w:hAnsi="David" w:cs="David"/>
          <w:sz w:val="24"/>
          <w:szCs w:val="24"/>
          <w:rtl/>
        </w:rPr>
        <w:t xml:space="preserve"> תפקודו הפסיכולוגי וההתנהגותי של ילד לאחר הגילוי עשוי לא להשתפר </w:t>
      </w:r>
      <w:r w:rsidRPr="00175356">
        <w:rPr>
          <w:rFonts w:ascii="David" w:hAnsi="David" w:cs="David" w:hint="cs"/>
          <w:sz w:val="24"/>
          <w:szCs w:val="24"/>
          <w:rtl/>
        </w:rPr>
        <w:t>ואף</w:t>
      </w:r>
      <w:r w:rsidRPr="00175356">
        <w:rPr>
          <w:rFonts w:ascii="David" w:hAnsi="David" w:cs="David"/>
          <w:sz w:val="24"/>
          <w:szCs w:val="24"/>
          <w:rtl/>
        </w:rPr>
        <w:t xml:space="preserve"> להינזק ב</w:t>
      </w:r>
      <w:r w:rsidRPr="00175356">
        <w:rPr>
          <w:rFonts w:ascii="David" w:hAnsi="David" w:cs="David" w:hint="cs"/>
          <w:sz w:val="24"/>
          <w:szCs w:val="24"/>
          <w:rtl/>
        </w:rPr>
        <w:t>של השלכות הגילוי והמשמעויות הנלוות לגילוי</w:t>
      </w:r>
      <w:r w:rsidRPr="00175356">
        <w:rPr>
          <w:rFonts w:ascii="David" w:hAnsi="David" w:cs="David"/>
          <w:sz w:val="24"/>
          <w:szCs w:val="24"/>
        </w:rPr>
        <w:t xml:space="preserve"> (Ligiezinska et al.,1996 inGries, et al., 2000</w:t>
      </w:r>
      <w:r w:rsidRPr="00175356">
        <w:rPr>
          <w:rFonts w:ascii="David" w:hAnsi="David" w:cs="David" w:hint="cs"/>
          <w:sz w:val="24"/>
          <w:szCs w:val="24"/>
          <w:rtl/>
        </w:rPr>
        <w:t>).</w:t>
      </w:r>
    </w:p>
    <w:p w:rsidR="00175356" w:rsidRDefault="00175356" w:rsidP="00175356">
      <w:pPr>
        <w:spacing w:line="276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לפיכך נשאלת השאלה האם גילוי הפגיעה המינית גורם להטבה בסימפטומים פיזיולוגים ופסיכולוגים של הנפגע?</w:t>
      </w:r>
    </w:p>
    <w:p w:rsidR="005473C7" w:rsidRDefault="005473C7" w:rsidP="004A18EA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5473C7">
        <w:rPr>
          <w:rFonts w:ascii="David" w:hAnsi="David" w:cs="David" w:hint="cs"/>
          <w:sz w:val="24"/>
          <w:szCs w:val="24"/>
          <w:rtl/>
        </w:rPr>
        <w:t xml:space="preserve">מטרת המחקר </w:t>
      </w:r>
      <w:r>
        <w:rPr>
          <w:rFonts w:ascii="David" w:hAnsi="David" w:cs="David" w:hint="cs"/>
          <w:sz w:val="24"/>
          <w:szCs w:val="24"/>
          <w:rtl/>
        </w:rPr>
        <w:t xml:space="preserve">הנוכחי </w:t>
      </w:r>
      <w:r w:rsidRPr="005473C7">
        <w:rPr>
          <w:rFonts w:ascii="David" w:hAnsi="David" w:cs="David" w:hint="cs"/>
          <w:sz w:val="24"/>
          <w:szCs w:val="24"/>
          <w:rtl/>
        </w:rPr>
        <w:t>היא לבדוק האם גילוי (</w:t>
      </w:r>
      <w:r w:rsidRPr="005473C7">
        <w:rPr>
          <w:rFonts w:ascii="David" w:hAnsi="David" w:cs="David"/>
          <w:sz w:val="24"/>
          <w:szCs w:val="24"/>
        </w:rPr>
        <w:t>disclosure</w:t>
      </w:r>
      <w:r w:rsidRPr="005473C7">
        <w:rPr>
          <w:rFonts w:ascii="David" w:hAnsi="David" w:cs="David" w:hint="cs"/>
          <w:sz w:val="24"/>
          <w:szCs w:val="24"/>
          <w:rtl/>
        </w:rPr>
        <w:t>) הפגיעה שהילד חווה לאדם אחר תשפר את הרווחה הנפשית (</w:t>
      </w:r>
      <w:r w:rsidRPr="005473C7">
        <w:rPr>
          <w:rFonts w:ascii="David" w:hAnsi="David" w:cs="David"/>
          <w:sz w:val="24"/>
          <w:szCs w:val="24"/>
        </w:rPr>
        <w:t>well being</w:t>
      </w:r>
      <w:r w:rsidRPr="005473C7">
        <w:rPr>
          <w:rFonts w:ascii="David" w:hAnsi="David" w:cs="David" w:hint="cs"/>
          <w:sz w:val="24"/>
          <w:szCs w:val="24"/>
          <w:rtl/>
        </w:rPr>
        <w:t>) של הנפגע.</w:t>
      </w:r>
      <w:r w:rsidR="004A18EA">
        <w:rPr>
          <w:rFonts w:ascii="David" w:hAnsi="David" w:cs="David"/>
          <w:sz w:val="24"/>
          <w:szCs w:val="24"/>
          <w:rtl/>
        </w:rPr>
        <w:br/>
      </w:r>
      <w:r w:rsidRPr="005473C7">
        <w:rPr>
          <w:rFonts w:ascii="David" w:hAnsi="David" w:cs="David" w:hint="cs"/>
          <w:sz w:val="24"/>
          <w:szCs w:val="24"/>
          <w:rtl/>
        </w:rPr>
        <w:t>נשער כי גילוי (</w:t>
      </w:r>
      <w:r w:rsidRPr="005473C7">
        <w:rPr>
          <w:rFonts w:ascii="David" w:hAnsi="David" w:cs="David"/>
          <w:sz w:val="24"/>
          <w:szCs w:val="24"/>
        </w:rPr>
        <w:t xml:space="preserve">(disclosure </w:t>
      </w:r>
      <w:r w:rsidRPr="005473C7">
        <w:rPr>
          <w:rFonts w:ascii="David" w:hAnsi="David" w:cs="David" w:hint="cs"/>
          <w:sz w:val="24"/>
          <w:szCs w:val="24"/>
          <w:rtl/>
        </w:rPr>
        <w:t xml:space="preserve"> הפגיעה לאדם אחר תשפר את הרווחה הנפשית כך שבממדים הנפשיים נצפה לשיפור ברו</w:t>
      </w:r>
      <w:r>
        <w:rPr>
          <w:rFonts w:ascii="David" w:hAnsi="David" w:cs="David" w:hint="cs"/>
          <w:sz w:val="24"/>
          <w:szCs w:val="24"/>
          <w:rtl/>
        </w:rPr>
        <w:t>וחה הנפשית והפחתה בסימפטומים של חרדה ודיכאון.</w:t>
      </w:r>
    </w:p>
    <w:p w:rsidR="005473C7" w:rsidRPr="005473C7" w:rsidRDefault="005473C7" w:rsidP="005473C7">
      <w:pPr>
        <w:spacing w:line="276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בנוגע ל</w:t>
      </w:r>
      <w:r w:rsidRPr="005473C7">
        <w:rPr>
          <w:rFonts w:ascii="David" w:hAnsi="David" w:cs="David" w:hint="cs"/>
          <w:sz w:val="24"/>
          <w:szCs w:val="24"/>
          <w:rtl/>
        </w:rPr>
        <w:t>ממדים הפיזיולוגים נצפה לשינה איכותית יותר</w:t>
      </w:r>
      <w:r>
        <w:rPr>
          <w:rFonts w:ascii="David" w:hAnsi="David" w:cs="David" w:hint="cs"/>
          <w:sz w:val="24"/>
          <w:szCs w:val="24"/>
          <w:rtl/>
        </w:rPr>
        <w:t>, ל</w:t>
      </w:r>
      <w:r w:rsidRPr="005473C7">
        <w:rPr>
          <w:rFonts w:ascii="David" w:hAnsi="David" w:cs="David" w:hint="cs"/>
          <w:sz w:val="24"/>
          <w:szCs w:val="24"/>
          <w:rtl/>
        </w:rPr>
        <w:t>רמת פעילות במגמה של עלייה (שמאפיינת מצב שאינו דכאוני) ודופק יציב בפעילות שגרתית.</w:t>
      </w:r>
      <w:r>
        <w:rPr>
          <w:rFonts w:ascii="David" w:hAnsi="David" w:cs="David" w:hint="cs"/>
          <w:sz w:val="24"/>
          <w:szCs w:val="24"/>
          <w:rtl/>
        </w:rPr>
        <w:t xml:space="preserve"> כמו כן נאפיין את השינוי בשפת הגוף באמצעות תצפית.</w:t>
      </w:r>
      <w:r w:rsidRPr="005473C7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5473C7" w:rsidRPr="005473C7" w:rsidRDefault="005473C7" w:rsidP="004A18EA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5473C7">
        <w:rPr>
          <w:rFonts w:ascii="David" w:hAnsi="David" w:cs="David" w:hint="cs"/>
          <w:sz w:val="24"/>
          <w:szCs w:val="24"/>
          <w:rtl/>
        </w:rPr>
        <w:t xml:space="preserve">במחקר ישתתפו 45 נבדקים בגיל בית ספר יסודי אשר </w:t>
      </w:r>
      <w:r>
        <w:rPr>
          <w:rFonts w:ascii="David" w:hAnsi="David" w:cs="David" w:hint="cs"/>
          <w:sz w:val="24"/>
          <w:szCs w:val="24"/>
          <w:rtl/>
        </w:rPr>
        <w:t>יחו</w:t>
      </w:r>
      <w:r w:rsidRPr="005473C7">
        <w:rPr>
          <w:rFonts w:ascii="David" w:hAnsi="David" w:cs="David" w:hint="cs"/>
          <w:sz w:val="24"/>
          <w:szCs w:val="24"/>
          <w:rtl/>
        </w:rPr>
        <w:t xml:space="preserve">לקו לשלוש קבוצות ניסוי. קבוצת ניסוי אשר תמנה 15 נבדקים שעברו פגיעה </w:t>
      </w:r>
      <w:r>
        <w:rPr>
          <w:rFonts w:ascii="David" w:hAnsi="David" w:cs="David" w:hint="cs"/>
          <w:sz w:val="24"/>
          <w:szCs w:val="24"/>
          <w:rtl/>
        </w:rPr>
        <w:t>מינית ו</w:t>
      </w:r>
      <w:r w:rsidRPr="005473C7">
        <w:rPr>
          <w:rFonts w:ascii="David" w:hAnsi="David" w:cs="David" w:hint="cs"/>
          <w:sz w:val="24"/>
          <w:szCs w:val="24"/>
          <w:rtl/>
        </w:rPr>
        <w:t xml:space="preserve">קבוצת ניסוי נוספת אשר תמנה 15 נבדקים שמשוער כי עברו פגיעה מינית. הנבדקים מקבוצות הניסוי הופנו למחקר באמצעות שירותי הרווחה. </w:t>
      </w:r>
      <w:r w:rsidRPr="005473C7">
        <w:rPr>
          <w:rFonts w:ascii="David" w:hAnsi="David" w:cs="David"/>
          <w:sz w:val="24"/>
          <w:szCs w:val="24"/>
          <w:rtl/>
        </w:rPr>
        <w:br/>
      </w:r>
      <w:r w:rsidRPr="005473C7">
        <w:rPr>
          <w:rFonts w:ascii="David" w:hAnsi="David" w:cs="David" w:hint="cs"/>
          <w:sz w:val="24"/>
          <w:szCs w:val="24"/>
          <w:rtl/>
        </w:rPr>
        <w:t>קבוצת הביקורת תמנה 15 נבדקים שלא עברו פגיעה מינית.</w:t>
      </w:r>
    </w:p>
    <w:p w:rsidR="005473C7" w:rsidRPr="005473C7" w:rsidRDefault="005473C7" w:rsidP="00C37299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5473C7">
        <w:rPr>
          <w:rFonts w:ascii="David" w:hAnsi="David" w:cs="David" w:hint="cs"/>
          <w:sz w:val="24"/>
          <w:szCs w:val="24"/>
          <w:rtl/>
        </w:rPr>
        <w:t>הנבדקים יגיעו למעבדה לכ</w:t>
      </w:r>
      <w:r w:rsidR="004A18EA">
        <w:rPr>
          <w:rFonts w:ascii="David" w:hAnsi="David" w:cs="David" w:hint="cs"/>
          <w:sz w:val="24"/>
          <w:szCs w:val="24"/>
          <w:rtl/>
        </w:rPr>
        <w:t>-</w:t>
      </w:r>
      <w:r w:rsidRPr="005473C7">
        <w:rPr>
          <w:rFonts w:ascii="David" w:hAnsi="David" w:cs="David" w:hint="cs"/>
          <w:sz w:val="24"/>
          <w:szCs w:val="24"/>
          <w:rtl/>
        </w:rPr>
        <w:t xml:space="preserve">10 מפגשים אשר במהלכם </w:t>
      </w:r>
      <w:r>
        <w:rPr>
          <w:rFonts w:ascii="David" w:hAnsi="David" w:cs="David" w:hint="cs"/>
          <w:sz w:val="24"/>
          <w:szCs w:val="24"/>
          <w:rtl/>
        </w:rPr>
        <w:t xml:space="preserve">יאסף </w:t>
      </w:r>
      <w:r w:rsidRPr="005473C7">
        <w:rPr>
          <w:rFonts w:ascii="David" w:hAnsi="David" w:cs="David" w:hint="cs"/>
          <w:sz w:val="24"/>
          <w:szCs w:val="24"/>
          <w:rtl/>
        </w:rPr>
        <w:t xml:space="preserve">מידע אודות </w:t>
      </w:r>
      <w:r w:rsidRPr="00B179A5">
        <w:rPr>
          <w:rFonts w:ascii="David" w:hAnsi="David" w:cs="David" w:hint="cs"/>
          <w:sz w:val="24"/>
          <w:szCs w:val="24"/>
          <w:rtl/>
        </w:rPr>
        <w:t xml:space="preserve">מימדים נפשיים: </w:t>
      </w:r>
      <w:r w:rsidRPr="005473C7">
        <w:rPr>
          <w:rFonts w:ascii="David" w:hAnsi="David" w:cs="David" w:hint="cs"/>
          <w:sz w:val="24"/>
          <w:szCs w:val="24"/>
          <w:rtl/>
        </w:rPr>
        <w:t>באמצעות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5473C7">
        <w:rPr>
          <w:rFonts w:ascii="David" w:hAnsi="David" w:cs="David" w:hint="cs"/>
          <w:sz w:val="24"/>
          <w:szCs w:val="24"/>
          <w:rtl/>
        </w:rPr>
        <w:t xml:space="preserve">ראיון קליני, </w:t>
      </w:r>
      <w:r w:rsidR="00C37299">
        <w:rPr>
          <w:rFonts w:ascii="David" w:hAnsi="David" w:cs="David" w:hint="cs"/>
          <w:sz w:val="24"/>
          <w:szCs w:val="24"/>
          <w:rtl/>
        </w:rPr>
        <w:t xml:space="preserve">ציורים ככלי הערכה, </w:t>
      </w:r>
      <w:r w:rsidRPr="005473C7">
        <w:rPr>
          <w:rFonts w:ascii="David" w:hAnsi="David" w:cs="David" w:hint="cs"/>
          <w:sz w:val="24"/>
          <w:szCs w:val="24"/>
          <w:rtl/>
        </w:rPr>
        <w:t>מילוי שאלוני רווחה נפשית (</w:t>
      </w:r>
      <w:r w:rsidRPr="005473C7">
        <w:rPr>
          <w:rFonts w:ascii="David" w:hAnsi="David" w:cs="David"/>
          <w:sz w:val="24"/>
          <w:szCs w:val="24"/>
        </w:rPr>
        <w:t>well being</w:t>
      </w:r>
      <w:r w:rsidRPr="005473C7">
        <w:rPr>
          <w:rFonts w:ascii="David" w:hAnsi="David" w:cs="David" w:hint="cs"/>
          <w:sz w:val="24"/>
          <w:szCs w:val="24"/>
          <w:rtl/>
        </w:rPr>
        <w:t>) ושאלונים רגשיים נוספים (לדוגמת: שאלון חרדה ודיכאון) .</w:t>
      </w:r>
      <w:r w:rsidRPr="005473C7">
        <w:rPr>
          <w:rFonts w:ascii="David" w:hAnsi="David" w:cs="David"/>
          <w:sz w:val="24"/>
          <w:szCs w:val="24"/>
          <w:rtl/>
        </w:rPr>
        <w:br/>
      </w:r>
      <w:r w:rsidRPr="00B179A5">
        <w:rPr>
          <w:rFonts w:ascii="David" w:hAnsi="David" w:cs="David" w:hint="cs"/>
          <w:sz w:val="24"/>
          <w:szCs w:val="24"/>
          <w:rtl/>
        </w:rPr>
        <w:lastRenderedPageBreak/>
        <w:t>ממדים פיזיולוגים: מהמפגש</w:t>
      </w:r>
      <w:r w:rsidRPr="005473C7">
        <w:rPr>
          <w:rFonts w:ascii="David" w:hAnsi="David" w:cs="David" w:hint="cs"/>
          <w:sz w:val="24"/>
          <w:szCs w:val="24"/>
          <w:rtl/>
        </w:rPr>
        <w:t xml:space="preserve"> הראשון יקבל כל נבדק צמיד חכם אשר אותו יענוד הנבדק עד תום הניסוי (לאורך כל תקופת הניסוי בבית ובמעבדה). הצמיד יאסוף נתונים פיזיולוגים כגון: דופק, איכות שינה ורמת פעילות, כמו כן המפגשים יתועדו באמצעות מצלמת וידאו.</w:t>
      </w:r>
    </w:p>
    <w:p w:rsidR="005473C7" w:rsidRPr="005473C7" w:rsidRDefault="005473C7" w:rsidP="005473C7">
      <w:pPr>
        <w:spacing w:line="276" w:lineRule="auto"/>
        <w:rPr>
          <w:rFonts w:ascii="David" w:hAnsi="David" w:cs="David"/>
          <w:sz w:val="24"/>
          <w:szCs w:val="24"/>
          <w:rtl/>
        </w:rPr>
      </w:pPr>
    </w:p>
    <w:p w:rsidR="007D5E0C" w:rsidRPr="00307E30" w:rsidRDefault="007D5E0C" w:rsidP="00175356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307E30">
        <w:rPr>
          <w:rFonts w:ascii="David" w:hAnsi="David" w:cs="David"/>
          <w:sz w:val="24"/>
          <w:szCs w:val="24"/>
          <w:rtl/>
        </w:rPr>
        <w:br/>
      </w:r>
    </w:p>
    <w:p w:rsidR="00D24D0A" w:rsidRPr="00307E30" w:rsidRDefault="00FB5AE9" w:rsidP="00175356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307E30">
        <w:rPr>
          <w:rFonts w:ascii="David" w:hAnsi="David" w:cs="David"/>
          <w:sz w:val="24"/>
          <w:szCs w:val="24"/>
          <w:rtl/>
        </w:rPr>
        <w:br/>
      </w:r>
    </w:p>
    <w:sectPr w:rsidR="00D24D0A" w:rsidRPr="00307E30" w:rsidSect="004A18EA">
      <w:pgSz w:w="11906" w:h="16838"/>
      <w:pgMar w:top="1276" w:right="1700" w:bottom="1440" w:left="170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0D5" w:rsidRDefault="00E430D5" w:rsidP="007C4104">
      <w:pPr>
        <w:spacing w:after="0" w:line="240" w:lineRule="auto"/>
      </w:pPr>
      <w:r>
        <w:separator/>
      </w:r>
    </w:p>
  </w:endnote>
  <w:endnote w:type="continuationSeparator" w:id="0">
    <w:p w:rsidR="00E430D5" w:rsidRDefault="00E430D5" w:rsidP="007C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0D5" w:rsidRDefault="00E430D5" w:rsidP="007C4104">
      <w:pPr>
        <w:spacing w:after="0" w:line="240" w:lineRule="auto"/>
      </w:pPr>
      <w:r>
        <w:separator/>
      </w:r>
    </w:p>
  </w:footnote>
  <w:footnote w:type="continuationSeparator" w:id="0">
    <w:p w:rsidR="00E430D5" w:rsidRDefault="00E430D5" w:rsidP="007C4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64C14"/>
    <w:multiLevelType w:val="hybridMultilevel"/>
    <w:tmpl w:val="02502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5DE"/>
    <w:rsid w:val="00175356"/>
    <w:rsid w:val="001D7935"/>
    <w:rsid w:val="00307E30"/>
    <w:rsid w:val="004845DE"/>
    <w:rsid w:val="004A18EA"/>
    <w:rsid w:val="005473C7"/>
    <w:rsid w:val="00622290"/>
    <w:rsid w:val="007C4104"/>
    <w:rsid w:val="007D5E0C"/>
    <w:rsid w:val="009C33BD"/>
    <w:rsid w:val="00B179A5"/>
    <w:rsid w:val="00C37299"/>
    <w:rsid w:val="00D24D0A"/>
    <w:rsid w:val="00E0478C"/>
    <w:rsid w:val="00E430D5"/>
    <w:rsid w:val="00FB5AE9"/>
    <w:rsid w:val="00F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104"/>
  </w:style>
  <w:style w:type="paragraph" w:styleId="Footer">
    <w:name w:val="footer"/>
    <w:basedOn w:val="Normal"/>
    <w:link w:val="FooterChar"/>
    <w:uiPriority w:val="99"/>
    <w:unhideWhenUsed/>
    <w:rsid w:val="007C4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2017-11-30T09:50:00Z</dcterms:created>
  <dcterms:modified xsi:type="dcterms:W3CDTF">2017-11-30T09:50:00Z</dcterms:modified>
</cp:coreProperties>
</file>