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CA" w:rsidRPr="00CC41CA" w:rsidRDefault="00CC41CA" w:rsidP="00CC41CA">
      <w:pPr>
        <w:spacing w:after="0" w:line="360" w:lineRule="auto"/>
        <w:jc w:val="center"/>
        <w:rPr>
          <w:rFonts w:ascii="David" w:eastAsia="Calibri" w:hAnsi="David" w:cs="David"/>
          <w:b/>
          <w:bCs/>
          <w:sz w:val="28"/>
          <w:szCs w:val="28"/>
          <w:rtl/>
        </w:rPr>
      </w:pPr>
      <w:r w:rsidRPr="00CC41CA">
        <w:rPr>
          <w:rFonts w:ascii="Calibri" w:eastAsia="Calibri" w:hAnsi="Calibri" w:cs="David" w:hint="cs"/>
          <w:b/>
          <w:bCs/>
          <w:sz w:val="32"/>
          <w:szCs w:val="32"/>
          <w:rtl/>
        </w:rPr>
        <w:t>תקציר</w:t>
      </w:r>
    </w:p>
    <w:p w:rsidR="00CC41CA" w:rsidRPr="00CC41CA" w:rsidRDefault="00CC41CA" w:rsidP="00CC41CA">
      <w:pPr>
        <w:spacing w:after="0" w:line="360" w:lineRule="auto"/>
        <w:jc w:val="both"/>
        <w:rPr>
          <w:rFonts w:ascii="David" w:eastAsia="Calibri" w:hAnsi="David" w:cs="David"/>
          <w:sz w:val="24"/>
          <w:szCs w:val="24"/>
          <w:rtl/>
        </w:rPr>
      </w:pPr>
      <w:bookmarkStart w:id="0" w:name="_Hlk522098723"/>
      <w:r w:rsidRPr="00CC41CA">
        <w:rPr>
          <w:rFonts w:ascii="David" w:eastAsia="Calibri" w:hAnsi="David" w:cs="David" w:hint="cs"/>
          <w:sz w:val="24"/>
          <w:szCs w:val="24"/>
          <w:rtl/>
        </w:rPr>
        <w:t>אתגרי ה-21 העומדים לפתחנו מחייבים סלילת דרך חדשה בהוראת המדעים והטכנולוגיה המעודדת הכשרת מדעני ומהנדסי העתיד ומושתתת על הסטנדרטים המופיעים ב-</w:t>
      </w:r>
      <w:r w:rsidRPr="00CC41CA">
        <w:rPr>
          <w:rFonts w:ascii="Calibri" w:eastAsia="Calibri" w:hAnsi="Calibri" w:cs="David"/>
          <w:sz w:val="24"/>
          <w:szCs w:val="24"/>
          <w:vertAlign w:val="superscript"/>
          <w:rtl/>
        </w:rPr>
        <w:footnoteReference w:id="1"/>
      </w:r>
      <w:r w:rsidRPr="00CC41CA">
        <w:rPr>
          <w:rFonts w:ascii="Times New Roman" w:eastAsia="Calibri" w:hAnsi="Times New Roman" w:cs="Times New Roman"/>
        </w:rPr>
        <w:t>(Next</w:t>
      </w:r>
      <w:r w:rsidRPr="00CC41CA">
        <w:rPr>
          <w:rFonts w:ascii="David" w:eastAsia="Calibri" w:hAnsi="David" w:cs="David"/>
          <w:sz w:val="24"/>
          <w:szCs w:val="24"/>
        </w:rPr>
        <w:t xml:space="preserve">  </w:t>
      </w:r>
      <w:r w:rsidRPr="00CC41CA">
        <w:rPr>
          <w:rFonts w:ascii="Times New Roman" w:eastAsia="Calibri" w:hAnsi="Times New Roman" w:cs="Times New Roman"/>
        </w:rPr>
        <w:t>NGSS</w:t>
      </w:r>
      <w:r w:rsidRPr="00CC41CA">
        <w:rPr>
          <w:rFonts w:ascii="David" w:eastAsia="Calibri" w:hAnsi="David" w:cs="David"/>
        </w:rPr>
        <w:t xml:space="preserve"> </w:t>
      </w:r>
      <w:r w:rsidRPr="00CC41CA">
        <w:rPr>
          <w:rFonts w:ascii="Times New Roman" w:eastAsia="Calibri" w:hAnsi="Times New Roman" w:cs="Times New Roman"/>
        </w:rPr>
        <w:t>Generation Science Standards, 2013)</w:t>
      </w:r>
      <w:r w:rsidRPr="00CC41CA">
        <w:rPr>
          <w:rFonts w:ascii="David" w:eastAsia="Calibri" w:hAnsi="David" w:cs="David" w:hint="cs"/>
          <w:sz w:val="24"/>
          <w:szCs w:val="24"/>
          <w:rtl/>
        </w:rPr>
        <w:t xml:space="preserve">. הוראת המדעים העומדת בפני אתגרים רבים, לנוכח הטכנולוגיה, ריבוי הידע וערוצי המידע, מחייבת את מערכת החינוך להתאים את עצמה לכיוונים אלו ולצייד את בוגריה במיומנויות הנדרשות לתפקוד אופטימלי במאה ה-21. כיוון זה מצריך עדכון של תכניות הלמודים הקיימות, כך שישקפו סטנדרטים ותכנים מעודכנים במדע, והטמעה של אמצעים טכנולוגיים מתקדמים בתהליכי ההוראה-למידה-הערכה </w:t>
      </w:r>
      <w:r w:rsidRPr="00CC41CA">
        <w:rPr>
          <w:rFonts w:ascii="Times New Roman" w:eastAsia="Calibri" w:hAnsi="Times New Roman" w:cs="Times New Roman"/>
        </w:rPr>
        <w:t>(NRC, 2013; STL, 2017)</w:t>
      </w:r>
      <w:r w:rsidRPr="00CC41CA">
        <w:rPr>
          <w:rFonts w:ascii="David" w:eastAsia="Calibri" w:hAnsi="David" w:cs="David" w:hint="cs"/>
          <w:sz w:val="24"/>
          <w:szCs w:val="24"/>
          <w:rtl/>
        </w:rPr>
        <w:t xml:space="preserve">. הסטנדרטים המופיעים במסמך </w:t>
      </w:r>
      <w:r w:rsidRPr="00CC41CA">
        <w:rPr>
          <w:rFonts w:ascii="Times New Roman" w:eastAsia="Calibri" w:hAnsi="Times New Roman" w:cs="Times New Roman"/>
        </w:rPr>
        <w:t>NGSS</w:t>
      </w:r>
      <w:r w:rsidRPr="00CC41CA">
        <w:rPr>
          <w:rFonts w:ascii="David" w:eastAsia="Calibri" w:hAnsi="David" w:cs="David" w:hint="cs"/>
          <w:sz w:val="24"/>
          <w:szCs w:val="24"/>
          <w:rtl/>
        </w:rPr>
        <w:t xml:space="preserve"> מאשרים מחדש את הקביעה שחקר והכוונה מטה-קוגניטיבית מובילים לגילוי ידע חדש ותורמים לפיתוח אוריינות מדעית. מחקרים הראו כי הכוונה מטה-קוגניטיבית שהיא 'פסגת' מיומנויות החשיבה מסדר גבוה, מקדמת למידה משמעותית והבנה של תלמידים, מפתחת מיומנויות חקר מדעי, וכן משפרת מוטיבציה ועמדות של תלמידים כלפי לימודי מדע. לפיכך, הכוונה מטה-קוגניטיבית מהווה חלק בלתי נפרד מתהליכי הוראה, למידה והערכה בשיעורי מדעים. מחקר זה בדק את השפעת הכוונה מטה-קוגניטיבית על המדדים ידע תוכן מדעי, מיומנויות החקר, ומוטיבציה ועמדות ללימודי מדע בקרב תלמידי חט"ב בסביבות מעבדה. </w:t>
      </w:r>
    </w:p>
    <w:p w:rsidR="00CC41CA" w:rsidRPr="00CC41CA" w:rsidRDefault="00CC41CA" w:rsidP="00CC41CA">
      <w:pPr>
        <w:spacing w:after="0" w:line="360" w:lineRule="auto"/>
        <w:jc w:val="both"/>
        <w:rPr>
          <w:rFonts w:ascii="David" w:eastAsia="Calibri" w:hAnsi="David" w:cs="David"/>
          <w:sz w:val="24"/>
          <w:szCs w:val="24"/>
          <w:rtl/>
        </w:rPr>
      </w:pPr>
      <w:r w:rsidRPr="00CC41CA">
        <w:rPr>
          <w:rFonts w:ascii="David" w:eastAsia="Calibri" w:hAnsi="David" w:cs="David" w:hint="cs"/>
          <w:sz w:val="24"/>
          <w:szCs w:val="24"/>
          <w:rtl/>
        </w:rPr>
        <w:t xml:space="preserve">במחקר זה הופעלה והוערכה יחידת לימוד בנושא פוטוסינתזה בצמחים. </w:t>
      </w:r>
    </w:p>
    <w:p w:rsidR="00CC41CA" w:rsidRPr="00CC41CA" w:rsidRDefault="00CC41CA" w:rsidP="00CC41CA">
      <w:pPr>
        <w:spacing w:before="240" w:after="0" w:line="360" w:lineRule="auto"/>
        <w:jc w:val="both"/>
        <w:rPr>
          <w:rFonts w:ascii="David" w:eastAsia="Times New Roman" w:hAnsi="David" w:cs="David"/>
          <w:color w:val="000000"/>
          <w:sz w:val="24"/>
          <w:szCs w:val="24"/>
          <w:rtl/>
        </w:rPr>
      </w:pPr>
      <w:r w:rsidRPr="00CC41CA">
        <w:rPr>
          <w:rFonts w:ascii="David" w:eastAsia="Calibri" w:hAnsi="David" w:cs="David"/>
          <w:sz w:val="24"/>
          <w:szCs w:val="24"/>
          <w:rtl/>
        </w:rPr>
        <w:t>כדי לבדוק את האפקטיביות ההכוונה המטה-קוגניטיבית נבנה מערך מחקר שבו השתתפו שתי קבוצות: קבוצת ניסוי: למידת חקר במעבדה עם הכוונה מטה-קוגניטיבית</w:t>
      </w:r>
      <w:r w:rsidRPr="00CC41CA">
        <w:rPr>
          <w:rFonts w:ascii="David" w:eastAsia="Calibri" w:hAnsi="David" w:cs="David" w:hint="cs"/>
          <w:sz w:val="24"/>
          <w:szCs w:val="24"/>
          <w:rtl/>
        </w:rPr>
        <w:t>,</w:t>
      </w:r>
      <w:r w:rsidRPr="00CC41CA">
        <w:rPr>
          <w:rFonts w:ascii="David" w:eastAsia="Calibri" w:hAnsi="David" w:cs="David"/>
          <w:sz w:val="24"/>
          <w:szCs w:val="24"/>
          <w:rtl/>
        </w:rPr>
        <w:t xml:space="preserve"> ו</w:t>
      </w:r>
      <w:r w:rsidRPr="00CC41CA">
        <w:rPr>
          <w:rFonts w:ascii="David" w:eastAsia="Times New Roman" w:hAnsi="David" w:cs="David"/>
          <w:color w:val="000000"/>
          <w:sz w:val="24"/>
          <w:szCs w:val="24"/>
          <w:rtl/>
        </w:rPr>
        <w:t>קבוצת ביקורת: למידת חקר במעבדה ללא הכוונה מטה-קוגניטיבית.</w:t>
      </w:r>
      <w:r w:rsidRPr="00CC41CA">
        <w:rPr>
          <w:rFonts w:ascii="Calibri" w:eastAsia="Calibri" w:hAnsi="Calibri" w:cs="Arial" w:hint="cs"/>
          <w:rtl/>
        </w:rPr>
        <w:t xml:space="preserve"> </w:t>
      </w:r>
      <w:r w:rsidRPr="00CC41CA">
        <w:rPr>
          <w:rFonts w:ascii="David" w:eastAsia="Times New Roman" w:hAnsi="David" w:cs="David" w:hint="cs"/>
          <w:color w:val="000000"/>
          <w:sz w:val="24"/>
          <w:szCs w:val="24"/>
          <w:rtl/>
        </w:rPr>
        <w:t xml:space="preserve">המחקר הופעל במדגם של 124 תלמידים הלומדים בכיתה ט' בגילאי 17-15. </w:t>
      </w:r>
    </w:p>
    <w:p w:rsidR="00CC41CA" w:rsidRPr="00CC41CA" w:rsidRDefault="00CC41CA" w:rsidP="00CC41CA">
      <w:pPr>
        <w:spacing w:before="240" w:after="0" w:line="360" w:lineRule="auto"/>
        <w:jc w:val="both"/>
        <w:rPr>
          <w:rFonts w:ascii="David" w:eastAsia="Times New Roman" w:hAnsi="David" w:cs="David"/>
          <w:color w:val="000000"/>
          <w:sz w:val="24"/>
          <w:szCs w:val="24"/>
          <w:rtl/>
        </w:rPr>
      </w:pPr>
      <w:r w:rsidRPr="00CC41CA">
        <w:rPr>
          <w:rFonts w:ascii="David" w:eastAsia="Times New Roman" w:hAnsi="David" w:cs="David" w:hint="cs"/>
          <w:color w:val="000000"/>
          <w:sz w:val="24"/>
          <w:szCs w:val="24"/>
          <w:rtl/>
        </w:rPr>
        <w:t>מחקר זה כלל שלושה שלבים עיקריים בשתי הקבוצות: א. לפני למידה, ב. הפעלת תכנית ההתערבות, ג. אחרי למידה. לפני למידה נבדקו הממדים: ידע מדעי של התלמידים בנושא צמחים, ומוטיבציה ועמדות התלמידים כלפי לימודי מדע. בדיקה זו נעשתה על מנת לבחון את השינויים שייגרמו בעקבות הפעלת יחידת הלימוד. תכנית ההתערבות כללה הוראה יחידת לימוד:  פוטוסינתזה בצמחים. במהלך התוכנית נבדקו מיומנויות החקר. לאחר למידה, נבדקו שלושת המדדים שצוינו לעיל: ידע מדעי של התלמידים בנושא מערכות ותהליכים ביצורים חיים כדוגמת פוטוסינתזה בצמחים, מיומנויות חקר מדעי, ומוטיבציה ועמדות התלמידים כלפי לימודי מדע. בנוסף למדדים אלו נבדק ידע מטה-קוגניטיבי בקבוצת הניסוי בלבד לפני ואחרי למידה.</w:t>
      </w:r>
    </w:p>
    <w:p w:rsidR="00CC41CA" w:rsidRPr="00CC41CA" w:rsidRDefault="00CC41CA" w:rsidP="00CC41CA">
      <w:pPr>
        <w:spacing w:before="240" w:after="0" w:line="360" w:lineRule="auto"/>
        <w:jc w:val="both"/>
        <w:rPr>
          <w:rFonts w:ascii="David" w:eastAsia="Times New Roman" w:hAnsi="David" w:cs="David"/>
          <w:color w:val="000000"/>
          <w:sz w:val="24"/>
          <w:szCs w:val="24"/>
          <w:rtl/>
        </w:rPr>
      </w:pPr>
      <w:r w:rsidRPr="00CC41CA">
        <w:rPr>
          <w:rFonts w:ascii="David" w:eastAsia="Times New Roman" w:hAnsi="David" w:cs="David" w:hint="cs"/>
          <w:color w:val="000000"/>
          <w:sz w:val="24"/>
          <w:szCs w:val="24"/>
          <w:rtl/>
        </w:rPr>
        <w:t xml:space="preserve">מן הממצאים עולה, כי אחרי למידה בקבוצת הניסוי חל שיפור גבוה באופן מובהק, בהשוואה לקבוצת הביקורת, בשלושת המדדים שנבדקו: רמת ידע התוכן המדעי, רמת מיומנויות החקר,  מוטיבציה ועמדות של </w:t>
      </w:r>
      <w:bookmarkStart w:id="1" w:name="_GoBack"/>
      <w:bookmarkEnd w:id="1"/>
      <w:r w:rsidRPr="00CC41CA">
        <w:rPr>
          <w:rFonts w:ascii="David" w:eastAsia="Times New Roman" w:hAnsi="David" w:cs="David" w:hint="cs"/>
          <w:color w:val="000000"/>
          <w:sz w:val="24"/>
          <w:szCs w:val="24"/>
          <w:rtl/>
        </w:rPr>
        <w:t>תלמידים כלפי לימודי מדע בעקבות הכוונה מטה-קוגניטיבית. כמו כן, נלמדו מאפיינים של ידע מטה קוגניטיבי לאחר הכוונה מטה-קוגניטיבית שניתנה לתלמידים.</w:t>
      </w:r>
    </w:p>
    <w:bookmarkEnd w:id="0"/>
    <w:p w:rsidR="007E0B69" w:rsidRDefault="007E0B69">
      <w:pPr>
        <w:rPr>
          <w:rtl/>
        </w:rPr>
      </w:pPr>
    </w:p>
    <w:p w:rsidR="00CC41CA" w:rsidRDefault="00CC41CA">
      <w:pPr>
        <w:rPr>
          <w:rtl/>
        </w:rPr>
      </w:pPr>
    </w:p>
    <w:p w:rsidR="00CC41CA" w:rsidRPr="00CC41CA" w:rsidRDefault="00CC41CA" w:rsidP="00CC41CA">
      <w:pPr>
        <w:tabs>
          <w:tab w:val="center" w:pos="4153"/>
          <w:tab w:val="right" w:pos="8306"/>
        </w:tabs>
        <w:spacing w:after="0" w:line="360" w:lineRule="auto"/>
        <w:jc w:val="center"/>
        <w:rPr>
          <w:rFonts w:ascii="Calibri" w:eastAsia="Calibri" w:hAnsi="Calibri" w:cs="David"/>
          <w:b/>
          <w:bCs/>
          <w:sz w:val="52"/>
          <w:szCs w:val="52"/>
          <w:rtl/>
        </w:rPr>
      </w:pPr>
      <w:r w:rsidRPr="00CC41CA">
        <w:rPr>
          <w:rFonts w:ascii="Calibri" w:eastAsia="Calibri" w:hAnsi="Calibri" w:cs="David" w:hint="cs"/>
          <w:b/>
          <w:bCs/>
          <w:sz w:val="52"/>
          <w:szCs w:val="52"/>
          <w:rtl/>
        </w:rPr>
        <w:lastRenderedPageBreak/>
        <w:t>השפעת</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הכוונה מטה-קוגניטיבית</w:t>
      </w:r>
      <w:r w:rsidRPr="00CC41CA">
        <w:rPr>
          <w:rFonts w:ascii="Calibri" w:eastAsia="Calibri" w:hAnsi="Calibri" w:cs="David"/>
          <w:b/>
          <w:bCs/>
          <w:sz w:val="52"/>
          <w:szCs w:val="52"/>
          <w:rtl/>
        </w:rPr>
        <w:t xml:space="preserve"> </w:t>
      </w:r>
    </w:p>
    <w:p w:rsidR="00CC41CA" w:rsidRPr="00CC41CA" w:rsidRDefault="00CC41CA" w:rsidP="00CC41CA">
      <w:pPr>
        <w:tabs>
          <w:tab w:val="center" w:pos="4153"/>
          <w:tab w:val="right" w:pos="8306"/>
        </w:tabs>
        <w:spacing w:after="0" w:line="360" w:lineRule="auto"/>
        <w:jc w:val="center"/>
        <w:rPr>
          <w:rFonts w:ascii="Calibri" w:eastAsia="Calibri" w:hAnsi="Calibri" w:cs="David"/>
          <w:b/>
          <w:bCs/>
          <w:sz w:val="52"/>
          <w:szCs w:val="52"/>
          <w:rtl/>
        </w:rPr>
      </w:pPr>
      <w:r w:rsidRPr="00CC41CA">
        <w:rPr>
          <w:rFonts w:ascii="Calibri" w:eastAsia="Calibri" w:hAnsi="Calibri" w:cs="David" w:hint="cs"/>
          <w:b/>
          <w:bCs/>
          <w:sz w:val="52"/>
          <w:szCs w:val="52"/>
          <w:rtl/>
        </w:rPr>
        <w:t>על</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ידע</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תוכן</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מדעי</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מיומנויות</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חקר</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ומוטיבציה</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כלפי</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לימודי</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מדע</w:t>
      </w:r>
    </w:p>
    <w:p w:rsidR="00CC41CA" w:rsidRPr="00CC41CA" w:rsidRDefault="00CC41CA" w:rsidP="00CC41CA">
      <w:pPr>
        <w:tabs>
          <w:tab w:val="center" w:pos="4153"/>
          <w:tab w:val="right" w:pos="8306"/>
        </w:tabs>
        <w:spacing w:after="0" w:line="360" w:lineRule="auto"/>
        <w:jc w:val="center"/>
        <w:rPr>
          <w:rFonts w:ascii="Calibri" w:eastAsia="Calibri" w:hAnsi="Calibri" w:cs="David"/>
          <w:b/>
          <w:bCs/>
          <w:sz w:val="52"/>
          <w:szCs w:val="52"/>
          <w:rtl/>
        </w:rPr>
      </w:pPr>
      <w:r w:rsidRPr="00CC41CA">
        <w:rPr>
          <w:rFonts w:ascii="Calibri" w:eastAsia="Calibri" w:hAnsi="Calibri" w:cs="David" w:hint="cs"/>
          <w:b/>
          <w:bCs/>
          <w:sz w:val="52"/>
          <w:szCs w:val="52"/>
          <w:rtl/>
        </w:rPr>
        <w:t>בסביבת</w:t>
      </w:r>
      <w:r w:rsidRPr="00CC41CA">
        <w:rPr>
          <w:rFonts w:ascii="Calibri" w:eastAsia="Calibri" w:hAnsi="Calibri" w:cs="David"/>
          <w:b/>
          <w:bCs/>
          <w:sz w:val="52"/>
          <w:szCs w:val="52"/>
          <w:rtl/>
        </w:rPr>
        <w:t xml:space="preserve"> </w:t>
      </w:r>
      <w:r w:rsidRPr="00CC41CA">
        <w:rPr>
          <w:rFonts w:ascii="Calibri" w:eastAsia="Calibri" w:hAnsi="Calibri" w:cs="David" w:hint="cs"/>
          <w:b/>
          <w:bCs/>
          <w:sz w:val="52"/>
          <w:szCs w:val="52"/>
          <w:rtl/>
        </w:rPr>
        <w:t>מעבדה</w:t>
      </w:r>
    </w:p>
    <w:p w:rsidR="00CC41CA" w:rsidRPr="00CC41CA" w:rsidRDefault="00CC41CA" w:rsidP="00CC41CA">
      <w:pPr>
        <w:tabs>
          <w:tab w:val="center" w:pos="4153"/>
          <w:tab w:val="right" w:pos="8306"/>
        </w:tabs>
        <w:spacing w:after="0" w:line="240" w:lineRule="auto"/>
        <w:jc w:val="center"/>
        <w:rPr>
          <w:rFonts w:ascii="Calibri" w:eastAsia="Calibri" w:hAnsi="Calibri" w:cs="David"/>
          <w:b/>
          <w:bCs/>
          <w:sz w:val="52"/>
          <w:szCs w:val="52"/>
        </w:rPr>
      </w:pPr>
    </w:p>
    <w:p w:rsidR="00CC41CA" w:rsidRPr="00CC41CA" w:rsidRDefault="00CC41CA" w:rsidP="00CC41CA">
      <w:pPr>
        <w:spacing w:after="200" w:line="276" w:lineRule="auto"/>
        <w:jc w:val="center"/>
        <w:rPr>
          <w:rFonts w:ascii="Calibri" w:eastAsia="Calibri" w:hAnsi="Calibri" w:cs="David"/>
          <w:b/>
          <w:bCs/>
          <w:sz w:val="48"/>
          <w:szCs w:val="48"/>
          <w:rtl/>
        </w:rPr>
      </w:pPr>
      <w:r w:rsidRPr="00CC41CA">
        <w:rPr>
          <w:rFonts w:ascii="Calibri" w:eastAsia="Calibri" w:hAnsi="Calibri" w:cs="David" w:hint="cs"/>
          <w:b/>
          <w:bCs/>
          <w:sz w:val="48"/>
          <w:szCs w:val="48"/>
          <w:rtl/>
        </w:rPr>
        <w:t xml:space="preserve">עבודת גמר מחקרית לתואר שני </w:t>
      </w:r>
    </w:p>
    <w:p w:rsidR="00CC41CA" w:rsidRPr="00CC41CA" w:rsidRDefault="00CC41CA" w:rsidP="00CC41CA">
      <w:pPr>
        <w:spacing w:after="200" w:line="276" w:lineRule="auto"/>
        <w:jc w:val="center"/>
        <w:rPr>
          <w:rFonts w:ascii="Calibri" w:eastAsia="Calibri" w:hAnsi="Calibri" w:cs="David"/>
          <w:b/>
          <w:bCs/>
          <w:sz w:val="48"/>
          <w:szCs w:val="48"/>
          <w:rtl/>
        </w:rPr>
      </w:pPr>
      <w:r w:rsidRPr="00CC41CA">
        <w:rPr>
          <w:rFonts w:ascii="Calibri" w:eastAsia="Calibri" w:hAnsi="Calibri" w:cs="David" w:hint="cs"/>
          <w:b/>
          <w:bCs/>
          <w:sz w:val="48"/>
          <w:szCs w:val="48"/>
          <w:rtl/>
        </w:rPr>
        <w:t>בחינוך מדעי</w:t>
      </w:r>
    </w:p>
    <w:p w:rsidR="00CC41CA" w:rsidRPr="00CC41CA" w:rsidRDefault="00CC41CA" w:rsidP="00CC41CA">
      <w:pPr>
        <w:spacing w:after="200" w:line="276" w:lineRule="auto"/>
        <w:jc w:val="center"/>
        <w:rPr>
          <w:rFonts w:ascii="Calibri" w:eastAsia="Calibri" w:hAnsi="Calibri" w:cs="David"/>
          <w:b/>
          <w:bCs/>
          <w:sz w:val="48"/>
          <w:szCs w:val="48"/>
          <w:rtl/>
        </w:rPr>
      </w:pPr>
    </w:p>
    <w:p w:rsidR="00CC41CA" w:rsidRPr="00CC41CA" w:rsidRDefault="00CC41CA" w:rsidP="00CC41CA">
      <w:pPr>
        <w:spacing w:after="200" w:line="276" w:lineRule="auto"/>
        <w:jc w:val="center"/>
        <w:rPr>
          <w:rFonts w:ascii="Calibri" w:eastAsia="Calibri" w:hAnsi="Calibri" w:cs="David"/>
          <w:b/>
          <w:bCs/>
          <w:sz w:val="48"/>
          <w:szCs w:val="48"/>
          <w:rtl/>
        </w:rPr>
      </w:pPr>
      <w:r w:rsidRPr="00CC41CA">
        <w:rPr>
          <w:rFonts w:ascii="Calibri" w:eastAsia="Calibri" w:hAnsi="Calibri" w:cs="David" w:hint="cs"/>
          <w:b/>
          <w:bCs/>
          <w:sz w:val="48"/>
          <w:szCs w:val="48"/>
          <w:rtl/>
        </w:rPr>
        <w:t>המכללה האקדמית חמדת הדרום</w:t>
      </w:r>
    </w:p>
    <w:p w:rsidR="00CC41CA" w:rsidRPr="00CC41CA" w:rsidRDefault="00CC41CA" w:rsidP="00CC41CA">
      <w:pPr>
        <w:spacing w:after="200" w:line="276" w:lineRule="auto"/>
        <w:jc w:val="center"/>
        <w:rPr>
          <w:rFonts w:ascii="Calibri" w:eastAsia="Calibri" w:hAnsi="Calibri" w:cs="David"/>
          <w:b/>
          <w:bCs/>
          <w:sz w:val="36"/>
          <w:szCs w:val="36"/>
          <w:rtl/>
        </w:rPr>
      </w:pPr>
    </w:p>
    <w:p w:rsidR="00CC41CA" w:rsidRPr="00CC41CA" w:rsidRDefault="00CC41CA" w:rsidP="00CC41CA">
      <w:pPr>
        <w:spacing w:after="200" w:line="276" w:lineRule="auto"/>
        <w:jc w:val="center"/>
        <w:rPr>
          <w:rFonts w:ascii="Calibri" w:eastAsia="Calibri" w:hAnsi="Calibri" w:cs="David"/>
          <w:b/>
          <w:bCs/>
          <w:sz w:val="36"/>
          <w:szCs w:val="36"/>
          <w:rtl/>
        </w:rPr>
      </w:pPr>
      <w:r w:rsidRPr="00CC41CA">
        <w:rPr>
          <w:rFonts w:ascii="Calibri" w:eastAsia="Calibri" w:hAnsi="Calibri" w:cs="David" w:hint="cs"/>
          <w:b/>
          <w:bCs/>
          <w:sz w:val="36"/>
          <w:szCs w:val="36"/>
          <w:rtl/>
        </w:rPr>
        <w:t>מגישה: כהן חייה</w:t>
      </w:r>
    </w:p>
    <w:p w:rsidR="00CC41CA" w:rsidRPr="00CC41CA" w:rsidRDefault="00CC41CA" w:rsidP="00CC41CA">
      <w:pPr>
        <w:spacing w:after="200" w:line="276" w:lineRule="auto"/>
        <w:jc w:val="center"/>
        <w:rPr>
          <w:rFonts w:ascii="Calibri" w:eastAsia="Calibri" w:hAnsi="Calibri" w:cs="David"/>
          <w:b/>
          <w:bCs/>
          <w:sz w:val="36"/>
          <w:szCs w:val="36"/>
          <w:rtl/>
        </w:rPr>
      </w:pPr>
      <w:r w:rsidRPr="00CC41CA">
        <w:rPr>
          <w:rFonts w:ascii="Calibri" w:eastAsia="Calibri" w:hAnsi="Calibri" w:cs="David" w:hint="cs"/>
          <w:b/>
          <w:bCs/>
          <w:sz w:val="36"/>
          <w:szCs w:val="36"/>
          <w:rtl/>
        </w:rPr>
        <w:t>ת.ז: 314386863</w:t>
      </w:r>
    </w:p>
    <w:p w:rsidR="00CC41CA" w:rsidRPr="00CC41CA" w:rsidRDefault="00CC41CA" w:rsidP="00CC41CA">
      <w:pPr>
        <w:spacing w:after="0" w:line="360" w:lineRule="auto"/>
        <w:jc w:val="center"/>
        <w:rPr>
          <w:rFonts w:ascii="David" w:eastAsia="Calibri" w:hAnsi="David" w:cs="David"/>
          <w:b/>
          <w:bCs/>
          <w:sz w:val="28"/>
          <w:szCs w:val="28"/>
          <w:rtl/>
        </w:rPr>
      </w:pPr>
      <w:r w:rsidRPr="00CC41CA">
        <w:rPr>
          <w:rFonts w:ascii="Calibri" w:eastAsia="Calibri" w:hAnsi="Calibri" w:cs="David" w:hint="cs"/>
          <w:b/>
          <w:bCs/>
          <w:sz w:val="36"/>
          <w:szCs w:val="36"/>
          <w:rtl/>
        </w:rPr>
        <w:t>בהנחיית: ד"ר שרה קליין</w:t>
      </w:r>
    </w:p>
    <w:p w:rsidR="00CC41CA" w:rsidRPr="00CC41CA" w:rsidRDefault="00CC41CA" w:rsidP="00CC41CA">
      <w:pPr>
        <w:spacing w:after="0" w:line="360" w:lineRule="auto"/>
        <w:jc w:val="center"/>
        <w:rPr>
          <w:rFonts w:ascii="David" w:eastAsia="Calibri" w:hAnsi="David" w:cs="David"/>
          <w:b/>
          <w:bCs/>
          <w:sz w:val="28"/>
          <w:szCs w:val="28"/>
          <w:rtl/>
        </w:rPr>
      </w:pPr>
    </w:p>
    <w:p w:rsidR="00CC41CA" w:rsidRPr="00CC41CA" w:rsidRDefault="00CC41CA" w:rsidP="00CC41CA">
      <w:pPr>
        <w:spacing w:after="0" w:line="360" w:lineRule="auto"/>
        <w:jc w:val="center"/>
        <w:rPr>
          <w:rFonts w:ascii="David" w:eastAsia="Calibri" w:hAnsi="David" w:cs="David"/>
          <w:b/>
          <w:bCs/>
          <w:sz w:val="28"/>
          <w:szCs w:val="28"/>
          <w:rtl/>
        </w:rPr>
      </w:pPr>
    </w:p>
    <w:p w:rsidR="00CC41CA" w:rsidRPr="00CC41CA" w:rsidRDefault="00CC41CA" w:rsidP="00CC41CA">
      <w:pPr>
        <w:spacing w:after="0" w:line="360" w:lineRule="auto"/>
        <w:jc w:val="center"/>
        <w:rPr>
          <w:rFonts w:ascii="David" w:eastAsia="Calibri" w:hAnsi="David" w:cs="David"/>
          <w:b/>
          <w:bCs/>
          <w:sz w:val="28"/>
          <w:szCs w:val="28"/>
          <w:rtl/>
        </w:rPr>
      </w:pPr>
    </w:p>
    <w:p w:rsidR="00CC41CA" w:rsidRDefault="00CC41CA" w:rsidP="00CC41CA">
      <w:pPr>
        <w:rPr>
          <w:rtl/>
        </w:rPr>
      </w:pPr>
      <w:r w:rsidRPr="00CC41CA">
        <w:rPr>
          <w:rFonts w:ascii="Calibri" w:eastAsia="Calibri" w:hAnsi="Calibri" w:cs="David" w:hint="cs"/>
          <w:b/>
          <w:bCs/>
          <w:sz w:val="36"/>
          <w:szCs w:val="36"/>
          <w:rtl/>
        </w:rPr>
        <w:t>אלול תשע"ח                                               ספטמבר 2018</w:t>
      </w:r>
    </w:p>
    <w:p w:rsidR="00CC41CA" w:rsidRDefault="00CC41CA" w:rsidP="00CC41CA">
      <w:pPr>
        <w:rPr>
          <w:rtl/>
        </w:rPr>
      </w:pPr>
    </w:p>
    <w:p w:rsidR="00CC41CA" w:rsidRDefault="00CC41CA" w:rsidP="00CC41CA">
      <w:pPr>
        <w:rPr>
          <w:rtl/>
        </w:rPr>
      </w:pPr>
    </w:p>
    <w:p w:rsidR="00CC41CA" w:rsidRDefault="00CC41CA" w:rsidP="00CC41CA">
      <w:pPr>
        <w:rPr>
          <w:rtl/>
        </w:rPr>
      </w:pPr>
    </w:p>
    <w:p w:rsidR="00CC41CA" w:rsidRDefault="00CC41CA" w:rsidP="00CC41CA">
      <w:pPr>
        <w:rPr>
          <w:rtl/>
        </w:rPr>
      </w:pPr>
    </w:p>
    <w:p w:rsidR="00CC41CA" w:rsidRDefault="00CC41CA" w:rsidP="00CC41CA">
      <w:pPr>
        <w:rPr>
          <w:rtl/>
        </w:rPr>
      </w:pPr>
    </w:p>
    <w:p w:rsidR="00CC41CA" w:rsidRDefault="00CC41CA" w:rsidP="00CC41CA">
      <w:pPr>
        <w:rPr>
          <w:rtl/>
        </w:rPr>
      </w:pPr>
    </w:p>
    <w:p w:rsidR="00CC41CA" w:rsidRDefault="00CC41CA" w:rsidP="00CC41CA"/>
    <w:sectPr w:rsidR="00CC41CA" w:rsidSect="00AF320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061" w:rsidRDefault="00F53061" w:rsidP="00CC41CA">
      <w:pPr>
        <w:spacing w:after="0" w:line="240" w:lineRule="auto"/>
      </w:pPr>
      <w:r>
        <w:separator/>
      </w:r>
    </w:p>
  </w:endnote>
  <w:endnote w:type="continuationSeparator" w:id="0">
    <w:p w:rsidR="00F53061" w:rsidRDefault="00F53061" w:rsidP="00C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061" w:rsidRDefault="00F53061" w:rsidP="00CC41CA">
      <w:pPr>
        <w:spacing w:after="0" w:line="240" w:lineRule="auto"/>
      </w:pPr>
      <w:r>
        <w:separator/>
      </w:r>
    </w:p>
  </w:footnote>
  <w:footnote w:type="continuationSeparator" w:id="0">
    <w:p w:rsidR="00F53061" w:rsidRDefault="00F53061" w:rsidP="00CC41CA">
      <w:pPr>
        <w:spacing w:after="0" w:line="240" w:lineRule="auto"/>
      </w:pPr>
      <w:r>
        <w:continuationSeparator/>
      </w:r>
    </w:p>
  </w:footnote>
  <w:footnote w:id="1">
    <w:p w:rsidR="00CC41CA" w:rsidRPr="00EE6D48" w:rsidRDefault="00CC41CA" w:rsidP="00CC41CA">
      <w:pPr>
        <w:pStyle w:val="FootnoteText"/>
        <w:rPr>
          <w:rFonts w:cs="David"/>
          <w:rtl/>
        </w:rPr>
      </w:pPr>
      <w:r w:rsidRPr="00EE6D48">
        <w:rPr>
          <w:rStyle w:val="FootnoteReference"/>
          <w:rFonts w:cs="David"/>
        </w:rPr>
        <w:footnoteRef/>
      </w:r>
      <w:r w:rsidRPr="00EE6D48">
        <w:rPr>
          <w:rFonts w:cs="David"/>
          <w:rtl/>
        </w:rPr>
        <w:t xml:space="preserve"> </w:t>
      </w:r>
      <w:r>
        <w:rPr>
          <w:rFonts w:cs="David" w:hint="cs"/>
          <w:rtl/>
        </w:rPr>
        <w:t xml:space="preserve">מתוך </w:t>
      </w:r>
      <w:hyperlink r:id="rId1" w:history="1">
        <w:r w:rsidRPr="00CC41CA">
          <w:rPr>
            <w:rStyle w:val="Hyperlink1"/>
            <w:rFonts w:ascii="Times New Roman" w:hAnsi="Times New Roman" w:cs="Times New Roman"/>
            <w:rtl/>
          </w:rPr>
          <w:t>/</w:t>
        </w:r>
        <w:r w:rsidRPr="00CC41CA">
          <w:rPr>
            <w:rStyle w:val="Hyperlink1"/>
            <w:rFonts w:ascii="Times New Roman" w:hAnsi="Times New Roman" w:cs="Times New Roman"/>
          </w:rPr>
          <w:t>http://www.nextgenscience.org</w:t>
        </w:r>
      </w:hyperlink>
      <w:r w:rsidRPr="00CC41CA">
        <w:rPr>
          <w:rFonts w:ascii="Times New Roman" w:hAnsi="Times New Roman" w:cs="Times New Roman"/>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A"/>
    <w:rsid w:val="00503446"/>
    <w:rsid w:val="007E0B69"/>
    <w:rsid w:val="009F149B"/>
    <w:rsid w:val="00AF320E"/>
    <w:rsid w:val="00CC41CA"/>
    <w:rsid w:val="00F53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06D7"/>
  <w15:chartTrackingRefBased/>
  <w15:docId w15:val="{32F82970-8F62-43CC-A183-6A900457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CC41CA"/>
    <w:rPr>
      <w:color w:val="0563C1"/>
      <w:u w:val="single"/>
    </w:rPr>
  </w:style>
  <w:style w:type="paragraph" w:styleId="FootnoteText">
    <w:name w:val="footnote text"/>
    <w:basedOn w:val="Normal"/>
    <w:link w:val="FootnoteTextChar"/>
    <w:uiPriority w:val="99"/>
    <w:semiHidden/>
    <w:unhideWhenUsed/>
    <w:rsid w:val="00CC4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1CA"/>
    <w:rPr>
      <w:sz w:val="20"/>
      <w:szCs w:val="20"/>
    </w:rPr>
  </w:style>
  <w:style w:type="character" w:styleId="FootnoteReference">
    <w:name w:val="footnote reference"/>
    <w:basedOn w:val="DefaultParagraphFont"/>
    <w:uiPriority w:val="99"/>
    <w:semiHidden/>
    <w:unhideWhenUsed/>
    <w:rsid w:val="00CC41CA"/>
    <w:rPr>
      <w:vertAlign w:val="superscript"/>
    </w:rPr>
  </w:style>
  <w:style w:type="character" w:styleId="Hyperlink">
    <w:name w:val="Hyperlink"/>
    <w:basedOn w:val="DefaultParagraphFont"/>
    <w:uiPriority w:val="99"/>
    <w:semiHidden/>
    <w:unhideWhenUsed/>
    <w:rsid w:val="00CC4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Adrian Sackson</cp:lastModifiedBy>
  <cp:revision>2</cp:revision>
  <dcterms:created xsi:type="dcterms:W3CDTF">2018-08-28T08:24:00Z</dcterms:created>
  <dcterms:modified xsi:type="dcterms:W3CDTF">2018-08-28T11:16:00Z</dcterms:modified>
</cp:coreProperties>
</file>