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C7BFF" w14:textId="77777777" w:rsidR="00977642" w:rsidRDefault="00977642" w:rsidP="00977642">
      <w:pPr>
        <w:tabs>
          <w:tab w:val="left" w:pos="720"/>
          <w:tab w:val="left" w:pos="1440"/>
          <w:tab w:val="left" w:pos="2160"/>
          <w:tab w:val="left" w:pos="2880"/>
          <w:tab w:val="left" w:pos="3600"/>
          <w:tab w:val="left" w:pos="4620"/>
        </w:tabs>
        <w:spacing w:line="360" w:lineRule="auto"/>
        <w:jc w:val="both"/>
        <w:rPr>
          <w:rFonts w:asciiTheme="majorBidi" w:hAnsiTheme="majorBidi" w:cstheme="majorBidi"/>
          <w:rtl/>
        </w:rPr>
      </w:pPr>
      <w:r w:rsidRPr="006E6E9A">
        <w:rPr>
          <w:rFonts w:asciiTheme="majorBidi" w:hAnsiTheme="majorBidi" w:cstheme="majorBidi"/>
          <w:rtl/>
        </w:rPr>
        <w:t xml:space="preserve">מחקר זה מתמקד בהבדלי נוסח מחמת דמיון גרפי בין נוסח המסורה והחומש השומרוני. מטרתו היא </w:t>
      </w:r>
      <w:r>
        <w:rPr>
          <w:rFonts w:asciiTheme="majorBidi" w:hAnsiTheme="majorBidi" w:cstheme="majorBidi" w:hint="cs"/>
          <w:rtl/>
        </w:rPr>
        <w:t xml:space="preserve">בראש ובראשונה ליצור קורפוס מקיף של כל ההבדלים הללו, לחקור כל אחד מהם לחוד ואף לבחון אותם במבט כולל. ניתוח הנתונים במחקר הנוכחי נעשה באמצעות הכלים העומדים לרשותו של כל חוקר נוסח המקרא. יחד עם זאת, הוא משתמש גם בכלים מתחום </w:t>
      </w:r>
      <w:proofErr w:type="spellStart"/>
      <w:r>
        <w:rPr>
          <w:rFonts w:asciiTheme="majorBidi" w:hAnsiTheme="majorBidi" w:cstheme="majorBidi" w:hint="cs"/>
          <w:rtl/>
        </w:rPr>
        <w:t>הפליאוגרפיה</w:t>
      </w:r>
      <w:proofErr w:type="spellEnd"/>
      <w:r>
        <w:rPr>
          <w:rFonts w:asciiTheme="majorBidi" w:hAnsiTheme="majorBidi" w:cstheme="majorBidi" w:hint="cs"/>
          <w:rtl/>
        </w:rPr>
        <w:t xml:space="preserve">, ובתור שכזה הוא מסמן כיוון חדש. החוקרים הרבים שעסקו בהבדלים מחמת דמיון גרפי כחלק מן הדיון בתולדות הנוסח, כמעט שלא השתמשו בידע שהצטבר בעשורים האחרונים אודות התפתחות הכתב העברי והמרובע על מנת להסביר תופעות ספציפיות או תהליכים כלליים. לפיכך יש לקוות שמחקרי יפרה את חקר נוסח המקרא על כל גווניו ואף את חקר המקרא עצמו. </w:t>
      </w:r>
    </w:p>
    <w:p w14:paraId="2DCDA182" w14:textId="77777777" w:rsidR="00977642" w:rsidRDefault="00977642" w:rsidP="00977642">
      <w:pPr>
        <w:tabs>
          <w:tab w:val="left" w:pos="720"/>
          <w:tab w:val="left" w:pos="1440"/>
          <w:tab w:val="left" w:pos="2160"/>
          <w:tab w:val="left" w:pos="2880"/>
          <w:tab w:val="left" w:pos="3600"/>
          <w:tab w:val="left" w:pos="4620"/>
        </w:tabs>
        <w:spacing w:line="360" w:lineRule="auto"/>
        <w:jc w:val="both"/>
        <w:rPr>
          <w:rFonts w:asciiTheme="majorBidi" w:hAnsiTheme="majorBidi" w:cstheme="majorBidi" w:hint="cs"/>
          <w:rtl/>
        </w:rPr>
      </w:pPr>
      <w:r>
        <w:rPr>
          <w:rFonts w:asciiTheme="majorBidi" w:hAnsiTheme="majorBidi" w:cstheme="majorBidi" w:hint="cs"/>
          <w:rtl/>
        </w:rPr>
        <w:t xml:space="preserve">לאחר </w:t>
      </w:r>
      <w:r w:rsidRPr="00F733E1">
        <w:rPr>
          <w:rFonts w:asciiTheme="majorBidi" w:hAnsiTheme="majorBidi" w:cstheme="majorBidi" w:hint="cs"/>
          <w:b/>
          <w:bCs/>
          <w:rtl/>
        </w:rPr>
        <w:t>מבוא</w:t>
      </w:r>
      <w:r>
        <w:rPr>
          <w:rFonts w:asciiTheme="majorBidi" w:hAnsiTheme="majorBidi" w:cstheme="majorBidi" w:hint="cs"/>
          <w:rtl/>
        </w:rPr>
        <w:t xml:space="preserve"> המחקר, המכיל את מטרותיו, תולדות המחקר בנושאים רלוונטיים, והמתווה שלו </w:t>
      </w:r>
      <w:r w:rsidRPr="00F733E1">
        <w:rPr>
          <w:rFonts w:asciiTheme="majorBidi" w:hAnsiTheme="majorBidi" w:cstheme="majorBidi" w:hint="cs"/>
          <w:b/>
          <w:bCs/>
          <w:rtl/>
        </w:rPr>
        <w:t>הפרק השני</w:t>
      </w:r>
      <w:r>
        <w:rPr>
          <w:rFonts w:asciiTheme="majorBidi" w:hAnsiTheme="majorBidi" w:cstheme="majorBidi" w:hint="cs"/>
          <w:rtl/>
        </w:rPr>
        <w:t xml:space="preserve"> מציג את הממצא הטקסטואלי. בפרק זה נסקרים כל ההבדלים מחמת דמיון גרפי בין נוסח המסורה והחומש השומרוני, ואף נבחנות גרסאותיהם של עדי נוסח נוספים, ובראשם מגילות קומראן ותרגום השבעים. כל הבדל נבחן לגופו, תוך ניתוח פילולוגי של הגרסאות השונות, אופן היווצרותן והערכתן. לבסוף, הפרק מציג ניתוח סטטיסטי של הנתונים, דוגמת סקירת האותיות המתחלפות, שכיחות החילופים, מספר הגרסאות העדיפות בכל עד נוסח ושכיחות ההסכמות בין תרגום השבעים לכל אחד מעדי הנוסח. </w:t>
      </w:r>
    </w:p>
    <w:p w14:paraId="44B9B0B9" w14:textId="77777777" w:rsidR="00977642" w:rsidRDefault="00977642" w:rsidP="00977642">
      <w:pPr>
        <w:tabs>
          <w:tab w:val="left" w:pos="720"/>
          <w:tab w:val="left" w:pos="1440"/>
          <w:tab w:val="left" w:pos="2160"/>
          <w:tab w:val="left" w:pos="2880"/>
          <w:tab w:val="left" w:pos="3600"/>
          <w:tab w:val="left" w:pos="4620"/>
        </w:tabs>
        <w:spacing w:line="360" w:lineRule="auto"/>
        <w:jc w:val="both"/>
        <w:rPr>
          <w:rFonts w:asciiTheme="majorBidi" w:hAnsiTheme="majorBidi" w:cstheme="majorBidi" w:hint="cs"/>
          <w:rtl/>
        </w:rPr>
      </w:pPr>
      <w:r>
        <w:rPr>
          <w:rFonts w:asciiTheme="majorBidi" w:hAnsiTheme="majorBidi" w:cstheme="majorBidi" w:hint="cs"/>
          <w:b/>
          <w:bCs/>
          <w:rtl/>
        </w:rPr>
        <w:t>ב</w:t>
      </w:r>
      <w:r w:rsidRPr="00F733E1">
        <w:rPr>
          <w:rFonts w:asciiTheme="majorBidi" w:hAnsiTheme="majorBidi" w:cstheme="majorBidi" w:hint="cs"/>
          <w:b/>
          <w:bCs/>
          <w:rtl/>
        </w:rPr>
        <w:t xml:space="preserve">פרק השלישי </w:t>
      </w:r>
      <w:r>
        <w:rPr>
          <w:rFonts w:asciiTheme="majorBidi" w:hAnsiTheme="majorBidi" w:cstheme="majorBidi" w:hint="cs"/>
          <w:rtl/>
        </w:rPr>
        <w:t xml:space="preserve">נידון הרקע הפליאוגרפי של ההבדלים, במהלכו נסקרת צורת האותיות המתחלפות בכל שלבי ההתפתחות של שלוש מערכות הכתב הרלוונטיות </w:t>
      </w:r>
      <w:r>
        <w:rPr>
          <w:rFonts w:asciiTheme="majorBidi" w:hAnsiTheme="majorBidi" w:cstheme="majorBidi"/>
          <w:rtl/>
        </w:rPr>
        <w:t>–</w:t>
      </w:r>
      <w:r>
        <w:rPr>
          <w:rFonts w:asciiTheme="majorBidi" w:hAnsiTheme="majorBidi" w:cstheme="majorBidi" w:hint="cs"/>
          <w:rtl/>
        </w:rPr>
        <w:t xml:space="preserve"> הכתב העברי, המרובע והשומרוני. מתוך כך מוצגת המסגרת הכרונולוגית המשוערת של החילופים, היינו נבחן השלב בהתפתחות הכתב בו קיים דמיון בין האותיות ובו סביר להניח שהחילופים התרחשו. בסיכום הביניים של פרק זה, מובאים נתונים סטטיסטיים העולים מהניתוח הפליאוגרפי: מספר החילופים בין נוסח המסורה והחומש השומרוני בכל מערכת כתב, מספר החילופים בכל שלב בהתפתחות הכתב, וסקירת המסגרת הכרונולוגית המשוערת של כלל החילופים. נתונים אלו שופכים אור על תהליך מסירת התורה במאות האחרונות לפני הספירה. </w:t>
      </w:r>
    </w:p>
    <w:p w14:paraId="22BD8166" w14:textId="77777777" w:rsidR="00977642" w:rsidRPr="00F733E1" w:rsidRDefault="00977642" w:rsidP="00977642">
      <w:pPr>
        <w:tabs>
          <w:tab w:val="left" w:pos="720"/>
          <w:tab w:val="left" w:pos="1440"/>
          <w:tab w:val="left" w:pos="2160"/>
          <w:tab w:val="left" w:pos="2880"/>
          <w:tab w:val="left" w:pos="3600"/>
          <w:tab w:val="left" w:pos="4620"/>
        </w:tabs>
        <w:spacing w:line="360" w:lineRule="auto"/>
        <w:jc w:val="both"/>
        <w:rPr>
          <w:rFonts w:asciiTheme="majorBidi" w:hAnsiTheme="majorBidi" w:cstheme="majorBidi" w:hint="cs"/>
          <w:rtl/>
        </w:rPr>
      </w:pPr>
      <w:r w:rsidRPr="00376D9F">
        <w:rPr>
          <w:rFonts w:asciiTheme="majorBidi" w:hAnsiTheme="majorBidi" w:cstheme="majorBidi" w:hint="cs"/>
          <w:b/>
          <w:bCs/>
          <w:rtl/>
        </w:rPr>
        <w:t>הפרק הרביעי</w:t>
      </w:r>
      <w:r>
        <w:rPr>
          <w:rFonts w:asciiTheme="majorBidi" w:hAnsiTheme="majorBidi" w:cstheme="majorBidi" w:hint="cs"/>
          <w:rtl/>
        </w:rPr>
        <w:t xml:space="preserve"> מוקדש למסקנות המחקר. בפרק זה נידונה תרומתן של מסקנות הביניים העולות מן הממצא הטקסטואלי ומהניתוח הפליאוגרפי לדיון המחקרי בסוגיות משיקות. חלק ממסקנות המחקר קשורות באופן ספציפי לחומש השומרוני (</w:t>
      </w:r>
      <w:proofErr w:type="spellStart"/>
      <w:r>
        <w:rPr>
          <w:rFonts w:asciiTheme="majorBidi" w:hAnsiTheme="majorBidi" w:cstheme="majorBidi" w:hint="cs"/>
          <w:rtl/>
        </w:rPr>
        <w:t>תיארוכו</w:t>
      </w:r>
      <w:proofErr w:type="spellEnd"/>
      <w:r>
        <w:rPr>
          <w:rFonts w:asciiTheme="majorBidi" w:hAnsiTheme="majorBidi" w:cstheme="majorBidi" w:hint="cs"/>
          <w:rtl/>
        </w:rPr>
        <w:t xml:space="preserve">, הכתב בו הוא נמסר, אופי תהליך המסירה שלו), וחלק אחר קשור לסוגיות כלליות בחקר נוסח המקרא, דוגמת היחס בין עדי הנוסח הנידונים במחקר והמסגרת הכרונולוגית של מסירת התורה בכתב עברי.  </w:t>
      </w:r>
    </w:p>
    <w:p w14:paraId="5B19F7E0" w14:textId="77777777" w:rsidR="00977642" w:rsidRDefault="00977642" w:rsidP="00977642">
      <w:pPr>
        <w:tabs>
          <w:tab w:val="left" w:pos="720"/>
          <w:tab w:val="left" w:pos="1440"/>
          <w:tab w:val="left" w:pos="2160"/>
          <w:tab w:val="left" w:pos="2880"/>
          <w:tab w:val="left" w:pos="3600"/>
          <w:tab w:val="left" w:pos="4620"/>
        </w:tabs>
        <w:spacing w:line="360" w:lineRule="auto"/>
        <w:jc w:val="both"/>
        <w:rPr>
          <w:rFonts w:asciiTheme="majorBidi" w:hAnsiTheme="majorBidi" w:cstheme="majorBidi" w:hint="cs"/>
          <w:rtl/>
        </w:rPr>
      </w:pPr>
      <w:r>
        <w:rPr>
          <w:rFonts w:asciiTheme="majorBidi" w:hAnsiTheme="majorBidi" w:cstheme="majorBidi" w:hint="cs"/>
          <w:rtl/>
        </w:rPr>
        <w:t>כ</w:t>
      </w:r>
      <w:r w:rsidRPr="00B63B2B">
        <w:rPr>
          <w:rFonts w:asciiTheme="majorBidi" w:hAnsiTheme="majorBidi" w:cstheme="majorBidi" w:hint="cs"/>
          <w:b/>
          <w:bCs/>
          <w:rtl/>
        </w:rPr>
        <w:t>נספח</w:t>
      </w:r>
      <w:r>
        <w:rPr>
          <w:rFonts w:asciiTheme="majorBidi" w:hAnsiTheme="majorBidi" w:cstheme="majorBidi" w:hint="cs"/>
          <w:rtl/>
        </w:rPr>
        <w:t xml:space="preserve"> לעבודה מובאת רשימת ההבדלים מחמת דמיון גרפי בין נוסח המסורה והחומש השומרוני. ההבדלים מוצגים בטבלה, שבה מרוכזים הנתונים העולים מן האיסוף הטקסטואלי וניתוח הגרסאות עבור כל הבדל: גרסה עדיפה (אם יש), במי תומכת הגרסה המשתקפת בתרגום השבעים (אם בכלל), והאם ישנו תיעוד להבדל זה גם בהערות כתיב וקרי בנוסח המסורה. </w:t>
      </w:r>
    </w:p>
    <w:p w14:paraId="0E4733B4" w14:textId="77777777" w:rsidR="00E73BBB" w:rsidRDefault="00977642">
      <w:bookmarkStart w:id="0" w:name="_GoBack"/>
      <w:bookmarkEnd w:id="0"/>
    </w:p>
    <w:sectPr w:rsidR="00E73BBB" w:rsidSect="00FC4E52">
      <w:pgSz w:w="11900" w:h="16840"/>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642"/>
    <w:rsid w:val="007223F9"/>
    <w:rsid w:val="00977642"/>
    <w:rsid w:val="00FC4E52"/>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decimalSymbol w:val="."/>
  <w:listSeparator w:val=","/>
  <w14:docId w14:val="0478C8A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97764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ערכת נושא של Office">
  <a:themeElements>
    <a:clrScheme name="משרד">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משרד">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משרד">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2039</Characters>
  <Application>Microsoft Macintosh Word</Application>
  <DocSecurity>0</DocSecurity>
  <Lines>59</Lines>
  <Paragraphs>36</Paragraphs>
  <ScaleCrop>false</ScaleCrop>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יהונתן דיפני</dc:creator>
  <cp:keywords/>
  <dc:description/>
  <cp:lastModifiedBy>יהונתן דיפני</cp:lastModifiedBy>
  <cp:revision>1</cp:revision>
  <dcterms:created xsi:type="dcterms:W3CDTF">2019-09-25T09:09:00Z</dcterms:created>
  <dcterms:modified xsi:type="dcterms:W3CDTF">2019-09-25T09:10:00Z</dcterms:modified>
</cp:coreProperties>
</file>