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2F7B6" w14:textId="77777777" w:rsidR="00CC7185" w:rsidRPr="00FB3EC5" w:rsidRDefault="00CC7185" w:rsidP="00CC7185">
      <w:pPr>
        <w:spacing w:line="240" w:lineRule="auto"/>
        <w:jc w:val="center"/>
        <w:rPr>
          <w:rFonts w:ascii="Calibri" w:eastAsia="Calibri" w:hAnsi="Calibri" w:cs="David"/>
          <w:b/>
          <w:bCs/>
          <w:sz w:val="24"/>
          <w:szCs w:val="24"/>
          <w:rtl/>
        </w:rPr>
      </w:pPr>
      <w:r w:rsidRPr="00FB3EC5">
        <w:rPr>
          <w:rFonts w:ascii="Calibri" w:eastAsia="Calibri" w:hAnsi="Calibri" w:cs="David"/>
          <w:b/>
          <w:bCs/>
          <w:sz w:val="24"/>
          <w:szCs w:val="24"/>
          <w:rtl/>
        </w:rPr>
        <w:t xml:space="preserve">השינוי ברעיון המצפון אצל </w:t>
      </w:r>
      <w:proofErr w:type="spellStart"/>
      <w:r w:rsidRPr="00FB3EC5">
        <w:rPr>
          <w:rFonts w:ascii="Calibri" w:eastAsia="Calibri" w:hAnsi="Calibri" w:cs="David"/>
          <w:b/>
          <w:bCs/>
          <w:sz w:val="24"/>
          <w:szCs w:val="24"/>
          <w:rtl/>
        </w:rPr>
        <w:t>ארנדט</w:t>
      </w:r>
      <w:proofErr w:type="spellEnd"/>
      <w:r w:rsidRPr="00FB3EC5">
        <w:rPr>
          <w:rFonts w:ascii="Calibri" w:eastAsia="Calibri" w:hAnsi="Calibri" w:cs="David"/>
          <w:b/>
          <w:bCs/>
          <w:sz w:val="24"/>
          <w:szCs w:val="24"/>
          <w:rtl/>
        </w:rPr>
        <w:t xml:space="preserve"> ב-1970</w:t>
      </w:r>
    </w:p>
    <w:p w14:paraId="2CE5BCE9" w14:textId="77777777" w:rsidR="00CC7185" w:rsidRPr="00FB3EC5" w:rsidRDefault="00CC7185" w:rsidP="00CC7185">
      <w:pPr>
        <w:spacing w:line="240" w:lineRule="auto"/>
        <w:jc w:val="center"/>
        <w:rPr>
          <w:rFonts w:ascii="Calibri" w:eastAsia="Calibri" w:hAnsi="Calibri" w:cs="David"/>
          <w:b/>
          <w:bCs/>
          <w:sz w:val="24"/>
          <w:szCs w:val="24"/>
          <w:rtl/>
        </w:rPr>
      </w:pPr>
      <w:r w:rsidRPr="00FB3EC5">
        <w:rPr>
          <w:rFonts w:ascii="Calibri" w:eastAsia="Calibri" w:hAnsi="Calibri" w:cs="David" w:hint="cs"/>
          <w:b/>
          <w:bCs/>
          <w:sz w:val="24"/>
          <w:szCs w:val="24"/>
          <w:rtl/>
        </w:rPr>
        <w:t>חובב עקיבא כהן</w:t>
      </w:r>
    </w:p>
    <w:p w14:paraId="048D0E8A" w14:textId="77777777" w:rsidR="00CC7185" w:rsidRPr="00FB3EC5" w:rsidRDefault="00CC7185" w:rsidP="00CC7185">
      <w:pPr>
        <w:spacing w:line="240" w:lineRule="auto"/>
        <w:jc w:val="center"/>
        <w:rPr>
          <w:rFonts w:ascii="Calibri" w:eastAsia="Calibri" w:hAnsi="Calibri" w:cs="David"/>
          <w:b/>
          <w:bCs/>
          <w:sz w:val="24"/>
          <w:szCs w:val="24"/>
          <w:rtl/>
        </w:rPr>
      </w:pPr>
      <w:r w:rsidRPr="00FB3EC5">
        <w:rPr>
          <w:rFonts w:eastAsia="Times New Roman" w:cs="David" w:hint="cs"/>
          <w:b/>
          <w:bCs/>
          <w:sz w:val="24"/>
          <w:szCs w:val="24"/>
          <w:rtl/>
        </w:rPr>
        <w:t>תקציר</w:t>
      </w:r>
    </w:p>
    <w:p w14:paraId="32737A15" w14:textId="77777777" w:rsidR="00CC7185" w:rsidRDefault="00CC7185" w:rsidP="00CC7185">
      <w:pPr>
        <w:spacing w:after="0" w:line="480" w:lineRule="auto"/>
        <w:jc w:val="both"/>
        <w:rPr>
          <w:rFonts w:eastAsia="Times New Roman" w:cs="David"/>
          <w:sz w:val="24"/>
          <w:szCs w:val="24"/>
          <w:rtl/>
        </w:rPr>
      </w:pPr>
      <w:r>
        <w:rPr>
          <w:rFonts w:eastAsia="Times New Roman" w:cs="David" w:hint="cs"/>
          <w:sz w:val="24"/>
          <w:szCs w:val="24"/>
          <w:rtl/>
        </w:rPr>
        <w:t xml:space="preserve">דמותה של חנה </w:t>
      </w:r>
      <w:proofErr w:type="spellStart"/>
      <w:r>
        <w:rPr>
          <w:rFonts w:eastAsia="Times New Roman" w:cs="David" w:hint="cs"/>
          <w:sz w:val="24"/>
          <w:szCs w:val="24"/>
          <w:rtl/>
        </w:rPr>
        <w:t>ארנדט</w:t>
      </w:r>
      <w:proofErr w:type="spellEnd"/>
      <w:r>
        <w:rPr>
          <w:rFonts w:eastAsia="Times New Roman" w:cs="David" w:hint="cs"/>
          <w:sz w:val="24"/>
          <w:szCs w:val="24"/>
          <w:rtl/>
        </w:rPr>
        <w:t xml:space="preserve"> מסמלת לא פעם חשיבה אחרת. </w:t>
      </w:r>
      <w:proofErr w:type="spellStart"/>
      <w:r>
        <w:rPr>
          <w:rFonts w:eastAsia="Times New Roman" w:cs="David" w:hint="cs"/>
          <w:sz w:val="24"/>
          <w:szCs w:val="24"/>
          <w:rtl/>
        </w:rPr>
        <w:t>ארנדט</w:t>
      </w:r>
      <w:proofErr w:type="spellEnd"/>
      <w:r>
        <w:rPr>
          <w:rFonts w:eastAsia="Times New Roman" w:cs="David" w:hint="cs"/>
          <w:sz w:val="24"/>
          <w:szCs w:val="24"/>
          <w:rtl/>
        </w:rPr>
        <w:t xml:space="preserve"> חידשה מושגים רבים באמצעות חשיבתה תאורטית פוליטית יוצאת דופן. בין מושגים אלו נמצא מושג המצפון. דיון במושג פילוסופי זה מהווה רקע לחלק ניכר מכתביה. שנת 1970 היא נקודת ציון בה התחולל שינוי ביחסה של </w:t>
      </w:r>
      <w:proofErr w:type="spellStart"/>
      <w:r>
        <w:rPr>
          <w:rFonts w:eastAsia="Times New Roman" w:cs="David" w:hint="cs"/>
          <w:sz w:val="24"/>
          <w:szCs w:val="24"/>
          <w:rtl/>
        </w:rPr>
        <w:t>ארנדט</w:t>
      </w:r>
      <w:proofErr w:type="spellEnd"/>
      <w:r>
        <w:rPr>
          <w:rFonts w:eastAsia="Times New Roman" w:cs="David" w:hint="cs"/>
          <w:sz w:val="24"/>
          <w:szCs w:val="24"/>
          <w:rtl/>
        </w:rPr>
        <w:t xml:space="preserve"> לרעיון המצפון. </w:t>
      </w:r>
      <w:proofErr w:type="spellStart"/>
      <w:r>
        <w:rPr>
          <w:rFonts w:eastAsia="Times New Roman" w:cs="David" w:hint="cs"/>
          <w:sz w:val="24"/>
          <w:szCs w:val="24"/>
          <w:rtl/>
        </w:rPr>
        <w:t>ארנדט</w:t>
      </w:r>
      <w:proofErr w:type="spellEnd"/>
      <w:r>
        <w:rPr>
          <w:rFonts w:eastAsia="Times New Roman" w:cs="David" w:hint="cs"/>
          <w:sz w:val="24"/>
          <w:szCs w:val="24"/>
          <w:rtl/>
        </w:rPr>
        <w:t xml:space="preserve"> דנה בתוכנו ובמקומו של המצפון בשדה הפוליטי במאמר 'הרהורים: אי ציות אזרחי'. בנוסף מבחינה פילוסופית </w:t>
      </w:r>
      <w:proofErr w:type="spellStart"/>
      <w:r>
        <w:rPr>
          <w:rFonts w:eastAsia="Times New Roman" w:cs="David" w:hint="cs"/>
          <w:sz w:val="24"/>
          <w:szCs w:val="24"/>
          <w:rtl/>
        </w:rPr>
        <w:t>ארנדט</w:t>
      </w:r>
      <w:proofErr w:type="spellEnd"/>
      <w:r>
        <w:rPr>
          <w:rFonts w:eastAsia="Times New Roman" w:cs="David" w:hint="cs"/>
          <w:sz w:val="24"/>
          <w:szCs w:val="24"/>
          <w:rtl/>
        </w:rPr>
        <w:t xml:space="preserve"> פיתחה רעיון המשיק למצפון, רעיון החשיבה אשר חודד לאור הרצאות על הגותו של קאנט. בשנה זו היא עיצבה מחדש את רעיון המצפון הן מבחינה פוליטית והן מבחינה פילוסופית. עיצוב זה מעלה את השאלה: </w:t>
      </w:r>
      <w:r w:rsidRPr="00990957">
        <w:rPr>
          <w:rFonts w:eastAsia="Times New Roman" w:cs="David" w:hint="cs"/>
          <w:sz w:val="24"/>
          <w:szCs w:val="24"/>
          <w:rtl/>
        </w:rPr>
        <w:t xml:space="preserve">כיצד חל השינוי ברעיון המצפון אצל חנה </w:t>
      </w:r>
      <w:proofErr w:type="spellStart"/>
      <w:r w:rsidRPr="00990957">
        <w:rPr>
          <w:rFonts w:eastAsia="Times New Roman" w:cs="David" w:hint="cs"/>
          <w:sz w:val="24"/>
          <w:szCs w:val="24"/>
          <w:rtl/>
        </w:rPr>
        <w:t>ארנדט</w:t>
      </w:r>
      <w:proofErr w:type="spellEnd"/>
      <w:r w:rsidRPr="00990957">
        <w:rPr>
          <w:rFonts w:eastAsia="Times New Roman" w:cs="David" w:hint="cs"/>
          <w:sz w:val="24"/>
          <w:szCs w:val="24"/>
          <w:rtl/>
        </w:rPr>
        <w:t xml:space="preserve"> ב-1970</w:t>
      </w:r>
      <w:r>
        <w:rPr>
          <w:rFonts w:eastAsia="Times New Roman" w:cs="David" w:hint="cs"/>
          <w:sz w:val="24"/>
          <w:szCs w:val="24"/>
          <w:rtl/>
        </w:rPr>
        <w:t xml:space="preserve">? </w:t>
      </w:r>
      <w:r w:rsidRPr="000E6054">
        <w:rPr>
          <w:rFonts w:eastAsia="Times New Roman" w:cs="David"/>
          <w:sz w:val="24"/>
          <w:szCs w:val="24"/>
          <w:rtl/>
        </w:rPr>
        <w:t xml:space="preserve">ומהו השינוי אותו ביקשה </w:t>
      </w:r>
      <w:proofErr w:type="spellStart"/>
      <w:r w:rsidRPr="000E6054">
        <w:rPr>
          <w:rFonts w:eastAsia="Times New Roman" w:cs="David"/>
          <w:sz w:val="24"/>
          <w:szCs w:val="24"/>
          <w:rtl/>
        </w:rPr>
        <w:t>ארנדט</w:t>
      </w:r>
      <w:proofErr w:type="spellEnd"/>
      <w:r w:rsidRPr="000E6054">
        <w:rPr>
          <w:rFonts w:eastAsia="Times New Roman" w:cs="David"/>
          <w:sz w:val="24"/>
          <w:szCs w:val="24"/>
          <w:rtl/>
        </w:rPr>
        <w:t xml:space="preserve"> לחולל ברעיון המצפון?</w:t>
      </w:r>
      <w:r>
        <w:rPr>
          <w:rFonts w:eastAsia="Times New Roman" w:cs="David" w:hint="cs"/>
          <w:sz w:val="24"/>
          <w:szCs w:val="24"/>
          <w:rtl/>
        </w:rPr>
        <w:t xml:space="preserve"> </w:t>
      </w:r>
    </w:p>
    <w:p w14:paraId="131F4914" w14:textId="77777777" w:rsidR="00CC7185" w:rsidRDefault="00CC7185" w:rsidP="00CC7185">
      <w:pPr>
        <w:spacing w:after="0" w:line="480" w:lineRule="auto"/>
        <w:jc w:val="both"/>
        <w:rPr>
          <w:rFonts w:eastAsia="Times New Roman" w:cs="David"/>
          <w:sz w:val="24"/>
          <w:szCs w:val="24"/>
          <w:rtl/>
        </w:rPr>
      </w:pPr>
    </w:p>
    <w:p w14:paraId="324348C0" w14:textId="77777777" w:rsidR="00CC7185" w:rsidRDefault="00CC7185" w:rsidP="00CC7185">
      <w:pPr>
        <w:spacing w:after="0" w:line="480" w:lineRule="auto"/>
        <w:jc w:val="both"/>
        <w:rPr>
          <w:rFonts w:eastAsia="Times New Roman" w:cs="David"/>
          <w:sz w:val="24"/>
          <w:szCs w:val="24"/>
          <w:rtl/>
        </w:rPr>
      </w:pPr>
      <w:r>
        <w:rPr>
          <w:rFonts w:eastAsia="Times New Roman" w:cs="David" w:hint="cs"/>
          <w:sz w:val="24"/>
          <w:szCs w:val="24"/>
          <w:rtl/>
        </w:rPr>
        <w:t xml:space="preserve">גם בספרות המחקר סומן השינוי ההגותי של </w:t>
      </w:r>
      <w:proofErr w:type="spellStart"/>
      <w:r>
        <w:rPr>
          <w:rFonts w:eastAsia="Times New Roman" w:cs="David" w:hint="cs"/>
          <w:sz w:val="24"/>
          <w:szCs w:val="24"/>
          <w:rtl/>
        </w:rPr>
        <w:t>ארנדט</w:t>
      </w:r>
      <w:proofErr w:type="spellEnd"/>
      <w:r>
        <w:rPr>
          <w:rFonts w:eastAsia="Times New Roman" w:cs="David" w:hint="cs"/>
          <w:sz w:val="24"/>
          <w:szCs w:val="24"/>
          <w:rtl/>
        </w:rPr>
        <w:t xml:space="preserve"> ביחס למושג המצפון ב-1970. אך ישנה מחלוקת על היקפו ומשמעותו של השינוי ברעיון המצפון. ביחס למשמעותו של המצפון אצל </w:t>
      </w:r>
      <w:proofErr w:type="spellStart"/>
      <w:r>
        <w:rPr>
          <w:rFonts w:eastAsia="Times New Roman" w:cs="David" w:hint="cs"/>
          <w:sz w:val="24"/>
          <w:szCs w:val="24"/>
          <w:rtl/>
        </w:rPr>
        <w:t>ארנדט</w:t>
      </w:r>
      <w:proofErr w:type="spellEnd"/>
      <w:r>
        <w:rPr>
          <w:rFonts w:eastAsia="Times New Roman" w:cs="David" w:hint="cs"/>
          <w:sz w:val="24"/>
          <w:szCs w:val="24"/>
          <w:rtl/>
        </w:rPr>
        <w:t xml:space="preserve"> המחקר משרטט שני מודלים מושגיים ופוליטיי</w:t>
      </w:r>
      <w:r>
        <w:rPr>
          <w:rFonts w:eastAsia="Times New Roman" w:cs="David" w:hint="eastAsia"/>
          <w:sz w:val="24"/>
          <w:szCs w:val="24"/>
          <w:rtl/>
        </w:rPr>
        <w:t>ם</w:t>
      </w:r>
      <w:r>
        <w:rPr>
          <w:rFonts w:eastAsia="Times New Roman" w:cs="David" w:hint="cs"/>
          <w:sz w:val="24"/>
          <w:szCs w:val="24"/>
          <w:rtl/>
        </w:rPr>
        <w:t xml:space="preserve"> דרכם ניתן לאפיין את מושג המצפון. הרעיון המאחד בין מודלים אלו הוא היחס בין </w:t>
      </w:r>
      <w:r w:rsidRPr="00463CFE">
        <w:rPr>
          <w:rFonts w:eastAsia="Times New Roman" w:cs="David"/>
          <w:sz w:val="24"/>
          <w:szCs w:val="24"/>
          <w:rtl/>
        </w:rPr>
        <w:t xml:space="preserve">העיקרון </w:t>
      </w:r>
      <w:r>
        <w:rPr>
          <w:rFonts w:eastAsia="Times New Roman" w:cs="David" w:hint="cs"/>
          <w:sz w:val="24"/>
          <w:szCs w:val="24"/>
          <w:rtl/>
        </w:rPr>
        <w:t>של החוק ה</w:t>
      </w:r>
      <w:r w:rsidRPr="00463CFE">
        <w:rPr>
          <w:rFonts w:eastAsia="Times New Roman" w:cs="David"/>
          <w:sz w:val="24"/>
          <w:szCs w:val="24"/>
          <w:rtl/>
        </w:rPr>
        <w:t>טרנסנדנטי</w:t>
      </w:r>
      <w:r>
        <w:rPr>
          <w:rFonts w:eastAsia="Times New Roman" w:cs="David" w:hint="cs"/>
          <w:sz w:val="24"/>
          <w:szCs w:val="24"/>
          <w:rtl/>
        </w:rPr>
        <w:t xml:space="preserve"> ל</w:t>
      </w:r>
      <w:r w:rsidRPr="00463CFE">
        <w:rPr>
          <w:rFonts w:eastAsia="Times New Roman" w:cs="David"/>
          <w:sz w:val="24"/>
          <w:szCs w:val="24"/>
          <w:rtl/>
        </w:rPr>
        <w:t xml:space="preserve">עיקרון </w:t>
      </w:r>
      <w:r>
        <w:rPr>
          <w:rFonts w:eastAsia="Times New Roman" w:cs="David" w:hint="cs"/>
          <w:sz w:val="24"/>
          <w:szCs w:val="24"/>
          <w:rtl/>
        </w:rPr>
        <w:t xml:space="preserve">של </w:t>
      </w:r>
      <w:r w:rsidRPr="00463CFE">
        <w:rPr>
          <w:rFonts w:eastAsia="Times New Roman" w:cs="David"/>
          <w:sz w:val="24"/>
          <w:szCs w:val="24"/>
          <w:rtl/>
        </w:rPr>
        <w:t>הדיאלוג הסוקראטי.</w:t>
      </w:r>
      <w:r>
        <w:rPr>
          <w:rFonts w:eastAsia="Times New Roman" w:cs="David" w:hint="cs"/>
          <w:sz w:val="24"/>
          <w:szCs w:val="24"/>
          <w:rtl/>
        </w:rPr>
        <w:t xml:space="preserve"> יחד עם זאת ההתפתחות עצמה של המושג המצפון לא נחקרה באופן מקיף וכולל. כך למשל השינוי ברעיון המצפון אצל </w:t>
      </w:r>
      <w:proofErr w:type="spellStart"/>
      <w:r>
        <w:rPr>
          <w:rFonts w:eastAsia="Times New Roman" w:cs="David" w:hint="cs"/>
          <w:sz w:val="24"/>
          <w:szCs w:val="24"/>
          <w:rtl/>
        </w:rPr>
        <w:t>ארנדט</w:t>
      </w:r>
      <w:proofErr w:type="spellEnd"/>
      <w:r>
        <w:rPr>
          <w:rFonts w:eastAsia="Times New Roman" w:cs="David" w:hint="cs"/>
          <w:sz w:val="24"/>
          <w:szCs w:val="24"/>
          <w:rtl/>
        </w:rPr>
        <w:t xml:space="preserve"> נותק מהקשרו האינטלקטואלי. </w:t>
      </w:r>
    </w:p>
    <w:p w14:paraId="5A4AC856" w14:textId="77777777" w:rsidR="00CC7185" w:rsidRDefault="00CC7185" w:rsidP="00CC7185">
      <w:pPr>
        <w:spacing w:after="0" w:line="480" w:lineRule="auto"/>
        <w:jc w:val="both"/>
        <w:rPr>
          <w:rFonts w:ascii="Arial" w:hAnsi="Arial" w:cs="David"/>
          <w:sz w:val="24"/>
          <w:szCs w:val="24"/>
          <w:rtl/>
        </w:rPr>
      </w:pPr>
      <w:r>
        <w:rPr>
          <w:rFonts w:eastAsia="Times New Roman" w:cs="David" w:hint="cs"/>
          <w:sz w:val="24"/>
          <w:szCs w:val="24"/>
          <w:rtl/>
        </w:rPr>
        <w:t xml:space="preserve">במחקר זה נעשה שימוש </w:t>
      </w:r>
      <w:r>
        <w:rPr>
          <w:rFonts w:ascii="Calibri" w:eastAsia="Calibri" w:hAnsi="Calibri" w:cs="David" w:hint="cs"/>
          <w:sz w:val="24"/>
          <w:szCs w:val="24"/>
          <w:rtl/>
        </w:rPr>
        <w:t>ב</w:t>
      </w:r>
      <w:r w:rsidRPr="00990957">
        <w:rPr>
          <w:rFonts w:ascii="Calibri" w:eastAsia="Calibri" w:hAnsi="Calibri" w:cs="David" w:hint="cs"/>
          <w:sz w:val="24"/>
          <w:szCs w:val="24"/>
          <w:rtl/>
        </w:rPr>
        <w:t xml:space="preserve">שיטת </w:t>
      </w:r>
      <w:r>
        <w:rPr>
          <w:rFonts w:ascii="Calibri" w:eastAsia="Calibri" w:hAnsi="Calibri" w:cs="David" w:hint="cs"/>
          <w:sz w:val="24"/>
          <w:szCs w:val="24"/>
          <w:rtl/>
        </w:rPr>
        <w:t>ה</w:t>
      </w:r>
      <w:r w:rsidRPr="00990957">
        <w:rPr>
          <w:rFonts w:ascii="Calibri" w:eastAsia="Calibri" w:hAnsi="Calibri" w:cs="David" w:hint="cs"/>
          <w:sz w:val="24"/>
          <w:szCs w:val="24"/>
          <w:rtl/>
        </w:rPr>
        <w:t>היסטורי</w:t>
      </w:r>
      <w:r w:rsidRPr="00990957">
        <w:rPr>
          <w:rFonts w:ascii="Calibri" w:eastAsia="Calibri" w:hAnsi="Calibri" w:cs="David" w:hint="eastAsia"/>
          <w:sz w:val="24"/>
          <w:szCs w:val="24"/>
          <w:rtl/>
        </w:rPr>
        <w:t>ה</w:t>
      </w:r>
      <w:r w:rsidRPr="00990957">
        <w:rPr>
          <w:rFonts w:ascii="Calibri" w:eastAsia="Calibri" w:hAnsi="Calibri" w:cs="David" w:hint="cs"/>
          <w:sz w:val="24"/>
          <w:szCs w:val="24"/>
          <w:rtl/>
        </w:rPr>
        <w:t xml:space="preserve"> </w:t>
      </w:r>
      <w:r>
        <w:rPr>
          <w:rFonts w:ascii="Calibri" w:eastAsia="Calibri" w:hAnsi="Calibri" w:cs="David" w:hint="cs"/>
          <w:sz w:val="24"/>
          <w:szCs w:val="24"/>
          <w:rtl/>
        </w:rPr>
        <w:t>ה</w:t>
      </w:r>
      <w:r w:rsidRPr="00990957">
        <w:rPr>
          <w:rFonts w:ascii="Calibri" w:eastAsia="Calibri" w:hAnsi="Calibri" w:cs="David" w:hint="cs"/>
          <w:sz w:val="24"/>
          <w:szCs w:val="24"/>
          <w:rtl/>
        </w:rPr>
        <w:t>אינטלקטואלית</w:t>
      </w:r>
      <w:r w:rsidRPr="00D3560C">
        <w:rPr>
          <w:rFonts w:ascii="Arial" w:hAnsi="Arial" w:cs="David" w:hint="cs"/>
          <w:sz w:val="24"/>
          <w:szCs w:val="24"/>
          <w:rtl/>
        </w:rPr>
        <w:t xml:space="preserve">. </w:t>
      </w:r>
      <w:r>
        <w:rPr>
          <w:rFonts w:ascii="Arial" w:hAnsi="Arial" w:cs="David" w:hint="cs"/>
          <w:sz w:val="24"/>
          <w:szCs w:val="24"/>
          <w:rtl/>
        </w:rPr>
        <w:t xml:space="preserve">כחלק משיטה זו נבחנו </w:t>
      </w:r>
      <w:r w:rsidRPr="00D3560C">
        <w:rPr>
          <w:rFonts w:ascii="Arial" w:hAnsi="Arial" w:cs="David"/>
          <w:sz w:val="24"/>
          <w:szCs w:val="24"/>
          <w:rtl/>
        </w:rPr>
        <w:t>רעיו</w:t>
      </w:r>
      <w:r w:rsidRPr="00D3560C">
        <w:rPr>
          <w:rFonts w:ascii="Arial" w:hAnsi="Arial" w:cs="David" w:hint="cs"/>
          <w:sz w:val="24"/>
          <w:szCs w:val="24"/>
          <w:rtl/>
        </w:rPr>
        <w:t>נות</w:t>
      </w:r>
      <w:r w:rsidRPr="00D3560C">
        <w:rPr>
          <w:rFonts w:ascii="Arial" w:hAnsi="Arial" w:cs="David"/>
          <w:sz w:val="24"/>
          <w:szCs w:val="24"/>
          <w:rtl/>
        </w:rPr>
        <w:t xml:space="preserve"> מרכזי</w:t>
      </w:r>
      <w:r w:rsidRPr="00D3560C">
        <w:rPr>
          <w:rFonts w:ascii="Arial" w:hAnsi="Arial" w:cs="David" w:hint="cs"/>
          <w:sz w:val="24"/>
          <w:szCs w:val="24"/>
          <w:rtl/>
        </w:rPr>
        <w:t>ם</w:t>
      </w:r>
      <w:r w:rsidRPr="00D3560C">
        <w:rPr>
          <w:rFonts w:ascii="Arial" w:hAnsi="Arial" w:cs="David"/>
          <w:sz w:val="24"/>
          <w:szCs w:val="24"/>
          <w:rtl/>
        </w:rPr>
        <w:t xml:space="preserve"> הנמצא</w:t>
      </w:r>
      <w:r w:rsidRPr="00D3560C">
        <w:rPr>
          <w:rFonts w:ascii="Arial" w:hAnsi="Arial" w:cs="David" w:hint="cs"/>
          <w:sz w:val="24"/>
          <w:szCs w:val="24"/>
          <w:rtl/>
        </w:rPr>
        <w:t xml:space="preserve">ים </w:t>
      </w:r>
      <w:r w:rsidRPr="00D3560C">
        <w:rPr>
          <w:rFonts w:ascii="Arial" w:hAnsi="Arial" w:cs="David"/>
          <w:sz w:val="24"/>
          <w:szCs w:val="24"/>
          <w:rtl/>
        </w:rPr>
        <w:t xml:space="preserve">בבסיס </w:t>
      </w:r>
      <w:r w:rsidRPr="00D3560C">
        <w:rPr>
          <w:rFonts w:ascii="Arial" w:hAnsi="Arial" w:cs="David" w:hint="cs"/>
          <w:sz w:val="24"/>
          <w:szCs w:val="24"/>
          <w:rtl/>
        </w:rPr>
        <w:t>המקורות</w:t>
      </w:r>
      <w:r>
        <w:rPr>
          <w:rFonts w:ascii="Arial" w:hAnsi="Arial" w:cs="David" w:hint="cs"/>
          <w:sz w:val="24"/>
          <w:szCs w:val="24"/>
          <w:rtl/>
        </w:rPr>
        <w:t xml:space="preserve"> של </w:t>
      </w:r>
      <w:proofErr w:type="spellStart"/>
      <w:r>
        <w:rPr>
          <w:rFonts w:ascii="Arial" w:hAnsi="Arial" w:cs="David" w:hint="cs"/>
          <w:sz w:val="24"/>
          <w:szCs w:val="24"/>
          <w:rtl/>
        </w:rPr>
        <w:t>ארנדט</w:t>
      </w:r>
      <w:proofErr w:type="spellEnd"/>
      <w:r w:rsidRPr="00D3560C">
        <w:rPr>
          <w:rFonts w:ascii="Arial" w:hAnsi="Arial" w:cs="David" w:hint="cs"/>
          <w:sz w:val="24"/>
          <w:szCs w:val="24"/>
          <w:rtl/>
        </w:rPr>
        <w:t xml:space="preserve"> </w:t>
      </w:r>
      <w:r>
        <w:rPr>
          <w:rFonts w:ascii="Arial" w:hAnsi="Arial" w:cs="David" w:hint="cs"/>
          <w:sz w:val="24"/>
          <w:szCs w:val="24"/>
          <w:rtl/>
        </w:rPr>
        <w:t xml:space="preserve">ופותחו </w:t>
      </w:r>
      <w:r w:rsidRPr="00D3560C">
        <w:rPr>
          <w:rFonts w:ascii="Arial" w:hAnsi="Arial" w:cs="David"/>
          <w:sz w:val="24"/>
          <w:szCs w:val="24"/>
          <w:rtl/>
        </w:rPr>
        <w:t>יחידות משמעות</w:t>
      </w:r>
      <w:r>
        <w:rPr>
          <w:rFonts w:ascii="Arial" w:hAnsi="Arial" w:cs="David" w:hint="cs"/>
          <w:sz w:val="24"/>
          <w:szCs w:val="24"/>
          <w:rtl/>
        </w:rPr>
        <w:t xml:space="preserve"> ביחס לרעיון המצפון</w:t>
      </w:r>
      <w:r w:rsidRPr="00990957">
        <w:rPr>
          <w:rFonts w:ascii="Calibri" w:eastAsia="Calibri" w:hAnsi="Calibri" w:cs="David" w:hint="cs"/>
          <w:sz w:val="24"/>
          <w:szCs w:val="24"/>
          <w:rtl/>
        </w:rPr>
        <w:t>.</w:t>
      </w:r>
      <w:r>
        <w:rPr>
          <w:rFonts w:ascii="Calibri" w:eastAsia="Calibri" w:hAnsi="Calibri" w:cs="David" w:hint="cs"/>
          <w:sz w:val="24"/>
          <w:szCs w:val="24"/>
          <w:rtl/>
        </w:rPr>
        <w:t xml:space="preserve"> </w:t>
      </w:r>
      <w:r>
        <w:rPr>
          <w:rFonts w:ascii="Arial" w:hAnsi="Arial" w:cs="David" w:hint="cs"/>
          <w:sz w:val="24"/>
          <w:szCs w:val="24"/>
          <w:rtl/>
        </w:rPr>
        <w:t xml:space="preserve"> ה</w:t>
      </w:r>
      <w:r w:rsidRPr="00D3560C">
        <w:rPr>
          <w:rFonts w:ascii="Arial" w:hAnsi="Arial" w:cs="David" w:hint="cs"/>
          <w:sz w:val="24"/>
          <w:szCs w:val="24"/>
          <w:rtl/>
        </w:rPr>
        <w:t>מקורות</w:t>
      </w:r>
      <w:r>
        <w:rPr>
          <w:rFonts w:ascii="Arial" w:hAnsi="Arial" w:cs="David" w:hint="cs"/>
          <w:sz w:val="24"/>
          <w:szCs w:val="24"/>
          <w:rtl/>
        </w:rPr>
        <w:t xml:space="preserve"> אליהם התייחסנו הם: </w:t>
      </w:r>
      <w:r w:rsidRPr="00D3560C">
        <w:rPr>
          <w:rFonts w:ascii="Arial" w:hAnsi="Arial" w:cs="David" w:hint="cs"/>
          <w:sz w:val="24"/>
          <w:szCs w:val="24"/>
          <w:rtl/>
        </w:rPr>
        <w:t>כתיבתה הפובליציסטי</w:t>
      </w:r>
      <w:r w:rsidRPr="00D3560C">
        <w:rPr>
          <w:rFonts w:ascii="Arial" w:hAnsi="Arial" w:cs="David" w:hint="eastAsia"/>
          <w:sz w:val="24"/>
          <w:szCs w:val="24"/>
          <w:rtl/>
        </w:rPr>
        <w:t>ת</w:t>
      </w:r>
      <w:r w:rsidRPr="00D3560C">
        <w:rPr>
          <w:rFonts w:ascii="Arial" w:hAnsi="Arial" w:cs="David" w:hint="cs"/>
          <w:sz w:val="24"/>
          <w:szCs w:val="24"/>
          <w:rtl/>
        </w:rPr>
        <w:t xml:space="preserve"> של </w:t>
      </w:r>
      <w:proofErr w:type="spellStart"/>
      <w:r w:rsidRPr="00D3560C">
        <w:rPr>
          <w:rFonts w:ascii="Arial" w:hAnsi="Arial" w:cs="David" w:hint="cs"/>
          <w:sz w:val="24"/>
          <w:szCs w:val="24"/>
          <w:rtl/>
        </w:rPr>
        <w:t>ארנדט</w:t>
      </w:r>
      <w:proofErr w:type="spellEnd"/>
      <w:r>
        <w:rPr>
          <w:rFonts w:ascii="Arial" w:hAnsi="Arial" w:cs="David" w:hint="cs"/>
          <w:sz w:val="24"/>
          <w:szCs w:val="24"/>
          <w:rtl/>
        </w:rPr>
        <w:t>,</w:t>
      </w:r>
      <w:r w:rsidRPr="00D3560C">
        <w:rPr>
          <w:rFonts w:ascii="Arial" w:hAnsi="Arial" w:cs="David" w:hint="cs"/>
          <w:sz w:val="24"/>
          <w:szCs w:val="24"/>
          <w:rtl/>
        </w:rPr>
        <w:t xml:space="preserve"> הופעותיה של </w:t>
      </w:r>
      <w:proofErr w:type="spellStart"/>
      <w:r w:rsidRPr="00D3560C">
        <w:rPr>
          <w:rFonts w:ascii="Arial" w:hAnsi="Arial" w:cs="David" w:hint="cs"/>
          <w:sz w:val="24"/>
          <w:szCs w:val="24"/>
          <w:rtl/>
        </w:rPr>
        <w:t>ארנדט</w:t>
      </w:r>
      <w:proofErr w:type="spellEnd"/>
      <w:r>
        <w:rPr>
          <w:rFonts w:ascii="Arial" w:hAnsi="Arial" w:cs="David" w:hint="cs"/>
          <w:sz w:val="24"/>
          <w:szCs w:val="24"/>
          <w:rtl/>
        </w:rPr>
        <w:t xml:space="preserve">, </w:t>
      </w:r>
      <w:r w:rsidRPr="00D3560C">
        <w:rPr>
          <w:rFonts w:ascii="Arial" w:hAnsi="Arial" w:cs="David" w:hint="cs"/>
          <w:sz w:val="24"/>
          <w:szCs w:val="24"/>
          <w:rtl/>
        </w:rPr>
        <w:t>פרטים אישיים וביוגרפים</w:t>
      </w:r>
      <w:r>
        <w:rPr>
          <w:rFonts w:ascii="Arial" w:hAnsi="Arial" w:cs="David" w:hint="cs"/>
          <w:sz w:val="24"/>
          <w:szCs w:val="24"/>
          <w:rtl/>
        </w:rPr>
        <w:t>,</w:t>
      </w:r>
      <w:r w:rsidRPr="00D3560C">
        <w:rPr>
          <w:rFonts w:ascii="Arial" w:hAnsi="Arial" w:cs="David" w:hint="cs"/>
          <w:sz w:val="24"/>
          <w:szCs w:val="24"/>
          <w:rtl/>
        </w:rPr>
        <w:t xml:space="preserve"> כתבים ופרסומים של דוברי הכנסים</w:t>
      </w:r>
      <w:r>
        <w:rPr>
          <w:rFonts w:ascii="Arial" w:hAnsi="Arial" w:cs="David" w:hint="cs"/>
          <w:sz w:val="24"/>
          <w:szCs w:val="24"/>
          <w:rtl/>
        </w:rPr>
        <w:t xml:space="preserve"> </w:t>
      </w:r>
      <w:r w:rsidRPr="00D3560C">
        <w:rPr>
          <w:rFonts w:ascii="Arial" w:hAnsi="Arial" w:cs="David" w:hint="cs"/>
          <w:sz w:val="24"/>
          <w:szCs w:val="24"/>
          <w:rtl/>
        </w:rPr>
        <w:t xml:space="preserve">ושימוש בכתיבה מחקרית אודות רעיונותיה של </w:t>
      </w:r>
      <w:proofErr w:type="spellStart"/>
      <w:r w:rsidRPr="00D3560C">
        <w:rPr>
          <w:rFonts w:ascii="Arial" w:hAnsi="Arial" w:cs="David" w:hint="cs"/>
          <w:sz w:val="24"/>
          <w:szCs w:val="24"/>
          <w:rtl/>
        </w:rPr>
        <w:t>ארנדט</w:t>
      </w:r>
      <w:proofErr w:type="spellEnd"/>
      <w:r>
        <w:rPr>
          <w:rFonts w:ascii="Arial" w:hAnsi="Arial" w:cs="David" w:hint="cs"/>
          <w:sz w:val="24"/>
          <w:szCs w:val="24"/>
          <w:rtl/>
        </w:rPr>
        <w:t xml:space="preserve"> עצמה</w:t>
      </w:r>
      <w:r w:rsidRPr="00D3560C">
        <w:rPr>
          <w:rFonts w:ascii="Arial" w:hAnsi="Arial" w:cs="David" w:hint="cs"/>
          <w:sz w:val="24"/>
          <w:szCs w:val="24"/>
          <w:rtl/>
        </w:rPr>
        <w:t>.</w:t>
      </w:r>
      <w:r>
        <w:rPr>
          <w:rFonts w:ascii="Arial" w:hAnsi="Arial" w:cs="David" w:hint="cs"/>
          <w:sz w:val="24"/>
          <w:szCs w:val="24"/>
          <w:rtl/>
        </w:rPr>
        <w:t xml:space="preserve"> </w:t>
      </w:r>
    </w:p>
    <w:p w14:paraId="01F47C3D" w14:textId="77777777" w:rsidR="00CC7185" w:rsidRDefault="00CC7185" w:rsidP="00CC7185">
      <w:pPr>
        <w:spacing w:after="0" w:line="480" w:lineRule="auto"/>
        <w:jc w:val="both"/>
        <w:rPr>
          <w:rFonts w:ascii="Arial" w:hAnsi="Arial" w:cs="David" w:hint="cs"/>
          <w:sz w:val="24"/>
          <w:szCs w:val="24"/>
          <w:rtl/>
        </w:rPr>
      </w:pPr>
    </w:p>
    <w:p w14:paraId="1B4EE057" w14:textId="77777777" w:rsidR="00CC7185" w:rsidRPr="00736513" w:rsidRDefault="00CC7185" w:rsidP="00CC7185">
      <w:pPr>
        <w:spacing w:after="0" w:line="480" w:lineRule="auto"/>
        <w:jc w:val="both"/>
        <w:rPr>
          <w:rFonts w:ascii="Arial" w:hAnsi="Arial" w:cs="David"/>
          <w:b/>
          <w:bCs/>
          <w:sz w:val="24"/>
          <w:szCs w:val="24"/>
          <w:rtl/>
        </w:rPr>
      </w:pPr>
      <w:r w:rsidRPr="00736513">
        <w:rPr>
          <w:rFonts w:ascii="Arial" w:hAnsi="Arial" w:cs="David" w:hint="cs"/>
          <w:b/>
          <w:bCs/>
          <w:sz w:val="24"/>
          <w:szCs w:val="24"/>
          <w:rtl/>
        </w:rPr>
        <w:t>פרק ראשון ושני</w:t>
      </w:r>
      <w:r>
        <w:rPr>
          <w:rFonts w:ascii="Arial" w:hAnsi="Arial" w:cs="David" w:hint="cs"/>
          <w:b/>
          <w:bCs/>
          <w:sz w:val="24"/>
          <w:szCs w:val="24"/>
          <w:rtl/>
        </w:rPr>
        <w:t>-</w:t>
      </w:r>
      <w:r w:rsidRPr="00736513">
        <w:rPr>
          <w:rFonts w:ascii="Arial" w:hAnsi="Arial" w:cs="David" w:hint="cs"/>
          <w:b/>
          <w:bCs/>
          <w:sz w:val="24"/>
          <w:szCs w:val="24"/>
          <w:rtl/>
        </w:rPr>
        <w:t xml:space="preserve"> </w:t>
      </w:r>
      <w:r>
        <w:rPr>
          <w:rFonts w:ascii="Arial" w:hAnsi="Arial" w:cs="David" w:hint="cs"/>
          <w:b/>
          <w:bCs/>
          <w:sz w:val="24"/>
          <w:szCs w:val="24"/>
          <w:rtl/>
        </w:rPr>
        <w:t>המוטיבים המצפונים</w:t>
      </w:r>
      <w:r w:rsidRPr="009908CA">
        <w:rPr>
          <w:rFonts w:ascii="Arial" w:hAnsi="Arial" w:cs="David"/>
          <w:b/>
          <w:bCs/>
          <w:sz w:val="24"/>
          <w:szCs w:val="24"/>
          <w:rtl/>
        </w:rPr>
        <w:t xml:space="preserve"> </w:t>
      </w:r>
      <w:r>
        <w:rPr>
          <w:rFonts w:ascii="Arial" w:hAnsi="Arial" w:cs="David" w:hint="cs"/>
          <w:b/>
          <w:bCs/>
          <w:sz w:val="24"/>
          <w:szCs w:val="24"/>
          <w:rtl/>
        </w:rPr>
        <w:t>עד 1970 וה</w:t>
      </w:r>
      <w:r w:rsidRPr="009908CA">
        <w:rPr>
          <w:rFonts w:ascii="Arial" w:hAnsi="Arial" w:cs="David"/>
          <w:b/>
          <w:bCs/>
          <w:sz w:val="24"/>
          <w:szCs w:val="24"/>
          <w:rtl/>
        </w:rPr>
        <w:t>דיאלקטיקה של מושג המצפון ב-1970</w:t>
      </w:r>
    </w:p>
    <w:p w14:paraId="3C013B94" w14:textId="77777777" w:rsidR="00CC7185" w:rsidRDefault="00CC7185" w:rsidP="00CC7185">
      <w:pPr>
        <w:spacing w:after="0" w:line="480" w:lineRule="auto"/>
        <w:jc w:val="both"/>
        <w:rPr>
          <w:rFonts w:ascii="Arial" w:hAnsi="Arial" w:cs="David"/>
          <w:sz w:val="24"/>
          <w:szCs w:val="24"/>
          <w:rtl/>
        </w:rPr>
      </w:pPr>
      <w:r>
        <w:rPr>
          <w:rFonts w:ascii="Arial" w:hAnsi="Arial" w:cs="David" w:hint="cs"/>
          <w:sz w:val="24"/>
          <w:szCs w:val="24"/>
          <w:rtl/>
        </w:rPr>
        <w:t xml:space="preserve">על מנת לרדת לשורש עניין </w:t>
      </w:r>
      <w:r>
        <w:rPr>
          <w:rFonts w:ascii="Calibri" w:hAnsi="Calibri" w:cs="David" w:hint="cs"/>
          <w:sz w:val="24"/>
          <w:szCs w:val="24"/>
          <w:rtl/>
        </w:rPr>
        <w:t>סקרנו תחילה</w:t>
      </w:r>
      <w:r w:rsidRPr="003C429B">
        <w:rPr>
          <w:rFonts w:ascii="Calibri" w:hAnsi="Calibri" w:cs="David" w:hint="cs"/>
          <w:sz w:val="24"/>
          <w:szCs w:val="24"/>
          <w:rtl/>
        </w:rPr>
        <w:t xml:space="preserve"> את המקורות הראשונים ב</w:t>
      </w:r>
      <w:r w:rsidRPr="003C429B">
        <w:rPr>
          <w:rFonts w:ascii="Arial" w:hAnsi="Arial" w:cs="David" w:hint="cs"/>
          <w:sz w:val="24"/>
          <w:szCs w:val="24"/>
          <w:rtl/>
        </w:rPr>
        <w:t xml:space="preserve">רעיון המצפון עד 1970 בכתביה של </w:t>
      </w:r>
      <w:proofErr w:type="spellStart"/>
      <w:r w:rsidRPr="003C429B">
        <w:rPr>
          <w:rFonts w:ascii="Arial" w:hAnsi="Arial" w:cs="David" w:hint="cs"/>
          <w:sz w:val="24"/>
          <w:szCs w:val="24"/>
          <w:rtl/>
        </w:rPr>
        <w:t>ארנדט</w:t>
      </w:r>
      <w:proofErr w:type="spellEnd"/>
      <w:r w:rsidRPr="003C429B">
        <w:rPr>
          <w:rFonts w:ascii="Arial" w:hAnsi="Arial" w:cs="David" w:hint="cs"/>
          <w:sz w:val="24"/>
          <w:szCs w:val="24"/>
          <w:rtl/>
        </w:rPr>
        <w:t xml:space="preserve">. לאור עיון בכתבים אלו </w:t>
      </w:r>
      <w:r>
        <w:rPr>
          <w:rFonts w:ascii="Arial" w:hAnsi="Arial" w:cs="David" w:hint="cs"/>
          <w:sz w:val="24"/>
          <w:szCs w:val="24"/>
          <w:rtl/>
        </w:rPr>
        <w:t>נתגלו</w:t>
      </w:r>
      <w:r w:rsidRPr="003C429B">
        <w:rPr>
          <w:rFonts w:ascii="Arial" w:hAnsi="Arial" w:cs="David" w:hint="cs"/>
          <w:sz w:val="24"/>
          <w:szCs w:val="24"/>
          <w:rtl/>
        </w:rPr>
        <w:t xml:space="preserve"> </w:t>
      </w:r>
      <w:r w:rsidRPr="003C429B">
        <w:rPr>
          <w:rFonts w:ascii="Calibri" w:hAnsi="Calibri" w:cs="David" w:hint="cs"/>
          <w:sz w:val="24"/>
          <w:szCs w:val="24"/>
          <w:rtl/>
        </w:rPr>
        <w:t xml:space="preserve">שני מוטיבים מצפונים בכתביה של </w:t>
      </w:r>
      <w:proofErr w:type="spellStart"/>
      <w:r w:rsidRPr="003C429B">
        <w:rPr>
          <w:rFonts w:ascii="Calibri" w:hAnsi="Calibri" w:cs="David" w:hint="cs"/>
          <w:sz w:val="24"/>
          <w:szCs w:val="24"/>
          <w:rtl/>
        </w:rPr>
        <w:t>ארנדט</w:t>
      </w:r>
      <w:proofErr w:type="spellEnd"/>
      <w:r w:rsidRPr="003C429B">
        <w:rPr>
          <w:rFonts w:ascii="Calibri" w:hAnsi="Calibri" w:cs="David" w:hint="cs"/>
          <w:sz w:val="24"/>
          <w:szCs w:val="24"/>
          <w:rtl/>
        </w:rPr>
        <w:t xml:space="preserve"> עד 1970: 'קול המצפון' ו-'אישיות המצפונית'.</w:t>
      </w:r>
      <w:r w:rsidRPr="00CC2DF3">
        <w:rPr>
          <w:rFonts w:ascii="Calibri" w:hAnsi="Calibri" w:cs="David" w:hint="cs"/>
          <w:sz w:val="24"/>
          <w:szCs w:val="24"/>
          <w:rtl/>
        </w:rPr>
        <w:t xml:space="preserve"> </w:t>
      </w:r>
      <w:r w:rsidRPr="004208D9">
        <w:rPr>
          <w:rFonts w:ascii="David" w:eastAsia="Calibri" w:hAnsi="David" w:cs="David" w:hint="cs"/>
          <w:sz w:val="24"/>
          <w:szCs w:val="24"/>
          <w:rtl/>
        </w:rPr>
        <w:t>המוטיב הפילוסופי,</w:t>
      </w:r>
      <w:r w:rsidRPr="004208D9">
        <w:rPr>
          <w:rFonts w:ascii="Calibri" w:eastAsia="Calibri" w:hAnsi="Calibri" w:cs="David"/>
          <w:sz w:val="24"/>
          <w:szCs w:val="24"/>
          <w:rtl/>
        </w:rPr>
        <w:t xml:space="preserve"> </w:t>
      </w:r>
      <w:r w:rsidRPr="004208D9">
        <w:rPr>
          <w:rFonts w:ascii="Calibri" w:eastAsia="Calibri" w:hAnsi="Calibri" w:cs="David" w:hint="cs"/>
          <w:sz w:val="24"/>
          <w:szCs w:val="24"/>
          <w:rtl/>
        </w:rPr>
        <w:t>קול בעצמי המעורר חשיבה ו</w:t>
      </w:r>
      <w:r w:rsidRPr="004208D9">
        <w:rPr>
          <w:rFonts w:ascii="David" w:eastAsia="Calibri" w:hAnsi="David" w:cs="David" w:hint="cs"/>
          <w:sz w:val="24"/>
          <w:szCs w:val="24"/>
          <w:rtl/>
        </w:rPr>
        <w:t>יוצר הבדלה מוסרית</w:t>
      </w:r>
      <w:r>
        <w:rPr>
          <w:rFonts w:ascii="David" w:eastAsia="Calibri" w:hAnsi="David" w:cs="David" w:hint="cs"/>
          <w:sz w:val="24"/>
          <w:szCs w:val="24"/>
          <w:rtl/>
        </w:rPr>
        <w:t xml:space="preserve">. והמוטיב הפוליטי, </w:t>
      </w:r>
      <w:r w:rsidRPr="00081D8D">
        <w:rPr>
          <w:rFonts w:cs="David"/>
          <w:sz w:val="24"/>
          <w:szCs w:val="24"/>
          <w:rtl/>
        </w:rPr>
        <w:t xml:space="preserve">דמויות </w:t>
      </w:r>
      <w:r>
        <w:rPr>
          <w:rFonts w:cs="David" w:hint="cs"/>
          <w:sz w:val="24"/>
          <w:szCs w:val="24"/>
          <w:rtl/>
        </w:rPr>
        <w:t xml:space="preserve">היסטוריות </w:t>
      </w:r>
      <w:r w:rsidRPr="00081D8D">
        <w:rPr>
          <w:rFonts w:cs="David"/>
          <w:sz w:val="24"/>
          <w:szCs w:val="24"/>
          <w:rtl/>
        </w:rPr>
        <w:t xml:space="preserve">מצפוניות </w:t>
      </w:r>
      <w:r>
        <w:rPr>
          <w:rFonts w:cs="David" w:hint="cs"/>
          <w:sz w:val="24"/>
          <w:szCs w:val="24"/>
          <w:rtl/>
        </w:rPr>
        <w:t xml:space="preserve">וכניגוד אליהם דמויות </w:t>
      </w:r>
      <w:r w:rsidRPr="00081D8D">
        <w:rPr>
          <w:rFonts w:cs="David"/>
          <w:sz w:val="24"/>
          <w:szCs w:val="24"/>
          <w:rtl/>
        </w:rPr>
        <w:t xml:space="preserve">ללא יכולת חשיבה. </w:t>
      </w:r>
      <w:r w:rsidRPr="00CC2DF3">
        <w:rPr>
          <w:rFonts w:ascii="Calibri" w:hAnsi="Calibri" w:cs="David" w:hint="cs"/>
          <w:sz w:val="24"/>
          <w:szCs w:val="24"/>
          <w:rtl/>
        </w:rPr>
        <w:t xml:space="preserve">בעקבות חידוד </w:t>
      </w:r>
      <w:r>
        <w:rPr>
          <w:rFonts w:ascii="Calibri" w:hAnsi="Calibri" w:cs="David" w:hint="cs"/>
          <w:sz w:val="24"/>
          <w:szCs w:val="24"/>
          <w:rtl/>
        </w:rPr>
        <w:t>ה</w:t>
      </w:r>
      <w:r w:rsidRPr="00CC2DF3">
        <w:rPr>
          <w:rFonts w:ascii="Calibri" w:hAnsi="Calibri" w:cs="David" w:hint="cs"/>
          <w:sz w:val="24"/>
          <w:szCs w:val="24"/>
          <w:rtl/>
        </w:rPr>
        <w:t xml:space="preserve">מוטיבים </w:t>
      </w:r>
      <w:r>
        <w:rPr>
          <w:rFonts w:ascii="Calibri" w:hAnsi="Calibri" w:cs="David" w:hint="cs"/>
          <w:sz w:val="24"/>
          <w:szCs w:val="24"/>
          <w:rtl/>
        </w:rPr>
        <w:t>בחנו</w:t>
      </w:r>
      <w:r w:rsidRPr="00CC2DF3">
        <w:rPr>
          <w:rFonts w:ascii="Calibri" w:hAnsi="Calibri" w:cs="David" w:hint="cs"/>
          <w:sz w:val="24"/>
          <w:szCs w:val="24"/>
          <w:rtl/>
        </w:rPr>
        <w:t xml:space="preserve"> את המקורות הראשונים של </w:t>
      </w:r>
      <w:proofErr w:type="spellStart"/>
      <w:r w:rsidRPr="00CC2DF3">
        <w:rPr>
          <w:rFonts w:ascii="Calibri" w:hAnsi="Calibri" w:cs="David" w:hint="cs"/>
          <w:sz w:val="24"/>
          <w:szCs w:val="24"/>
          <w:rtl/>
        </w:rPr>
        <w:t>ארנדט</w:t>
      </w:r>
      <w:proofErr w:type="spellEnd"/>
      <w:r w:rsidRPr="00CC2DF3">
        <w:rPr>
          <w:rFonts w:ascii="Calibri" w:hAnsi="Calibri" w:cs="David" w:hint="cs"/>
          <w:sz w:val="24"/>
          <w:szCs w:val="24"/>
          <w:rtl/>
        </w:rPr>
        <w:t xml:space="preserve"> בשנת 1970.</w:t>
      </w:r>
      <w:r w:rsidRPr="00CC2DF3">
        <w:rPr>
          <w:rFonts w:ascii="Calibri" w:eastAsia="Calibri" w:hAnsi="Calibri" w:cs="David" w:hint="cs"/>
          <w:sz w:val="24"/>
          <w:szCs w:val="24"/>
          <w:rtl/>
        </w:rPr>
        <w:t xml:space="preserve"> </w:t>
      </w:r>
    </w:p>
    <w:p w14:paraId="165782AC" w14:textId="77777777" w:rsidR="00CC7185" w:rsidRDefault="00CC7185" w:rsidP="00CC7185">
      <w:pPr>
        <w:spacing w:after="0" w:line="480" w:lineRule="auto"/>
        <w:jc w:val="both"/>
        <w:rPr>
          <w:rFonts w:ascii="Arial" w:hAnsi="Arial" w:cs="David"/>
          <w:sz w:val="24"/>
          <w:szCs w:val="24"/>
          <w:rtl/>
        </w:rPr>
      </w:pPr>
      <w:r w:rsidRPr="00C90319">
        <w:rPr>
          <w:rFonts w:ascii="Arial" w:hAnsi="Arial" w:cs="David"/>
          <w:sz w:val="24"/>
          <w:szCs w:val="24"/>
          <w:rtl/>
        </w:rPr>
        <w:lastRenderedPageBreak/>
        <w:t>הראנו כי אף על פי שישנו דמיון הגותי ביחס למוטיב של קול המצפון</w:t>
      </w:r>
      <w:r>
        <w:rPr>
          <w:rFonts w:ascii="Arial" w:hAnsi="Arial" w:cs="David" w:hint="cs"/>
          <w:sz w:val="24"/>
          <w:szCs w:val="24"/>
          <w:rtl/>
        </w:rPr>
        <w:t xml:space="preserve">, </w:t>
      </w:r>
      <w:proofErr w:type="spellStart"/>
      <w:r>
        <w:rPr>
          <w:rFonts w:ascii="Arial" w:hAnsi="Arial" w:cs="David" w:hint="cs"/>
          <w:sz w:val="24"/>
          <w:szCs w:val="24"/>
          <w:rtl/>
        </w:rPr>
        <w:t>ארנדט</w:t>
      </w:r>
      <w:proofErr w:type="spellEnd"/>
      <w:r>
        <w:rPr>
          <w:rFonts w:ascii="Arial" w:hAnsi="Arial" w:cs="David" w:hint="cs"/>
          <w:sz w:val="24"/>
          <w:szCs w:val="24"/>
          <w:rtl/>
        </w:rPr>
        <w:t xml:space="preserve"> שינתה במהלך שנת 1970 את עמדתה כלפי ה</w:t>
      </w:r>
      <w:r w:rsidRPr="00C90319">
        <w:rPr>
          <w:rFonts w:ascii="Arial" w:hAnsi="Arial" w:cs="David"/>
          <w:sz w:val="24"/>
          <w:szCs w:val="24"/>
          <w:rtl/>
        </w:rPr>
        <w:t xml:space="preserve">סרבנות המצפונית. בכנס הראשון </w:t>
      </w:r>
      <w:proofErr w:type="spellStart"/>
      <w:r w:rsidRPr="00C90319">
        <w:rPr>
          <w:rFonts w:ascii="Arial" w:hAnsi="Arial" w:cs="David"/>
          <w:sz w:val="24"/>
          <w:szCs w:val="24"/>
          <w:rtl/>
        </w:rPr>
        <w:t>ארנדט</w:t>
      </w:r>
      <w:proofErr w:type="spellEnd"/>
      <w:r w:rsidRPr="00C90319">
        <w:rPr>
          <w:rFonts w:ascii="Arial" w:hAnsi="Arial" w:cs="David"/>
          <w:sz w:val="24"/>
          <w:szCs w:val="24"/>
          <w:rtl/>
        </w:rPr>
        <w:t xml:space="preserve"> טענה כי אי ציות אזרחי נובע מהחלטה הנעשית על ידי יחידים על פי מצפונם. </w:t>
      </w:r>
      <w:r>
        <w:rPr>
          <w:rFonts w:ascii="Arial" w:hAnsi="Arial" w:cs="David" w:hint="cs"/>
          <w:sz w:val="24"/>
          <w:szCs w:val="24"/>
          <w:rtl/>
        </w:rPr>
        <w:t>אולם במהלך שנת 1970 שינתה את דעתה והפרידה בין האי ציות האזרחי לסרבנות המצפון ונתנה למצפון מקום כדעה מצפונית. שינוי העומק מבחינה ההגותית בא לידי ביטוי בכך שהצהירה</w:t>
      </w:r>
      <w:r w:rsidRPr="00C90319">
        <w:rPr>
          <w:rFonts w:ascii="Arial" w:hAnsi="Arial" w:cs="David"/>
          <w:sz w:val="24"/>
          <w:szCs w:val="24"/>
          <w:rtl/>
        </w:rPr>
        <w:t xml:space="preserve"> </w:t>
      </w:r>
      <w:r>
        <w:rPr>
          <w:rFonts w:ascii="Arial" w:hAnsi="Arial" w:cs="David" w:hint="cs"/>
          <w:sz w:val="24"/>
          <w:szCs w:val="24"/>
          <w:rtl/>
        </w:rPr>
        <w:t xml:space="preserve">במאמר כי </w:t>
      </w:r>
      <w:r w:rsidRPr="00C90319">
        <w:rPr>
          <w:rFonts w:ascii="Arial" w:hAnsi="Arial" w:cs="David"/>
          <w:sz w:val="24"/>
          <w:szCs w:val="24"/>
          <w:rtl/>
        </w:rPr>
        <w:t xml:space="preserve">מצפון אינו פוליטי ואופיו הוא תנועת חשיבה. </w:t>
      </w:r>
    </w:p>
    <w:p w14:paraId="363CB529" w14:textId="77777777" w:rsidR="00CC7185" w:rsidRDefault="00CC7185" w:rsidP="00CC7185">
      <w:pPr>
        <w:spacing w:after="0" w:line="480" w:lineRule="auto"/>
        <w:jc w:val="both"/>
        <w:rPr>
          <w:rFonts w:ascii="Arial" w:hAnsi="Arial" w:cs="David"/>
          <w:sz w:val="24"/>
          <w:szCs w:val="24"/>
          <w:rtl/>
        </w:rPr>
      </w:pPr>
    </w:p>
    <w:p w14:paraId="51FEB3F8" w14:textId="77777777" w:rsidR="00CC7185" w:rsidRPr="00736513" w:rsidRDefault="00CC7185" w:rsidP="00CC7185">
      <w:pPr>
        <w:spacing w:after="0" w:line="480" w:lineRule="auto"/>
        <w:jc w:val="both"/>
        <w:rPr>
          <w:rFonts w:ascii="Arial" w:hAnsi="Arial" w:cs="David"/>
          <w:b/>
          <w:bCs/>
          <w:sz w:val="24"/>
          <w:szCs w:val="24"/>
          <w:rtl/>
        </w:rPr>
      </w:pPr>
      <w:r w:rsidRPr="00736513">
        <w:rPr>
          <w:rFonts w:ascii="Arial" w:hAnsi="Arial" w:cs="David" w:hint="cs"/>
          <w:b/>
          <w:bCs/>
          <w:sz w:val="24"/>
          <w:szCs w:val="24"/>
          <w:rtl/>
        </w:rPr>
        <w:t>פרק שלישי</w:t>
      </w:r>
      <w:r>
        <w:rPr>
          <w:rFonts w:ascii="Arial" w:hAnsi="Arial" w:cs="David" w:hint="cs"/>
          <w:b/>
          <w:bCs/>
          <w:sz w:val="24"/>
          <w:szCs w:val="24"/>
          <w:rtl/>
        </w:rPr>
        <w:t>- העימות עם ההוגים האמריקאים</w:t>
      </w:r>
    </w:p>
    <w:p w14:paraId="334B1546" w14:textId="77777777" w:rsidR="00CC7185" w:rsidRDefault="00CC7185" w:rsidP="00CC7185">
      <w:pPr>
        <w:spacing w:after="0" w:line="480" w:lineRule="auto"/>
        <w:jc w:val="both"/>
        <w:rPr>
          <w:rFonts w:ascii="Calibri" w:eastAsia="Calibri" w:hAnsi="Calibri" w:cs="David"/>
          <w:sz w:val="24"/>
          <w:szCs w:val="24"/>
          <w:rtl/>
        </w:rPr>
      </w:pPr>
      <w:r>
        <w:rPr>
          <w:rFonts w:ascii="Calibri" w:eastAsia="Calibri" w:hAnsi="Calibri" w:cs="David" w:hint="cs"/>
          <w:sz w:val="24"/>
          <w:szCs w:val="24"/>
          <w:rtl/>
        </w:rPr>
        <w:t xml:space="preserve">כדי להעמיק את ההבנה על עומקו של השינוי במושג המצפון, ביקשנו לחקור אותו בתוך הקשרו בשיח האינטלקטואלי עם ההוגים האמריקאים. בהקשר זה הדיון על סרבנות המצפונית והאי ציות האזרחי הוא חלק ממפנה עמוק </w:t>
      </w:r>
      <w:proofErr w:type="spellStart"/>
      <w:r>
        <w:rPr>
          <w:rFonts w:ascii="Calibri" w:eastAsia="Calibri" w:hAnsi="Calibri" w:cs="David" w:hint="cs"/>
          <w:sz w:val="24"/>
          <w:szCs w:val="24"/>
          <w:rtl/>
        </w:rPr>
        <w:t>ש</w:t>
      </w:r>
      <w:r w:rsidRPr="00411660">
        <w:rPr>
          <w:rFonts w:ascii="Calibri" w:eastAsia="Calibri" w:hAnsi="Calibri" w:cs="David" w:hint="cs"/>
          <w:sz w:val="24"/>
          <w:szCs w:val="24"/>
          <w:rtl/>
        </w:rPr>
        <w:t>ארנדט</w:t>
      </w:r>
      <w:proofErr w:type="spellEnd"/>
      <w:r w:rsidRPr="00411660">
        <w:rPr>
          <w:rFonts w:ascii="Calibri" w:eastAsia="Calibri" w:hAnsi="Calibri" w:cs="David" w:hint="cs"/>
          <w:sz w:val="24"/>
          <w:szCs w:val="24"/>
          <w:rtl/>
        </w:rPr>
        <w:t xml:space="preserve"> ביקשה </w:t>
      </w:r>
      <w:r>
        <w:rPr>
          <w:rFonts w:ascii="Calibri" w:eastAsia="Calibri" w:hAnsi="Calibri" w:cs="David" w:hint="cs"/>
          <w:sz w:val="24"/>
          <w:szCs w:val="24"/>
          <w:rtl/>
        </w:rPr>
        <w:t>לקדם בשיח האינטלקטואלי,</w:t>
      </w:r>
      <w:r w:rsidRPr="00411660">
        <w:rPr>
          <w:rFonts w:ascii="Calibri" w:eastAsia="Calibri" w:hAnsi="Calibri" w:cs="David" w:hint="cs"/>
          <w:sz w:val="24"/>
          <w:szCs w:val="24"/>
          <w:rtl/>
        </w:rPr>
        <w:t xml:space="preserve"> גישה </w:t>
      </w:r>
      <w:r w:rsidRPr="00A345F9">
        <w:rPr>
          <w:rFonts w:ascii="Calibri" w:eastAsia="Calibri" w:hAnsi="Calibri" w:cs="David" w:hint="cs"/>
          <w:sz w:val="24"/>
          <w:szCs w:val="24"/>
          <w:rtl/>
        </w:rPr>
        <w:t>ליברלית אחרת</w:t>
      </w:r>
      <w:r>
        <w:rPr>
          <w:rFonts w:ascii="Calibri" w:eastAsia="Calibri" w:hAnsi="Calibri" w:cs="David" w:hint="cs"/>
          <w:sz w:val="24"/>
          <w:szCs w:val="24"/>
          <w:rtl/>
        </w:rPr>
        <w:t>.</w:t>
      </w:r>
      <w:r w:rsidRPr="004B4567">
        <w:rPr>
          <w:rFonts w:ascii="Calibri" w:eastAsia="Calibri" w:hAnsi="Calibri" w:cs="David" w:hint="cs"/>
          <w:sz w:val="24"/>
          <w:szCs w:val="24"/>
          <w:rtl/>
        </w:rPr>
        <w:t xml:space="preserve"> </w:t>
      </w:r>
      <w:r>
        <w:rPr>
          <w:rFonts w:ascii="Calibri" w:eastAsia="Calibri" w:hAnsi="Calibri" w:cs="David" w:hint="cs"/>
          <w:sz w:val="24"/>
          <w:szCs w:val="24"/>
          <w:rtl/>
        </w:rPr>
        <w:t xml:space="preserve">בתקופה זו העמיקו המחלוקות </w:t>
      </w:r>
      <w:r w:rsidRPr="004B4567">
        <w:rPr>
          <w:rFonts w:ascii="Calibri" w:eastAsia="Calibri" w:hAnsi="Calibri" w:cs="David" w:hint="cs"/>
          <w:sz w:val="24"/>
          <w:szCs w:val="24"/>
          <w:rtl/>
        </w:rPr>
        <w:t>בין תפיסות אורתודוקסיות</w:t>
      </w:r>
      <w:r>
        <w:rPr>
          <w:rFonts w:ascii="Calibri" w:eastAsia="Calibri" w:hAnsi="Calibri" w:cs="David" w:hint="cs"/>
          <w:sz w:val="24"/>
          <w:szCs w:val="24"/>
          <w:rtl/>
        </w:rPr>
        <w:t xml:space="preserve"> </w:t>
      </w:r>
      <w:r w:rsidRPr="004B4567">
        <w:rPr>
          <w:rFonts w:ascii="Calibri" w:eastAsia="Calibri" w:hAnsi="Calibri" w:cs="David" w:hint="cs"/>
          <w:sz w:val="24"/>
          <w:szCs w:val="24"/>
          <w:rtl/>
        </w:rPr>
        <w:t>לבין גישות רדיקאליות ליברליות</w:t>
      </w:r>
      <w:r>
        <w:rPr>
          <w:rFonts w:ascii="Calibri" w:eastAsia="Calibri" w:hAnsi="Calibri" w:cs="David" w:hint="cs"/>
          <w:sz w:val="24"/>
          <w:szCs w:val="24"/>
          <w:rtl/>
        </w:rPr>
        <w:t xml:space="preserve">, בין הוגי </w:t>
      </w:r>
      <w:r w:rsidRPr="00A345F9">
        <w:rPr>
          <w:rFonts w:ascii="Calibri" w:eastAsia="Calibri" w:hAnsi="Calibri" w:cs="David" w:hint="cs"/>
          <w:sz w:val="24"/>
          <w:szCs w:val="24"/>
          <w:rtl/>
        </w:rPr>
        <w:t>השמאל</w:t>
      </w:r>
      <w:r w:rsidRPr="00A345F9">
        <w:rPr>
          <w:rFonts w:ascii="Calibri" w:eastAsia="Calibri" w:hAnsi="Calibri" w:cs="David"/>
          <w:sz w:val="24"/>
          <w:szCs w:val="24"/>
          <w:rtl/>
        </w:rPr>
        <w:t xml:space="preserve"> </w:t>
      </w:r>
      <w:r w:rsidRPr="00A345F9">
        <w:rPr>
          <w:rFonts w:ascii="Calibri" w:eastAsia="Calibri" w:hAnsi="Calibri" w:cs="David" w:hint="cs"/>
          <w:sz w:val="24"/>
          <w:szCs w:val="24"/>
          <w:rtl/>
        </w:rPr>
        <w:t>החדש</w:t>
      </w:r>
      <w:r>
        <w:rPr>
          <w:rFonts w:ascii="Calibri" w:eastAsia="Calibri" w:hAnsi="Calibri" w:cs="David" w:hint="cs"/>
          <w:sz w:val="24"/>
          <w:szCs w:val="24"/>
          <w:rtl/>
        </w:rPr>
        <w:t xml:space="preserve"> לבין ה</w:t>
      </w:r>
      <w:r w:rsidRPr="00A345F9">
        <w:rPr>
          <w:rFonts w:ascii="Calibri" w:eastAsia="Calibri" w:hAnsi="Calibri" w:cs="David"/>
          <w:sz w:val="24"/>
          <w:szCs w:val="24"/>
          <w:rtl/>
        </w:rPr>
        <w:t>ה</w:t>
      </w:r>
      <w:r>
        <w:rPr>
          <w:rFonts w:ascii="Calibri" w:eastAsia="Calibri" w:hAnsi="Calibri" w:cs="David" w:hint="cs"/>
          <w:sz w:val="24"/>
          <w:szCs w:val="24"/>
          <w:rtl/>
        </w:rPr>
        <w:t>וגים ה</w:t>
      </w:r>
      <w:r w:rsidRPr="00A345F9">
        <w:rPr>
          <w:rFonts w:ascii="Calibri" w:eastAsia="Calibri" w:hAnsi="Calibri" w:cs="David"/>
          <w:sz w:val="24"/>
          <w:szCs w:val="24"/>
          <w:rtl/>
        </w:rPr>
        <w:t>נאו-קונסרבטיבים</w:t>
      </w:r>
      <w:r>
        <w:rPr>
          <w:rFonts w:ascii="Calibri" w:eastAsia="Calibri" w:hAnsi="Calibri" w:cs="David" w:hint="cs"/>
          <w:sz w:val="24"/>
          <w:szCs w:val="24"/>
          <w:rtl/>
        </w:rPr>
        <w:t xml:space="preserve">. </w:t>
      </w:r>
      <w:proofErr w:type="spellStart"/>
      <w:r>
        <w:rPr>
          <w:rFonts w:ascii="Calibri" w:eastAsia="Calibri" w:hAnsi="Calibri" w:cs="David" w:hint="cs"/>
          <w:sz w:val="24"/>
          <w:szCs w:val="24"/>
          <w:rtl/>
        </w:rPr>
        <w:t>ארנדט</w:t>
      </w:r>
      <w:proofErr w:type="spellEnd"/>
      <w:r>
        <w:rPr>
          <w:rFonts w:ascii="Calibri" w:eastAsia="Calibri" w:hAnsi="Calibri" w:cs="David" w:hint="cs"/>
          <w:sz w:val="24"/>
          <w:szCs w:val="24"/>
          <w:rtl/>
        </w:rPr>
        <w:t xml:space="preserve"> </w:t>
      </w:r>
      <w:r w:rsidRPr="007541F7">
        <w:rPr>
          <w:rFonts w:ascii="Calibri" w:eastAsia="Calibri" w:hAnsi="Calibri" w:cs="David"/>
          <w:sz w:val="24"/>
          <w:szCs w:val="24"/>
          <w:rtl/>
        </w:rPr>
        <w:t>הושפעה מעמדותיהם</w:t>
      </w:r>
      <w:r>
        <w:rPr>
          <w:rFonts w:ascii="Calibri" w:eastAsia="Calibri" w:hAnsi="Calibri" w:cs="David" w:hint="cs"/>
          <w:sz w:val="24"/>
          <w:szCs w:val="24"/>
          <w:rtl/>
        </w:rPr>
        <w:t xml:space="preserve"> של</w:t>
      </w:r>
      <w:r w:rsidRPr="007541F7">
        <w:rPr>
          <w:rFonts w:ascii="Calibri" w:eastAsia="Calibri" w:hAnsi="Calibri" w:cs="David"/>
          <w:sz w:val="24"/>
          <w:szCs w:val="24"/>
          <w:rtl/>
        </w:rPr>
        <w:t xml:space="preserve"> </w:t>
      </w:r>
      <w:r>
        <w:rPr>
          <w:rFonts w:ascii="Calibri" w:eastAsia="Calibri" w:hAnsi="Calibri" w:cs="David" w:hint="cs"/>
          <w:sz w:val="24"/>
          <w:szCs w:val="24"/>
          <w:rtl/>
        </w:rPr>
        <w:t>ה</w:t>
      </w:r>
      <w:r w:rsidRPr="007541F7">
        <w:rPr>
          <w:rFonts w:ascii="Calibri" w:eastAsia="Calibri" w:hAnsi="Calibri" w:cs="David"/>
          <w:sz w:val="24"/>
          <w:szCs w:val="24"/>
          <w:rtl/>
        </w:rPr>
        <w:t>דוברי</w:t>
      </w:r>
      <w:r>
        <w:rPr>
          <w:rFonts w:ascii="Calibri" w:eastAsia="Calibri" w:hAnsi="Calibri" w:cs="David" w:hint="cs"/>
          <w:sz w:val="24"/>
          <w:szCs w:val="24"/>
          <w:rtl/>
        </w:rPr>
        <w:t>ם</w:t>
      </w:r>
      <w:r w:rsidRPr="007541F7">
        <w:rPr>
          <w:rFonts w:ascii="Calibri" w:eastAsia="Calibri" w:hAnsi="Calibri" w:cs="David"/>
          <w:sz w:val="24"/>
          <w:szCs w:val="24"/>
          <w:rtl/>
        </w:rPr>
        <w:t xml:space="preserve"> </w:t>
      </w:r>
      <w:r>
        <w:rPr>
          <w:rFonts w:ascii="Calibri" w:eastAsia="Calibri" w:hAnsi="Calibri" w:cs="David" w:hint="cs"/>
          <w:sz w:val="24"/>
          <w:szCs w:val="24"/>
          <w:rtl/>
        </w:rPr>
        <w:t>מהמחנות השונים ב</w:t>
      </w:r>
      <w:r w:rsidRPr="007541F7">
        <w:rPr>
          <w:rFonts w:ascii="Calibri" w:eastAsia="Calibri" w:hAnsi="Calibri" w:cs="David"/>
          <w:sz w:val="24"/>
          <w:szCs w:val="24"/>
          <w:rtl/>
        </w:rPr>
        <w:t>כנסים איתם התעמתה ואליהם הגיב</w:t>
      </w:r>
      <w:r>
        <w:rPr>
          <w:rFonts w:ascii="Calibri" w:eastAsia="Calibri" w:hAnsi="Calibri" w:cs="David" w:hint="cs"/>
          <w:sz w:val="24"/>
          <w:szCs w:val="24"/>
          <w:rtl/>
        </w:rPr>
        <w:t>ה</w:t>
      </w:r>
      <w:r w:rsidRPr="007541F7">
        <w:rPr>
          <w:rFonts w:ascii="Calibri" w:eastAsia="Calibri" w:hAnsi="Calibri" w:cs="David"/>
          <w:sz w:val="24"/>
          <w:szCs w:val="24"/>
          <w:rtl/>
        </w:rPr>
        <w:t xml:space="preserve">. </w:t>
      </w:r>
      <w:proofErr w:type="spellStart"/>
      <w:r>
        <w:rPr>
          <w:rFonts w:ascii="Calibri" w:eastAsia="Calibri" w:hAnsi="Calibri" w:cs="David" w:hint="cs"/>
          <w:sz w:val="24"/>
          <w:szCs w:val="24"/>
          <w:rtl/>
        </w:rPr>
        <w:t>ארנדט</w:t>
      </w:r>
      <w:proofErr w:type="spellEnd"/>
      <w:r>
        <w:rPr>
          <w:rFonts w:ascii="Calibri" w:eastAsia="Calibri" w:hAnsi="Calibri" w:cs="David" w:hint="cs"/>
          <w:sz w:val="24"/>
          <w:szCs w:val="24"/>
          <w:rtl/>
        </w:rPr>
        <w:t xml:space="preserve"> קידמה את רעיונות רוח החוק וההסכמה בניסיון ליצור פוליטיקה דינמית המאפשרת ייסוד מחדש. היא יצאה כנגד העמדה הליברלית שקידמה את שיח הזכויות וחירויות האזרח וקראה תיגר על העמדה השמרנית המקדשת את החוק ואת מוסדות השלטון. בנוסף </w:t>
      </w:r>
      <w:proofErr w:type="spellStart"/>
      <w:r>
        <w:rPr>
          <w:rFonts w:ascii="Calibri" w:eastAsia="Calibri" w:hAnsi="Calibri" w:cs="David" w:hint="cs"/>
          <w:sz w:val="24"/>
          <w:szCs w:val="24"/>
          <w:rtl/>
        </w:rPr>
        <w:t>ארנדט</w:t>
      </w:r>
      <w:proofErr w:type="spellEnd"/>
      <w:r>
        <w:rPr>
          <w:rFonts w:ascii="Calibri" w:eastAsia="Calibri" w:hAnsi="Calibri" w:cs="David" w:hint="cs"/>
          <w:sz w:val="24"/>
          <w:szCs w:val="24"/>
          <w:rtl/>
        </w:rPr>
        <w:t xml:space="preserve"> עמלה על ההפרדה בין הפרטי לציבורי, ובין המוסר לפוליטי. היא הדגישה את מקומם של היחידים המצפוניים הפועלים במרחב הפרטי, וביקשה לתת מקום לדעה המצפונית בתוך ריבוי דעות בשדה הפוליטי. </w:t>
      </w:r>
      <w:proofErr w:type="spellStart"/>
      <w:r>
        <w:rPr>
          <w:rFonts w:ascii="Calibri" w:eastAsia="Calibri" w:hAnsi="Calibri" w:cs="David" w:hint="cs"/>
          <w:sz w:val="24"/>
          <w:szCs w:val="24"/>
          <w:rtl/>
        </w:rPr>
        <w:t>ארנדט</w:t>
      </w:r>
      <w:proofErr w:type="spellEnd"/>
      <w:r>
        <w:rPr>
          <w:rFonts w:ascii="Calibri" w:eastAsia="Calibri" w:hAnsi="Calibri" w:cs="David" w:hint="cs"/>
          <w:sz w:val="24"/>
          <w:szCs w:val="24"/>
          <w:rtl/>
        </w:rPr>
        <w:t xml:space="preserve"> ניסתה באמצעות קריאה פוליטית זו לעמוד על התשתית של המרחב הפוליטי, האפשרות לחשוב. רעיונה </w:t>
      </w:r>
      <w:r>
        <w:rPr>
          <w:rFonts w:ascii="Times New Roman" w:eastAsia="Calibri" w:hAnsi="Times New Roman" w:cs="David" w:hint="cs"/>
          <w:sz w:val="24"/>
          <w:szCs w:val="24"/>
          <w:rtl/>
        </w:rPr>
        <w:t>ל</w:t>
      </w:r>
      <w:r w:rsidRPr="0019046E">
        <w:rPr>
          <w:rFonts w:ascii="Times New Roman" w:eastAsia="Calibri" w:hAnsi="Times New Roman" w:cs="David" w:hint="cs"/>
          <w:sz w:val="24"/>
          <w:szCs w:val="24"/>
          <w:rtl/>
        </w:rPr>
        <w:t xml:space="preserve">ייסוד הפוליטי </w:t>
      </w:r>
      <w:r>
        <w:rPr>
          <w:rFonts w:ascii="Times New Roman" w:eastAsia="Calibri" w:hAnsi="Times New Roman" w:cs="David" w:hint="cs"/>
          <w:sz w:val="24"/>
          <w:szCs w:val="24"/>
          <w:rtl/>
        </w:rPr>
        <w:t xml:space="preserve">ועמדתה האחרת המקדמת אפשרות לחשוב כתשתית למרחב הפוליטי נתקלו בקיטוב המחנות ביחס לסוגיות אקטואליות. </w:t>
      </w:r>
      <w:r>
        <w:rPr>
          <w:rFonts w:ascii="Calibri" w:eastAsia="Calibri" w:hAnsi="Calibri" w:cs="David" w:hint="cs"/>
          <w:sz w:val="24"/>
          <w:szCs w:val="24"/>
          <w:rtl/>
        </w:rPr>
        <w:t xml:space="preserve">דעותיה של </w:t>
      </w:r>
      <w:proofErr w:type="spellStart"/>
      <w:r>
        <w:rPr>
          <w:rFonts w:ascii="Calibri" w:eastAsia="Calibri" w:hAnsi="Calibri" w:cs="David" w:hint="cs"/>
          <w:sz w:val="24"/>
          <w:szCs w:val="24"/>
          <w:rtl/>
        </w:rPr>
        <w:t>ארנדט</w:t>
      </w:r>
      <w:proofErr w:type="spellEnd"/>
      <w:r>
        <w:rPr>
          <w:rFonts w:ascii="Calibri" w:eastAsia="Calibri" w:hAnsi="Calibri" w:cs="David" w:hint="cs"/>
          <w:sz w:val="24"/>
          <w:szCs w:val="24"/>
          <w:rtl/>
        </w:rPr>
        <w:t xml:space="preserve"> היו בעמדת מיעוט והניסיון התאורטי פוליטי שלה בו הפרידה את המצפון מהפוליטי ואת סרבנות המצפון מהאי ציות האזרחי לא התקבלו במלואם אפילו בקרב חבריה ושותפיה. </w:t>
      </w:r>
    </w:p>
    <w:p w14:paraId="627BF2A6" w14:textId="77777777" w:rsidR="00CC7185" w:rsidRDefault="00CC7185" w:rsidP="00CC7185">
      <w:pPr>
        <w:spacing w:after="0" w:line="480" w:lineRule="auto"/>
        <w:jc w:val="both"/>
        <w:rPr>
          <w:rFonts w:ascii="Calibri" w:eastAsia="Calibri" w:hAnsi="Calibri" w:cs="David"/>
          <w:sz w:val="24"/>
          <w:szCs w:val="24"/>
          <w:rtl/>
        </w:rPr>
      </w:pPr>
    </w:p>
    <w:p w14:paraId="4818AA70" w14:textId="77777777" w:rsidR="00CC7185" w:rsidRPr="009908CA" w:rsidRDefault="00CC7185" w:rsidP="00CC7185">
      <w:pPr>
        <w:spacing w:after="0" w:line="480" w:lineRule="auto"/>
        <w:jc w:val="both"/>
        <w:rPr>
          <w:rFonts w:ascii="Arial" w:hAnsi="Arial" w:cs="David"/>
          <w:b/>
          <w:bCs/>
          <w:sz w:val="24"/>
          <w:szCs w:val="24"/>
          <w:rtl/>
        </w:rPr>
      </w:pPr>
      <w:r w:rsidRPr="009908CA">
        <w:rPr>
          <w:rFonts w:ascii="Arial" w:hAnsi="Arial" w:cs="David" w:hint="cs"/>
          <w:b/>
          <w:bCs/>
          <w:sz w:val="24"/>
          <w:szCs w:val="24"/>
          <w:rtl/>
        </w:rPr>
        <w:t>פרק רביעי-</w:t>
      </w:r>
      <w:r>
        <w:rPr>
          <w:rFonts w:ascii="Arial" w:hAnsi="Arial" w:cs="David" w:hint="cs"/>
          <w:b/>
          <w:bCs/>
          <w:sz w:val="24"/>
          <w:szCs w:val="24"/>
          <w:rtl/>
        </w:rPr>
        <w:t xml:space="preserve"> חשיבה עצמית</w:t>
      </w:r>
    </w:p>
    <w:p w14:paraId="754F663F" w14:textId="77777777" w:rsidR="00CC7185" w:rsidRPr="002B3374" w:rsidRDefault="00CC7185" w:rsidP="00CC7185">
      <w:pPr>
        <w:tabs>
          <w:tab w:val="left" w:pos="1241"/>
        </w:tabs>
        <w:spacing w:after="0" w:line="480" w:lineRule="auto"/>
        <w:jc w:val="both"/>
        <w:rPr>
          <w:rFonts w:ascii="David" w:eastAsia="Calibri" w:hAnsi="David" w:cs="David"/>
          <w:color w:val="222222"/>
          <w:sz w:val="24"/>
          <w:szCs w:val="24"/>
          <w:shd w:val="clear" w:color="auto" w:fill="FFFFFF"/>
          <w:rtl/>
        </w:rPr>
      </w:pPr>
      <w:r>
        <w:rPr>
          <w:rFonts w:ascii="Arial" w:hAnsi="Arial" w:cs="David" w:hint="cs"/>
          <w:sz w:val="24"/>
          <w:szCs w:val="24"/>
          <w:rtl/>
        </w:rPr>
        <w:t xml:space="preserve">על מנת להשלים את המהלך ההגותי ברעיון המצפון אצל </w:t>
      </w:r>
      <w:proofErr w:type="spellStart"/>
      <w:r>
        <w:rPr>
          <w:rFonts w:ascii="Arial" w:hAnsi="Arial" w:cs="David" w:hint="cs"/>
          <w:sz w:val="24"/>
          <w:szCs w:val="24"/>
          <w:rtl/>
        </w:rPr>
        <w:t>ארנדט</w:t>
      </w:r>
      <w:proofErr w:type="spellEnd"/>
      <w:r>
        <w:rPr>
          <w:rFonts w:ascii="Arial" w:hAnsi="Arial" w:cs="David" w:hint="cs"/>
          <w:sz w:val="24"/>
          <w:szCs w:val="24"/>
          <w:rtl/>
        </w:rPr>
        <w:t xml:space="preserve"> היה עלינו לעמוד על השינוי הביוגרפי והפילוסופי בהגותה סביב שנת 1970.</w:t>
      </w:r>
      <w:r w:rsidRPr="002B3374">
        <w:rPr>
          <w:rFonts w:ascii="Calibri" w:eastAsia="Calibri" w:hAnsi="Calibri" w:cs="David" w:hint="cs"/>
          <w:sz w:val="24"/>
          <w:szCs w:val="24"/>
          <w:rtl/>
        </w:rPr>
        <w:t xml:space="preserve"> </w:t>
      </w:r>
      <w:proofErr w:type="spellStart"/>
      <w:r>
        <w:rPr>
          <w:rFonts w:ascii="Calibri" w:eastAsia="Calibri" w:hAnsi="Calibri" w:cs="David" w:hint="cs"/>
          <w:sz w:val="24"/>
          <w:szCs w:val="24"/>
          <w:rtl/>
        </w:rPr>
        <w:t>ארנדט</w:t>
      </w:r>
      <w:proofErr w:type="spellEnd"/>
      <w:r>
        <w:rPr>
          <w:rFonts w:ascii="Calibri" w:eastAsia="Calibri" w:hAnsi="Calibri" w:cs="David" w:hint="cs"/>
          <w:sz w:val="24"/>
          <w:szCs w:val="24"/>
          <w:rtl/>
        </w:rPr>
        <w:t xml:space="preserve"> בשנים אלו החלה הוגה ברעיון החשיבה כמעין השלמה פילוסופית ל'מצב האנושי'. המיקוד ההגותי המחודש שלה</w:t>
      </w:r>
      <w:r w:rsidRPr="00716D6C">
        <w:rPr>
          <w:rFonts w:ascii="Calibri" w:eastAsia="Calibri" w:hAnsi="Calibri" w:cs="David" w:hint="cs"/>
          <w:sz w:val="24"/>
          <w:szCs w:val="24"/>
          <w:rtl/>
        </w:rPr>
        <w:t xml:space="preserve"> התבסס על שינוים ביוגרפים. </w:t>
      </w:r>
      <w:r>
        <w:rPr>
          <w:rFonts w:ascii="David" w:eastAsia="Calibri" w:hAnsi="David" w:cs="David" w:hint="cs"/>
          <w:color w:val="222222"/>
          <w:sz w:val="24"/>
          <w:szCs w:val="24"/>
          <w:shd w:val="clear" w:color="auto" w:fill="FFFFFF"/>
          <w:rtl/>
        </w:rPr>
        <w:t xml:space="preserve">מבחינה </w:t>
      </w:r>
      <w:r w:rsidRPr="004208D9">
        <w:rPr>
          <w:rFonts w:ascii="David" w:eastAsia="Calibri" w:hAnsi="David" w:cs="David" w:hint="cs"/>
          <w:color w:val="222222"/>
          <w:sz w:val="24"/>
          <w:szCs w:val="24"/>
          <w:shd w:val="clear" w:color="auto" w:fill="FFFFFF"/>
          <w:rtl/>
        </w:rPr>
        <w:t xml:space="preserve">ביוגרפית </w:t>
      </w:r>
      <w:r>
        <w:rPr>
          <w:rFonts w:ascii="David" w:eastAsia="Calibri" w:hAnsi="David" w:cs="David" w:hint="cs"/>
          <w:color w:val="222222"/>
          <w:sz w:val="24"/>
          <w:szCs w:val="24"/>
          <w:shd w:val="clear" w:color="auto" w:fill="FFFFFF"/>
          <w:rtl/>
        </w:rPr>
        <w:t>הייתה זו</w:t>
      </w:r>
      <w:r w:rsidRPr="004208D9">
        <w:rPr>
          <w:rFonts w:ascii="David" w:eastAsia="Calibri" w:hAnsi="David" w:cs="David" w:hint="cs"/>
          <w:color w:val="222222"/>
          <w:sz w:val="24"/>
          <w:szCs w:val="24"/>
          <w:shd w:val="clear" w:color="auto" w:fill="FFFFFF"/>
          <w:rtl/>
        </w:rPr>
        <w:t xml:space="preserve"> אחת השנים הדרמטיות בחייה של </w:t>
      </w:r>
      <w:proofErr w:type="spellStart"/>
      <w:r w:rsidRPr="004208D9">
        <w:rPr>
          <w:rFonts w:ascii="David" w:eastAsia="Calibri" w:hAnsi="David" w:cs="David" w:hint="cs"/>
          <w:color w:val="222222"/>
          <w:sz w:val="24"/>
          <w:szCs w:val="24"/>
          <w:shd w:val="clear" w:color="auto" w:fill="FFFFFF"/>
          <w:rtl/>
        </w:rPr>
        <w:t>ארנדט</w:t>
      </w:r>
      <w:proofErr w:type="spellEnd"/>
      <w:r>
        <w:rPr>
          <w:rFonts w:ascii="David" w:eastAsia="Calibri" w:hAnsi="David" w:cs="David" w:hint="cs"/>
          <w:color w:val="222222"/>
          <w:sz w:val="24"/>
          <w:szCs w:val="24"/>
          <w:shd w:val="clear" w:color="auto" w:fill="FFFFFF"/>
          <w:rtl/>
        </w:rPr>
        <w:t>,</w:t>
      </w:r>
      <w:r w:rsidRPr="004208D9">
        <w:rPr>
          <w:rFonts w:ascii="David" w:eastAsia="Calibri" w:hAnsi="David" w:cs="David" w:hint="cs"/>
          <w:color w:val="222222"/>
          <w:sz w:val="24"/>
          <w:szCs w:val="24"/>
          <w:shd w:val="clear" w:color="auto" w:fill="FFFFFF"/>
          <w:rtl/>
        </w:rPr>
        <w:t xml:space="preserve"> בשל איבוד הקרובים לה ביותר. </w:t>
      </w:r>
      <w:r>
        <w:rPr>
          <w:rFonts w:ascii="David" w:eastAsia="Calibri" w:hAnsi="David" w:cs="David" w:hint="cs"/>
          <w:color w:val="222222"/>
          <w:sz w:val="24"/>
          <w:szCs w:val="24"/>
          <w:shd w:val="clear" w:color="auto" w:fill="FFFFFF"/>
          <w:rtl/>
        </w:rPr>
        <w:t xml:space="preserve">יתר על כן חוסר ההבנה הציבורית של הגותה ביחס לכישלון המוסרי וקריאה </w:t>
      </w:r>
      <w:r>
        <w:rPr>
          <w:rFonts w:ascii="David" w:eastAsia="Calibri" w:hAnsi="David" w:cs="David" w:hint="cs"/>
          <w:color w:val="222222"/>
          <w:sz w:val="24"/>
          <w:szCs w:val="24"/>
          <w:shd w:val="clear" w:color="auto" w:fill="FFFFFF"/>
          <w:rtl/>
        </w:rPr>
        <w:lastRenderedPageBreak/>
        <w:t xml:space="preserve">מחודשת בכתביו של היידגר הובילו אותה לחשוב מחדש על קול המצפון ועל האפשרות לחשוב. בשנת 1970 </w:t>
      </w:r>
      <w:proofErr w:type="spellStart"/>
      <w:r>
        <w:rPr>
          <w:rFonts w:ascii="David" w:eastAsia="Calibri" w:hAnsi="David" w:cs="David" w:hint="cs"/>
          <w:color w:val="222222"/>
          <w:sz w:val="24"/>
          <w:szCs w:val="24"/>
          <w:shd w:val="clear" w:color="auto" w:fill="FFFFFF"/>
          <w:rtl/>
        </w:rPr>
        <w:t>ארנדט</w:t>
      </w:r>
      <w:proofErr w:type="spellEnd"/>
      <w:r>
        <w:rPr>
          <w:rFonts w:ascii="David" w:eastAsia="Calibri" w:hAnsi="David" w:cs="David" w:hint="cs"/>
          <w:color w:val="222222"/>
          <w:sz w:val="24"/>
          <w:szCs w:val="24"/>
          <w:shd w:val="clear" w:color="auto" w:fill="FFFFFF"/>
          <w:rtl/>
        </w:rPr>
        <w:t xml:space="preserve"> ביקשה לקדם ולחדש את רעיון החשיבה ביני לבין עצמי. כדי לחדש את רעיון זה </w:t>
      </w:r>
      <w:proofErr w:type="spellStart"/>
      <w:r>
        <w:rPr>
          <w:rFonts w:ascii="David" w:eastAsia="Calibri" w:hAnsi="David" w:cs="David" w:hint="cs"/>
          <w:color w:val="222222"/>
          <w:sz w:val="24"/>
          <w:szCs w:val="24"/>
          <w:shd w:val="clear" w:color="auto" w:fill="FFFFFF"/>
          <w:rtl/>
        </w:rPr>
        <w:t>ארנדט</w:t>
      </w:r>
      <w:proofErr w:type="spellEnd"/>
      <w:r>
        <w:rPr>
          <w:rFonts w:ascii="David" w:eastAsia="Calibri" w:hAnsi="David" w:cs="David" w:hint="cs"/>
          <w:color w:val="222222"/>
          <w:sz w:val="24"/>
          <w:szCs w:val="24"/>
          <w:shd w:val="clear" w:color="auto" w:fill="FFFFFF"/>
          <w:rtl/>
        </w:rPr>
        <w:t xml:space="preserve"> בחרה לפרש מחדש את הגותו של קאנט ולקדם את ביקורת הטעם על פני הצו הקטגורי. היא הציבה מחדש בחשיבה את מקומו של צופה העולם המביט בשחקנים. היא כיוונה להבנה מחודשת של השכל הישר כחוש קהילתי בו מוטמע מקומם של האחרים כתנאי לשיפוט אסתטי פרטי. באמצעות פיתוח חשיבה זו</w:t>
      </w:r>
      <w:r w:rsidRPr="005616B4">
        <w:rPr>
          <w:rFonts w:ascii="Calibri" w:eastAsia="Calibri" w:hAnsi="Calibri" w:cs="David" w:hint="cs"/>
          <w:sz w:val="24"/>
          <w:szCs w:val="24"/>
          <w:rtl/>
        </w:rPr>
        <w:t xml:space="preserve"> </w:t>
      </w:r>
      <w:r>
        <w:rPr>
          <w:rFonts w:ascii="David" w:eastAsia="Calibri" w:hAnsi="David" w:cs="David" w:hint="cs"/>
          <w:color w:val="222222"/>
          <w:sz w:val="24"/>
          <w:szCs w:val="24"/>
          <w:shd w:val="clear" w:color="auto" w:fill="FFFFFF"/>
          <w:rtl/>
        </w:rPr>
        <w:t>קראה תיגר על ההרגל המוסרי שמופיע לעיתים כקול המצפון המבוסס על החוק המוסרי כמו הצו הקטגורי. היא הגדירה מחדש את מרחב החשיבה כעצמי ובין סובייקטיב</w:t>
      </w:r>
      <w:r>
        <w:rPr>
          <w:rFonts w:ascii="David" w:eastAsia="Calibri" w:hAnsi="David" w:cs="David" w:hint="eastAsia"/>
          <w:color w:val="222222"/>
          <w:sz w:val="24"/>
          <w:szCs w:val="24"/>
          <w:shd w:val="clear" w:color="auto" w:fill="FFFFFF"/>
          <w:rtl/>
        </w:rPr>
        <w:t>י</w:t>
      </w:r>
      <w:r w:rsidRPr="004B7221">
        <w:rPr>
          <w:rFonts w:ascii="David" w:eastAsia="Calibri" w:hAnsi="David" w:cs="David" w:hint="cs"/>
          <w:sz w:val="24"/>
          <w:szCs w:val="24"/>
          <w:shd w:val="clear" w:color="auto" w:fill="FFFFFF"/>
          <w:rtl/>
        </w:rPr>
        <w:t>.</w:t>
      </w:r>
      <w:r w:rsidRPr="004B7221">
        <w:rPr>
          <w:rFonts w:ascii="Times New Roman" w:eastAsia="Calibri" w:hAnsi="Times New Roman" w:cs="David" w:hint="cs"/>
          <w:sz w:val="24"/>
          <w:szCs w:val="24"/>
          <w:rtl/>
        </w:rPr>
        <w:t xml:space="preserve"> באמצעות החוש הבין סובייקטיב</w:t>
      </w:r>
      <w:r w:rsidRPr="004B7221">
        <w:rPr>
          <w:rFonts w:ascii="Times New Roman" w:eastAsia="Calibri" w:hAnsi="Times New Roman" w:cs="David" w:hint="eastAsia"/>
          <w:sz w:val="24"/>
          <w:szCs w:val="24"/>
          <w:rtl/>
        </w:rPr>
        <w:t>י</w:t>
      </w:r>
      <w:r w:rsidRPr="004B7221">
        <w:rPr>
          <w:rFonts w:ascii="Times New Roman" w:eastAsia="Calibri" w:hAnsi="Times New Roman" w:cs="David" w:hint="cs"/>
          <w:sz w:val="24"/>
          <w:szCs w:val="24"/>
          <w:rtl/>
        </w:rPr>
        <w:t xml:space="preserve"> </w:t>
      </w:r>
      <w:r w:rsidRPr="004B7221">
        <w:rPr>
          <w:rFonts w:ascii="Times New Roman" w:eastAsia="Calibri" w:hAnsi="Times New Roman" w:cs="David"/>
          <w:sz w:val="24"/>
          <w:szCs w:val="24"/>
          <w:rtl/>
        </w:rPr>
        <w:t>צופה העולם</w:t>
      </w:r>
      <w:r w:rsidRPr="004B7221">
        <w:rPr>
          <w:rFonts w:ascii="Times New Roman" w:eastAsia="Calibri" w:hAnsi="Times New Roman" w:cs="David" w:hint="cs"/>
          <w:sz w:val="24"/>
          <w:szCs w:val="24"/>
          <w:rtl/>
        </w:rPr>
        <w:t xml:space="preserve"> מביט בשחקן</w:t>
      </w:r>
      <w:r w:rsidRPr="004B7221">
        <w:rPr>
          <w:rFonts w:ascii="Times New Roman" w:eastAsia="Calibri" w:hAnsi="Times New Roman" w:cs="David"/>
          <w:sz w:val="24"/>
          <w:szCs w:val="24"/>
          <w:rtl/>
        </w:rPr>
        <w:t xml:space="preserve"> </w:t>
      </w:r>
      <w:r w:rsidRPr="004B7221">
        <w:rPr>
          <w:rFonts w:ascii="Times New Roman" w:eastAsia="Calibri" w:hAnsi="Times New Roman" w:cs="David" w:hint="cs"/>
          <w:sz w:val="24"/>
          <w:szCs w:val="24"/>
          <w:rtl/>
        </w:rPr>
        <w:t>ו</w:t>
      </w:r>
      <w:r w:rsidRPr="004B7221">
        <w:rPr>
          <w:rFonts w:ascii="Times New Roman" w:eastAsia="Calibri" w:hAnsi="Times New Roman" w:cs="David"/>
          <w:sz w:val="24"/>
          <w:szCs w:val="24"/>
          <w:rtl/>
        </w:rPr>
        <w:t>מתרגל</w:t>
      </w:r>
      <w:r w:rsidRPr="004B7221">
        <w:rPr>
          <w:rFonts w:ascii="Times New Roman" w:eastAsia="Calibri" w:hAnsi="Times New Roman" w:cs="David" w:hint="cs"/>
          <w:sz w:val="24"/>
          <w:szCs w:val="24"/>
          <w:rtl/>
        </w:rPr>
        <w:t xml:space="preserve"> את ה</w:t>
      </w:r>
      <w:r w:rsidRPr="004B7221">
        <w:rPr>
          <w:rFonts w:ascii="Times New Roman" w:eastAsia="Calibri" w:hAnsi="Times New Roman" w:cs="David"/>
          <w:sz w:val="24"/>
          <w:szCs w:val="24"/>
          <w:rtl/>
        </w:rPr>
        <w:t xml:space="preserve">טעם </w:t>
      </w:r>
      <w:r w:rsidRPr="004B7221">
        <w:rPr>
          <w:rFonts w:ascii="Times New Roman" w:eastAsia="Calibri" w:hAnsi="Times New Roman" w:cs="David" w:hint="cs"/>
          <w:sz w:val="24"/>
          <w:szCs w:val="24"/>
          <w:rtl/>
        </w:rPr>
        <w:t>על ידי שימוש ב</w:t>
      </w:r>
      <w:r w:rsidRPr="004B7221">
        <w:rPr>
          <w:rFonts w:ascii="Times New Roman" w:eastAsia="Calibri" w:hAnsi="Times New Roman" w:cs="David"/>
          <w:sz w:val="24"/>
          <w:szCs w:val="24"/>
          <w:rtl/>
        </w:rPr>
        <w:t>חשיבה</w:t>
      </w:r>
      <w:r w:rsidRPr="004B7221">
        <w:rPr>
          <w:rFonts w:ascii="Times New Roman" w:eastAsia="Calibri" w:hAnsi="Times New Roman" w:cs="David" w:hint="cs"/>
          <w:sz w:val="24"/>
          <w:szCs w:val="24"/>
          <w:rtl/>
        </w:rPr>
        <w:t xml:space="preserve"> המורחבת</w:t>
      </w:r>
      <w:r>
        <w:rPr>
          <w:rFonts w:ascii="Times New Roman" w:eastAsia="Calibri" w:hAnsi="Times New Roman" w:cs="David" w:hint="cs"/>
          <w:sz w:val="24"/>
          <w:szCs w:val="24"/>
          <w:rtl/>
        </w:rPr>
        <w:t xml:space="preserve"> כאפשרות חשיבה ולא כחובת ציות</w:t>
      </w:r>
      <w:r w:rsidRPr="004B7221">
        <w:rPr>
          <w:rFonts w:ascii="Times New Roman" w:eastAsia="Calibri" w:hAnsi="Times New Roman" w:cs="David"/>
          <w:sz w:val="24"/>
          <w:szCs w:val="24"/>
          <w:rtl/>
        </w:rPr>
        <w:t>.</w:t>
      </w:r>
      <w:r w:rsidRPr="004B7221">
        <w:rPr>
          <w:rFonts w:ascii="Times New Roman" w:eastAsia="Calibri" w:hAnsi="Times New Roman" w:cs="David" w:hint="cs"/>
          <w:sz w:val="24"/>
          <w:szCs w:val="24"/>
          <w:rtl/>
        </w:rPr>
        <w:t xml:space="preserve"> חשיבה ביקורתית</w:t>
      </w:r>
      <w:r>
        <w:rPr>
          <w:rFonts w:ascii="Times New Roman" w:eastAsia="Calibri" w:hAnsi="Times New Roman" w:cs="David" w:hint="cs"/>
          <w:sz w:val="24"/>
          <w:szCs w:val="24"/>
          <w:rtl/>
        </w:rPr>
        <w:t xml:space="preserve"> אסתטית</w:t>
      </w:r>
      <w:r w:rsidRPr="004B7221">
        <w:rPr>
          <w:rFonts w:ascii="Times New Roman" w:eastAsia="Calibri" w:hAnsi="Times New Roman" w:cs="David" w:hint="cs"/>
          <w:sz w:val="24"/>
          <w:szCs w:val="24"/>
          <w:rtl/>
        </w:rPr>
        <w:t xml:space="preserve"> זו פותחת את האפשרות לבחון את כל נקודות המבט של האחרים כייצוגים בשיח </w:t>
      </w:r>
      <w:r>
        <w:rPr>
          <w:rFonts w:ascii="Times New Roman" w:eastAsia="Calibri" w:hAnsi="Times New Roman" w:cs="David" w:hint="cs"/>
          <w:sz w:val="24"/>
          <w:szCs w:val="24"/>
          <w:rtl/>
        </w:rPr>
        <w:t xml:space="preserve">העצמי </w:t>
      </w:r>
      <w:r w:rsidRPr="004B7221">
        <w:rPr>
          <w:rFonts w:ascii="Times New Roman" w:eastAsia="Calibri" w:hAnsi="Times New Roman" w:cs="David" w:hint="cs"/>
          <w:sz w:val="24"/>
          <w:szCs w:val="24"/>
          <w:rtl/>
        </w:rPr>
        <w:t>אצל אנשים חושבים</w:t>
      </w:r>
      <w:r>
        <w:rPr>
          <w:rFonts w:ascii="Times New Roman" w:eastAsia="Calibri" w:hAnsi="Times New Roman" w:cs="David" w:hint="cs"/>
          <w:sz w:val="24"/>
          <w:szCs w:val="24"/>
          <w:rtl/>
        </w:rPr>
        <w:t xml:space="preserve"> אינדיבידואלי</w:t>
      </w:r>
      <w:r>
        <w:rPr>
          <w:rFonts w:ascii="Times New Roman" w:eastAsia="Calibri" w:hAnsi="Times New Roman" w:cs="David" w:hint="eastAsia"/>
          <w:sz w:val="24"/>
          <w:szCs w:val="24"/>
          <w:rtl/>
        </w:rPr>
        <w:t>ם</w:t>
      </w:r>
      <w:r w:rsidRPr="004B7221">
        <w:rPr>
          <w:rFonts w:ascii="Times New Roman" w:eastAsia="Calibri" w:hAnsi="Times New Roman" w:cs="David" w:hint="cs"/>
          <w:sz w:val="24"/>
          <w:szCs w:val="24"/>
          <w:rtl/>
        </w:rPr>
        <w:t xml:space="preserve">. </w:t>
      </w:r>
    </w:p>
    <w:p w14:paraId="02127DBF" w14:textId="77777777" w:rsidR="00CC7185" w:rsidRPr="00FF1F1C" w:rsidRDefault="00CC7185" w:rsidP="00CC7185">
      <w:pPr>
        <w:tabs>
          <w:tab w:val="left" w:pos="1241"/>
        </w:tabs>
        <w:spacing w:after="0" w:line="480" w:lineRule="auto"/>
        <w:jc w:val="both"/>
        <w:rPr>
          <w:rFonts w:ascii="Calibri" w:eastAsia="Calibri" w:hAnsi="Calibri" w:cs="David"/>
          <w:sz w:val="24"/>
          <w:szCs w:val="24"/>
          <w:rtl/>
        </w:rPr>
      </w:pPr>
      <w:proofErr w:type="spellStart"/>
      <w:r w:rsidRPr="00C5140F">
        <w:rPr>
          <w:rFonts w:ascii="Calibri" w:eastAsia="Calibri" w:hAnsi="Calibri" w:cs="David" w:hint="cs"/>
          <w:sz w:val="24"/>
          <w:szCs w:val="24"/>
          <w:rtl/>
        </w:rPr>
        <w:t>ארנדט</w:t>
      </w:r>
      <w:proofErr w:type="spellEnd"/>
      <w:r w:rsidRPr="00C5140F">
        <w:rPr>
          <w:rFonts w:ascii="Calibri" w:eastAsia="Calibri" w:hAnsi="Calibri" w:cs="David" w:hint="cs"/>
          <w:sz w:val="24"/>
          <w:szCs w:val="24"/>
          <w:rtl/>
        </w:rPr>
        <w:t xml:space="preserve"> ביקשה לקדם מפנה במושג המצפון</w:t>
      </w:r>
      <w:r>
        <w:rPr>
          <w:rFonts w:ascii="Calibri" w:eastAsia="Calibri" w:hAnsi="Calibri" w:cs="David" w:hint="cs"/>
          <w:sz w:val="24"/>
          <w:szCs w:val="24"/>
          <w:rtl/>
        </w:rPr>
        <w:t xml:space="preserve"> בשנת 1970</w:t>
      </w:r>
      <w:r w:rsidRPr="00C5140F">
        <w:rPr>
          <w:rFonts w:ascii="Calibri" w:eastAsia="Calibri" w:hAnsi="Calibri" w:cs="David" w:hint="cs"/>
          <w:sz w:val="24"/>
          <w:szCs w:val="24"/>
          <w:rtl/>
        </w:rPr>
        <w:t xml:space="preserve">. </w:t>
      </w:r>
      <w:r>
        <w:rPr>
          <w:rFonts w:ascii="Calibri" w:eastAsia="Calibri" w:hAnsi="Calibri" w:cs="David" w:hint="cs"/>
          <w:sz w:val="24"/>
          <w:szCs w:val="24"/>
          <w:rtl/>
        </w:rPr>
        <w:t xml:space="preserve"> </w:t>
      </w:r>
      <w:r w:rsidRPr="003E0377">
        <w:rPr>
          <w:rFonts w:ascii="Arial" w:hAnsi="Arial" w:cs="David"/>
          <w:sz w:val="24"/>
          <w:szCs w:val="24"/>
          <w:rtl/>
        </w:rPr>
        <w:t xml:space="preserve">המהלך הפוליטי והמהלך פילוסופי הובנו פעמים רבות באופן מבודד כשני מהלכים שונים. </w:t>
      </w:r>
      <w:r>
        <w:rPr>
          <w:rFonts w:ascii="Calibri" w:eastAsia="Calibri" w:hAnsi="Calibri" w:cs="David" w:hint="cs"/>
          <w:sz w:val="24"/>
          <w:szCs w:val="24"/>
          <w:rtl/>
        </w:rPr>
        <w:t xml:space="preserve">אולם </w:t>
      </w:r>
      <w:r w:rsidRPr="00C5140F">
        <w:rPr>
          <w:rFonts w:ascii="Calibri" w:eastAsia="Calibri" w:hAnsi="Calibri" w:cs="David" w:hint="cs"/>
          <w:sz w:val="24"/>
          <w:szCs w:val="24"/>
          <w:rtl/>
        </w:rPr>
        <w:t xml:space="preserve">הבנה שלמה של המפנה מתקבלת רק </w:t>
      </w:r>
      <w:r>
        <w:rPr>
          <w:rFonts w:ascii="Calibri" w:eastAsia="Calibri" w:hAnsi="Calibri" w:cs="David" w:hint="cs"/>
          <w:sz w:val="24"/>
          <w:szCs w:val="24"/>
          <w:rtl/>
        </w:rPr>
        <w:t xml:space="preserve">על ידי </w:t>
      </w:r>
      <w:r w:rsidRPr="00C5140F">
        <w:rPr>
          <w:rFonts w:ascii="Calibri" w:eastAsia="Calibri" w:hAnsi="Calibri" w:cs="David" w:hint="cs"/>
          <w:sz w:val="24"/>
          <w:szCs w:val="24"/>
          <w:rtl/>
        </w:rPr>
        <w:t>חיבור בין המהלך הפוליטי למהלך הפילוסופי</w:t>
      </w:r>
      <w:r>
        <w:rPr>
          <w:rFonts w:ascii="Calibri" w:eastAsia="Calibri" w:hAnsi="Calibri" w:cs="David" w:hint="cs"/>
          <w:sz w:val="24"/>
          <w:szCs w:val="24"/>
          <w:rtl/>
        </w:rPr>
        <w:t xml:space="preserve"> בשנת 1970</w:t>
      </w:r>
      <w:r w:rsidRPr="00C5140F">
        <w:rPr>
          <w:rFonts w:ascii="Calibri" w:eastAsia="Calibri" w:hAnsi="Calibri" w:cs="David" w:hint="cs"/>
          <w:sz w:val="24"/>
          <w:szCs w:val="24"/>
          <w:rtl/>
        </w:rPr>
        <w:t xml:space="preserve">. </w:t>
      </w:r>
      <w:r>
        <w:rPr>
          <w:rFonts w:ascii="Arial" w:hAnsi="Arial" w:cs="David" w:hint="cs"/>
          <w:sz w:val="24"/>
          <w:szCs w:val="24"/>
          <w:rtl/>
        </w:rPr>
        <w:t>יש</w:t>
      </w:r>
      <w:r w:rsidRPr="003E0377">
        <w:rPr>
          <w:rFonts w:ascii="Arial" w:hAnsi="Arial" w:cs="David"/>
          <w:sz w:val="24"/>
          <w:szCs w:val="24"/>
          <w:rtl/>
        </w:rPr>
        <w:t xml:space="preserve"> להבינם כחלקים משלימים לשינוי </w:t>
      </w:r>
      <w:proofErr w:type="spellStart"/>
      <w:r w:rsidRPr="003E0377">
        <w:rPr>
          <w:rFonts w:ascii="Arial" w:hAnsi="Arial" w:cs="David"/>
          <w:sz w:val="24"/>
          <w:szCs w:val="24"/>
          <w:rtl/>
        </w:rPr>
        <w:t>שארנדט</w:t>
      </w:r>
      <w:proofErr w:type="spellEnd"/>
      <w:r w:rsidRPr="003E0377">
        <w:rPr>
          <w:rFonts w:ascii="Arial" w:hAnsi="Arial" w:cs="David"/>
          <w:sz w:val="24"/>
          <w:szCs w:val="24"/>
          <w:rtl/>
        </w:rPr>
        <w:t xml:space="preserve"> מכוננת </w:t>
      </w:r>
      <w:r>
        <w:rPr>
          <w:rFonts w:ascii="Arial" w:hAnsi="Arial" w:cs="David" w:hint="cs"/>
          <w:sz w:val="24"/>
          <w:szCs w:val="24"/>
          <w:rtl/>
        </w:rPr>
        <w:t>ברעיון</w:t>
      </w:r>
      <w:r w:rsidRPr="003E0377">
        <w:rPr>
          <w:rFonts w:ascii="Arial" w:hAnsi="Arial" w:cs="David"/>
          <w:sz w:val="24"/>
          <w:szCs w:val="24"/>
          <w:rtl/>
        </w:rPr>
        <w:t xml:space="preserve"> המצפון, שתי עמדות המרכיבות תנועה הגותית אחת.</w:t>
      </w:r>
      <w:r>
        <w:rPr>
          <w:rFonts w:ascii="Arial" w:hAnsi="Arial" w:cs="David" w:hint="cs"/>
          <w:sz w:val="24"/>
          <w:szCs w:val="24"/>
          <w:rtl/>
        </w:rPr>
        <w:t xml:space="preserve"> </w:t>
      </w:r>
      <w:r>
        <w:rPr>
          <w:rFonts w:ascii="Calibri" w:eastAsia="Calibri" w:hAnsi="Calibri" w:cs="David" w:hint="cs"/>
          <w:sz w:val="24"/>
          <w:szCs w:val="24"/>
          <w:rtl/>
        </w:rPr>
        <w:t xml:space="preserve">תנועה פוליטית במאמר </w:t>
      </w:r>
      <w:r w:rsidRPr="00C5140F">
        <w:rPr>
          <w:rFonts w:ascii="Calibri" w:eastAsia="Calibri" w:hAnsi="Calibri" w:cs="David" w:hint="cs"/>
          <w:sz w:val="24"/>
          <w:szCs w:val="24"/>
          <w:rtl/>
        </w:rPr>
        <w:t xml:space="preserve">בונה עמדה ליברלית </w:t>
      </w:r>
      <w:r>
        <w:rPr>
          <w:rFonts w:ascii="Calibri" w:eastAsia="Calibri" w:hAnsi="Calibri" w:cs="David" w:hint="cs"/>
          <w:sz w:val="24"/>
          <w:szCs w:val="24"/>
          <w:rtl/>
        </w:rPr>
        <w:t xml:space="preserve">אחרת </w:t>
      </w:r>
      <w:r w:rsidRPr="00C5140F">
        <w:rPr>
          <w:rFonts w:ascii="Calibri" w:eastAsia="Calibri" w:hAnsi="Calibri" w:cs="David" w:hint="cs"/>
          <w:sz w:val="24"/>
          <w:szCs w:val="24"/>
          <w:rtl/>
        </w:rPr>
        <w:t>המבוססת על הבנה דינמית של המרחב הפוליטי המושתת על ריבוי דעות מצפוניות, בו יש מרחב לחשיבה מוסרית</w:t>
      </w:r>
      <w:r>
        <w:rPr>
          <w:rFonts w:ascii="Calibri" w:eastAsia="Calibri" w:hAnsi="Calibri" w:cs="David" w:hint="cs"/>
          <w:sz w:val="24"/>
          <w:szCs w:val="24"/>
          <w:rtl/>
        </w:rPr>
        <w:t xml:space="preserve"> פרטית</w:t>
      </w:r>
      <w:r w:rsidRPr="00C5140F">
        <w:rPr>
          <w:rFonts w:ascii="Calibri" w:eastAsia="Calibri" w:hAnsi="Calibri" w:cs="David" w:hint="cs"/>
          <w:sz w:val="24"/>
          <w:szCs w:val="24"/>
          <w:rtl/>
        </w:rPr>
        <w:t xml:space="preserve">. </w:t>
      </w:r>
      <w:r>
        <w:rPr>
          <w:rFonts w:ascii="Calibri" w:eastAsia="Calibri" w:hAnsi="Calibri" w:cs="David" w:hint="cs"/>
          <w:sz w:val="24"/>
          <w:szCs w:val="24"/>
          <w:rtl/>
        </w:rPr>
        <w:t xml:space="preserve">ותנועה </w:t>
      </w:r>
      <w:r w:rsidRPr="00C5140F">
        <w:rPr>
          <w:rFonts w:ascii="Calibri" w:eastAsia="Calibri" w:hAnsi="Calibri" w:cs="David" w:hint="cs"/>
          <w:sz w:val="24"/>
          <w:szCs w:val="24"/>
          <w:rtl/>
        </w:rPr>
        <w:t>פילוסופית</w:t>
      </w:r>
      <w:r>
        <w:rPr>
          <w:rFonts w:ascii="Calibri" w:eastAsia="Calibri" w:hAnsi="Calibri" w:cs="David" w:hint="cs"/>
          <w:sz w:val="24"/>
          <w:szCs w:val="24"/>
          <w:rtl/>
        </w:rPr>
        <w:t xml:space="preserve"> משלימה</w:t>
      </w:r>
      <w:r w:rsidRPr="00C5140F">
        <w:rPr>
          <w:rFonts w:ascii="Calibri" w:eastAsia="Calibri" w:hAnsi="Calibri" w:cs="David" w:hint="cs"/>
          <w:sz w:val="24"/>
          <w:szCs w:val="24"/>
          <w:rtl/>
        </w:rPr>
        <w:t xml:space="preserve"> </w:t>
      </w:r>
      <w:r>
        <w:rPr>
          <w:rFonts w:ascii="Calibri" w:eastAsia="Calibri" w:hAnsi="Calibri" w:cs="David" w:hint="cs"/>
          <w:sz w:val="24"/>
          <w:szCs w:val="24"/>
          <w:rtl/>
        </w:rPr>
        <w:t xml:space="preserve">בקורס על קאנט, </w:t>
      </w:r>
      <w:r w:rsidRPr="00C5140F">
        <w:rPr>
          <w:rFonts w:ascii="Calibri" w:eastAsia="Calibri" w:hAnsi="Calibri" w:cs="David" w:hint="cs"/>
          <w:sz w:val="24"/>
          <w:szCs w:val="24"/>
          <w:rtl/>
        </w:rPr>
        <w:t xml:space="preserve">קריאה </w:t>
      </w:r>
      <w:r>
        <w:rPr>
          <w:rFonts w:ascii="Calibri" w:eastAsia="Calibri" w:hAnsi="Calibri" w:cs="David" w:hint="cs"/>
          <w:sz w:val="24"/>
          <w:szCs w:val="24"/>
          <w:rtl/>
        </w:rPr>
        <w:t xml:space="preserve">להחלפת </w:t>
      </w:r>
      <w:r w:rsidRPr="00C5140F">
        <w:rPr>
          <w:rFonts w:ascii="Calibri" w:eastAsia="Calibri" w:hAnsi="Calibri" w:cs="David" w:hint="cs"/>
          <w:sz w:val="24"/>
          <w:szCs w:val="24"/>
          <w:rtl/>
        </w:rPr>
        <w:t xml:space="preserve">קול המצפון באפשרות לחשוב, בדגש </w:t>
      </w:r>
      <w:r>
        <w:rPr>
          <w:rFonts w:ascii="Calibri" w:eastAsia="Calibri" w:hAnsi="Calibri" w:cs="David" w:hint="cs"/>
          <w:sz w:val="24"/>
          <w:szCs w:val="24"/>
          <w:rtl/>
        </w:rPr>
        <w:t>על קידום רעיון החשיבה שלה, ה</w:t>
      </w:r>
      <w:r w:rsidRPr="00C5140F">
        <w:rPr>
          <w:rFonts w:ascii="Calibri" w:eastAsia="Calibri" w:hAnsi="Calibri" w:cs="David" w:hint="cs"/>
          <w:sz w:val="24"/>
          <w:szCs w:val="24"/>
          <w:rtl/>
        </w:rPr>
        <w:t xml:space="preserve">חשיבה </w:t>
      </w:r>
      <w:r>
        <w:rPr>
          <w:rFonts w:ascii="Calibri" w:eastAsia="Calibri" w:hAnsi="Calibri" w:cs="David" w:hint="cs"/>
          <w:sz w:val="24"/>
          <w:szCs w:val="24"/>
          <w:rtl/>
        </w:rPr>
        <w:t xml:space="preserve">המורחבת </w:t>
      </w:r>
      <w:r w:rsidRPr="00C5140F">
        <w:rPr>
          <w:rFonts w:ascii="Calibri" w:eastAsia="Calibri" w:hAnsi="Calibri" w:cs="David" w:hint="cs"/>
          <w:sz w:val="24"/>
          <w:szCs w:val="24"/>
          <w:rtl/>
        </w:rPr>
        <w:t>ביני לבין עצמי</w:t>
      </w:r>
      <w:r>
        <w:rPr>
          <w:rFonts w:ascii="Calibri" w:eastAsia="Calibri" w:hAnsi="Calibri" w:cs="David" w:hint="cs"/>
          <w:sz w:val="24"/>
          <w:szCs w:val="24"/>
          <w:rtl/>
        </w:rPr>
        <w:t xml:space="preserve">. </w:t>
      </w:r>
    </w:p>
    <w:p w14:paraId="1A6EA96F" w14:textId="77777777" w:rsidR="00CC7185" w:rsidRDefault="00CC7185" w:rsidP="00CC7185">
      <w:pPr>
        <w:tabs>
          <w:tab w:val="left" w:pos="1241"/>
        </w:tabs>
        <w:spacing w:after="0" w:line="480" w:lineRule="auto"/>
        <w:jc w:val="both"/>
        <w:rPr>
          <w:rFonts w:ascii="Calibri" w:eastAsia="Calibri" w:hAnsi="Calibri" w:cs="David"/>
          <w:sz w:val="24"/>
          <w:szCs w:val="24"/>
          <w:rtl/>
        </w:rPr>
      </w:pPr>
    </w:p>
    <w:p w14:paraId="2266BEC7" w14:textId="77777777" w:rsidR="00CC7185" w:rsidRPr="00AD2197" w:rsidRDefault="00CC7185" w:rsidP="00CC7185">
      <w:pPr>
        <w:spacing w:after="0" w:line="480" w:lineRule="auto"/>
        <w:jc w:val="both"/>
        <w:rPr>
          <w:rFonts w:ascii="Calibri" w:eastAsia="Calibri" w:hAnsi="Calibri" w:cs="David"/>
          <w:sz w:val="24"/>
          <w:szCs w:val="24"/>
          <w:rtl/>
        </w:rPr>
      </w:pPr>
      <w:r w:rsidRPr="00FF1F1C">
        <w:rPr>
          <w:rFonts w:ascii="Calibri" w:eastAsia="Calibri" w:hAnsi="Calibri" w:cs="David" w:hint="cs"/>
          <w:sz w:val="24"/>
          <w:szCs w:val="24"/>
          <w:rtl/>
        </w:rPr>
        <w:t xml:space="preserve">הטענה בתזה זו היא כי במהלך 1970 חל שינוי כולל במושג המצפון אצל </w:t>
      </w:r>
      <w:proofErr w:type="spellStart"/>
      <w:r w:rsidRPr="00FF1F1C">
        <w:rPr>
          <w:rFonts w:ascii="Calibri" w:eastAsia="Calibri" w:hAnsi="Calibri" w:cs="David" w:hint="cs"/>
          <w:sz w:val="24"/>
          <w:szCs w:val="24"/>
          <w:rtl/>
        </w:rPr>
        <w:t>ארנדט</w:t>
      </w:r>
      <w:proofErr w:type="spellEnd"/>
      <w:r>
        <w:rPr>
          <w:rFonts w:ascii="Calibri" w:eastAsia="Calibri" w:hAnsi="Calibri" w:cs="David" w:hint="cs"/>
          <w:sz w:val="24"/>
          <w:szCs w:val="24"/>
          <w:rtl/>
        </w:rPr>
        <w:t xml:space="preserve">. </w:t>
      </w:r>
      <w:proofErr w:type="spellStart"/>
      <w:r w:rsidRPr="00FF1F1C">
        <w:rPr>
          <w:rFonts w:ascii="Calibri" w:eastAsia="Calibri" w:hAnsi="Calibri" w:cs="David" w:hint="cs"/>
          <w:sz w:val="24"/>
          <w:szCs w:val="24"/>
          <w:rtl/>
        </w:rPr>
        <w:t>ארנדט</w:t>
      </w:r>
      <w:proofErr w:type="spellEnd"/>
      <w:r w:rsidRPr="00FF1F1C">
        <w:rPr>
          <w:rFonts w:ascii="Calibri" w:eastAsia="Calibri" w:hAnsi="Calibri" w:cs="David" w:hint="cs"/>
          <w:sz w:val="24"/>
          <w:szCs w:val="24"/>
          <w:rtl/>
        </w:rPr>
        <w:t xml:space="preserve"> מתוך גישה ליברלית אחרת </w:t>
      </w:r>
      <w:r>
        <w:rPr>
          <w:rFonts w:ascii="Calibri" w:eastAsia="Calibri" w:hAnsi="Calibri" w:cs="David" w:hint="cs"/>
          <w:sz w:val="24"/>
          <w:szCs w:val="24"/>
          <w:rtl/>
        </w:rPr>
        <w:t>ניסתה</w:t>
      </w:r>
      <w:r w:rsidRPr="00FF1F1C">
        <w:rPr>
          <w:rFonts w:ascii="Calibri" w:eastAsia="Calibri" w:hAnsi="Calibri" w:cs="David" w:hint="cs"/>
          <w:sz w:val="24"/>
          <w:szCs w:val="24"/>
          <w:rtl/>
        </w:rPr>
        <w:t xml:space="preserve"> בשנה זו לקדם שני שינוים הגותיי</w:t>
      </w:r>
      <w:r w:rsidRPr="00FF1F1C">
        <w:rPr>
          <w:rFonts w:ascii="Calibri" w:eastAsia="Calibri" w:hAnsi="Calibri" w:cs="David" w:hint="eastAsia"/>
          <w:sz w:val="24"/>
          <w:szCs w:val="24"/>
          <w:rtl/>
        </w:rPr>
        <w:t>ם</w:t>
      </w:r>
      <w:r w:rsidRPr="00FF1F1C">
        <w:rPr>
          <w:rFonts w:ascii="Calibri" w:eastAsia="Calibri" w:hAnsi="Calibri" w:cs="David" w:hint="cs"/>
          <w:sz w:val="24"/>
          <w:szCs w:val="24"/>
          <w:rtl/>
        </w:rPr>
        <w:t xml:space="preserve"> בשיח האינטלקטואלי, מחד קריאה לייסוד פוליטי מחודש ומאידך קריאה לביסוס האפשרות לחשוב. ביסוס האפשרות לחשוב מלמד על שינוי עמוק יותר </w:t>
      </w:r>
      <w:proofErr w:type="spellStart"/>
      <w:r>
        <w:rPr>
          <w:rFonts w:ascii="Calibri" w:eastAsia="Calibri" w:hAnsi="Calibri" w:cs="David" w:hint="cs"/>
          <w:sz w:val="24"/>
          <w:szCs w:val="24"/>
          <w:rtl/>
        </w:rPr>
        <w:t>ש</w:t>
      </w:r>
      <w:r w:rsidRPr="00FF1F1C">
        <w:rPr>
          <w:rFonts w:ascii="Calibri" w:eastAsia="Calibri" w:hAnsi="Calibri" w:cs="David" w:hint="cs"/>
          <w:sz w:val="24"/>
          <w:szCs w:val="24"/>
          <w:rtl/>
        </w:rPr>
        <w:t>ארנדט</w:t>
      </w:r>
      <w:proofErr w:type="spellEnd"/>
      <w:r w:rsidRPr="00FF1F1C">
        <w:rPr>
          <w:rFonts w:ascii="Calibri" w:eastAsia="Calibri" w:hAnsi="Calibri" w:cs="David" w:hint="cs"/>
          <w:sz w:val="24"/>
          <w:szCs w:val="24"/>
          <w:rtl/>
        </w:rPr>
        <w:t xml:space="preserve"> </w:t>
      </w:r>
      <w:r>
        <w:rPr>
          <w:rFonts w:ascii="Calibri" w:eastAsia="Calibri" w:hAnsi="Calibri" w:cs="David" w:hint="cs"/>
          <w:sz w:val="24"/>
          <w:szCs w:val="24"/>
          <w:rtl/>
        </w:rPr>
        <w:t>קידמה</w:t>
      </w:r>
      <w:r w:rsidRPr="00FF1F1C">
        <w:rPr>
          <w:rFonts w:ascii="Calibri" w:eastAsia="Calibri" w:hAnsi="Calibri" w:cs="David" w:hint="cs"/>
          <w:sz w:val="24"/>
          <w:szCs w:val="24"/>
          <w:rtl/>
        </w:rPr>
        <w:t xml:space="preserve"> ברעיון במצפון. </w:t>
      </w:r>
      <w:r>
        <w:rPr>
          <w:rFonts w:ascii="Calibri" w:eastAsia="Calibri" w:hAnsi="Calibri" w:cs="David" w:hint="cs"/>
          <w:sz w:val="24"/>
          <w:szCs w:val="24"/>
          <w:rtl/>
        </w:rPr>
        <w:t xml:space="preserve">שינוי שנבע מתנועה אישית של </w:t>
      </w:r>
      <w:proofErr w:type="spellStart"/>
      <w:r w:rsidRPr="00FF1F1C">
        <w:rPr>
          <w:rFonts w:ascii="Calibri" w:eastAsia="Calibri" w:hAnsi="Calibri" w:cs="David" w:hint="cs"/>
          <w:sz w:val="24"/>
          <w:szCs w:val="24"/>
          <w:rtl/>
        </w:rPr>
        <w:t>ארנדט</w:t>
      </w:r>
      <w:proofErr w:type="spellEnd"/>
      <w:r>
        <w:rPr>
          <w:rFonts w:ascii="Calibri" w:eastAsia="Calibri" w:hAnsi="Calibri" w:cs="David" w:hint="cs"/>
          <w:sz w:val="24"/>
          <w:szCs w:val="24"/>
          <w:rtl/>
        </w:rPr>
        <w:t xml:space="preserve"> מעבר</w:t>
      </w:r>
      <w:r w:rsidRPr="00FF1F1C">
        <w:rPr>
          <w:rFonts w:ascii="Calibri" w:eastAsia="Calibri" w:hAnsi="Calibri" w:cs="David" w:hint="cs"/>
          <w:sz w:val="24"/>
          <w:szCs w:val="24"/>
          <w:rtl/>
        </w:rPr>
        <w:t xml:space="preserve"> מהפוליטי לפילוסופי. כך </w:t>
      </w:r>
      <w:r w:rsidRPr="00FF1F1C">
        <w:rPr>
          <w:rFonts w:ascii="Calibri" w:eastAsia="Calibri" w:hAnsi="Calibri" w:cs="David"/>
          <w:sz w:val="24"/>
          <w:szCs w:val="24"/>
          <w:rtl/>
        </w:rPr>
        <w:t>כ</w:t>
      </w:r>
      <w:r w:rsidRPr="00FF1F1C">
        <w:rPr>
          <w:rFonts w:ascii="Calibri" w:eastAsia="Calibri" w:hAnsi="Calibri" w:cs="David" w:hint="cs"/>
          <w:sz w:val="24"/>
          <w:szCs w:val="24"/>
          <w:rtl/>
        </w:rPr>
        <w:t xml:space="preserve">חלק </w:t>
      </w:r>
      <w:r w:rsidRPr="00FF1F1C">
        <w:rPr>
          <w:rFonts w:ascii="Calibri" w:eastAsia="Calibri" w:hAnsi="Calibri" w:cs="David"/>
          <w:sz w:val="24"/>
          <w:szCs w:val="24"/>
          <w:rtl/>
        </w:rPr>
        <w:t xml:space="preserve">מאובדן משמעותי </w:t>
      </w:r>
      <w:r w:rsidRPr="00FF1F1C">
        <w:rPr>
          <w:rFonts w:ascii="Calibri" w:eastAsia="Calibri" w:hAnsi="Calibri" w:cs="David" w:hint="cs"/>
          <w:sz w:val="24"/>
          <w:szCs w:val="24"/>
          <w:rtl/>
        </w:rPr>
        <w:t xml:space="preserve">בחייה התגברה אצלה תנועה פילוסופית הקוראת לבקר את קול המצפון ולקדם חשיבה. מתוך ביקורת על מרחב החשיבה הפילוסופי והפוליטי </w:t>
      </w:r>
      <w:proofErr w:type="spellStart"/>
      <w:r w:rsidRPr="00FF1F1C">
        <w:rPr>
          <w:rFonts w:ascii="Calibri" w:eastAsia="Calibri" w:hAnsi="Calibri" w:cs="David" w:hint="cs"/>
          <w:sz w:val="24"/>
          <w:szCs w:val="24"/>
          <w:rtl/>
        </w:rPr>
        <w:t>ארנדט</w:t>
      </w:r>
      <w:proofErr w:type="spellEnd"/>
      <w:r w:rsidRPr="00FF1F1C">
        <w:rPr>
          <w:rFonts w:ascii="Calibri" w:eastAsia="Calibri" w:hAnsi="Calibri" w:cs="David" w:hint="cs"/>
          <w:sz w:val="24"/>
          <w:szCs w:val="24"/>
          <w:rtl/>
        </w:rPr>
        <w:t xml:space="preserve"> ביקשה ליצור מרחב חשיבה </w:t>
      </w:r>
      <w:r>
        <w:rPr>
          <w:rFonts w:ascii="Calibri" w:eastAsia="Calibri" w:hAnsi="Calibri" w:cs="David" w:hint="cs"/>
          <w:sz w:val="24"/>
          <w:szCs w:val="24"/>
          <w:rtl/>
        </w:rPr>
        <w:t xml:space="preserve">אסתטי </w:t>
      </w:r>
      <w:r w:rsidRPr="00FF1F1C">
        <w:rPr>
          <w:rFonts w:ascii="Calibri" w:eastAsia="Calibri" w:hAnsi="Calibri" w:cs="David" w:hint="cs"/>
          <w:sz w:val="24"/>
          <w:szCs w:val="24"/>
          <w:rtl/>
        </w:rPr>
        <w:t>ביני לבין עצמי בו החשיבה המוסרית מתחדשת כל העת ובה יש מקום לאחרים בשיח הפנימי של האדם.</w:t>
      </w:r>
      <w:r w:rsidRPr="00AD2197">
        <w:rPr>
          <w:rFonts w:ascii="Calibri" w:eastAsia="Calibri" w:hAnsi="Calibri" w:cs="David" w:hint="cs"/>
          <w:sz w:val="24"/>
          <w:szCs w:val="24"/>
          <w:rtl/>
        </w:rPr>
        <w:t xml:space="preserve">  </w:t>
      </w:r>
    </w:p>
    <w:p w14:paraId="5F060875" w14:textId="77777777" w:rsidR="001F1F1D" w:rsidRDefault="001F1F1D">
      <w:pPr>
        <w:rPr>
          <w:rFonts w:hint="cs"/>
        </w:rPr>
      </w:pPr>
    </w:p>
    <w:sectPr w:rsidR="001F1F1D" w:rsidSect="00F65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85"/>
    <w:rsid w:val="001F1F1D"/>
    <w:rsid w:val="00CC7185"/>
    <w:rsid w:val="00F657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3D5"/>
  <w15:chartTrackingRefBased/>
  <w15:docId w15:val="{97C9C59F-7329-4F35-8B5C-590B4A00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185"/>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5160</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חובב עקיבא כהן</dc:creator>
  <cp:keywords/>
  <dc:description/>
  <cp:lastModifiedBy>חובב עקיבא כהן</cp:lastModifiedBy>
  <cp:revision>1</cp:revision>
  <dcterms:created xsi:type="dcterms:W3CDTF">2021-02-17T17:13:00Z</dcterms:created>
  <dcterms:modified xsi:type="dcterms:W3CDTF">2021-02-17T17:14:00Z</dcterms:modified>
</cp:coreProperties>
</file>