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0C" w:rsidRPr="0000780E" w:rsidRDefault="00BF6B5F" w:rsidP="0000780E">
      <w:pPr>
        <w:spacing w:line="360" w:lineRule="auto"/>
        <w:rPr>
          <w:b/>
          <w:bCs/>
          <w:sz w:val="24"/>
          <w:szCs w:val="24"/>
          <w:rtl/>
        </w:rPr>
      </w:pPr>
      <w:r w:rsidRPr="0000780E">
        <w:rPr>
          <w:rFonts w:hint="cs"/>
          <w:b/>
          <w:bCs/>
          <w:sz w:val="24"/>
          <w:szCs w:val="24"/>
          <w:rtl/>
        </w:rPr>
        <w:t>תקציר</w:t>
      </w:r>
    </w:p>
    <w:p w:rsidR="00BF6B5F" w:rsidRPr="0000780E" w:rsidRDefault="00BF6B5F" w:rsidP="005F4732">
      <w:pPr>
        <w:spacing w:line="360" w:lineRule="auto"/>
        <w:jc w:val="both"/>
        <w:rPr>
          <w:rFonts w:cs="Arial"/>
          <w:sz w:val="24"/>
          <w:szCs w:val="24"/>
          <w:rtl/>
        </w:rPr>
      </w:pPr>
      <w:r w:rsidRPr="00373247">
        <w:rPr>
          <w:rFonts w:cs="Arial"/>
          <w:color w:val="FF0000"/>
          <w:sz w:val="24"/>
          <w:szCs w:val="24"/>
          <w:rtl/>
        </w:rPr>
        <w:t>לרגש הבושה ישנו תפקיד חברתי עתיק יומין ביחסיו של היחיד עם החברה</w:t>
      </w:r>
      <w:r w:rsidRPr="00373247">
        <w:rPr>
          <w:rFonts w:cs="Arial" w:hint="cs"/>
          <w:color w:val="FF0000"/>
          <w:sz w:val="24"/>
          <w:szCs w:val="24"/>
          <w:rtl/>
        </w:rPr>
        <w:t xml:space="preserve">. </w:t>
      </w:r>
      <w:r w:rsidRPr="0000780E">
        <w:rPr>
          <w:rFonts w:cs="Arial" w:hint="cs"/>
          <w:sz w:val="24"/>
          <w:szCs w:val="24"/>
          <w:rtl/>
        </w:rPr>
        <w:t xml:space="preserve">במאמר </w:t>
      </w:r>
      <w:r w:rsidRPr="00373247">
        <w:rPr>
          <w:rFonts w:cs="Arial" w:hint="cs"/>
          <w:sz w:val="24"/>
          <w:szCs w:val="24"/>
          <w:rtl/>
        </w:rPr>
        <w:t>זה</w:t>
      </w:r>
      <w:r w:rsidRPr="00373247">
        <w:rPr>
          <w:rFonts w:cs="Arial" w:hint="cs"/>
          <w:color w:val="FF0000"/>
          <w:sz w:val="24"/>
          <w:szCs w:val="24"/>
          <w:rtl/>
        </w:rPr>
        <w:t xml:space="preserve"> </w:t>
      </w:r>
      <w:bookmarkStart w:id="0" w:name="_GoBack"/>
      <w:r w:rsidRPr="00373247">
        <w:rPr>
          <w:rFonts w:cs="Arial" w:hint="cs"/>
          <w:color w:val="FF0000"/>
          <w:sz w:val="24"/>
          <w:szCs w:val="24"/>
          <w:rtl/>
        </w:rPr>
        <w:t>נבחין</w:t>
      </w:r>
      <w:r w:rsidRPr="00373247">
        <w:rPr>
          <w:rFonts w:cs="Arial"/>
          <w:color w:val="FF0000"/>
          <w:sz w:val="24"/>
          <w:szCs w:val="24"/>
          <w:rtl/>
        </w:rPr>
        <w:t xml:space="preserve"> בין בושה לביוש (</w:t>
      </w:r>
      <w:r w:rsidRPr="00373247">
        <w:rPr>
          <w:rFonts w:cs="Arial"/>
          <w:color w:val="FF0000"/>
          <w:sz w:val="24"/>
          <w:szCs w:val="24"/>
        </w:rPr>
        <w:t>Shaming</w:t>
      </w:r>
      <w:r w:rsidRPr="00373247">
        <w:rPr>
          <w:rFonts w:cs="Arial"/>
          <w:color w:val="FF0000"/>
          <w:sz w:val="24"/>
          <w:szCs w:val="24"/>
          <w:rtl/>
        </w:rPr>
        <w:t>)</w:t>
      </w:r>
      <w:r w:rsidRPr="00373247">
        <w:rPr>
          <w:rFonts w:cs="Arial" w:hint="cs"/>
          <w:color w:val="FF0000"/>
          <w:sz w:val="24"/>
          <w:szCs w:val="24"/>
          <w:rtl/>
        </w:rPr>
        <w:t xml:space="preserve"> וננסה להבין</w:t>
      </w:r>
      <w:r w:rsidRPr="00373247">
        <w:rPr>
          <w:rFonts w:cs="Arial"/>
          <w:color w:val="FF0000"/>
          <w:sz w:val="24"/>
          <w:szCs w:val="24"/>
          <w:rtl/>
        </w:rPr>
        <w:t xml:space="preserve"> את</w:t>
      </w:r>
      <w:bookmarkEnd w:id="0"/>
      <w:r w:rsidRPr="00373247">
        <w:rPr>
          <w:rFonts w:cs="Arial"/>
          <w:color w:val="FF0000"/>
          <w:sz w:val="24"/>
          <w:szCs w:val="24"/>
          <w:rtl/>
        </w:rPr>
        <w:t xml:space="preserve"> </w:t>
      </w:r>
      <w:r w:rsidR="00373247" w:rsidRPr="00373247">
        <w:rPr>
          <w:rFonts w:cs="Arial" w:hint="cs"/>
          <w:color w:val="00B050"/>
          <w:sz w:val="24"/>
          <w:szCs w:val="24"/>
          <w:rtl/>
        </w:rPr>
        <w:t xml:space="preserve">נבחן את </w:t>
      </w:r>
      <w:r w:rsidRPr="0000780E">
        <w:rPr>
          <w:rFonts w:cs="Arial"/>
          <w:sz w:val="24"/>
          <w:szCs w:val="24"/>
          <w:rtl/>
        </w:rPr>
        <w:t>תפקידו החברתי והתרבותי של רגש הבושה</w:t>
      </w:r>
      <w:r w:rsidR="00373247">
        <w:rPr>
          <w:rFonts w:cs="Arial" w:hint="cs"/>
          <w:sz w:val="24"/>
          <w:szCs w:val="24"/>
          <w:rtl/>
        </w:rPr>
        <w:t xml:space="preserve"> </w:t>
      </w:r>
      <w:r w:rsidR="00373247" w:rsidRPr="00373247">
        <w:rPr>
          <w:rFonts w:cs="Arial" w:hint="cs"/>
          <w:color w:val="00B050"/>
          <w:sz w:val="24"/>
          <w:szCs w:val="24"/>
          <w:rtl/>
        </w:rPr>
        <w:t>במהלך ההיסטוריה של תרבות המערב</w:t>
      </w:r>
      <w:r w:rsidR="00373247">
        <w:rPr>
          <w:rFonts w:cs="Arial" w:hint="cs"/>
          <w:color w:val="00B050"/>
          <w:sz w:val="24"/>
          <w:szCs w:val="24"/>
          <w:rtl/>
        </w:rPr>
        <w:t xml:space="preserve">. </w:t>
      </w:r>
      <w:r w:rsidRPr="0000780E">
        <w:rPr>
          <w:rFonts w:cs="Arial" w:hint="cs"/>
          <w:sz w:val="24"/>
          <w:szCs w:val="24"/>
          <w:rtl/>
        </w:rPr>
        <w:t xml:space="preserve">על אף שבושה היא רגש שיש לו גם תופעות פיזיולוגיות,  </w:t>
      </w:r>
      <w:r w:rsidRPr="0000780E">
        <w:rPr>
          <w:rFonts w:cs="Arial"/>
          <w:sz w:val="24"/>
          <w:szCs w:val="24"/>
          <w:rtl/>
        </w:rPr>
        <w:t xml:space="preserve">הדרך בה אנו חווים רגשות שונה מתרבות לתרבות </w:t>
      </w:r>
      <w:r w:rsidRPr="0000780E">
        <w:rPr>
          <w:rFonts w:cs="Arial" w:hint="cs"/>
          <w:sz w:val="24"/>
          <w:szCs w:val="24"/>
          <w:rtl/>
        </w:rPr>
        <w:t>כיוון ש</w:t>
      </w:r>
      <w:r w:rsidRPr="0000780E">
        <w:rPr>
          <w:rFonts w:cs="Arial"/>
          <w:sz w:val="24"/>
          <w:szCs w:val="24"/>
          <w:rtl/>
        </w:rPr>
        <w:t xml:space="preserve">המשמעות המיוחסת לאירועים היא המעוררת את הרגש ולא האירוע עצמו </w:t>
      </w:r>
      <w:r w:rsidRPr="00373247">
        <w:rPr>
          <w:rFonts w:cs="Arial"/>
          <w:color w:val="FF0000"/>
          <w:sz w:val="24"/>
          <w:szCs w:val="24"/>
          <w:rtl/>
        </w:rPr>
        <w:t>(בן-זאב, 1996)</w:t>
      </w:r>
      <w:r w:rsidRPr="0000780E">
        <w:rPr>
          <w:rFonts w:cs="Arial"/>
          <w:sz w:val="24"/>
          <w:szCs w:val="24"/>
          <w:rtl/>
        </w:rPr>
        <w:t>.</w:t>
      </w:r>
      <w:r w:rsidR="00373247" w:rsidRPr="00373247">
        <w:rPr>
          <w:rtl/>
        </w:rPr>
        <w:t xml:space="preserve"> </w:t>
      </w:r>
      <w:r w:rsidR="00373247" w:rsidRPr="00373247">
        <w:rPr>
          <w:rFonts w:cs="Arial" w:hint="cs"/>
          <w:color w:val="00B050"/>
          <w:sz w:val="24"/>
          <w:szCs w:val="24"/>
          <w:rtl/>
        </w:rPr>
        <w:t>על אודות התופעה התרבותית נלמד</w:t>
      </w:r>
      <w:r w:rsidR="005F4732">
        <w:rPr>
          <w:rFonts w:cs="Arial" w:hint="cs"/>
          <w:color w:val="00B050"/>
          <w:sz w:val="24"/>
          <w:szCs w:val="24"/>
          <w:rtl/>
        </w:rPr>
        <w:t>,</w:t>
      </w:r>
      <w:r w:rsidR="00373247" w:rsidRPr="00373247">
        <w:rPr>
          <w:rFonts w:cs="Arial" w:hint="cs"/>
          <w:color w:val="00B050"/>
          <w:sz w:val="24"/>
          <w:szCs w:val="24"/>
          <w:rtl/>
        </w:rPr>
        <w:t xml:space="preserve"> </w:t>
      </w:r>
      <w:r w:rsidR="00373247" w:rsidRPr="00373247">
        <w:rPr>
          <w:rFonts w:cs="Arial"/>
          <w:color w:val="00B050"/>
          <w:sz w:val="24"/>
          <w:szCs w:val="24"/>
          <w:rtl/>
        </w:rPr>
        <w:t>בין השאר</w:t>
      </w:r>
      <w:r w:rsidR="005F4732">
        <w:rPr>
          <w:rFonts w:cs="Arial" w:hint="cs"/>
          <w:color w:val="00B050"/>
          <w:sz w:val="24"/>
          <w:szCs w:val="24"/>
          <w:rtl/>
        </w:rPr>
        <w:t>,</w:t>
      </w:r>
      <w:r w:rsidR="00373247" w:rsidRPr="00373247">
        <w:rPr>
          <w:rFonts w:cs="Arial"/>
          <w:color w:val="00B050"/>
          <w:sz w:val="24"/>
          <w:szCs w:val="24"/>
          <w:rtl/>
        </w:rPr>
        <w:t xml:space="preserve"> באמצעות הטקסטים הדתיים המכוננים של תרבות זו. </w:t>
      </w:r>
      <w:r w:rsidRPr="00373247">
        <w:rPr>
          <w:color w:val="00B050"/>
          <w:sz w:val="24"/>
          <w:szCs w:val="24"/>
          <w:rtl/>
        </w:rPr>
        <w:t xml:space="preserve"> </w:t>
      </w:r>
      <w:r w:rsidR="00373247" w:rsidRPr="00373247">
        <w:rPr>
          <w:rFonts w:hint="cs"/>
          <w:color w:val="00B050"/>
          <w:sz w:val="24"/>
          <w:szCs w:val="24"/>
          <w:rtl/>
        </w:rPr>
        <w:t xml:space="preserve">כמו כן, </w:t>
      </w:r>
      <w:r w:rsidR="00373247">
        <w:rPr>
          <w:rFonts w:hint="cs"/>
          <w:color w:val="00B050"/>
          <w:sz w:val="24"/>
          <w:szCs w:val="24"/>
          <w:rtl/>
        </w:rPr>
        <w:t>נבחן האם חל שינוי ברגש הבושה כמדריך חברתי בעידן של הרשתות החברתיות</w:t>
      </w:r>
      <w:r w:rsidR="0086455B">
        <w:rPr>
          <w:rFonts w:hint="cs"/>
          <w:color w:val="00B050"/>
          <w:sz w:val="24"/>
          <w:szCs w:val="24"/>
          <w:rtl/>
        </w:rPr>
        <w:t>,</w:t>
      </w:r>
      <w:r w:rsidR="00373247">
        <w:rPr>
          <w:rFonts w:hint="cs"/>
          <w:color w:val="00B050"/>
          <w:sz w:val="24"/>
          <w:szCs w:val="24"/>
          <w:rtl/>
        </w:rPr>
        <w:t xml:space="preserve"> </w:t>
      </w:r>
      <w:r w:rsidRPr="00373247">
        <w:rPr>
          <w:rFonts w:cs="Arial"/>
          <w:color w:val="FF0000"/>
          <w:sz w:val="24"/>
          <w:szCs w:val="24"/>
          <w:rtl/>
        </w:rPr>
        <w:t xml:space="preserve">על מנת </w:t>
      </w:r>
      <w:r w:rsidR="00373247">
        <w:rPr>
          <w:rFonts w:cs="Arial" w:hint="cs"/>
          <w:color w:val="00B050"/>
          <w:sz w:val="24"/>
          <w:szCs w:val="24"/>
          <w:rtl/>
        </w:rPr>
        <w:t>וננסה</w:t>
      </w:r>
      <w:r w:rsidR="00373247" w:rsidRPr="00373247">
        <w:rPr>
          <w:rFonts w:cs="Arial" w:hint="cs"/>
          <w:color w:val="00B050"/>
          <w:sz w:val="24"/>
          <w:szCs w:val="24"/>
          <w:rtl/>
        </w:rPr>
        <w:t xml:space="preserve"> </w:t>
      </w:r>
      <w:r w:rsidRPr="0000780E">
        <w:rPr>
          <w:rFonts w:cs="Arial"/>
          <w:sz w:val="24"/>
          <w:szCs w:val="24"/>
          <w:rtl/>
        </w:rPr>
        <w:t>להבין</w:t>
      </w:r>
      <w:r w:rsidR="00373247">
        <w:rPr>
          <w:rFonts w:cs="Arial" w:hint="cs"/>
          <w:sz w:val="24"/>
          <w:szCs w:val="24"/>
          <w:rtl/>
        </w:rPr>
        <w:t xml:space="preserve"> </w:t>
      </w:r>
      <w:r w:rsidRPr="0000780E">
        <w:rPr>
          <w:rFonts w:cs="Arial"/>
          <w:sz w:val="24"/>
          <w:szCs w:val="24"/>
          <w:rtl/>
        </w:rPr>
        <w:t>את התופעה של הביוש החברתי</w:t>
      </w:r>
      <w:r w:rsidR="0086455B">
        <w:rPr>
          <w:rFonts w:cs="Arial" w:hint="cs"/>
          <w:sz w:val="24"/>
          <w:szCs w:val="24"/>
          <w:rtl/>
        </w:rPr>
        <w:t xml:space="preserve"> </w:t>
      </w:r>
      <w:r w:rsidR="0086455B">
        <w:rPr>
          <w:rFonts w:cs="Arial"/>
          <w:sz w:val="24"/>
          <w:szCs w:val="24"/>
          <w:rtl/>
        </w:rPr>
        <w:t>–</w:t>
      </w:r>
      <w:r w:rsidRPr="0000780E">
        <w:rPr>
          <w:rFonts w:cs="Arial"/>
          <w:sz w:val="24"/>
          <w:szCs w:val="24"/>
          <w:rtl/>
        </w:rPr>
        <w:t xml:space="preserve"> </w:t>
      </w:r>
      <w:r w:rsidR="00373247" w:rsidRPr="00373247">
        <w:rPr>
          <w:rFonts w:cs="Arial" w:hint="cs"/>
          <w:color w:val="00B050"/>
          <w:sz w:val="24"/>
          <w:szCs w:val="24"/>
          <w:rtl/>
        </w:rPr>
        <w:t>החל ממופעיה</w:t>
      </w:r>
      <w:r w:rsidR="00373247" w:rsidRPr="00373247">
        <w:rPr>
          <w:rFonts w:cs="Arial" w:hint="cs"/>
          <w:sz w:val="24"/>
          <w:szCs w:val="24"/>
          <w:rtl/>
        </w:rPr>
        <w:t xml:space="preserve"> </w:t>
      </w:r>
      <w:r w:rsidRPr="0086455B">
        <w:rPr>
          <w:rFonts w:cs="Arial"/>
          <w:color w:val="000000" w:themeColor="text1"/>
          <w:sz w:val="24"/>
          <w:szCs w:val="24"/>
          <w:rtl/>
        </w:rPr>
        <w:t>בהווה</w:t>
      </w:r>
      <w:r w:rsidR="0086455B">
        <w:rPr>
          <w:rFonts w:cs="Arial" w:hint="cs"/>
          <w:color w:val="000000" w:themeColor="text1"/>
          <w:sz w:val="24"/>
          <w:szCs w:val="24"/>
          <w:rtl/>
        </w:rPr>
        <w:t>,</w:t>
      </w:r>
      <w:r w:rsidRPr="0086455B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373247">
        <w:rPr>
          <w:rFonts w:cs="Arial"/>
          <w:color w:val="FF0000"/>
          <w:sz w:val="24"/>
          <w:szCs w:val="24"/>
          <w:rtl/>
        </w:rPr>
        <w:t xml:space="preserve">עלינו להבין את </w:t>
      </w:r>
      <w:r w:rsidR="00373247" w:rsidRPr="00373247">
        <w:rPr>
          <w:rFonts w:cs="Arial" w:hint="cs"/>
          <w:color w:val="00B050"/>
          <w:sz w:val="24"/>
          <w:szCs w:val="24"/>
          <w:rtl/>
        </w:rPr>
        <w:t xml:space="preserve">דרך התבוננות </w:t>
      </w:r>
      <w:r w:rsidRPr="00373247">
        <w:rPr>
          <w:rFonts w:cs="Arial"/>
          <w:color w:val="FF0000"/>
          <w:sz w:val="24"/>
          <w:szCs w:val="24"/>
          <w:rtl/>
        </w:rPr>
        <w:t>המקורות</w:t>
      </w:r>
      <w:r w:rsidRPr="0000780E">
        <w:rPr>
          <w:rFonts w:cs="Arial"/>
          <w:sz w:val="24"/>
          <w:szCs w:val="24"/>
          <w:rtl/>
        </w:rPr>
        <w:t xml:space="preserve"> </w:t>
      </w:r>
      <w:r w:rsidR="00373247" w:rsidRPr="00373247">
        <w:rPr>
          <w:rFonts w:cs="Arial" w:hint="cs"/>
          <w:color w:val="00B050"/>
          <w:sz w:val="24"/>
          <w:szCs w:val="24"/>
          <w:rtl/>
        </w:rPr>
        <w:t>במקורות</w:t>
      </w:r>
      <w:r w:rsidR="00373247">
        <w:rPr>
          <w:rFonts w:cs="Arial" w:hint="cs"/>
          <w:sz w:val="24"/>
          <w:szCs w:val="24"/>
          <w:rtl/>
        </w:rPr>
        <w:t xml:space="preserve"> </w:t>
      </w:r>
      <w:r w:rsidRPr="0000780E">
        <w:rPr>
          <w:rFonts w:cs="Arial"/>
          <w:sz w:val="24"/>
          <w:szCs w:val="24"/>
          <w:rtl/>
        </w:rPr>
        <w:t>התרבותיים של תופעה זו</w:t>
      </w:r>
      <w:r w:rsidRPr="0000780E">
        <w:rPr>
          <w:rFonts w:cs="Arial" w:hint="cs"/>
          <w:sz w:val="24"/>
          <w:szCs w:val="24"/>
          <w:rtl/>
        </w:rPr>
        <w:t xml:space="preserve"> </w:t>
      </w:r>
      <w:r w:rsidRPr="005F4732">
        <w:rPr>
          <w:rFonts w:cs="Arial" w:hint="cs"/>
          <w:color w:val="FF0000"/>
          <w:sz w:val="24"/>
          <w:szCs w:val="24"/>
          <w:rtl/>
        </w:rPr>
        <w:t>בתרבות</w:t>
      </w:r>
      <w:r w:rsidR="00373247">
        <w:rPr>
          <w:rFonts w:cs="Arial" w:hint="cs"/>
          <w:sz w:val="24"/>
          <w:szCs w:val="24"/>
          <w:rtl/>
        </w:rPr>
        <w:t>.</w:t>
      </w:r>
      <w:r w:rsidRPr="0000780E">
        <w:rPr>
          <w:rFonts w:cs="Arial" w:hint="cs"/>
          <w:sz w:val="24"/>
          <w:szCs w:val="24"/>
          <w:rtl/>
        </w:rPr>
        <w:t xml:space="preserve"> </w:t>
      </w:r>
      <w:r w:rsidRPr="00373247">
        <w:rPr>
          <w:rFonts w:cs="Arial" w:hint="cs"/>
          <w:color w:val="FF0000"/>
          <w:sz w:val="24"/>
          <w:szCs w:val="24"/>
          <w:rtl/>
        </w:rPr>
        <w:t>המערב, ו</w:t>
      </w:r>
      <w:r w:rsidRPr="0000780E">
        <w:rPr>
          <w:rFonts w:cs="Arial"/>
          <w:sz w:val="24"/>
          <w:szCs w:val="24"/>
          <w:rtl/>
        </w:rPr>
        <w:t>המתודולוגיה המתאימה לבחינה זו היא המתודה הגנאלוגית</w:t>
      </w:r>
      <w:r w:rsidRPr="0000780E">
        <w:rPr>
          <w:rFonts w:cs="Arial" w:hint="cs"/>
          <w:sz w:val="24"/>
          <w:szCs w:val="24"/>
          <w:rtl/>
        </w:rPr>
        <w:t>.</w:t>
      </w:r>
      <w:r w:rsidRPr="0000780E">
        <w:rPr>
          <w:rFonts w:cs="Arial"/>
          <w:sz w:val="24"/>
          <w:szCs w:val="24"/>
          <w:rtl/>
        </w:rPr>
        <w:t xml:space="preserve"> באמצעותה נוכל להבין כי תופעת הביוש בתרבות המערב אינה תופעה חדשה במהותה אלא רק אופני הביטוי שלה הם חדשים.  </w:t>
      </w:r>
    </w:p>
    <w:p w:rsidR="00AF78D7" w:rsidRPr="0000780E" w:rsidRDefault="00AF78D7" w:rsidP="0000780E">
      <w:pPr>
        <w:spacing w:line="360" w:lineRule="auto"/>
        <w:jc w:val="both"/>
        <w:rPr>
          <w:rFonts w:cs="Arial"/>
          <w:sz w:val="24"/>
          <w:szCs w:val="24"/>
          <w:rtl/>
        </w:rPr>
      </w:pPr>
    </w:p>
    <w:p w:rsidR="00AF78D7" w:rsidRPr="0000780E" w:rsidRDefault="00AF78D7" w:rsidP="0000780E">
      <w:pPr>
        <w:spacing w:line="360" w:lineRule="auto"/>
        <w:jc w:val="both"/>
        <w:rPr>
          <w:rFonts w:cs="Arial"/>
          <w:sz w:val="24"/>
          <w:szCs w:val="24"/>
        </w:rPr>
      </w:pPr>
      <w:r w:rsidRPr="0000780E">
        <w:rPr>
          <w:rFonts w:cs="Arial" w:hint="cs"/>
          <w:b/>
          <w:bCs/>
          <w:sz w:val="24"/>
          <w:szCs w:val="24"/>
          <w:rtl/>
        </w:rPr>
        <w:t>מילות מפתח</w:t>
      </w:r>
      <w:r w:rsidRPr="0000780E">
        <w:rPr>
          <w:rFonts w:cs="Arial" w:hint="cs"/>
          <w:sz w:val="24"/>
          <w:szCs w:val="24"/>
          <w:rtl/>
        </w:rPr>
        <w:t>: בושה, ביוש, יחיד, חברה</w:t>
      </w:r>
      <w:r w:rsidR="0086455B">
        <w:rPr>
          <w:rFonts w:cs="Arial" w:hint="cs"/>
          <w:sz w:val="24"/>
          <w:szCs w:val="24"/>
          <w:rtl/>
        </w:rPr>
        <w:t xml:space="preserve">, </w:t>
      </w:r>
      <w:r w:rsidR="0086455B" w:rsidRPr="0086455B">
        <w:rPr>
          <w:rFonts w:cs="Arial" w:hint="cs"/>
          <w:color w:val="00B050"/>
          <w:sz w:val="24"/>
          <w:szCs w:val="24"/>
          <w:rtl/>
        </w:rPr>
        <w:t>גנאלוגיה</w:t>
      </w:r>
    </w:p>
    <w:sectPr w:rsidR="00AF78D7" w:rsidRPr="0000780E" w:rsidSect="00B460B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5F"/>
    <w:rsid w:val="0000780E"/>
    <w:rsid w:val="00373247"/>
    <w:rsid w:val="005F4732"/>
    <w:rsid w:val="0086455B"/>
    <w:rsid w:val="00AF78D7"/>
    <w:rsid w:val="00B460BE"/>
    <w:rsid w:val="00BF6B5F"/>
    <w:rsid w:val="00C8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</dc:creator>
  <cp:lastModifiedBy>Bina</cp:lastModifiedBy>
  <cp:revision>4</cp:revision>
  <dcterms:created xsi:type="dcterms:W3CDTF">2018-07-28T20:30:00Z</dcterms:created>
  <dcterms:modified xsi:type="dcterms:W3CDTF">2018-09-15T18:03:00Z</dcterms:modified>
</cp:coreProperties>
</file>