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9D" w:rsidRDefault="00384F9D" w:rsidP="00384F9D">
      <w:pPr>
        <w:spacing w:line="480" w:lineRule="auto"/>
        <w:jc w:val="center"/>
        <w:rPr>
          <w:rFonts w:cs="David"/>
          <w:b/>
          <w:bCs/>
        </w:rPr>
      </w:pPr>
      <w:r>
        <w:rPr>
          <w:rFonts w:cs="David"/>
          <w:b/>
          <w:bCs/>
          <w:rtl/>
        </w:rPr>
        <w:t>הבדלי מגדר בענישה – השפעת תיקון החוק בעניין הבניית שיקול הדעת השיפוטי בענישה</w:t>
      </w:r>
      <w:r>
        <w:rPr>
          <w:rFonts w:cs="David"/>
          <w:b/>
          <w:bCs/>
          <w:rtl/>
        </w:rPr>
        <w:br/>
      </w:r>
    </w:p>
    <w:p w:rsidR="00384F9D" w:rsidRDefault="00384F9D" w:rsidP="00384F9D">
      <w:pPr>
        <w:spacing w:line="480" w:lineRule="auto"/>
        <w:rPr>
          <w:rFonts w:cs="David"/>
          <w:b/>
          <w:bCs/>
          <w:rtl/>
        </w:rPr>
      </w:pPr>
      <w:r>
        <w:rPr>
          <w:rFonts w:cs="David"/>
          <w:b/>
          <w:bCs/>
          <w:rtl/>
        </w:rPr>
        <w:t>תקציר</w:t>
      </w:r>
    </w:p>
    <w:p w:rsidR="00384F9D" w:rsidRDefault="00384F9D" w:rsidP="00384F9D">
      <w:pPr>
        <w:spacing w:line="480" w:lineRule="auto"/>
        <w:jc w:val="both"/>
        <w:rPr>
          <w:rFonts w:cs="David"/>
          <w:rtl/>
        </w:rPr>
      </w:pPr>
      <w:r>
        <w:rPr>
          <w:rFonts w:cs="David"/>
          <w:b/>
          <w:bCs/>
          <w:rtl/>
        </w:rPr>
        <w:t>רקע:</w:t>
      </w:r>
      <w:r>
        <w:rPr>
          <w:rFonts w:cs="David"/>
          <w:rtl/>
        </w:rPr>
        <w:t xml:space="preserve"> עקרון השוויון בענישה הינו אחד מהעקרונות המרכזיים בחברה דמוקרטית. תשומת-לב מחקרית רבה הופנתה לבחינה ולניתוח של עיקרון זה, בעיקר בכל הקשור לשוויון/לאפליה על-בסיס מוצא אתני, מעמד חברתי-כלכלי, גיל ומגדר.</w:t>
      </w:r>
    </w:p>
    <w:p w:rsidR="00384F9D" w:rsidRDefault="00384F9D" w:rsidP="00384F9D">
      <w:pPr>
        <w:spacing w:line="480" w:lineRule="auto"/>
        <w:jc w:val="both"/>
        <w:rPr>
          <w:rFonts w:ascii="David" w:hAnsi="David" w:cs="David"/>
          <w:shd w:val="clear" w:color="auto" w:fill="FFFFFF"/>
          <w:rtl/>
          <w:lang w:val="en-GB"/>
        </w:rPr>
      </w:pPr>
      <w:r>
        <w:rPr>
          <w:rFonts w:cs="David"/>
          <w:b/>
          <w:bCs/>
          <w:rtl/>
        </w:rPr>
        <w:t>מטרת המחקר</w:t>
      </w:r>
      <w:r>
        <w:rPr>
          <w:rFonts w:cs="David"/>
          <w:rtl/>
        </w:rPr>
        <w:t>: בחינת הבדלי מגדר בענישה בעבירות שעניינן תקיפה פיזית של קטינים בידי הוריהם, באמצעות השוואה בין התקופה שקדמה ליישום החוק להבניית שיקול הדעת השיפוטי בענישה לבין התקופה שלאחריה.</w:t>
      </w:r>
    </w:p>
    <w:p w:rsidR="00384F9D" w:rsidRDefault="008313E6" w:rsidP="00384F9D">
      <w:pPr>
        <w:spacing w:line="480" w:lineRule="auto"/>
        <w:jc w:val="both"/>
        <w:rPr>
          <w:rFonts w:cs="David"/>
          <w:rtl/>
        </w:rPr>
      </w:pPr>
      <w:r>
        <w:rPr>
          <w:rFonts w:cs="David"/>
          <w:b/>
          <w:bCs/>
          <w:rtl/>
        </w:rPr>
        <w:t>שיט</w:t>
      </w:r>
      <w:r w:rsidR="00F43644">
        <w:rPr>
          <w:rFonts w:cs="David" w:hint="cs"/>
          <w:b/>
          <w:bCs/>
          <w:rtl/>
        </w:rPr>
        <w:t>ה</w:t>
      </w:r>
      <w:r w:rsidR="00384F9D">
        <w:rPr>
          <w:rFonts w:cs="David"/>
          <w:b/>
          <w:bCs/>
          <w:rtl/>
        </w:rPr>
        <w:t xml:space="preserve">: </w:t>
      </w:r>
      <w:r w:rsidR="00384F9D">
        <w:rPr>
          <w:rFonts w:cs="David"/>
          <w:rtl/>
        </w:rPr>
        <w:t>המחקר מבוסס על  ניתוח של 99 גזרי-דין, אשר נדונו בבית-משפט השלום, 60 נאשמים (30 גברים ו-30 נשים) נדונו בתקופה שקדמה ליישום החוק להבניית שיקול הדעת השיפוטי בענישה, ו-39 (30 גברים ו-9 נשים) נדונו בתקופה שלאחריה.</w:t>
      </w:r>
    </w:p>
    <w:p w:rsidR="00384F9D" w:rsidRDefault="00384F9D" w:rsidP="00384F9D">
      <w:pPr>
        <w:spacing w:line="480" w:lineRule="auto"/>
        <w:jc w:val="both"/>
        <w:rPr>
          <w:rFonts w:cs="David"/>
          <w:b/>
          <w:bCs/>
          <w:rtl/>
        </w:rPr>
      </w:pPr>
      <w:r>
        <w:rPr>
          <w:rFonts w:cs="David"/>
          <w:b/>
          <w:bCs/>
          <w:rtl/>
        </w:rPr>
        <w:t>ממצאים:</w:t>
      </w:r>
      <w:r>
        <w:rPr>
          <w:rFonts w:cs="David"/>
          <w:rtl/>
        </w:rPr>
        <w:t xml:space="preserve"> ממצאי המחקר הצביעו על הבדלי מגדר מובהקים בחומרת הענישה (מאסר או עבודת שירות). נמצא שענישה חמורה הוטלה על גברים בהשוואה לנשים, שביצעו עבירות דומות של פגיעה פיזית בקטינים, ללא קשר למועד גזר-הדין. עוד נמצא, כי יישום הבניית שיקול הדעת השיפוטי הביאה להחמרה בענישה באופן מובהק. לבסוף, לא נמצאו הבדלים סטטיסטיים מובהקים בין גברים לבין נשים בחומרת הענישה כתלות ביישום הבניית שיקול הדעת השיפוטי בענישה</w:t>
      </w:r>
    </w:p>
    <w:p w:rsidR="00384F9D" w:rsidRDefault="00384F9D" w:rsidP="00384F9D">
      <w:pPr>
        <w:spacing w:line="480" w:lineRule="auto"/>
        <w:jc w:val="both"/>
        <w:rPr>
          <w:rFonts w:cs="David"/>
          <w:rtl/>
        </w:rPr>
      </w:pPr>
      <w:r>
        <w:rPr>
          <w:rFonts w:cs="David"/>
          <w:b/>
          <w:bCs/>
          <w:rtl/>
        </w:rPr>
        <w:t xml:space="preserve">מסקנות: </w:t>
      </w:r>
      <w:r>
        <w:rPr>
          <w:rFonts w:cs="David"/>
          <w:rtl/>
        </w:rPr>
        <w:t>בשל העובדה כי הבדלי מגדר בפערי הענישה עדיין קיימים, יש לפעול למען צמצומם, הן בגלל ההשלכות הקשות וההרסניות של הפגיעה הפיזית על ההתפתחות התקינה של הילדים, הן בגלל התפקיד המרכזי שנשים ממלאות בגידול הילדים והן בגלל העברה בין-דורית של התנהגות אלימה.</w:t>
      </w:r>
    </w:p>
    <w:p w:rsidR="00384F9D" w:rsidRDefault="00384F9D" w:rsidP="00384F9D">
      <w:pPr>
        <w:spacing w:line="480" w:lineRule="auto"/>
        <w:jc w:val="both"/>
        <w:rPr>
          <w:rFonts w:cs="David"/>
          <w:rtl/>
        </w:rPr>
      </w:pPr>
      <w:r>
        <w:rPr>
          <w:rFonts w:cs="David"/>
          <w:b/>
          <w:bCs/>
          <w:rtl/>
        </w:rPr>
        <w:t>מילות מפתח:</w:t>
      </w:r>
      <w:r>
        <w:rPr>
          <w:rFonts w:cs="David"/>
          <w:rtl/>
        </w:rPr>
        <w:t xml:space="preserve">  אפליה, החוק להבניית שיקול הדעת השיפוטי בענישה, תקיפת קטינים, מגדר.</w:t>
      </w:r>
    </w:p>
    <w:p w:rsidR="0000727C" w:rsidRDefault="0000727C" w:rsidP="00384F9D">
      <w:pPr>
        <w:rPr>
          <w:rtl/>
        </w:rPr>
      </w:pPr>
    </w:p>
    <w:p w:rsidR="00F75D2C" w:rsidRDefault="00F75D2C" w:rsidP="0017560D">
      <w:pPr>
        <w:spacing w:line="480" w:lineRule="auto"/>
        <w:rPr>
          <w:rFonts w:ascii="David" w:hAnsi="David" w:cs="David"/>
          <w:b/>
          <w:bCs/>
          <w:rtl/>
        </w:rPr>
      </w:pPr>
    </w:p>
    <w:p w:rsidR="0017560D" w:rsidRDefault="0017560D" w:rsidP="0017560D">
      <w:pPr>
        <w:spacing w:line="480" w:lineRule="auto"/>
        <w:rPr>
          <w:rFonts w:ascii="David" w:hAnsi="David" w:cs="David"/>
          <w:b/>
          <w:bCs/>
        </w:rPr>
      </w:pPr>
      <w:bookmarkStart w:id="0" w:name="_GoBack"/>
      <w:bookmarkEnd w:id="0"/>
      <w:r>
        <w:rPr>
          <w:rFonts w:ascii="David" w:hAnsi="David" w:cs="David"/>
          <w:b/>
          <w:bCs/>
          <w:rtl/>
        </w:rPr>
        <w:t xml:space="preserve">הצהרה – </w:t>
      </w:r>
      <w:r>
        <w:rPr>
          <w:rFonts w:cs="David"/>
          <w:rtl/>
        </w:rPr>
        <w:t>המחברים מצהירים כי המאמר לא פורסם ולא הוגש לפרסום לכתב עת אחר.</w:t>
      </w:r>
    </w:p>
    <w:p w:rsidR="0017560D" w:rsidRPr="0017560D" w:rsidRDefault="0017560D" w:rsidP="00384F9D"/>
    <w:sectPr w:rsidR="0017560D" w:rsidRPr="0017560D" w:rsidSect="00722E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9E"/>
    <w:rsid w:val="0000727C"/>
    <w:rsid w:val="0017560D"/>
    <w:rsid w:val="00343E88"/>
    <w:rsid w:val="00384F9D"/>
    <w:rsid w:val="003C7590"/>
    <w:rsid w:val="00553C9E"/>
    <w:rsid w:val="00564408"/>
    <w:rsid w:val="00722EF2"/>
    <w:rsid w:val="00790396"/>
    <w:rsid w:val="007B32C0"/>
    <w:rsid w:val="008313E6"/>
    <w:rsid w:val="008768E2"/>
    <w:rsid w:val="00880037"/>
    <w:rsid w:val="009B77CE"/>
    <w:rsid w:val="00AC09CC"/>
    <w:rsid w:val="00B8268E"/>
    <w:rsid w:val="00CF72E7"/>
    <w:rsid w:val="00D0238E"/>
    <w:rsid w:val="00DC7EA7"/>
    <w:rsid w:val="00E964FB"/>
    <w:rsid w:val="00EB6F0B"/>
    <w:rsid w:val="00EE6782"/>
    <w:rsid w:val="00F43644"/>
    <w:rsid w:val="00F7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D4157-AF68-4D38-930E-BC7AFBA1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9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סמנריון 1"/>
    <w:basedOn w:val="a"/>
    <w:link w:val="10"/>
    <w:qFormat/>
    <w:rsid w:val="00DC7EA7"/>
    <w:pPr>
      <w:spacing w:line="360" w:lineRule="auto"/>
      <w:ind w:firstLine="227"/>
      <w:jc w:val="center"/>
    </w:pPr>
    <w:rPr>
      <w:rFonts w:ascii="David" w:hAnsi="David" w:cs="David"/>
      <w:b/>
      <w:bCs/>
      <w:sz w:val="40"/>
    </w:rPr>
  </w:style>
  <w:style w:type="character" w:customStyle="1" w:styleId="10">
    <w:name w:val="סמנריון 1 תו"/>
    <w:basedOn w:val="a0"/>
    <w:link w:val="1"/>
    <w:rsid w:val="00DC7EA7"/>
    <w:rPr>
      <w:rFonts w:ascii="David" w:eastAsia="Times New Roman" w:hAnsi="David" w:cs="David"/>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402">
      <w:bodyDiv w:val="1"/>
      <w:marLeft w:val="0"/>
      <w:marRight w:val="0"/>
      <w:marTop w:val="0"/>
      <w:marBottom w:val="0"/>
      <w:divBdr>
        <w:top w:val="none" w:sz="0" w:space="0" w:color="auto"/>
        <w:left w:val="none" w:sz="0" w:space="0" w:color="auto"/>
        <w:bottom w:val="none" w:sz="0" w:space="0" w:color="auto"/>
        <w:right w:val="none" w:sz="0" w:space="0" w:color="auto"/>
      </w:divBdr>
    </w:div>
    <w:div w:id="14546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1249</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dc:creator>
  <cp:keywords/>
  <dc:description/>
  <cp:lastModifiedBy>שרון</cp:lastModifiedBy>
  <cp:revision>4</cp:revision>
  <dcterms:created xsi:type="dcterms:W3CDTF">2020-10-18T07:15:00Z</dcterms:created>
  <dcterms:modified xsi:type="dcterms:W3CDTF">2020-10-18T07:16:00Z</dcterms:modified>
</cp:coreProperties>
</file>