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D8" w:rsidRPr="00A75784" w:rsidRDefault="006D57D8" w:rsidP="006D57D8">
      <w:pPr>
        <w:rPr>
          <w:rFonts w:ascii="David" w:eastAsia="Calibri" w:hAnsi="David"/>
        </w:rPr>
      </w:pPr>
      <w:r w:rsidRPr="00A75784">
        <w:rPr>
          <w:rFonts w:ascii="David" w:eastAsia="Calibri" w:hAnsi="David"/>
          <w:rtl/>
        </w:rPr>
        <w:t xml:space="preserve">נגיף </w:t>
      </w:r>
      <w:r w:rsidRPr="00A75784">
        <w:rPr>
          <w:rFonts w:ascii="David" w:eastAsia="Calibri" w:hAnsi="David"/>
        </w:rPr>
        <w:t>HTLV-1</w:t>
      </w:r>
      <w:r w:rsidRPr="00A75784">
        <w:rPr>
          <w:rFonts w:ascii="David" w:eastAsia="Calibri" w:hAnsi="David"/>
          <w:rtl/>
        </w:rPr>
        <w:t xml:space="preserve"> שייך למשפחת </w:t>
      </w:r>
      <w:proofErr w:type="spellStart"/>
      <w:r w:rsidRPr="00A75784">
        <w:rPr>
          <w:rFonts w:ascii="David" w:eastAsia="Calibri" w:hAnsi="David"/>
          <w:rtl/>
        </w:rPr>
        <w:t>הרטרו</w:t>
      </w:r>
      <w:proofErr w:type="spellEnd"/>
      <w:r w:rsidRPr="00A75784">
        <w:rPr>
          <w:rFonts w:ascii="David" w:eastAsia="Calibri" w:hAnsi="David"/>
          <w:rtl/>
        </w:rPr>
        <w:t xml:space="preserve">-וירוסים ונחשב לגורם המחלה </w:t>
      </w:r>
      <w:proofErr w:type="spellStart"/>
      <w:r w:rsidRPr="00A75784">
        <w:rPr>
          <w:rFonts w:ascii="David" w:eastAsia="Calibri" w:hAnsi="David"/>
          <w:rtl/>
        </w:rPr>
        <w:t>הלויקמית</w:t>
      </w:r>
      <w:proofErr w:type="spellEnd"/>
      <w:r w:rsidRPr="00A75784">
        <w:rPr>
          <w:rFonts w:ascii="David" w:eastAsia="Calibri" w:hAnsi="David"/>
        </w:rPr>
        <w:t>Adult T cell Leukemia</w:t>
      </w:r>
      <w:r w:rsidRPr="00A75784">
        <w:rPr>
          <w:rFonts w:ascii="David" w:eastAsia="Calibri" w:hAnsi="David"/>
          <w:rtl/>
        </w:rPr>
        <w:t xml:space="preserve"> בבני אדם. נגיף זה אחראי ככל הנראה למחלות נוספות, כמו למשל המחלה העצבית </w:t>
      </w:r>
      <w:r w:rsidRPr="00A75784">
        <w:rPr>
          <w:rFonts w:ascii="David" w:eastAsia="Calibri" w:hAnsi="David"/>
        </w:rPr>
        <w:t xml:space="preserve">Tropical Spastic </w:t>
      </w:r>
      <w:proofErr w:type="spellStart"/>
      <w:r w:rsidRPr="00A75784">
        <w:rPr>
          <w:rFonts w:ascii="David" w:eastAsia="Calibri" w:hAnsi="David"/>
        </w:rPr>
        <w:t>Paraparesis</w:t>
      </w:r>
      <w:proofErr w:type="spellEnd"/>
      <w:r w:rsidRPr="00A75784">
        <w:rPr>
          <w:rFonts w:ascii="David" w:eastAsia="Calibri" w:hAnsi="David"/>
          <w:rtl/>
        </w:rPr>
        <w:t xml:space="preserve"> או </w:t>
      </w:r>
      <w:r w:rsidRPr="00A75784">
        <w:rPr>
          <w:rFonts w:ascii="David" w:eastAsia="Calibri" w:hAnsi="David"/>
        </w:rPr>
        <w:t>HTLV-1 Associated Myelopathy</w:t>
      </w:r>
      <w:r w:rsidRPr="00A75784">
        <w:rPr>
          <w:rFonts w:ascii="David" w:eastAsia="Calibri" w:hAnsi="David"/>
          <w:rtl/>
        </w:rPr>
        <w:t xml:space="preserve"> (</w:t>
      </w:r>
      <w:r w:rsidRPr="00A75784">
        <w:rPr>
          <w:rFonts w:ascii="David" w:eastAsia="Calibri" w:hAnsi="David"/>
        </w:rPr>
        <w:t>TSP/HAM</w:t>
      </w:r>
      <w:r w:rsidRPr="00A75784">
        <w:rPr>
          <w:rFonts w:ascii="David" w:eastAsia="Calibri" w:hAnsi="David"/>
          <w:rtl/>
        </w:rPr>
        <w:t xml:space="preserve">). החלבון הנגיפי </w:t>
      </w:r>
      <w:r w:rsidRPr="00A75784">
        <w:rPr>
          <w:rFonts w:ascii="David" w:eastAsia="Calibri" w:hAnsi="David"/>
          <w:lang w:bidi="ar-SA"/>
        </w:rPr>
        <w:t>HTLV1-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הוא חלבון </w:t>
      </w:r>
      <w:proofErr w:type="spellStart"/>
      <w:r w:rsidRPr="00A75784">
        <w:rPr>
          <w:rFonts w:ascii="David" w:eastAsia="Calibri" w:hAnsi="David"/>
          <w:rtl/>
        </w:rPr>
        <w:t>אונקוגני</w:t>
      </w:r>
      <w:proofErr w:type="spellEnd"/>
      <w:r w:rsidRPr="00A75784">
        <w:rPr>
          <w:rFonts w:ascii="David" w:eastAsia="Calibri" w:hAnsi="David"/>
          <w:rtl/>
        </w:rPr>
        <w:t xml:space="preserve"> האחראי לרוב הפתוגניות של נגיף זה. נמצא שבחלבון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מתרחשות פעילויות רבות בתוך התא המארח, והן עלולות להשפיע מאוד על תפקוד התא המודבק. בין הפעילויות הללו נמצא שהחלבון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משפיע במידה רבה על הפעילות של </w:t>
      </w:r>
      <w:proofErr w:type="spellStart"/>
      <w:r w:rsidRPr="00A75784">
        <w:rPr>
          <w:rFonts w:ascii="David" w:eastAsia="Calibri" w:hAnsi="David"/>
          <w:rtl/>
        </w:rPr>
        <w:t>פקטורי</w:t>
      </w:r>
      <w:proofErr w:type="spellEnd"/>
      <w:r w:rsidRPr="00A75784">
        <w:rPr>
          <w:rFonts w:ascii="David" w:eastAsia="Calibri" w:hAnsi="David"/>
          <w:rtl/>
        </w:rPr>
        <w:t xml:space="preserve"> שעתוק תאיים שונים, מעכב מנגנוני תיקון נזקי דנ"א, מונע את עצירת מחזור התא ומעכב תהליך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מכוון של מוות תאי (</w:t>
      </w:r>
      <w:proofErr w:type="spellStart"/>
      <w:r w:rsidRPr="00A75784">
        <w:rPr>
          <w:rFonts w:ascii="David" w:eastAsia="Calibri" w:hAnsi="David"/>
          <w:rtl/>
        </w:rPr>
        <w:t>אפופטוזיה</w:t>
      </w:r>
      <w:proofErr w:type="spellEnd"/>
      <w:r w:rsidRPr="00A75784">
        <w:rPr>
          <w:rFonts w:ascii="David" w:eastAsia="Calibri" w:hAnsi="David"/>
          <w:rtl/>
        </w:rPr>
        <w:t xml:space="preserve">). פעילויות אלה עלולות להוביל, עם הזמן, להפיכת התא הנורמלי לתא סרטני. </w:t>
      </w:r>
    </w:p>
    <w:p w:rsidR="006D57D8" w:rsidRPr="00A75784" w:rsidRDefault="006D57D8" w:rsidP="006D57D8">
      <w:pPr>
        <w:rPr>
          <w:rFonts w:ascii="David" w:eastAsia="Calibri" w:hAnsi="David"/>
          <w:rtl/>
        </w:rPr>
      </w:pPr>
      <w:r w:rsidRPr="00A75784">
        <w:rPr>
          <w:rFonts w:ascii="David" w:eastAsia="Calibri" w:hAnsi="David"/>
          <w:rtl/>
        </w:rPr>
        <w:t xml:space="preserve">חלבון </w:t>
      </w:r>
      <w:r w:rsidRPr="00A75784">
        <w:rPr>
          <w:rFonts w:ascii="David" w:eastAsia="Calibri" w:hAnsi="David"/>
        </w:rPr>
        <w:t xml:space="preserve"> BRAC1</w:t>
      </w:r>
      <w:r w:rsidRPr="00A75784">
        <w:rPr>
          <w:rFonts w:ascii="David" w:eastAsia="Calibri" w:hAnsi="David"/>
          <w:rtl/>
        </w:rPr>
        <w:t>הוא מדכא גידול והוא בעל  תפקידים רבים, למשל, השפעה על גורמי שעתוק</w:t>
      </w:r>
      <w:r w:rsidRPr="00A75784">
        <w:rPr>
          <w:rFonts w:ascii="David" w:eastAsia="Calibri" w:hAnsi="David"/>
        </w:rPr>
        <w:t>,</w:t>
      </w:r>
      <w:r w:rsidRPr="00A75784">
        <w:rPr>
          <w:rFonts w:ascii="David" w:eastAsia="Calibri" w:hAnsi="David"/>
          <w:rtl/>
        </w:rPr>
        <w:t xml:space="preserve"> תיקון נזקי דנ"א</w:t>
      </w:r>
      <w:r w:rsidRPr="00A75784">
        <w:rPr>
          <w:rFonts w:ascii="David" w:eastAsia="Calibri" w:hAnsi="David"/>
        </w:rPr>
        <w:t>,</w:t>
      </w:r>
      <w:r w:rsidRPr="00A75784">
        <w:rPr>
          <w:rFonts w:ascii="David" w:eastAsia="Calibri" w:hAnsi="David"/>
          <w:rtl/>
        </w:rPr>
        <w:t xml:space="preserve"> האצת </w:t>
      </w:r>
      <w:proofErr w:type="spellStart"/>
      <w:r w:rsidRPr="00A75784">
        <w:rPr>
          <w:rFonts w:ascii="David" w:eastAsia="Calibri" w:hAnsi="David"/>
          <w:rtl/>
        </w:rPr>
        <w:t>יוביקוויטינציה</w:t>
      </w:r>
      <w:proofErr w:type="spellEnd"/>
      <w:r w:rsidRPr="00A75784">
        <w:rPr>
          <w:rFonts w:ascii="David" w:eastAsia="Calibri" w:hAnsi="David"/>
        </w:rPr>
        <w:t>,</w:t>
      </w:r>
      <w:r w:rsidRPr="00A75784">
        <w:rPr>
          <w:rFonts w:ascii="David" w:eastAsia="Calibri" w:hAnsi="David"/>
          <w:rtl/>
        </w:rPr>
        <w:t xml:space="preserve"> עצירת מחזור התא וגרימת תהליך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מכוון של מוות תאי</w:t>
      </w:r>
      <w:r w:rsidRPr="00A75784">
        <w:rPr>
          <w:rFonts w:ascii="David" w:eastAsia="Calibri" w:hAnsi="David"/>
        </w:rPr>
        <w:t>.</w:t>
      </w:r>
      <w:r w:rsidRPr="00A75784">
        <w:rPr>
          <w:rFonts w:ascii="David" w:eastAsia="Calibri" w:hAnsi="David"/>
          <w:rtl/>
        </w:rPr>
        <w:t xml:space="preserve"> תפקוד לקוי של </w:t>
      </w:r>
      <w:r w:rsidRPr="00A75784">
        <w:rPr>
          <w:rFonts w:ascii="David" w:eastAsia="Calibri" w:hAnsi="David"/>
          <w:lang w:bidi="ar-SA"/>
        </w:rPr>
        <w:t>BRCA1</w:t>
      </w:r>
      <w:r w:rsidRPr="00A75784">
        <w:rPr>
          <w:rFonts w:ascii="David" w:eastAsia="Calibri" w:hAnsi="David"/>
          <w:rtl/>
        </w:rPr>
        <w:t xml:space="preserve"> עלול להוביל להתפתחות סרטן השד, ואכן נמצא שסיכוייהן של  נשים הנושאות גנים מוטנטים של החלבון </w:t>
      </w:r>
      <w:r w:rsidRPr="00A75784">
        <w:rPr>
          <w:rFonts w:ascii="David" w:eastAsia="Calibri" w:hAnsi="David"/>
        </w:rPr>
        <w:t>BRAC1</w:t>
      </w:r>
      <w:r w:rsidRPr="00A75784">
        <w:rPr>
          <w:rFonts w:ascii="David" w:eastAsia="Calibri" w:hAnsi="David"/>
          <w:rtl/>
        </w:rPr>
        <w:t xml:space="preserve"> לחלות בסרטן השד או בסרטן השחלות הם 85%. </w:t>
      </w:r>
    </w:p>
    <w:p w:rsidR="006D57D8" w:rsidRPr="00A75784" w:rsidRDefault="006D57D8" w:rsidP="006D57D8">
      <w:pPr>
        <w:rPr>
          <w:rFonts w:ascii="David" w:eastAsia="Calibri" w:hAnsi="David"/>
          <w:rtl/>
        </w:rPr>
      </w:pPr>
      <w:r w:rsidRPr="00A75784">
        <w:rPr>
          <w:rFonts w:ascii="David" w:eastAsia="Calibri" w:hAnsi="David"/>
          <w:rtl/>
        </w:rPr>
        <w:t xml:space="preserve">השוואת הפעילויות של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ושל החלבון </w:t>
      </w:r>
      <w:r w:rsidRPr="00A75784">
        <w:rPr>
          <w:rFonts w:ascii="David" w:eastAsia="Calibri" w:hAnsi="David"/>
        </w:rPr>
        <w:t xml:space="preserve"> BRAC1</w:t>
      </w:r>
      <w:r w:rsidRPr="00A75784">
        <w:rPr>
          <w:rFonts w:ascii="David" w:eastAsia="Calibri" w:hAnsi="David"/>
          <w:rtl/>
        </w:rPr>
        <w:t xml:space="preserve">מעלה שפעילויותיהם מנוגדות אלה לאלה. לכן, במחקר הנוכחי שיערנו שביטוי החלבון </w:t>
      </w:r>
      <w:r w:rsidRPr="00A75784">
        <w:rPr>
          <w:rFonts w:ascii="David" w:eastAsia="Calibri" w:hAnsi="David"/>
        </w:rPr>
        <w:t>HTLV1-Tax</w:t>
      </w:r>
      <w:r w:rsidRPr="00A75784">
        <w:rPr>
          <w:rFonts w:ascii="David" w:eastAsia="Calibri" w:hAnsi="David"/>
          <w:rtl/>
        </w:rPr>
        <w:t xml:space="preserve"> בתאי אפיתל של רקמת השד ימנע את הפעילויות ואולי גם את הביטוי של החלבון </w:t>
      </w:r>
      <w:r w:rsidRPr="00A75784">
        <w:rPr>
          <w:rFonts w:ascii="David" w:eastAsia="Calibri" w:hAnsi="David"/>
        </w:rPr>
        <w:t>BRCA1</w:t>
      </w:r>
      <w:r w:rsidRPr="00A75784">
        <w:rPr>
          <w:rFonts w:ascii="David" w:eastAsia="Calibri" w:hAnsi="David"/>
          <w:rtl/>
        </w:rPr>
        <w:t xml:space="preserve">, ובעקבות כך תעלה רגישות התאים האלה לטרנספורמציה ממארת באמצעות קרצינוגניים סביבתיים במידה רבה. </w:t>
      </w:r>
    </w:p>
    <w:p w:rsidR="006D57D8" w:rsidRPr="00A75784" w:rsidRDefault="006D57D8" w:rsidP="006D57D8">
      <w:pPr>
        <w:rPr>
          <w:rFonts w:ascii="David" w:eastAsia="Calibri" w:hAnsi="David"/>
          <w:rtl/>
        </w:rPr>
      </w:pPr>
      <w:r w:rsidRPr="00A75784">
        <w:rPr>
          <w:rFonts w:ascii="David" w:eastAsia="Calibri" w:hAnsi="David"/>
          <w:rtl/>
        </w:rPr>
        <w:t>חוקרים מצאו שחלב-אם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נשים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הנגועות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בנגיף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HTLV-1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מכיל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תאי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T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רבים הנגועים באותו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הנגיף</w:t>
      </w:r>
      <w:r w:rsidRPr="00A75784">
        <w:rPr>
          <w:rFonts w:ascii="David" w:eastAsia="Calibri" w:hAnsi="David"/>
          <w:rtl/>
          <w:lang w:bidi="ar-SA"/>
        </w:rPr>
        <w:t>.</w:t>
      </w:r>
      <w:r w:rsidRPr="00A75784">
        <w:rPr>
          <w:rFonts w:ascii="David" w:eastAsia="Calibri" w:hAnsi="David"/>
          <w:rtl/>
        </w:rPr>
        <w:t xml:space="preserve"> נוסף על כך נמצא שתאי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אפיתל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בחלב-אם עלולים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גם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להידבק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בנגיף</w:t>
      </w:r>
      <w:r w:rsidRPr="00A75784">
        <w:rPr>
          <w:rFonts w:ascii="David" w:eastAsia="Calibri" w:hAnsi="David"/>
        </w:rPr>
        <w:t xml:space="preserve">HTLV-1 </w:t>
      </w:r>
      <w:r w:rsidRPr="00A75784">
        <w:rPr>
          <w:rFonts w:ascii="David" w:eastAsia="Calibri" w:hAnsi="David"/>
          <w:rtl/>
        </w:rPr>
        <w:t>,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כשהם נצמדים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לתאי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T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המודבקים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בנגיף,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ובתורם עלולים תאים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proofErr w:type="spellStart"/>
      <w:r w:rsidRPr="00A75784">
        <w:rPr>
          <w:rFonts w:ascii="David" w:eastAsia="Calibri" w:hAnsi="David"/>
          <w:rtl/>
        </w:rPr>
        <w:t>אפיתליים</w:t>
      </w:r>
      <w:proofErr w:type="spellEnd"/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מודבקים להעביר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את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הנגיף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גם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לתאי אפיתל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שד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אחרים</w:t>
      </w:r>
      <w:r w:rsidRPr="00A75784">
        <w:rPr>
          <w:rFonts w:ascii="David" w:eastAsia="Calibri" w:hAnsi="David"/>
          <w:rtl/>
          <w:lang w:bidi="ar-SA"/>
        </w:rPr>
        <w:t xml:space="preserve">. </w:t>
      </w:r>
      <w:r w:rsidRPr="00A75784">
        <w:rPr>
          <w:rFonts w:ascii="David" w:eastAsia="Calibri" w:hAnsi="David"/>
          <w:rtl/>
        </w:rPr>
        <w:t>הנחנו שתאי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שד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נשים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מודבקות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בנגיף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HTLV-1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יודבקו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בנגיף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זה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באמצעות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חלב-אם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עשיר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בתאי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T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מודבקים, וכן שיערנו</w:t>
      </w:r>
      <w:r w:rsidRPr="00A75784">
        <w:rPr>
          <w:rFonts w:ascii="David" w:eastAsia="Calibri" w:hAnsi="David"/>
        </w:rPr>
        <w:t xml:space="preserve"> </w:t>
      </w:r>
      <w:r w:rsidRPr="00A75784">
        <w:rPr>
          <w:rFonts w:ascii="David" w:eastAsia="Calibri" w:hAnsi="David"/>
          <w:rtl/>
        </w:rPr>
        <w:t>שנשים שיש להן את הנגיף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HTLV-1</w:t>
      </w:r>
      <w:r w:rsidRPr="00A75784">
        <w:rPr>
          <w:rFonts w:ascii="David" w:eastAsia="Calibri" w:hAnsi="David"/>
          <w:rtl/>
        </w:rPr>
        <w:t xml:space="preserve">, 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והן מניקות תקופה ממושכת, עלולות לחלות בסרטן השד. מטרת המחקר הנוכחי הייתה לספק הוכחות מולקולריות שיאששו את השערת המחקר הזו.</w:t>
      </w:r>
    </w:p>
    <w:p w:rsidR="006D57D8" w:rsidRPr="00A75784" w:rsidRDefault="006D57D8" w:rsidP="006D57D8">
      <w:pPr>
        <w:rPr>
          <w:rFonts w:ascii="David" w:eastAsia="Calibri" w:hAnsi="David"/>
          <w:rtl/>
        </w:rPr>
      </w:pPr>
      <w:r w:rsidRPr="00A75784">
        <w:rPr>
          <w:rFonts w:ascii="David" w:eastAsia="Calibri" w:hAnsi="David"/>
          <w:rtl/>
        </w:rPr>
        <w:t xml:space="preserve">לשם </w:t>
      </w:r>
      <w:r w:rsidRPr="006D57D8">
        <w:rPr>
          <w:rFonts w:ascii="David" w:eastAsia="Calibri" w:hAnsi="David"/>
          <w:color w:val="auto"/>
          <w:rtl/>
        </w:rPr>
        <w:t xml:space="preserve">אישוש השערת המחקר, בדקנו תחילה שהחלבון </w:t>
      </w:r>
      <w:r w:rsidRPr="006D57D8">
        <w:rPr>
          <w:rFonts w:ascii="David" w:eastAsia="Calibri" w:hAnsi="David"/>
          <w:color w:val="auto"/>
        </w:rPr>
        <w:t>Tax</w:t>
      </w:r>
      <w:r w:rsidRPr="006D57D8">
        <w:rPr>
          <w:rFonts w:ascii="David" w:eastAsia="Calibri" w:hAnsi="David"/>
          <w:color w:val="auto"/>
          <w:rtl/>
        </w:rPr>
        <w:t xml:space="preserve"> והמוטנטים שלו מתבטאים ופעילים בשורות תאי שד (</w:t>
      </w:r>
      <w:r w:rsidRPr="006D57D8">
        <w:rPr>
          <w:rFonts w:ascii="David" w:eastAsia="Calibri" w:hAnsi="David"/>
          <w:color w:val="auto"/>
          <w:lang w:bidi="ar-SA"/>
        </w:rPr>
        <w:t>In Vitro</w:t>
      </w:r>
      <w:r w:rsidRPr="006D57D8">
        <w:rPr>
          <w:rFonts w:ascii="David" w:eastAsia="Calibri" w:hAnsi="David"/>
          <w:color w:val="auto"/>
          <w:rtl/>
        </w:rPr>
        <w:t xml:space="preserve">). תוצאות </w:t>
      </w:r>
      <w:r w:rsidRPr="00A75784">
        <w:rPr>
          <w:rFonts w:ascii="David" w:eastAsia="Calibri" w:hAnsi="David"/>
          <w:rtl/>
        </w:rPr>
        <w:t xml:space="preserve">המחקר מצביעות על כך שהחלבון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והמוטנטים שלו אכן מתבטאים בתאי שד ומשפיעים על הפעילות של מסלולי ה-</w:t>
      </w:r>
      <w:r w:rsidRPr="00A75784">
        <w:rPr>
          <w:rFonts w:ascii="David" w:eastAsia="Calibri" w:hAnsi="David"/>
        </w:rPr>
        <w:t>CREB</w:t>
      </w:r>
      <w:r w:rsidRPr="00A75784">
        <w:rPr>
          <w:rFonts w:ascii="David" w:eastAsia="Calibri" w:hAnsi="David"/>
          <w:rtl/>
        </w:rPr>
        <w:t xml:space="preserve"> ו-</w:t>
      </w:r>
      <w:r w:rsidRPr="00A75784">
        <w:rPr>
          <w:rFonts w:ascii="David" w:eastAsia="Calibri" w:hAnsi="David"/>
        </w:rPr>
        <w:t>NF-</w:t>
      </w:r>
      <w:proofErr w:type="spellStart"/>
      <w:r w:rsidRPr="00A75784">
        <w:rPr>
          <w:rFonts w:ascii="Arial" w:eastAsia="Calibri" w:hAnsi="Arial" w:cs="Arial"/>
        </w:rPr>
        <w:t>κ</w:t>
      </w:r>
      <w:r w:rsidRPr="00A75784">
        <w:rPr>
          <w:rFonts w:ascii="David" w:eastAsia="Calibri" w:hAnsi="David"/>
        </w:rPr>
        <w:t>B</w:t>
      </w:r>
      <w:proofErr w:type="spellEnd"/>
      <w:r w:rsidRPr="00A75784">
        <w:rPr>
          <w:rFonts w:ascii="David" w:eastAsia="Calibri" w:hAnsi="David"/>
          <w:rtl/>
        </w:rPr>
        <w:t xml:space="preserve"> בצורה דומה לביטויים ופעילותם בתאי המטרה הטבעיים שלהם</w:t>
      </w:r>
      <w:r w:rsidRPr="00A75784">
        <w:rPr>
          <w:rFonts w:ascii="David" w:eastAsia="Calibri" w:hAnsi="David"/>
        </w:rPr>
        <w:t>.</w:t>
      </w:r>
      <w:r w:rsidRPr="00A75784">
        <w:rPr>
          <w:rFonts w:ascii="David" w:eastAsia="Calibri" w:hAnsi="David"/>
          <w:rtl/>
        </w:rPr>
        <w:t xml:space="preserve"> </w:t>
      </w:r>
    </w:p>
    <w:p w:rsidR="006D57D8" w:rsidRPr="00A75784" w:rsidRDefault="006D57D8" w:rsidP="006D57D8">
      <w:pPr>
        <w:rPr>
          <w:rFonts w:ascii="David" w:eastAsia="Calibri" w:hAnsi="David"/>
          <w:rtl/>
        </w:rPr>
      </w:pPr>
      <w:r w:rsidRPr="00A75784">
        <w:rPr>
          <w:rFonts w:ascii="David" w:eastAsia="Calibri" w:hAnsi="David"/>
          <w:rtl/>
        </w:rPr>
        <w:t xml:space="preserve">תוצאות הניסויים הבאים הצביעו על כך שהחלבון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מעכב במידה רבה מאוד את הביטוי של </w:t>
      </w:r>
      <w:r w:rsidRPr="00A75784">
        <w:rPr>
          <w:rFonts w:ascii="David" w:eastAsia="Calibri" w:hAnsi="David"/>
        </w:rPr>
        <w:t>BRCA1</w:t>
      </w:r>
      <w:r w:rsidRPr="00A75784">
        <w:rPr>
          <w:rFonts w:ascii="David" w:eastAsia="Calibri" w:hAnsi="David"/>
          <w:rtl/>
        </w:rPr>
        <w:t xml:space="preserve"> המושרה באמצעות אסטרוגן (</w:t>
      </w:r>
      <w:r w:rsidRPr="00A75784">
        <w:rPr>
          <w:rFonts w:ascii="David" w:eastAsia="Calibri" w:hAnsi="David"/>
        </w:rPr>
        <w:t>E2</w:t>
      </w:r>
      <w:r w:rsidRPr="00A75784">
        <w:rPr>
          <w:rFonts w:ascii="David" w:eastAsia="Calibri" w:hAnsi="David"/>
          <w:rtl/>
        </w:rPr>
        <w:t xml:space="preserve">) בתאי שד. כדי להבין את מנגנון ההשפעה המעכבת של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על הביטוי של </w:t>
      </w:r>
      <w:r w:rsidRPr="00A75784">
        <w:rPr>
          <w:rFonts w:ascii="David" w:eastAsia="Calibri" w:hAnsi="David"/>
        </w:rPr>
        <w:t>BRCA1</w:t>
      </w:r>
      <w:r w:rsidRPr="00A75784">
        <w:rPr>
          <w:rFonts w:ascii="David" w:eastAsia="Calibri" w:hAnsi="David"/>
          <w:rtl/>
        </w:rPr>
        <w:t xml:space="preserve">, בדקנו האם עיכוב זה מתרחש במסלולים הידועים של החלבון </w:t>
      </w:r>
      <w:r w:rsidRPr="00A75784">
        <w:rPr>
          <w:rFonts w:ascii="David" w:eastAsia="Calibri" w:hAnsi="David"/>
        </w:rPr>
        <w:t xml:space="preserve"> Tax</w:t>
      </w:r>
      <w:r w:rsidRPr="00A75784">
        <w:rPr>
          <w:rFonts w:ascii="David" w:eastAsia="Calibri" w:hAnsi="David"/>
          <w:rtl/>
        </w:rPr>
        <w:t xml:space="preserve">(המסלולים העיקרים </w:t>
      </w:r>
      <w:r w:rsidRPr="00A75784">
        <w:rPr>
          <w:rFonts w:ascii="David" w:eastAsia="Calibri" w:hAnsi="David"/>
        </w:rPr>
        <w:t>CREB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או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NF-</w:t>
      </w:r>
      <w:proofErr w:type="spellStart"/>
      <w:r w:rsidRPr="00A75784">
        <w:rPr>
          <w:rFonts w:ascii="Arial" w:eastAsia="Calibri" w:hAnsi="Arial" w:cs="Arial"/>
        </w:rPr>
        <w:t>κ</w:t>
      </w:r>
      <w:r w:rsidRPr="00A75784">
        <w:rPr>
          <w:rFonts w:ascii="David" w:eastAsia="Calibri" w:hAnsi="David"/>
        </w:rPr>
        <w:t>B</w:t>
      </w:r>
      <w:proofErr w:type="spellEnd"/>
      <w:r w:rsidRPr="00A75784">
        <w:rPr>
          <w:rFonts w:ascii="David" w:eastAsia="Calibri" w:hAnsi="David"/>
          <w:rtl/>
        </w:rPr>
        <w:t xml:space="preserve">), או במסלול אחר. לשם כך בחנו את ההשפעה של המוטנטים של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: </w:t>
      </w:r>
      <w:r w:rsidRPr="00A75784">
        <w:rPr>
          <w:rFonts w:ascii="David" w:eastAsia="Calibri" w:hAnsi="David"/>
        </w:rPr>
        <w:t>TaxM47, TaxM22</w:t>
      </w:r>
      <w:r w:rsidRPr="00A75784">
        <w:rPr>
          <w:rFonts w:ascii="David" w:eastAsia="Calibri" w:hAnsi="David"/>
          <w:rtl/>
        </w:rPr>
        <w:t xml:space="preserve"> </w:t>
      </w:r>
      <w:r w:rsidRPr="00A75784">
        <w:rPr>
          <w:rFonts w:ascii="David" w:eastAsia="Calibri" w:hAnsi="David"/>
        </w:rPr>
        <w:t>TaxV89A</w:t>
      </w:r>
      <w:r w:rsidRPr="00A75784">
        <w:rPr>
          <w:rFonts w:ascii="David" w:eastAsia="Calibri" w:hAnsi="David"/>
          <w:rtl/>
        </w:rPr>
        <w:t xml:space="preserve">, על הביטוי של </w:t>
      </w:r>
      <w:r w:rsidRPr="00A75784">
        <w:rPr>
          <w:rFonts w:ascii="David" w:eastAsia="Calibri" w:hAnsi="David"/>
        </w:rPr>
        <w:t>BRAC1</w:t>
      </w:r>
      <w:r w:rsidRPr="00A75784">
        <w:rPr>
          <w:rFonts w:ascii="David" w:eastAsia="Calibri" w:hAnsi="David"/>
          <w:rtl/>
        </w:rPr>
        <w:t xml:space="preserve"> בתאי שד</w:t>
      </w:r>
      <w:r w:rsidRPr="00A75784">
        <w:rPr>
          <w:rFonts w:ascii="David" w:eastAsia="Calibri" w:hAnsi="David"/>
        </w:rPr>
        <w:t>.</w:t>
      </w:r>
      <w:r w:rsidRPr="00A75784">
        <w:rPr>
          <w:rFonts w:ascii="David" w:eastAsia="Calibri" w:hAnsi="David"/>
          <w:rtl/>
        </w:rPr>
        <w:t xml:space="preserve"> תוצאות הניסוי הצביעו על כך שהעיכוב בביטוי של </w:t>
      </w:r>
      <w:r w:rsidRPr="00A75784">
        <w:rPr>
          <w:rFonts w:ascii="David" w:eastAsia="Calibri" w:hAnsi="David"/>
        </w:rPr>
        <w:t>BRCA1</w:t>
      </w:r>
      <w:r w:rsidRPr="00A75784">
        <w:rPr>
          <w:rFonts w:ascii="David" w:eastAsia="Calibri" w:hAnsi="David"/>
          <w:rtl/>
        </w:rPr>
        <w:t xml:space="preserve"> באמצעות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אינו קשור למסלולי </w:t>
      </w:r>
      <w:r w:rsidRPr="00A75784">
        <w:rPr>
          <w:rFonts w:ascii="David" w:eastAsia="Calibri" w:hAnsi="David"/>
        </w:rPr>
        <w:t>CREB</w:t>
      </w:r>
      <w:r w:rsidRPr="00A75784">
        <w:rPr>
          <w:rFonts w:ascii="David" w:eastAsia="Calibri" w:hAnsi="David"/>
          <w:rtl/>
        </w:rPr>
        <w:t xml:space="preserve"> ו-</w:t>
      </w:r>
      <w:r w:rsidRPr="00A75784">
        <w:rPr>
          <w:rFonts w:ascii="David" w:eastAsia="Calibri" w:hAnsi="David"/>
        </w:rPr>
        <w:t>NF-</w:t>
      </w:r>
      <w:proofErr w:type="spellStart"/>
      <w:r w:rsidRPr="00A75784">
        <w:rPr>
          <w:rFonts w:ascii="Arial" w:eastAsia="Calibri" w:hAnsi="Arial" w:cs="Arial"/>
        </w:rPr>
        <w:t>κ</w:t>
      </w:r>
      <w:r w:rsidRPr="00A75784">
        <w:rPr>
          <w:rFonts w:ascii="David" w:eastAsia="Calibri" w:hAnsi="David"/>
        </w:rPr>
        <w:t>B</w:t>
      </w:r>
      <w:proofErr w:type="spellEnd"/>
      <w:r w:rsidRPr="00A75784">
        <w:rPr>
          <w:rFonts w:ascii="David" w:eastAsia="Calibri" w:hAnsi="David"/>
          <w:rtl/>
        </w:rPr>
        <w:t xml:space="preserve">, אלא קשור לקו-פקטורים </w:t>
      </w:r>
      <w:r w:rsidRPr="00A75784">
        <w:rPr>
          <w:rFonts w:ascii="David" w:eastAsia="Calibri" w:hAnsi="David"/>
        </w:rPr>
        <w:t>p300/CBP</w:t>
      </w:r>
      <w:r w:rsidRPr="00A75784">
        <w:rPr>
          <w:rFonts w:ascii="David" w:eastAsia="Calibri" w:hAnsi="David"/>
          <w:rtl/>
          <w:lang w:bidi="ar-SA"/>
        </w:rPr>
        <w:t>.</w:t>
      </w:r>
    </w:p>
    <w:p w:rsidR="006D57D8" w:rsidRPr="00A75784" w:rsidRDefault="006D57D8" w:rsidP="006D57D8">
      <w:pPr>
        <w:rPr>
          <w:rFonts w:ascii="David" w:eastAsia="Calibri" w:hAnsi="David"/>
          <w:rtl/>
        </w:rPr>
      </w:pPr>
      <w:r w:rsidRPr="00A75784">
        <w:rPr>
          <w:rFonts w:ascii="David" w:eastAsia="Calibri" w:hAnsi="David"/>
          <w:rtl/>
        </w:rPr>
        <w:lastRenderedPageBreak/>
        <w:t xml:space="preserve">בהמשך חקרנו את מנגנון ההשפעה של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על הביטוי של </w:t>
      </w:r>
      <w:r w:rsidRPr="00A75784">
        <w:rPr>
          <w:rFonts w:ascii="David" w:eastAsia="Calibri" w:hAnsi="David"/>
        </w:rPr>
        <w:t>BRCA1</w:t>
      </w:r>
      <w:r w:rsidRPr="00A75784">
        <w:rPr>
          <w:rFonts w:ascii="David" w:eastAsia="Calibri" w:hAnsi="David"/>
          <w:rtl/>
        </w:rPr>
        <w:t xml:space="preserve">. בחנו את השפעת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על פעילות הקולטן של </w:t>
      </w:r>
      <w:r w:rsidRPr="00A75784">
        <w:rPr>
          <w:rFonts w:ascii="David" w:eastAsia="Calibri" w:hAnsi="David"/>
        </w:rPr>
        <w:t>E2</w:t>
      </w:r>
      <w:r w:rsidRPr="00A75784">
        <w:rPr>
          <w:rFonts w:ascii="David" w:eastAsia="Calibri" w:hAnsi="David"/>
          <w:rtl/>
        </w:rPr>
        <w:t xml:space="preserve"> (שנקרא </w:t>
      </w:r>
      <w:r w:rsidRPr="00A75784">
        <w:rPr>
          <w:rFonts w:ascii="David" w:eastAsia="Calibri" w:hAnsi="David"/>
        </w:rPr>
        <w:t>(ER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, הפועל כפקטור שעתוק האחראי להפעלת הביטוי של </w:t>
      </w:r>
      <w:r w:rsidRPr="00A75784">
        <w:rPr>
          <w:rFonts w:ascii="David" w:eastAsia="Calibri" w:hAnsi="David"/>
        </w:rPr>
        <w:t>BRCA1</w:t>
      </w:r>
      <w:r w:rsidRPr="00A75784">
        <w:rPr>
          <w:rFonts w:ascii="David" w:eastAsia="Calibri" w:hAnsi="David"/>
          <w:rtl/>
        </w:rPr>
        <w:t xml:space="preserve">. תוך כדי כך בדקנו גם את השפעת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על הקו-פקטורים </w:t>
      </w:r>
      <w:r w:rsidRPr="00A75784">
        <w:rPr>
          <w:rFonts w:ascii="David" w:eastAsia="Calibri" w:hAnsi="David"/>
        </w:rPr>
        <w:t>p300\CBP</w:t>
      </w:r>
      <w:r w:rsidRPr="00A75784">
        <w:rPr>
          <w:rFonts w:ascii="David" w:eastAsia="Calibri" w:hAnsi="David"/>
          <w:rtl/>
        </w:rPr>
        <w:t xml:space="preserve"> הדרושים לפעילות פקטור השעתוק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. תוצאות הניסוי הצביעו על עלייה ברמות הקו-פקטורים </w:t>
      </w:r>
      <w:r w:rsidRPr="00A75784">
        <w:rPr>
          <w:rFonts w:ascii="David" w:eastAsia="Calibri" w:hAnsi="David"/>
          <w:lang w:bidi="ar-SA"/>
        </w:rPr>
        <w:t>CBP</w:t>
      </w:r>
      <w:r w:rsidRPr="00A75784">
        <w:rPr>
          <w:rFonts w:ascii="David" w:eastAsia="Calibri" w:hAnsi="David"/>
          <w:rtl/>
        </w:rPr>
        <w:t xml:space="preserve"> ו-</w:t>
      </w:r>
      <w:r w:rsidRPr="00A75784">
        <w:rPr>
          <w:rFonts w:ascii="David" w:eastAsia="Calibri" w:hAnsi="David"/>
          <w:lang w:bidi="ar-SA"/>
        </w:rPr>
        <w:t>p300</w:t>
      </w:r>
      <w:r w:rsidRPr="00A75784">
        <w:rPr>
          <w:rFonts w:ascii="David" w:eastAsia="Calibri" w:hAnsi="David"/>
          <w:rtl/>
        </w:rPr>
        <w:t xml:space="preserve"> בתאים, דבר שהפחית במידה רבה את העיכוב שיצר החלבון </w:t>
      </w:r>
      <w:r w:rsidRPr="00A75784">
        <w:rPr>
          <w:rFonts w:ascii="David" w:eastAsia="Calibri" w:hAnsi="David"/>
          <w:lang w:bidi="ar-SA"/>
        </w:rPr>
        <w:t>Tax</w:t>
      </w:r>
      <w:r w:rsidRPr="00A75784">
        <w:rPr>
          <w:rFonts w:ascii="David" w:eastAsia="Calibri" w:hAnsi="David"/>
          <w:rtl/>
        </w:rPr>
        <w:t xml:space="preserve"> על הביטוי של </w:t>
      </w:r>
      <w:r w:rsidRPr="00A75784">
        <w:rPr>
          <w:rFonts w:ascii="David" w:eastAsia="Calibri" w:hAnsi="David"/>
          <w:lang w:bidi="ar-SA"/>
        </w:rPr>
        <w:t>BRCA1</w:t>
      </w:r>
      <w:r w:rsidRPr="00A75784">
        <w:rPr>
          <w:rFonts w:ascii="David" w:eastAsia="Calibri" w:hAnsi="David"/>
          <w:rtl/>
        </w:rPr>
        <w:t>.</w:t>
      </w:r>
    </w:p>
    <w:p w:rsidR="006D57D8" w:rsidRPr="00A75784" w:rsidRDefault="006D57D8" w:rsidP="006D57D8">
      <w:pPr>
        <w:rPr>
          <w:rFonts w:ascii="David" w:eastAsia="Calibri" w:hAnsi="David"/>
          <w:rtl/>
        </w:rPr>
      </w:pPr>
      <w:r w:rsidRPr="00A75784">
        <w:rPr>
          <w:rFonts w:ascii="David" w:eastAsia="Calibri" w:hAnsi="David"/>
          <w:rtl/>
        </w:rPr>
        <w:t xml:space="preserve">בעקבות התוצאות האלה הנחנו שהחלבון, שנחשב כבעל </w:t>
      </w:r>
      <w:proofErr w:type="spellStart"/>
      <w:r w:rsidRPr="00A75784">
        <w:rPr>
          <w:rFonts w:ascii="David" w:eastAsia="Calibri" w:hAnsi="David"/>
          <w:rtl/>
        </w:rPr>
        <w:t>אפיניות</w:t>
      </w:r>
      <w:proofErr w:type="spellEnd"/>
      <w:r w:rsidRPr="00A75784">
        <w:rPr>
          <w:rFonts w:ascii="David" w:eastAsia="Calibri" w:hAnsi="David"/>
          <w:rtl/>
        </w:rPr>
        <w:t xml:space="preserve"> גבוה לקשירה עם </w:t>
      </w:r>
      <w:r w:rsidRPr="00A75784">
        <w:rPr>
          <w:rFonts w:ascii="David" w:eastAsia="Calibri" w:hAnsi="David"/>
        </w:rPr>
        <w:t>CBP</w:t>
      </w:r>
      <w:r w:rsidRPr="00A75784">
        <w:rPr>
          <w:rFonts w:ascii="David" w:eastAsia="Calibri" w:hAnsi="David"/>
          <w:rtl/>
        </w:rPr>
        <w:t xml:space="preserve"> ועם </w:t>
      </w:r>
      <w:r w:rsidRPr="00A75784">
        <w:rPr>
          <w:rFonts w:ascii="David" w:eastAsia="Calibri" w:hAnsi="David"/>
        </w:rPr>
        <w:t>p300</w:t>
      </w:r>
      <w:r w:rsidRPr="00A75784">
        <w:rPr>
          <w:rFonts w:ascii="David" w:eastAsia="Calibri" w:hAnsi="David"/>
          <w:rtl/>
        </w:rPr>
        <w:t xml:space="preserve">, נקשר לקו-פקטורים אלה ומפחית את זמינותם לקשירה עם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, וכך הוא יכול להפריע לפעילות השעתוק של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. להפתעתנו, תוצאות הניסוי הצביעו על כך שהחלבון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אינו מונע את הקשירה של </w:t>
      </w:r>
      <w:r w:rsidRPr="00A75784">
        <w:rPr>
          <w:rFonts w:ascii="David" w:eastAsia="Calibri" w:hAnsi="David"/>
        </w:rPr>
        <w:t>p300\CBP</w:t>
      </w:r>
      <w:r w:rsidRPr="00A75784">
        <w:rPr>
          <w:rFonts w:ascii="David" w:eastAsia="Calibri" w:hAnsi="David"/>
          <w:rtl/>
        </w:rPr>
        <w:t xml:space="preserve"> ל-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, אלא נקשר באופן פיזיקאלי לקומפלקס </w:t>
      </w:r>
      <w:r w:rsidRPr="00A75784">
        <w:rPr>
          <w:rFonts w:ascii="David" w:eastAsia="Calibri" w:hAnsi="David"/>
        </w:rPr>
        <w:t>E2-ER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</w:rPr>
        <w:t>- p300\CBP</w:t>
      </w:r>
      <w:r w:rsidRPr="00A75784">
        <w:rPr>
          <w:rFonts w:ascii="David" w:eastAsia="Calibri" w:hAnsi="David"/>
          <w:rtl/>
        </w:rPr>
        <w:t xml:space="preserve"> ויוצר קומפלקס רבעוני.</w:t>
      </w:r>
    </w:p>
    <w:p w:rsidR="006D57D8" w:rsidRPr="00A75784" w:rsidRDefault="006D57D8" w:rsidP="006D57D8">
      <w:pPr>
        <w:rPr>
          <w:rFonts w:ascii="David" w:eastAsia="Calibri" w:hAnsi="David"/>
          <w:rtl/>
        </w:rPr>
      </w:pPr>
      <w:r w:rsidRPr="00A75784">
        <w:rPr>
          <w:rFonts w:ascii="David" w:eastAsia="Calibri" w:hAnsi="David"/>
          <w:rtl/>
        </w:rPr>
        <w:t xml:space="preserve">שיערנו שמאחר שלקו-פקטורים </w:t>
      </w:r>
      <w:r w:rsidRPr="00A75784">
        <w:rPr>
          <w:rFonts w:ascii="David" w:eastAsia="Calibri" w:hAnsi="David"/>
          <w:lang w:bidi="ar-SA"/>
        </w:rPr>
        <w:t>p300\CBP</w:t>
      </w:r>
      <w:r w:rsidRPr="00A75784">
        <w:rPr>
          <w:rFonts w:ascii="David" w:eastAsia="Calibri" w:hAnsi="David"/>
          <w:rtl/>
        </w:rPr>
        <w:t xml:space="preserve"> יש מספר גדול של אזורי קשירה, החלבון </w:t>
      </w:r>
      <w:r w:rsidRPr="00A75784">
        <w:rPr>
          <w:rFonts w:ascii="David" w:eastAsia="Calibri" w:hAnsi="David"/>
          <w:lang w:bidi="ar-SA"/>
        </w:rPr>
        <w:t>Tax</w:t>
      </w:r>
      <w:r w:rsidRPr="00A75784">
        <w:rPr>
          <w:rFonts w:ascii="David" w:eastAsia="Calibri" w:hAnsi="David"/>
          <w:rtl/>
        </w:rPr>
        <w:t xml:space="preserve"> נקשר לקומפלקס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</w:rPr>
        <w:t>- p300\CBP</w:t>
      </w:r>
      <w:r w:rsidRPr="00A75784">
        <w:rPr>
          <w:rFonts w:ascii="David" w:eastAsia="Calibri" w:hAnsi="David"/>
          <w:rtl/>
        </w:rPr>
        <w:t xml:space="preserve"> באמצעות קשירה ישירה ל-</w:t>
      </w:r>
      <w:r w:rsidRPr="00A75784">
        <w:rPr>
          <w:rFonts w:ascii="David" w:eastAsia="Calibri" w:hAnsi="David"/>
          <w:lang w:bidi="ar-SA"/>
        </w:rPr>
        <w:t>p300\CBP</w:t>
      </w:r>
      <w:r w:rsidRPr="00A75784">
        <w:rPr>
          <w:rFonts w:ascii="David" w:eastAsia="Calibri" w:hAnsi="David"/>
          <w:rtl/>
        </w:rPr>
        <w:t xml:space="preserve"> בסבירות גבוהה יותר מאשר לחלבון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. בהשערה זו תומכות תוצאות הניסויים שערכנו, שלפיהן כשיש ביטוי מוגבר של קו-פקטורים אלה יש ירידה במידת העיכוב של הביטוי </w:t>
      </w:r>
      <w:r w:rsidRPr="00A75784">
        <w:rPr>
          <w:rFonts w:ascii="David" w:eastAsia="Calibri" w:hAnsi="David"/>
        </w:rPr>
        <w:t>BRCA1</w:t>
      </w:r>
      <w:r w:rsidRPr="00A75784">
        <w:rPr>
          <w:rFonts w:ascii="David" w:eastAsia="Calibri" w:hAnsi="David"/>
          <w:rtl/>
        </w:rPr>
        <w:t xml:space="preserve"> באמצעות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. זאת ועוד, התוצאות הצביעו על כך שבניגוד להשפעה המדכאת של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על הביטוי של </w:t>
      </w:r>
      <w:r w:rsidRPr="00A75784">
        <w:rPr>
          <w:rFonts w:ascii="David" w:eastAsia="Calibri" w:hAnsi="David"/>
        </w:rPr>
        <w:t>,BRCA1</w:t>
      </w:r>
      <w:r w:rsidRPr="00A75784">
        <w:rPr>
          <w:rFonts w:ascii="David" w:eastAsia="Calibri" w:hAnsi="David"/>
          <w:rtl/>
        </w:rPr>
        <w:t xml:space="preserve">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האיץ את הביטוי </w:t>
      </w:r>
      <w:proofErr w:type="spellStart"/>
      <w:r w:rsidRPr="00A75784">
        <w:rPr>
          <w:rFonts w:ascii="David" w:eastAsia="Calibri" w:hAnsi="David"/>
          <w:rtl/>
        </w:rPr>
        <w:t>הבזאלי</w:t>
      </w:r>
      <w:proofErr w:type="spellEnd"/>
      <w:r w:rsidRPr="00A75784">
        <w:rPr>
          <w:rFonts w:ascii="David" w:eastAsia="Calibri" w:hAnsi="David"/>
          <w:rtl/>
        </w:rPr>
        <w:t xml:space="preserve"> והמושרה (באמצעות הקומפלקס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</w:rPr>
        <w:t xml:space="preserve">-E2 </w:t>
      </w:r>
      <w:r w:rsidRPr="00A75784">
        <w:rPr>
          <w:rFonts w:ascii="David" w:eastAsia="Calibri" w:hAnsi="David"/>
          <w:rtl/>
        </w:rPr>
        <w:t xml:space="preserve">) של גנים שמכילים את רצפי </w:t>
      </w:r>
      <w:r w:rsidRPr="00A75784">
        <w:rPr>
          <w:rFonts w:ascii="David" w:eastAsia="Calibri" w:hAnsi="David"/>
        </w:rPr>
        <w:t>ERE</w:t>
      </w:r>
      <w:r w:rsidRPr="00A75784">
        <w:rPr>
          <w:rFonts w:ascii="David" w:eastAsia="Calibri" w:hAnsi="David"/>
          <w:rtl/>
        </w:rPr>
        <w:t xml:space="preserve"> </w:t>
      </w:r>
      <w:proofErr w:type="spellStart"/>
      <w:r w:rsidRPr="00A75784">
        <w:rPr>
          <w:rFonts w:ascii="David" w:eastAsia="Calibri" w:hAnsi="David"/>
          <w:rtl/>
        </w:rPr>
        <w:t>בפרומוטור</w:t>
      </w:r>
      <w:proofErr w:type="spellEnd"/>
      <w:r w:rsidRPr="00A75784">
        <w:rPr>
          <w:rFonts w:ascii="David" w:eastAsia="Calibri" w:hAnsi="David"/>
          <w:rtl/>
        </w:rPr>
        <w:t xml:space="preserve"> שלהם. אם-</w:t>
      </w:r>
      <w:r>
        <w:rPr>
          <w:rFonts w:ascii="David" w:eastAsia="Calibri" w:hAnsi="David"/>
          <w:rtl/>
        </w:rPr>
        <w:t>כן, נראה שקיימת פעילות סינרג</w:t>
      </w:r>
      <w:r w:rsidRPr="00A75784">
        <w:rPr>
          <w:rFonts w:ascii="David" w:eastAsia="Calibri" w:hAnsi="David"/>
          <w:rtl/>
        </w:rPr>
        <w:t xml:space="preserve">טית בין </w:t>
      </w:r>
      <w:r w:rsidRPr="00A75784">
        <w:rPr>
          <w:rFonts w:ascii="David" w:eastAsia="Calibri" w:hAnsi="David"/>
          <w:lang w:bidi="ar-SA"/>
        </w:rPr>
        <w:t>ER</w:t>
      </w:r>
      <w:r w:rsidRPr="00A75784">
        <w:rPr>
          <w:rFonts w:ascii="Arial" w:eastAsia="Calibri" w:hAnsi="Arial" w:cs="Arial"/>
          <w:lang w:bidi="ar-SA"/>
        </w:rPr>
        <w:t>α</w:t>
      </w:r>
      <w:r w:rsidRPr="00A75784">
        <w:rPr>
          <w:rFonts w:ascii="David" w:eastAsia="Calibri" w:hAnsi="David"/>
          <w:rtl/>
        </w:rPr>
        <w:t xml:space="preserve"> ובין החלבון </w:t>
      </w:r>
      <w:r w:rsidRPr="00A75784">
        <w:rPr>
          <w:rFonts w:ascii="David" w:eastAsia="Calibri" w:hAnsi="David"/>
          <w:lang w:bidi="ar-SA"/>
        </w:rPr>
        <w:t>Tax</w:t>
      </w:r>
      <w:r w:rsidRPr="00A75784">
        <w:rPr>
          <w:rFonts w:ascii="David" w:eastAsia="Calibri" w:hAnsi="David"/>
          <w:rtl/>
        </w:rPr>
        <w:t xml:space="preserve"> על הפעלת גנים המכילים רצפי </w:t>
      </w:r>
      <w:r w:rsidRPr="00A75784">
        <w:rPr>
          <w:rFonts w:ascii="David" w:eastAsia="Calibri" w:hAnsi="David"/>
          <w:lang w:bidi="ar-SA"/>
        </w:rPr>
        <w:t>ERE</w:t>
      </w:r>
      <w:r w:rsidRPr="00A75784">
        <w:rPr>
          <w:rFonts w:ascii="David" w:eastAsia="Calibri" w:hAnsi="David"/>
          <w:rtl/>
        </w:rPr>
        <w:t>. נציין שחלק מהגנים האלה מאיצים את התרבות התאים, וכך חושפים אותם בפני קבלת מוטציות שונות.</w:t>
      </w:r>
    </w:p>
    <w:p w:rsidR="006D57D8" w:rsidRPr="00A75784" w:rsidRDefault="006D57D8" w:rsidP="006D57D8">
      <w:pPr>
        <w:rPr>
          <w:rFonts w:ascii="David" w:eastAsia="Calibri" w:hAnsi="David"/>
          <w:rtl/>
        </w:rPr>
      </w:pPr>
      <w:r w:rsidRPr="00A75784">
        <w:rPr>
          <w:rFonts w:ascii="David" w:eastAsia="Calibri" w:hAnsi="David"/>
          <w:rtl/>
        </w:rPr>
        <w:t>מאחר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ש-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נקשר</w:t>
      </w:r>
      <w:r w:rsidRPr="00A75784">
        <w:rPr>
          <w:rFonts w:ascii="David" w:eastAsia="Calibri" w:hAnsi="David"/>
          <w:rtl/>
          <w:lang w:bidi="ar-SA"/>
        </w:rPr>
        <w:t xml:space="preserve"> </w:t>
      </w:r>
      <w:proofErr w:type="spellStart"/>
      <w:r w:rsidRPr="00A75784">
        <w:rPr>
          <w:rFonts w:ascii="David" w:eastAsia="Calibri" w:hAnsi="David"/>
          <w:rtl/>
        </w:rPr>
        <w:t>לפרומוטור</w:t>
      </w:r>
      <w:proofErr w:type="spellEnd"/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BRCA1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באמצעות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הקו-פקטורים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lang w:bidi="ar-SA"/>
        </w:rPr>
        <w:t>p300\CBP</w:t>
      </w:r>
      <w:r w:rsidRPr="00A75784">
        <w:rPr>
          <w:rFonts w:ascii="David" w:eastAsia="Calibri" w:hAnsi="David"/>
          <w:rtl/>
        </w:rPr>
        <w:t>, הקשירה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 xml:space="preserve">של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לקו-פקטורים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האלה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תעכב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את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הקשירה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 קומפלקס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  <w:lang w:bidi="ar-SA"/>
        </w:rPr>
        <w:t xml:space="preserve"> </w:t>
      </w:r>
      <w:proofErr w:type="spellStart"/>
      <w:r w:rsidRPr="00A75784">
        <w:rPr>
          <w:rFonts w:ascii="David" w:eastAsia="Calibri" w:hAnsi="David"/>
          <w:rtl/>
        </w:rPr>
        <w:t>לפרומוטור</w:t>
      </w:r>
      <w:proofErr w:type="spellEnd"/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BRCA1</w:t>
      </w:r>
      <w:r w:rsidRPr="00A75784">
        <w:rPr>
          <w:rFonts w:ascii="David" w:eastAsia="Calibri" w:hAnsi="David"/>
          <w:rtl/>
          <w:lang w:bidi="ar-SA"/>
        </w:rPr>
        <w:t>.</w:t>
      </w:r>
      <w:r w:rsidRPr="00A75784">
        <w:rPr>
          <w:rFonts w:ascii="David" w:eastAsia="Calibri" w:hAnsi="David"/>
          <w:rtl/>
        </w:rPr>
        <w:t xml:space="preserve"> תוצאות המחקר הנוכחי הצביעו על כך שבשיטת ה-</w:t>
      </w:r>
      <w:r w:rsidRPr="00A75784">
        <w:rPr>
          <w:rFonts w:ascii="David" w:eastAsia="Calibri" w:hAnsi="David"/>
        </w:rPr>
        <w:t>Chip</w:t>
      </w:r>
      <w:r w:rsidRPr="00A75784">
        <w:rPr>
          <w:rFonts w:ascii="David" w:eastAsia="Calibri" w:hAnsi="David"/>
          <w:rtl/>
        </w:rPr>
        <w:t xml:space="preserve">, הקשירה של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לקומפלקס של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 עיכבה את הקישור שלו </w:t>
      </w:r>
      <w:proofErr w:type="spellStart"/>
      <w:r w:rsidRPr="00A75784">
        <w:rPr>
          <w:rFonts w:ascii="David" w:eastAsia="Calibri" w:hAnsi="David"/>
          <w:rtl/>
        </w:rPr>
        <w:t>לפרומוטור</w:t>
      </w:r>
      <w:proofErr w:type="spellEnd"/>
      <w:r w:rsidRPr="00A75784">
        <w:rPr>
          <w:rFonts w:ascii="David" w:eastAsia="Calibri" w:hAnsi="David"/>
          <w:rtl/>
        </w:rPr>
        <w:t xml:space="preserve"> של הגן </w:t>
      </w:r>
      <w:r w:rsidRPr="00A75784">
        <w:rPr>
          <w:rFonts w:ascii="David" w:eastAsia="Calibri" w:hAnsi="David"/>
          <w:i/>
          <w:iCs/>
        </w:rPr>
        <w:t>BRCA1</w:t>
      </w:r>
      <w:r w:rsidRPr="00A75784">
        <w:rPr>
          <w:rFonts w:ascii="David" w:eastAsia="Calibri" w:hAnsi="David"/>
          <w:rtl/>
        </w:rPr>
        <w:t xml:space="preserve">. מאחר שהקשירה של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 לרצפי</w:t>
      </w:r>
      <w:r w:rsidRPr="00A75784">
        <w:rPr>
          <w:rFonts w:ascii="David" w:eastAsia="Calibri" w:hAnsi="David"/>
        </w:rPr>
        <w:t xml:space="preserve">ERE </w:t>
      </w:r>
      <w:r w:rsidRPr="00A75784">
        <w:rPr>
          <w:rFonts w:ascii="David" w:eastAsia="Calibri" w:hAnsi="David"/>
          <w:rtl/>
        </w:rPr>
        <w:t xml:space="preserve"> היא ישירה ולא דרך קו-פקטורים אחרים, אזי קיימת אפשרות שקשירה של החלבון </w:t>
      </w:r>
      <w:r w:rsidRPr="00A75784">
        <w:rPr>
          <w:rFonts w:ascii="David" w:eastAsia="Calibri" w:hAnsi="David"/>
        </w:rPr>
        <w:t>Tax</w:t>
      </w:r>
      <w:r w:rsidRPr="00A75784">
        <w:rPr>
          <w:rFonts w:ascii="David" w:eastAsia="Calibri" w:hAnsi="David"/>
          <w:rtl/>
        </w:rPr>
        <w:t xml:space="preserve"> לקומפלקס של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 לא תפריע לקשירתו לרצפי </w:t>
      </w:r>
      <w:r w:rsidRPr="00A75784">
        <w:rPr>
          <w:rFonts w:ascii="David" w:eastAsia="Calibri" w:hAnsi="David"/>
        </w:rPr>
        <w:t>ERE</w:t>
      </w:r>
      <w:r w:rsidRPr="00A75784">
        <w:rPr>
          <w:rFonts w:ascii="David" w:eastAsia="Calibri" w:hAnsi="David"/>
          <w:rtl/>
        </w:rPr>
        <w:t xml:space="preserve">. תוצאות הבדיקה בשיטת </w:t>
      </w:r>
      <w:r w:rsidRPr="00A75784">
        <w:rPr>
          <w:rFonts w:ascii="David" w:eastAsia="Calibri" w:hAnsi="David"/>
          <w:lang w:bidi="ar-SA"/>
        </w:rPr>
        <w:t>Chip</w:t>
      </w:r>
      <w:r w:rsidRPr="00A75784">
        <w:rPr>
          <w:rFonts w:ascii="David" w:eastAsia="Calibri" w:hAnsi="David"/>
          <w:rtl/>
        </w:rPr>
        <w:t xml:space="preserve"> הצביעו על כך שקשירת החלבון </w:t>
      </w:r>
      <w:r w:rsidRPr="00A75784">
        <w:rPr>
          <w:rFonts w:ascii="David" w:eastAsia="Calibri" w:hAnsi="David"/>
          <w:lang w:bidi="ar-SA"/>
        </w:rPr>
        <w:t>Tax</w:t>
      </w:r>
      <w:r w:rsidRPr="00A75784">
        <w:rPr>
          <w:rFonts w:ascii="David" w:eastAsia="Calibri" w:hAnsi="David"/>
          <w:rtl/>
        </w:rPr>
        <w:t xml:space="preserve"> לקומפלקס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 אינה מפריעה לקשירת קומפלקס זה לרצפי </w:t>
      </w:r>
      <w:r w:rsidRPr="00A75784">
        <w:rPr>
          <w:rFonts w:ascii="David" w:eastAsia="Calibri" w:hAnsi="David"/>
          <w:lang w:bidi="ar-SA"/>
        </w:rPr>
        <w:t>ERE</w:t>
      </w:r>
      <w:r w:rsidRPr="00A75784">
        <w:rPr>
          <w:rFonts w:ascii="David" w:eastAsia="Calibri" w:hAnsi="David"/>
          <w:rtl/>
        </w:rPr>
        <w:t xml:space="preserve">, ובכך אוששה השערת המחקר. </w:t>
      </w:r>
    </w:p>
    <w:p w:rsidR="006D57D8" w:rsidRPr="00A75784" w:rsidRDefault="006D57D8" w:rsidP="006D57D8">
      <w:pPr>
        <w:rPr>
          <w:rFonts w:ascii="David" w:eastAsia="Calibri" w:hAnsi="David"/>
          <w:rtl/>
        </w:rPr>
      </w:pPr>
      <w:r w:rsidRPr="00A75784">
        <w:rPr>
          <w:rFonts w:ascii="David" w:eastAsia="Calibri" w:hAnsi="David"/>
          <w:rtl/>
        </w:rPr>
        <w:t>מתוצאות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המחקר ניתן להסיק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שהקישור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הקומפלקס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עם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הקו-פקטורים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הנוספים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הדרושים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לתהליך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השעתוק,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מתרחש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בגרעין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עוד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לפני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הקשירה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  <w:lang w:bidi="ar-SA"/>
        </w:rPr>
        <w:t xml:space="preserve"> </w:t>
      </w:r>
      <w:proofErr w:type="spellStart"/>
      <w:r w:rsidRPr="00A75784">
        <w:rPr>
          <w:rFonts w:ascii="David" w:eastAsia="Calibri" w:hAnsi="David"/>
          <w:rtl/>
        </w:rPr>
        <w:t>לפרומוטור</w:t>
      </w:r>
      <w:proofErr w:type="spellEnd"/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BRCA1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או</w:t>
      </w:r>
      <w:r w:rsidRPr="00A75784">
        <w:rPr>
          <w:rFonts w:ascii="David" w:eastAsia="Calibri" w:hAnsi="David"/>
          <w:rtl/>
          <w:lang w:bidi="ar-SA"/>
        </w:rPr>
        <w:t xml:space="preserve"> </w:t>
      </w:r>
      <w:proofErr w:type="spellStart"/>
      <w:r w:rsidRPr="00A75784">
        <w:rPr>
          <w:rFonts w:ascii="David" w:eastAsia="Calibri" w:hAnsi="David"/>
          <w:rtl/>
        </w:rPr>
        <w:t>לפרומוטורים</w:t>
      </w:r>
      <w:proofErr w:type="spellEnd"/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המכילים רצפי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ERE</w:t>
      </w:r>
      <w:r w:rsidRPr="00A75784">
        <w:rPr>
          <w:rFonts w:ascii="David" w:eastAsia="Calibri" w:hAnsi="David"/>
          <w:rtl/>
        </w:rPr>
        <w:t>. מסקנה זו מנוגדת לממצאי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מחקרים קודמים,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שהצביעו על כך שהקשירה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קו-פקטורים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שונים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לפקטור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השעתוק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מתרחשת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אחרי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הקשירה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שלו</w:t>
      </w:r>
      <w:r w:rsidRPr="00A75784">
        <w:rPr>
          <w:rFonts w:ascii="David" w:eastAsia="Calibri" w:hAnsi="David"/>
          <w:rtl/>
          <w:lang w:bidi="ar-SA"/>
        </w:rPr>
        <w:t xml:space="preserve"> </w:t>
      </w:r>
      <w:proofErr w:type="spellStart"/>
      <w:r w:rsidRPr="00A75784">
        <w:rPr>
          <w:rFonts w:ascii="David" w:eastAsia="Calibri" w:hAnsi="David"/>
          <w:rtl/>
        </w:rPr>
        <w:t>לפרומוטור</w:t>
      </w:r>
      <w:proofErr w:type="spellEnd"/>
      <w:r w:rsidRPr="00A75784">
        <w:rPr>
          <w:rFonts w:ascii="David" w:eastAsia="Calibri" w:hAnsi="David"/>
          <w:rtl/>
          <w:lang w:bidi="ar-SA"/>
        </w:rPr>
        <w:t xml:space="preserve">. </w:t>
      </w:r>
      <w:r w:rsidRPr="00A75784">
        <w:rPr>
          <w:rFonts w:ascii="David" w:eastAsia="Calibri" w:hAnsi="David"/>
          <w:rtl/>
        </w:rPr>
        <w:t>נציין שתוצאות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המחקר הנוכחי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אינן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שוללות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אפשרות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קשירה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חלק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מהקו-</w:t>
      </w:r>
      <w:proofErr w:type="spellStart"/>
      <w:r w:rsidRPr="00A75784">
        <w:rPr>
          <w:rFonts w:ascii="David" w:eastAsia="Calibri" w:hAnsi="David"/>
          <w:rtl/>
        </w:rPr>
        <w:lastRenderedPageBreak/>
        <w:t>פקטוקטורים</w:t>
      </w:r>
      <w:proofErr w:type="spellEnd"/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הללו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ל-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>, גם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לאחר</w:t>
      </w:r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קשירתו</w:t>
      </w:r>
      <w:r w:rsidRPr="00A75784">
        <w:rPr>
          <w:rFonts w:ascii="David" w:eastAsia="Calibri" w:hAnsi="David"/>
          <w:rtl/>
          <w:lang w:bidi="ar-SA"/>
        </w:rPr>
        <w:t xml:space="preserve"> </w:t>
      </w:r>
      <w:proofErr w:type="spellStart"/>
      <w:r w:rsidRPr="00A75784">
        <w:rPr>
          <w:rFonts w:ascii="David" w:eastAsia="Calibri" w:hAnsi="David"/>
          <w:rtl/>
        </w:rPr>
        <w:t>לפרומוטורים</w:t>
      </w:r>
      <w:proofErr w:type="spellEnd"/>
      <w:r w:rsidRPr="00A75784">
        <w:rPr>
          <w:rFonts w:ascii="David" w:eastAsia="Calibri" w:hAnsi="David"/>
          <w:rtl/>
          <w:lang w:bidi="ar-SA"/>
        </w:rPr>
        <w:t xml:space="preserve"> </w:t>
      </w:r>
      <w:r w:rsidRPr="00A75784">
        <w:rPr>
          <w:rFonts w:ascii="David" w:eastAsia="Calibri" w:hAnsi="David"/>
          <w:rtl/>
        </w:rPr>
        <w:t>שלו</w:t>
      </w:r>
      <w:r w:rsidRPr="00A75784">
        <w:rPr>
          <w:rFonts w:ascii="David" w:eastAsia="Calibri" w:hAnsi="David"/>
          <w:rtl/>
          <w:lang w:bidi="ar-SA"/>
        </w:rPr>
        <w:t>.</w:t>
      </w:r>
      <w:r w:rsidRPr="00A75784">
        <w:rPr>
          <w:rFonts w:ascii="David" w:eastAsia="Calibri" w:hAnsi="David"/>
          <w:rtl/>
        </w:rPr>
        <w:t xml:space="preserve"> על כן נסיק שלא כל הקו-פקטורים הנקשרים ל-</w:t>
      </w:r>
      <w:r w:rsidRPr="00A75784">
        <w:rPr>
          <w:rFonts w:ascii="David" w:eastAsia="Calibri" w:hAnsi="David"/>
        </w:rPr>
        <w:t xml:space="preserve"> 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>חיוניים להפעלתו</w:t>
      </w:r>
      <w:r w:rsidRPr="00A75784">
        <w:rPr>
          <w:rFonts w:ascii="David" w:eastAsia="Calibri" w:hAnsi="David"/>
          <w:lang w:bidi="ar-SA"/>
        </w:rPr>
        <w:t>.</w:t>
      </w:r>
      <w:r w:rsidRPr="00A75784">
        <w:rPr>
          <w:rFonts w:ascii="David" w:eastAsia="Calibri" w:hAnsi="David"/>
          <w:rtl/>
        </w:rPr>
        <w:t xml:space="preserve"> </w:t>
      </w:r>
    </w:p>
    <w:p w:rsidR="006D57D8" w:rsidRPr="00A75784" w:rsidRDefault="006D57D8" w:rsidP="006D57D8">
      <w:pPr>
        <w:rPr>
          <w:rFonts w:ascii="David" w:eastAsia="Calibri" w:hAnsi="David"/>
          <w:rtl/>
        </w:rPr>
      </w:pPr>
      <w:r w:rsidRPr="00A75784">
        <w:rPr>
          <w:rFonts w:ascii="David" w:eastAsia="Calibri" w:hAnsi="David"/>
          <w:rtl/>
        </w:rPr>
        <w:t xml:space="preserve">לסיכום, מהמחקר הנוכחי ניתן להסיק שהחלבון </w:t>
      </w:r>
      <w:r w:rsidRPr="00A75784">
        <w:rPr>
          <w:rFonts w:ascii="David" w:eastAsia="Calibri" w:hAnsi="David"/>
          <w:lang w:bidi="ar-SA"/>
        </w:rPr>
        <w:t>Tax</w:t>
      </w:r>
      <w:r w:rsidRPr="00A75784">
        <w:rPr>
          <w:rFonts w:ascii="David" w:eastAsia="Calibri" w:hAnsi="David"/>
          <w:rtl/>
        </w:rPr>
        <w:t xml:space="preserve"> מעכב במידה רבה מאוד את הביטוי של </w:t>
      </w:r>
      <w:r w:rsidRPr="00A75784">
        <w:rPr>
          <w:rFonts w:ascii="David" w:eastAsia="Calibri" w:hAnsi="David"/>
        </w:rPr>
        <w:t>BRCA1</w:t>
      </w:r>
      <w:r w:rsidRPr="00A75784">
        <w:rPr>
          <w:rFonts w:ascii="David" w:eastAsia="Calibri" w:hAnsi="David"/>
          <w:rtl/>
        </w:rPr>
        <w:t xml:space="preserve"> המושרה באמצעות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 בתאי אפיתל </w:t>
      </w:r>
      <w:r w:rsidRPr="006D57D8">
        <w:rPr>
          <w:rFonts w:ascii="David" w:eastAsia="Calibri" w:hAnsi="David"/>
          <w:color w:val="auto"/>
          <w:rtl/>
        </w:rPr>
        <w:t xml:space="preserve">שד. לכן, אם הנגיף </w:t>
      </w:r>
      <w:r w:rsidRPr="006D57D8">
        <w:rPr>
          <w:rFonts w:ascii="David" w:eastAsia="Calibri" w:hAnsi="David"/>
          <w:color w:val="auto"/>
        </w:rPr>
        <w:t>HTLV-1</w:t>
      </w:r>
      <w:r w:rsidRPr="006D57D8">
        <w:rPr>
          <w:rFonts w:ascii="David" w:eastAsia="Calibri" w:hAnsi="David"/>
          <w:color w:val="auto"/>
          <w:rtl/>
        </w:rPr>
        <w:t xml:space="preserve"> יצליח להדביק את תאי השד אצל נשים נשאיות הנגיף, אזי הוא עלול להוות גורם סיכון גבוה להתפתחות סרטן השד, </w:t>
      </w:r>
      <w:r w:rsidRPr="00A75784">
        <w:rPr>
          <w:rFonts w:ascii="David" w:eastAsia="Calibri" w:hAnsi="David"/>
          <w:rtl/>
        </w:rPr>
        <w:t xml:space="preserve">זאת משום שהוא מגביר את פעילות השעתוק של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 xml:space="preserve"> בגנים המבוקרים באמצעות רצפי </w:t>
      </w:r>
      <w:r w:rsidRPr="00A75784">
        <w:rPr>
          <w:rFonts w:ascii="David" w:eastAsia="Calibri" w:hAnsi="David"/>
          <w:lang w:bidi="ar-SA"/>
        </w:rPr>
        <w:t>ERE</w:t>
      </w:r>
      <w:r w:rsidRPr="00A75784">
        <w:rPr>
          <w:rFonts w:ascii="David" w:eastAsia="Calibri" w:hAnsi="David"/>
          <w:rtl/>
        </w:rPr>
        <w:t xml:space="preserve"> (ומתוכם גנים שמאיצים את התרבות התאים), וכך הוא מזרז את התרבות התאים הללו וחושף אותם למוטציות, מצד אחד, והוא מעכב את הביטוי של </w:t>
      </w:r>
      <w:r w:rsidRPr="00A75784">
        <w:rPr>
          <w:rFonts w:ascii="David" w:eastAsia="Calibri" w:hAnsi="David"/>
          <w:lang w:bidi="ar-SA"/>
        </w:rPr>
        <w:t>BRAC1</w:t>
      </w:r>
      <w:r w:rsidRPr="00A75784">
        <w:rPr>
          <w:rFonts w:ascii="David" w:eastAsia="Calibri" w:hAnsi="David"/>
          <w:rtl/>
        </w:rPr>
        <w:t xml:space="preserve"> המושרה באמצעות </w:t>
      </w:r>
      <w:r w:rsidRPr="00A75784">
        <w:rPr>
          <w:rFonts w:ascii="David" w:eastAsia="Calibri" w:hAnsi="David"/>
        </w:rPr>
        <w:t>ER</w:t>
      </w:r>
      <w:r w:rsidRPr="00A75784">
        <w:rPr>
          <w:rFonts w:ascii="Arial" w:eastAsia="Calibri" w:hAnsi="Arial" w:cs="Arial"/>
        </w:rPr>
        <w:t>α</w:t>
      </w:r>
      <w:r w:rsidRPr="00A75784">
        <w:rPr>
          <w:rFonts w:ascii="David" w:eastAsia="Calibri" w:hAnsi="David"/>
          <w:rtl/>
        </w:rPr>
        <w:t>, ובכך משאיר תאים אלה חשופים ללא הגנה בפני גורמים מסר</w:t>
      </w:r>
      <w:bookmarkStart w:id="0" w:name="_GoBack"/>
      <w:bookmarkEnd w:id="0"/>
      <w:r w:rsidRPr="00A75784">
        <w:rPr>
          <w:rFonts w:ascii="David" w:eastAsia="Calibri" w:hAnsi="David"/>
          <w:rtl/>
        </w:rPr>
        <w:t>טנים למיניהם, מצד שני</w:t>
      </w:r>
      <w:r w:rsidRPr="00A75784">
        <w:rPr>
          <w:rFonts w:ascii="David" w:eastAsia="Calibri" w:hAnsi="David"/>
          <w:lang w:bidi="ar-SA"/>
        </w:rPr>
        <w:t>.</w:t>
      </w:r>
    </w:p>
    <w:p w:rsidR="00966B1B" w:rsidRDefault="00966B1B">
      <w:pPr>
        <w:rPr>
          <w:rFonts w:hint="cs"/>
        </w:rPr>
      </w:pPr>
    </w:p>
    <w:sectPr w:rsidR="00966B1B" w:rsidSect="00B45B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D8"/>
    <w:rsid w:val="006D57D8"/>
    <w:rsid w:val="00966B1B"/>
    <w:rsid w:val="00B4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8"/>
    <w:pPr>
      <w:bidi/>
      <w:spacing w:after="240" w:line="360" w:lineRule="auto"/>
      <w:jc w:val="both"/>
    </w:pPr>
    <w:rPr>
      <w:rFonts w:asciiTheme="majorBidi" w:eastAsia="Times New Roman" w:hAnsiTheme="majorBidi" w:cs="David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57D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D57D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6D57D8"/>
    <w:rPr>
      <w:rFonts w:asciiTheme="majorBidi" w:eastAsia="Times New Roman" w:hAnsiTheme="majorBidi" w:cs="David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6D57D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8"/>
    <w:pPr>
      <w:bidi/>
      <w:spacing w:after="240" w:line="360" w:lineRule="auto"/>
      <w:jc w:val="both"/>
    </w:pPr>
    <w:rPr>
      <w:rFonts w:asciiTheme="majorBidi" w:eastAsia="Times New Roman" w:hAnsiTheme="majorBidi" w:cs="David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57D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D57D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6D57D8"/>
    <w:rPr>
      <w:rFonts w:asciiTheme="majorBidi" w:eastAsia="Times New Roman" w:hAnsiTheme="majorBidi" w:cs="David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6D57D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1</cp:revision>
  <dcterms:created xsi:type="dcterms:W3CDTF">2017-06-12T10:33:00Z</dcterms:created>
  <dcterms:modified xsi:type="dcterms:W3CDTF">2017-06-12T10:35:00Z</dcterms:modified>
</cp:coreProperties>
</file>