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32675" w14:textId="77777777" w:rsidR="00BA09E7" w:rsidRPr="00885014" w:rsidRDefault="00BA09E7" w:rsidP="00BA09E7">
      <w:pPr>
        <w:spacing w:after="0" w:line="480" w:lineRule="auto"/>
        <w:rPr>
          <w:rFonts w:ascii="David" w:eastAsia="Times New Roman" w:hAnsi="David" w:cs="David" w:hint="cs"/>
          <w:b/>
          <w:bCs/>
          <w:sz w:val="36"/>
          <w:szCs w:val="36"/>
          <w:rtl/>
          <w:lang w:val="en-GB"/>
        </w:rPr>
      </w:pPr>
    </w:p>
    <w:p w14:paraId="07472136" w14:textId="77777777" w:rsidR="00BA09E7" w:rsidRDefault="00BA09E7" w:rsidP="00BA09E7">
      <w:pPr>
        <w:spacing w:after="0" w:line="480" w:lineRule="auto"/>
        <w:ind w:left="84"/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val="en-GB"/>
        </w:rPr>
      </w:pPr>
      <w:bookmarkStart w:id="0" w:name="_Hlk62596432"/>
      <w:bookmarkStart w:id="1" w:name="_Hlk62513916"/>
      <w:r w:rsidRPr="00F8476A">
        <w:rPr>
          <w:rFonts w:ascii="David" w:eastAsia="Times New Roman" w:hAnsi="David" w:cs="David" w:hint="cs"/>
          <w:b/>
          <w:bCs/>
          <w:color w:val="FF0000"/>
          <w:sz w:val="28"/>
          <w:szCs w:val="28"/>
          <w:rtl/>
          <w:lang w:val="en-GB"/>
        </w:rPr>
        <w:t>"לתקשר זה עם זה ולהרגיש בבית":</w:t>
      </w:r>
      <w:r w:rsidRPr="008C5D17">
        <w:rPr>
          <w:rFonts w:ascii="David" w:eastAsia="Times New Roman" w:hAnsi="David" w:cs="David" w:hint="cs"/>
          <w:b/>
          <w:bCs/>
          <w:sz w:val="28"/>
          <w:szCs w:val="28"/>
          <w:rtl/>
          <w:lang w:val="en-GB"/>
        </w:rPr>
        <w:t xml:space="preserve"> משאבי התמודדות של מהגרים מברית המועצות לשעבר המטפלים בבן משפחה עם מחלת נפש קשה</w:t>
      </w:r>
    </w:p>
    <w:p w14:paraId="4ED1CBC4" w14:textId="77777777" w:rsidR="00BA09E7" w:rsidRDefault="00BA09E7" w:rsidP="00BA09E7">
      <w:pPr>
        <w:spacing w:after="0" w:line="480" w:lineRule="auto"/>
        <w:ind w:left="84"/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val="en-GB"/>
        </w:rPr>
      </w:pPr>
    </w:p>
    <w:p w14:paraId="6182EC0D" w14:textId="77777777" w:rsidR="00BA09E7" w:rsidRPr="002F1A8B" w:rsidRDefault="00BA09E7" w:rsidP="00BA09E7">
      <w:pPr>
        <w:spacing w:after="0" w:line="480" w:lineRule="auto"/>
        <w:ind w:left="84"/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val="en-GB"/>
        </w:rPr>
      </w:pPr>
      <w:r>
        <w:rPr>
          <w:rFonts w:ascii="David" w:eastAsia="Times New Roman" w:hAnsi="David" w:cs="David" w:hint="cs"/>
          <w:b/>
          <w:bCs/>
          <w:sz w:val="28"/>
          <w:szCs w:val="28"/>
          <w:rtl/>
          <w:lang w:val="en-GB"/>
        </w:rPr>
        <w:t>תקציר</w:t>
      </w:r>
      <w:bookmarkEnd w:id="0"/>
    </w:p>
    <w:p w14:paraId="76A6A45B" w14:textId="77777777" w:rsidR="00BA09E7" w:rsidRPr="00F8476A" w:rsidRDefault="00BA09E7" w:rsidP="00BA09E7">
      <w:pPr>
        <w:spacing w:line="480" w:lineRule="auto"/>
        <w:jc w:val="both"/>
        <w:rPr>
          <w:color w:val="FF0000"/>
          <w:rtl/>
        </w:rPr>
      </w:pPr>
      <w:r w:rsidRPr="001B08DC">
        <w:rPr>
          <w:rFonts w:eastAsia="Calibri" w:cs="David" w:hint="cs"/>
          <w:b/>
          <w:bCs/>
          <w:sz w:val="24"/>
          <w:szCs w:val="24"/>
          <w:rtl/>
          <w:lang w:val="en-GB"/>
        </w:rPr>
        <w:t>רקע:</w:t>
      </w:r>
      <w:r w:rsidRPr="001B08DC">
        <w:rPr>
          <w:rFonts w:eastAsia="Calibri" w:cs="David" w:hint="cs"/>
          <w:sz w:val="24"/>
          <w:szCs w:val="24"/>
          <w:rtl/>
          <w:lang w:val="en-GB"/>
        </w:rPr>
        <w:t xml:space="preserve"> </w:t>
      </w:r>
      <w:r w:rsidRPr="001B08DC">
        <w:rPr>
          <w:rFonts w:cs="David" w:hint="cs"/>
          <w:sz w:val="24"/>
          <w:szCs w:val="24"/>
          <w:rtl/>
        </w:rPr>
        <w:t>בני משפחה המטפלים בקרוביהם</w:t>
      </w:r>
      <w:r>
        <w:rPr>
          <w:rFonts w:cs="David" w:hint="cs"/>
          <w:sz w:val="24"/>
          <w:szCs w:val="24"/>
          <w:rtl/>
        </w:rPr>
        <w:t xml:space="preserve"> עם מחלת נפש קשה</w:t>
      </w:r>
      <w:r w:rsidRPr="001B08DC">
        <w:rPr>
          <w:rFonts w:cs="David" w:hint="cs"/>
          <w:sz w:val="24"/>
          <w:szCs w:val="24"/>
          <w:rtl/>
        </w:rPr>
        <w:t xml:space="preserve"> ו</w:t>
      </w:r>
      <w:r w:rsidRPr="001B08DC">
        <w:rPr>
          <w:rFonts w:eastAsia="Calibri" w:cs="David" w:hint="cs"/>
          <w:sz w:val="24"/>
          <w:szCs w:val="24"/>
          <w:rtl/>
          <w:lang w:val="en-GB"/>
        </w:rPr>
        <w:t xml:space="preserve">נמצאים בתהליכי הסתגלות בהגירה, </w:t>
      </w:r>
      <w:r>
        <w:rPr>
          <w:rFonts w:eastAsia="Calibri" w:cs="David" w:hint="cs"/>
          <w:sz w:val="24"/>
          <w:szCs w:val="24"/>
          <w:rtl/>
          <w:lang w:val="en-GB"/>
        </w:rPr>
        <w:t>סובלים מ</w:t>
      </w:r>
      <w:r w:rsidRPr="001B08DC">
        <w:rPr>
          <w:rFonts w:eastAsia="Calibri" w:cs="David" w:hint="cs"/>
          <w:sz w:val="24"/>
          <w:szCs w:val="24"/>
          <w:rtl/>
          <w:lang w:val="en-GB"/>
        </w:rPr>
        <w:t>ריבוי מצבי דחק וממיעוט המשאבים המצויים בידם</w:t>
      </w:r>
      <w:r w:rsidRPr="001B08DC">
        <w:rPr>
          <w:rFonts w:eastAsia="Calibri" w:cs="David" w:hint="cs"/>
          <w:sz w:val="24"/>
          <w:szCs w:val="24"/>
          <w:rtl/>
        </w:rPr>
        <w:t xml:space="preserve">. </w:t>
      </w:r>
      <w:r w:rsidRPr="00F8476A">
        <w:rPr>
          <w:rFonts w:cs="David" w:hint="cs"/>
          <w:color w:val="FF0000"/>
          <w:sz w:val="24"/>
          <w:szCs w:val="24"/>
          <w:rtl/>
        </w:rPr>
        <w:t>אף על פי שישראל היא מדינת הגירה</w:t>
      </w:r>
      <w:r w:rsidRPr="00F8476A">
        <w:rPr>
          <w:rFonts w:cs="David"/>
          <w:color w:val="FF0000"/>
          <w:sz w:val="24"/>
          <w:szCs w:val="24"/>
          <w:rtl/>
        </w:rPr>
        <w:t xml:space="preserve">, </w:t>
      </w:r>
      <w:r w:rsidRPr="00F8476A">
        <w:rPr>
          <w:rFonts w:cs="David" w:hint="eastAsia"/>
          <w:color w:val="FF0000"/>
          <w:sz w:val="24"/>
          <w:szCs w:val="24"/>
          <w:rtl/>
        </w:rPr>
        <w:t>טרם</w:t>
      </w:r>
      <w:r w:rsidRPr="00F8476A">
        <w:rPr>
          <w:rFonts w:cs="David"/>
          <w:color w:val="FF0000"/>
          <w:sz w:val="24"/>
          <w:szCs w:val="24"/>
          <w:rtl/>
        </w:rPr>
        <w:t xml:space="preserve"> </w:t>
      </w:r>
      <w:r w:rsidRPr="00F8476A">
        <w:rPr>
          <w:rFonts w:cs="David" w:hint="eastAsia"/>
          <w:color w:val="FF0000"/>
          <w:sz w:val="24"/>
          <w:szCs w:val="24"/>
          <w:rtl/>
        </w:rPr>
        <w:t>נערך</w:t>
      </w:r>
      <w:r w:rsidRPr="00F8476A">
        <w:rPr>
          <w:rFonts w:cs="David"/>
          <w:color w:val="FF0000"/>
          <w:sz w:val="24"/>
          <w:szCs w:val="24"/>
          <w:rtl/>
        </w:rPr>
        <w:t xml:space="preserve"> </w:t>
      </w:r>
      <w:r w:rsidRPr="00F8476A">
        <w:rPr>
          <w:rFonts w:cs="David" w:hint="cs"/>
          <w:color w:val="FF0000"/>
          <w:sz w:val="24"/>
          <w:szCs w:val="24"/>
          <w:rtl/>
        </w:rPr>
        <w:t>בה</w:t>
      </w:r>
      <w:r w:rsidRPr="00F8476A">
        <w:rPr>
          <w:rFonts w:cs="David"/>
          <w:color w:val="FF0000"/>
          <w:sz w:val="24"/>
          <w:szCs w:val="24"/>
          <w:rtl/>
        </w:rPr>
        <w:t xml:space="preserve"> </w:t>
      </w:r>
      <w:r w:rsidRPr="00F8476A">
        <w:rPr>
          <w:rFonts w:cs="David" w:hint="eastAsia"/>
          <w:color w:val="FF0000"/>
          <w:sz w:val="24"/>
          <w:szCs w:val="24"/>
          <w:rtl/>
        </w:rPr>
        <w:t>מחקר</w:t>
      </w:r>
      <w:r w:rsidRPr="00F8476A">
        <w:rPr>
          <w:rFonts w:cs="David"/>
          <w:color w:val="FF0000"/>
          <w:sz w:val="24"/>
          <w:szCs w:val="24"/>
          <w:rtl/>
        </w:rPr>
        <w:t xml:space="preserve"> </w:t>
      </w:r>
      <w:r w:rsidRPr="00F8476A">
        <w:rPr>
          <w:rFonts w:cs="David" w:hint="cs"/>
          <w:color w:val="FF0000"/>
          <w:sz w:val="24"/>
          <w:szCs w:val="24"/>
          <w:rtl/>
        </w:rPr>
        <w:t>העוסק</w:t>
      </w:r>
      <w:r w:rsidRPr="00F8476A">
        <w:rPr>
          <w:rFonts w:cs="David"/>
          <w:color w:val="FF0000"/>
          <w:sz w:val="24"/>
          <w:szCs w:val="24"/>
          <w:rtl/>
        </w:rPr>
        <w:t xml:space="preserve"> </w:t>
      </w:r>
      <w:r w:rsidRPr="00F8476A">
        <w:rPr>
          <w:rFonts w:cs="David" w:hint="cs"/>
          <w:color w:val="FF0000"/>
          <w:sz w:val="24"/>
          <w:szCs w:val="24"/>
          <w:rtl/>
        </w:rPr>
        <w:t>ב</w:t>
      </w:r>
      <w:r w:rsidRPr="00F8476A">
        <w:rPr>
          <w:rFonts w:cs="David" w:hint="eastAsia"/>
          <w:color w:val="FF0000"/>
          <w:sz w:val="24"/>
          <w:szCs w:val="24"/>
          <w:rtl/>
        </w:rPr>
        <w:t>מ</w:t>
      </w:r>
      <w:r w:rsidRPr="00F8476A">
        <w:rPr>
          <w:rFonts w:cs="David" w:hint="cs"/>
          <w:color w:val="FF0000"/>
          <w:sz w:val="24"/>
          <w:szCs w:val="24"/>
          <w:rtl/>
        </w:rPr>
        <w:t>הגרים</w:t>
      </w:r>
      <w:r w:rsidRPr="00F8476A">
        <w:rPr>
          <w:rFonts w:cs="David"/>
          <w:color w:val="FF0000"/>
          <w:sz w:val="24"/>
          <w:szCs w:val="24"/>
          <w:rtl/>
        </w:rPr>
        <w:t xml:space="preserve"> </w:t>
      </w:r>
      <w:r w:rsidRPr="00F8476A">
        <w:rPr>
          <w:rFonts w:cs="David" w:hint="cs"/>
          <w:color w:val="FF0000"/>
          <w:sz w:val="24"/>
          <w:szCs w:val="24"/>
          <w:rtl/>
        </w:rPr>
        <w:t>המטפלים ב</w:t>
      </w:r>
      <w:r w:rsidRPr="00F8476A">
        <w:rPr>
          <w:rFonts w:cs="David" w:hint="eastAsia"/>
          <w:color w:val="FF0000"/>
          <w:sz w:val="24"/>
          <w:szCs w:val="24"/>
          <w:rtl/>
        </w:rPr>
        <w:t>בן</w:t>
      </w:r>
      <w:r w:rsidRPr="00F8476A">
        <w:rPr>
          <w:rFonts w:cs="David"/>
          <w:color w:val="FF0000"/>
          <w:sz w:val="24"/>
          <w:szCs w:val="24"/>
          <w:rtl/>
        </w:rPr>
        <w:t xml:space="preserve"> </w:t>
      </w:r>
      <w:r w:rsidRPr="00F8476A">
        <w:rPr>
          <w:rFonts w:cs="David" w:hint="eastAsia"/>
          <w:color w:val="FF0000"/>
          <w:sz w:val="24"/>
          <w:szCs w:val="24"/>
          <w:rtl/>
        </w:rPr>
        <w:t>משפחה</w:t>
      </w:r>
      <w:r w:rsidRPr="00F8476A">
        <w:rPr>
          <w:rFonts w:cs="David"/>
          <w:color w:val="FF0000"/>
          <w:sz w:val="24"/>
          <w:szCs w:val="24"/>
          <w:rtl/>
        </w:rPr>
        <w:t xml:space="preserve"> </w:t>
      </w:r>
      <w:r w:rsidRPr="00F8476A">
        <w:rPr>
          <w:rFonts w:cs="David" w:hint="eastAsia"/>
          <w:color w:val="FF0000"/>
          <w:sz w:val="24"/>
          <w:szCs w:val="24"/>
          <w:rtl/>
        </w:rPr>
        <w:t>עם</w:t>
      </w:r>
      <w:r w:rsidRPr="00F8476A">
        <w:rPr>
          <w:rFonts w:cs="David"/>
          <w:color w:val="FF0000"/>
          <w:sz w:val="24"/>
          <w:szCs w:val="24"/>
          <w:rtl/>
        </w:rPr>
        <w:t xml:space="preserve"> </w:t>
      </w:r>
      <w:r w:rsidRPr="00F8476A">
        <w:rPr>
          <w:rFonts w:cs="David" w:hint="eastAsia"/>
          <w:color w:val="FF0000"/>
          <w:sz w:val="24"/>
          <w:szCs w:val="24"/>
          <w:rtl/>
        </w:rPr>
        <w:t>מחלת</w:t>
      </w:r>
      <w:r w:rsidRPr="00F8476A">
        <w:rPr>
          <w:rFonts w:cs="David"/>
          <w:color w:val="FF0000"/>
          <w:sz w:val="24"/>
          <w:szCs w:val="24"/>
          <w:rtl/>
        </w:rPr>
        <w:t xml:space="preserve"> </w:t>
      </w:r>
      <w:r w:rsidRPr="00F8476A">
        <w:rPr>
          <w:rFonts w:cs="David" w:hint="eastAsia"/>
          <w:color w:val="FF0000"/>
          <w:sz w:val="24"/>
          <w:szCs w:val="24"/>
          <w:rtl/>
        </w:rPr>
        <w:t>נפש</w:t>
      </w:r>
      <w:r w:rsidRPr="00F8476A">
        <w:rPr>
          <w:rFonts w:cs="David"/>
          <w:color w:val="FF0000"/>
          <w:sz w:val="24"/>
          <w:szCs w:val="24"/>
          <w:rtl/>
        </w:rPr>
        <w:t xml:space="preserve"> </w:t>
      </w:r>
      <w:r w:rsidRPr="00F8476A">
        <w:rPr>
          <w:rFonts w:cs="David" w:hint="eastAsia"/>
          <w:color w:val="FF0000"/>
          <w:sz w:val="24"/>
          <w:szCs w:val="24"/>
          <w:rtl/>
        </w:rPr>
        <w:t>קשה</w:t>
      </w:r>
      <w:r w:rsidRPr="00F8476A">
        <w:rPr>
          <w:rFonts w:cs="David" w:hint="cs"/>
          <w:color w:val="FF0000"/>
          <w:sz w:val="24"/>
          <w:szCs w:val="24"/>
          <w:rtl/>
        </w:rPr>
        <w:t>.</w:t>
      </w:r>
    </w:p>
    <w:p w14:paraId="71FC3E00" w14:textId="77777777" w:rsidR="00BA09E7" w:rsidRDefault="00BA09E7" w:rsidP="00BA09E7">
      <w:pPr>
        <w:spacing w:line="480" w:lineRule="auto"/>
        <w:jc w:val="both"/>
        <w:rPr>
          <w:rFonts w:eastAsia="Calibri" w:cs="David"/>
          <w:sz w:val="24"/>
          <w:szCs w:val="24"/>
          <w:rtl/>
        </w:rPr>
      </w:pPr>
      <w:r w:rsidRPr="00BD41CD">
        <w:rPr>
          <w:rFonts w:cs="David" w:hint="cs"/>
          <w:b/>
          <w:bCs/>
          <w:sz w:val="24"/>
          <w:szCs w:val="24"/>
          <w:rtl/>
        </w:rPr>
        <w:t>מטרת</w:t>
      </w:r>
      <w:r>
        <w:rPr>
          <w:rFonts w:cs="David" w:hint="cs"/>
          <w:b/>
          <w:bCs/>
          <w:sz w:val="24"/>
          <w:szCs w:val="24"/>
          <w:rtl/>
        </w:rPr>
        <w:t xml:space="preserve"> המחקר</w:t>
      </w:r>
      <w:r w:rsidRPr="00BD41CD">
        <w:rPr>
          <w:rFonts w:cs="David" w:hint="cs"/>
          <w:b/>
          <w:bCs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</w:t>
      </w:r>
      <w:r w:rsidRPr="0029467E">
        <w:rPr>
          <w:rFonts w:cs="David" w:hint="cs"/>
          <w:sz w:val="24"/>
          <w:szCs w:val="24"/>
          <w:rtl/>
        </w:rPr>
        <w:t xml:space="preserve">מחקר איכותני זה </w:t>
      </w:r>
      <w:r w:rsidRPr="0029467E">
        <w:rPr>
          <w:rFonts w:cs="David" w:hint="eastAsia"/>
          <w:sz w:val="24"/>
          <w:szCs w:val="24"/>
          <w:rtl/>
        </w:rPr>
        <w:t>מתמקד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ב</w:t>
      </w:r>
      <w:r w:rsidRPr="0029467E">
        <w:rPr>
          <w:rFonts w:cs="David" w:hint="cs"/>
          <w:sz w:val="24"/>
          <w:szCs w:val="24"/>
          <w:rtl/>
        </w:rPr>
        <w:t>קבוצת מהגרים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מברי</w:t>
      </w:r>
      <w:r w:rsidRPr="0029467E">
        <w:rPr>
          <w:rFonts w:cs="David" w:hint="cs"/>
          <w:sz w:val="24"/>
          <w:szCs w:val="24"/>
          <w:rtl/>
        </w:rPr>
        <w:t>ת המועצות לשעבר,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cs"/>
          <w:sz w:val="24"/>
          <w:szCs w:val="24"/>
          <w:rtl/>
        </w:rPr>
        <w:t xml:space="preserve">ובוחן כיצד הם </w:t>
      </w:r>
      <w:r w:rsidRPr="0029467E">
        <w:rPr>
          <w:rFonts w:cs="David" w:hint="eastAsia"/>
          <w:sz w:val="24"/>
          <w:szCs w:val="24"/>
          <w:rtl/>
        </w:rPr>
        <w:t>מתמודדים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ע</w:t>
      </w:r>
      <w:r w:rsidRPr="0029467E">
        <w:rPr>
          <w:rFonts w:cs="David" w:hint="cs"/>
          <w:sz w:val="24"/>
          <w:szCs w:val="24"/>
          <w:rtl/>
        </w:rPr>
        <w:t>ם מחלת נפש קשה של בן משפחה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על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רקע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ההגירה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לישראל</w:t>
      </w:r>
      <w:r>
        <w:rPr>
          <w:rFonts w:eastAsia="Calibri" w:cs="David" w:hint="cs"/>
          <w:sz w:val="24"/>
          <w:szCs w:val="24"/>
          <w:rtl/>
        </w:rPr>
        <w:t xml:space="preserve">. </w:t>
      </w:r>
    </w:p>
    <w:p w14:paraId="74E38B72" w14:textId="77777777" w:rsidR="00BA09E7" w:rsidRPr="00F8476A" w:rsidRDefault="00BA09E7" w:rsidP="00BA09E7">
      <w:pPr>
        <w:spacing w:line="480" w:lineRule="auto"/>
        <w:jc w:val="both"/>
        <w:rPr>
          <w:rFonts w:eastAsia="Calibri" w:cs="David"/>
          <w:sz w:val="24"/>
          <w:szCs w:val="24"/>
          <w:rtl/>
          <w:lang w:val="en-GB"/>
        </w:rPr>
      </w:pPr>
      <w:r w:rsidRPr="00F8476A">
        <w:rPr>
          <w:rFonts w:eastAsia="Calibri" w:cs="David" w:hint="cs"/>
          <w:b/>
          <w:bCs/>
          <w:sz w:val="24"/>
          <w:szCs w:val="24"/>
          <w:rtl/>
        </w:rPr>
        <w:t>שיטת המחקר:</w:t>
      </w:r>
      <w:r w:rsidRPr="00F8476A">
        <w:rPr>
          <w:rFonts w:eastAsia="Calibri" w:cs="David" w:hint="cs"/>
          <w:sz w:val="24"/>
          <w:szCs w:val="24"/>
          <w:rtl/>
        </w:rPr>
        <w:t xml:space="preserve"> </w:t>
      </w:r>
      <w:r w:rsidRPr="00F8476A">
        <w:rPr>
          <w:rFonts w:ascii="David" w:eastAsia="Calibri" w:hAnsi="David" w:cs="David"/>
          <w:sz w:val="24"/>
          <w:szCs w:val="24"/>
          <w:rtl/>
        </w:rPr>
        <w:t xml:space="preserve">נערכו ראיונות עומק מובנים למחצה עם 32 מהגרים מטפלים בלתי פורמליים </w:t>
      </w:r>
      <w:r w:rsidRPr="00F8476A">
        <w:rPr>
          <w:rFonts w:ascii="David" w:eastAsia="Calibri" w:hAnsi="David" w:cs="David"/>
          <w:sz w:val="24"/>
          <w:szCs w:val="24"/>
        </w:rPr>
        <w:t>(immigrant caregivers)</w:t>
      </w:r>
      <w:r w:rsidRPr="00F8476A">
        <w:rPr>
          <w:rFonts w:ascii="David" w:eastAsia="Calibri" w:hAnsi="David" w:cs="David"/>
          <w:sz w:val="24"/>
          <w:szCs w:val="24"/>
          <w:rtl/>
        </w:rPr>
        <w:t xml:space="preserve"> מברית המועצות לשעבר</w:t>
      </w:r>
      <w:r w:rsidRPr="00F8476A">
        <w:rPr>
          <w:rFonts w:ascii="David" w:eastAsia="Calibri" w:hAnsi="David" w:cs="David"/>
          <w:sz w:val="24"/>
          <w:szCs w:val="24"/>
          <w:rtl/>
          <w:lang w:val="en-GB"/>
        </w:rPr>
        <w:t xml:space="preserve">. </w:t>
      </w:r>
      <w:r w:rsidRPr="00F8476A">
        <w:rPr>
          <w:rFonts w:ascii="David" w:eastAsia="Calibri" w:hAnsi="David" w:cs="David"/>
          <w:sz w:val="24"/>
          <w:szCs w:val="24"/>
          <w:rtl/>
        </w:rPr>
        <w:t>הראיונות נות</w:t>
      </w:r>
      <w:r w:rsidRPr="00F8476A">
        <w:rPr>
          <w:rFonts w:ascii="David" w:hAnsi="David" w:cs="David"/>
          <w:sz w:val="24"/>
          <w:szCs w:val="24"/>
          <w:rtl/>
        </w:rPr>
        <w:t>חו לפי ניתוח תוכן קטגוריאלי.</w:t>
      </w:r>
      <w:r w:rsidRPr="00F8476A">
        <w:rPr>
          <w:rFonts w:ascii="David" w:eastAsia="Calibri" w:hAnsi="David" w:cs="David"/>
          <w:sz w:val="24"/>
          <w:szCs w:val="24"/>
          <w:rtl/>
          <w:lang w:val="en-GB"/>
        </w:rPr>
        <w:t xml:space="preserve"> </w:t>
      </w:r>
    </w:p>
    <w:p w14:paraId="58698195" w14:textId="77777777" w:rsidR="00BA09E7" w:rsidRDefault="00BA09E7" w:rsidP="00BA09E7">
      <w:pPr>
        <w:spacing w:line="480" w:lineRule="auto"/>
        <w:jc w:val="both"/>
        <w:rPr>
          <w:sz w:val="24"/>
          <w:szCs w:val="24"/>
          <w:rtl/>
        </w:rPr>
      </w:pPr>
      <w:r w:rsidRPr="00BD41CD">
        <w:rPr>
          <w:rFonts w:eastAsia="Calibri" w:cs="David" w:hint="cs"/>
          <w:b/>
          <w:bCs/>
          <w:sz w:val="24"/>
          <w:szCs w:val="24"/>
          <w:rtl/>
          <w:lang w:val="en-GB"/>
        </w:rPr>
        <w:t xml:space="preserve">הממצאים: </w:t>
      </w:r>
      <w:r w:rsidRPr="00F8476A">
        <w:rPr>
          <w:rFonts w:eastAsia="Calibri" w:cs="David" w:hint="cs"/>
          <w:color w:val="FF0000"/>
          <w:sz w:val="24"/>
          <w:szCs w:val="24"/>
          <w:rtl/>
          <w:lang w:val="en-GB"/>
        </w:rPr>
        <w:t>ממצאי המחקר העלו את המשאבים</w:t>
      </w:r>
      <w:r w:rsidRPr="00F8476A">
        <w:rPr>
          <w:rFonts w:ascii="David" w:eastAsia="Times New Roman" w:hAnsi="David" w:cs="David" w:hint="cs"/>
          <w:color w:val="FF0000"/>
          <w:sz w:val="24"/>
          <w:szCs w:val="24"/>
          <w:rtl/>
        </w:rPr>
        <w:t xml:space="preserve"> המסייעים למהגרים מטפלים בתהליכי התמודדותם: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cs"/>
          <w:sz w:val="24"/>
          <w:szCs w:val="24"/>
          <w:rtl/>
        </w:rPr>
        <w:t xml:space="preserve">1) 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משאבים אישיים –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אופטימיות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ואמונה דתית; </w:t>
      </w:r>
      <w:r w:rsidRPr="007751D2">
        <w:rPr>
          <w:rFonts w:ascii="David" w:eastAsia="Times New Roman" w:hAnsi="David" w:cs="David" w:hint="cs"/>
          <w:sz w:val="24"/>
          <w:szCs w:val="24"/>
          <w:rtl/>
        </w:rPr>
        <w:t xml:space="preserve">2) 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משאבים משפחתיים – </w:t>
      </w:r>
      <w:r w:rsidRPr="00426337">
        <w:rPr>
          <w:rFonts w:ascii="David" w:eastAsia="Times New Roman" w:hAnsi="David" w:cs="David" w:hint="cs"/>
          <w:sz w:val="24"/>
          <w:szCs w:val="24"/>
          <w:rtl/>
        </w:rPr>
        <w:t>תחושת מחויבות ותמיכה משפחתית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; </w:t>
      </w:r>
      <w:r w:rsidRPr="007751D2">
        <w:rPr>
          <w:rFonts w:ascii="David" w:eastAsia="Times New Roman" w:hAnsi="David" w:cs="David" w:hint="cs"/>
          <w:sz w:val="24"/>
          <w:szCs w:val="24"/>
          <w:rtl/>
        </w:rPr>
        <w:t xml:space="preserve">3)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משאבים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חברתיים</w:t>
      </w:r>
      <w:r>
        <w:rPr>
          <w:rFonts w:ascii="David" w:eastAsia="Times New Roman" w:hAnsi="David" w:cs="David" w:hint="cs"/>
          <w:sz w:val="24"/>
          <w:szCs w:val="24"/>
          <w:rtl/>
        </w:rPr>
        <w:t>-תרבותיים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–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מקום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ה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עבודה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וצריכה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תרבות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פנאי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; 4) </w:t>
      </w:r>
      <w:r w:rsidRPr="00BA09E7">
        <w:rPr>
          <w:rFonts w:ascii="David" w:eastAsia="Times New Roman" w:hAnsi="David" w:cs="David" w:hint="cs"/>
          <w:color w:val="FF0000"/>
          <w:sz w:val="24"/>
          <w:szCs w:val="24"/>
          <w:rtl/>
        </w:rPr>
        <w:t xml:space="preserve">ומשאבים מערכתיים </w:t>
      </w:r>
      <w:r>
        <w:rPr>
          <w:rFonts w:ascii="David" w:eastAsia="Times New Roman" w:hAnsi="David" w:cs="David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השתתפות בהתערבויות מותאמות תרבות במרכזי ייעוץ למשפחות. </w:t>
      </w:r>
      <w:r w:rsidRPr="00300276">
        <w:rPr>
          <w:rFonts w:ascii="David" w:eastAsia="Times New Roman" w:hAnsi="David" w:cs="David" w:hint="cs"/>
          <w:color w:val="FF0000"/>
          <w:sz w:val="24"/>
          <w:szCs w:val="24"/>
          <w:rtl/>
        </w:rPr>
        <w:t>הממצאים מלמדים ש</w:t>
      </w:r>
      <w:r w:rsidRPr="00300276">
        <w:rPr>
          <w:rFonts w:eastAsia="Calibri" w:cs="David" w:hint="cs"/>
          <w:color w:val="FF0000"/>
          <w:sz w:val="24"/>
          <w:szCs w:val="24"/>
          <w:rtl/>
          <w:lang w:val="en-GB"/>
        </w:rPr>
        <w:t>שימוש במשאבים אלו הקל על תחושת הנטל של מהגרים מטפלים, שיפר את התמודדות</w:t>
      </w:r>
      <w:r>
        <w:rPr>
          <w:rFonts w:eastAsia="Calibri" w:cs="David" w:hint="cs"/>
          <w:color w:val="FF0000"/>
          <w:sz w:val="24"/>
          <w:szCs w:val="24"/>
          <w:rtl/>
          <w:lang w:val="en-GB"/>
        </w:rPr>
        <w:t>ם</w:t>
      </w:r>
      <w:r w:rsidRPr="00300276">
        <w:rPr>
          <w:rFonts w:eastAsia="Calibri" w:cs="David" w:hint="cs"/>
          <w:color w:val="FF0000"/>
          <w:sz w:val="24"/>
          <w:szCs w:val="24"/>
          <w:rtl/>
          <w:lang w:val="en-GB"/>
        </w:rPr>
        <w:t xml:space="preserve"> ברמה אישית ומשפחתית וסייע בפיתוח תחושת עמידות.</w:t>
      </w:r>
      <w:r>
        <w:rPr>
          <w:rFonts w:eastAsia="Calibri" w:cs="David" w:hint="cs"/>
          <w:sz w:val="24"/>
          <w:szCs w:val="24"/>
          <w:rtl/>
          <w:lang w:val="en-GB"/>
        </w:rPr>
        <w:t xml:space="preserve"> </w:t>
      </w:r>
    </w:p>
    <w:p w14:paraId="629D23FE" w14:textId="77777777" w:rsidR="00BA09E7" w:rsidRDefault="00BA09E7" w:rsidP="00BA09E7">
      <w:pPr>
        <w:spacing w:line="480" w:lineRule="auto"/>
        <w:jc w:val="both"/>
        <w:rPr>
          <w:rFonts w:eastAsia="Calibri" w:cs="David"/>
          <w:sz w:val="24"/>
          <w:szCs w:val="24"/>
          <w:rtl/>
          <w:lang w:val="en-GB"/>
        </w:rPr>
      </w:pPr>
      <w:r w:rsidRPr="00426337">
        <w:rPr>
          <w:rFonts w:eastAsia="Calibri" w:cs="David" w:hint="cs"/>
          <w:b/>
          <w:bCs/>
          <w:sz w:val="24"/>
          <w:szCs w:val="24"/>
          <w:rtl/>
          <w:lang w:val="en-GB"/>
        </w:rPr>
        <w:t>מסקנות והשלכות</w:t>
      </w:r>
      <w:r>
        <w:rPr>
          <w:rFonts w:eastAsia="Calibri" w:cs="David" w:hint="cs"/>
          <w:b/>
          <w:bCs/>
          <w:sz w:val="24"/>
          <w:szCs w:val="24"/>
          <w:rtl/>
          <w:lang w:val="en-GB"/>
        </w:rPr>
        <w:t xml:space="preserve"> לפרקטיקה ולמדיניות</w:t>
      </w:r>
      <w:r w:rsidRPr="00801DB8">
        <w:rPr>
          <w:rFonts w:eastAsia="Calibri" w:cs="David" w:hint="cs"/>
          <w:b/>
          <w:bCs/>
          <w:sz w:val="24"/>
          <w:szCs w:val="24"/>
          <w:rtl/>
          <w:lang w:val="en-GB"/>
        </w:rPr>
        <w:t>:</w:t>
      </w:r>
      <w:r w:rsidRPr="00801DB8">
        <w:rPr>
          <w:rFonts w:eastAsia="Calibri" w:cs="David" w:hint="cs"/>
          <w:sz w:val="24"/>
          <w:szCs w:val="24"/>
          <w:rtl/>
          <w:lang w:val="en-GB"/>
        </w:rPr>
        <w:t xml:space="preserve"> </w:t>
      </w:r>
      <w:r w:rsidRPr="00F8476A">
        <w:rPr>
          <w:rFonts w:eastAsia="Calibri" w:cs="David" w:hint="cs"/>
          <w:color w:val="FF0000"/>
          <w:sz w:val="24"/>
          <w:szCs w:val="24"/>
          <w:rtl/>
          <w:lang w:val="en-GB"/>
        </w:rPr>
        <w:t>מהגרים המטפלים בבן משפחה עם מחלת נפש קשה עם תחושת מחסור במשאבים אישיים, משפחתיים וחברתיים וקשיי הסתגלות מתמשכים בישראל</w:t>
      </w:r>
      <w:r w:rsidRPr="00F8476A">
        <w:rPr>
          <w:rFonts w:ascii="David" w:hAnsi="David" w:cs="David"/>
          <w:color w:val="FF0000"/>
          <w:sz w:val="24"/>
          <w:szCs w:val="24"/>
          <w:rtl/>
        </w:rPr>
        <w:t xml:space="preserve"> </w:t>
      </w:r>
      <w:r w:rsidRPr="00F8476A">
        <w:rPr>
          <w:rFonts w:ascii="David" w:hAnsi="David" w:cs="David" w:hint="eastAsia"/>
          <w:color w:val="FF0000"/>
          <w:sz w:val="24"/>
          <w:szCs w:val="24"/>
          <w:rtl/>
        </w:rPr>
        <w:t>זקוק</w:t>
      </w:r>
      <w:r w:rsidRPr="00F8476A">
        <w:rPr>
          <w:rFonts w:ascii="David" w:hAnsi="David" w:cs="David" w:hint="cs"/>
          <w:color w:val="FF0000"/>
          <w:sz w:val="24"/>
          <w:szCs w:val="24"/>
          <w:rtl/>
        </w:rPr>
        <w:t>ים</w:t>
      </w:r>
      <w:r w:rsidRPr="00F8476A">
        <w:rPr>
          <w:rFonts w:ascii="David" w:hAnsi="David" w:cs="David"/>
          <w:color w:val="FF0000"/>
          <w:sz w:val="24"/>
          <w:szCs w:val="24"/>
          <w:rtl/>
        </w:rPr>
        <w:t xml:space="preserve"> </w:t>
      </w:r>
      <w:r w:rsidRPr="00F8476A">
        <w:rPr>
          <w:rFonts w:ascii="David" w:hAnsi="David" w:cs="David" w:hint="eastAsia"/>
          <w:color w:val="FF0000"/>
          <w:sz w:val="24"/>
          <w:szCs w:val="24"/>
          <w:rtl/>
        </w:rPr>
        <w:t>למרבית</w:t>
      </w:r>
      <w:r w:rsidRPr="00F8476A">
        <w:rPr>
          <w:rFonts w:ascii="David" w:hAnsi="David" w:cs="David"/>
          <w:color w:val="FF0000"/>
          <w:sz w:val="24"/>
          <w:szCs w:val="24"/>
          <w:rtl/>
        </w:rPr>
        <w:t xml:space="preserve"> ה</w:t>
      </w:r>
      <w:r w:rsidRPr="00F8476A">
        <w:rPr>
          <w:rFonts w:ascii="David" w:hAnsi="David" w:cs="David" w:hint="cs"/>
          <w:color w:val="FF0000"/>
          <w:sz w:val="24"/>
          <w:szCs w:val="24"/>
          <w:rtl/>
        </w:rPr>
        <w:t>עזרה</w:t>
      </w:r>
      <w:r w:rsidRPr="00F8476A">
        <w:rPr>
          <w:rFonts w:ascii="David" w:hAnsi="David" w:cs="David"/>
          <w:color w:val="FF0000"/>
          <w:sz w:val="24"/>
          <w:szCs w:val="24"/>
          <w:rtl/>
        </w:rPr>
        <w:t xml:space="preserve"> מהמערכת</w:t>
      </w:r>
      <w:r w:rsidRPr="00F8476A">
        <w:rPr>
          <w:rFonts w:ascii="David" w:hAnsi="David" w:cs="David" w:hint="cs"/>
          <w:color w:val="FF0000"/>
          <w:sz w:val="24"/>
          <w:szCs w:val="24"/>
          <w:rtl/>
        </w:rPr>
        <w:t xml:space="preserve">. </w:t>
      </w:r>
      <w:r w:rsidRPr="00F8476A">
        <w:rPr>
          <w:rFonts w:eastAsia="Calibri" w:cs="David" w:hint="cs"/>
          <w:color w:val="FF0000"/>
          <w:sz w:val="24"/>
          <w:szCs w:val="24"/>
          <w:rtl/>
          <w:lang w:val="en-GB"/>
        </w:rPr>
        <w:t xml:space="preserve">על אנשי מקצוע להכיר במאפיינים התרבותיים </w:t>
      </w:r>
      <w:proofErr w:type="spellStart"/>
      <w:r w:rsidRPr="00F8476A">
        <w:rPr>
          <w:rFonts w:eastAsia="Calibri" w:cs="David" w:hint="cs"/>
          <w:color w:val="FF0000"/>
          <w:sz w:val="24"/>
          <w:szCs w:val="24"/>
          <w:rtl/>
          <w:lang w:val="en-GB"/>
        </w:rPr>
        <w:t>וההקשריים</w:t>
      </w:r>
      <w:proofErr w:type="spellEnd"/>
      <w:r w:rsidRPr="00F8476A">
        <w:rPr>
          <w:rFonts w:eastAsia="Calibri" w:cs="David" w:hint="cs"/>
          <w:color w:val="FF0000"/>
          <w:sz w:val="24"/>
          <w:szCs w:val="24"/>
          <w:rtl/>
          <w:lang w:val="en-GB"/>
        </w:rPr>
        <w:t xml:space="preserve"> של מהגרים מטפלים ולסייע באיתור, הנגשה ומיצוי המשאבים החיוניים להם.</w:t>
      </w:r>
    </w:p>
    <w:bookmarkEnd w:id="1"/>
    <w:p w14:paraId="417AB292" w14:textId="77777777" w:rsidR="00BA09E7" w:rsidRDefault="00BA09E7" w:rsidP="00BA09E7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72530B">
        <w:rPr>
          <w:rFonts w:eastAsia="Calibri" w:cs="David" w:hint="cs"/>
          <w:b/>
          <w:bCs/>
          <w:sz w:val="24"/>
          <w:szCs w:val="24"/>
          <w:rtl/>
          <w:lang w:val="en-GB"/>
        </w:rPr>
        <w:t>מילות מפתח</w:t>
      </w:r>
      <w:r>
        <w:rPr>
          <w:rFonts w:eastAsia="Calibri" w:cs="David" w:hint="cs"/>
          <w:sz w:val="24"/>
          <w:szCs w:val="24"/>
          <w:rtl/>
          <w:lang w:val="en-GB"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 xml:space="preserve">משפחות, </w:t>
      </w:r>
      <w:r w:rsidRPr="00DC0064">
        <w:rPr>
          <w:rFonts w:ascii="David" w:hAnsi="David" w:cs="David"/>
          <w:sz w:val="24"/>
          <w:szCs w:val="24"/>
          <w:rtl/>
        </w:rPr>
        <w:t xml:space="preserve">מהגרים מטפלים, </w:t>
      </w:r>
      <w:r>
        <w:rPr>
          <w:rFonts w:ascii="David" w:hAnsi="David" w:cs="David" w:hint="cs"/>
          <w:sz w:val="24"/>
          <w:szCs w:val="24"/>
          <w:rtl/>
        </w:rPr>
        <w:t xml:space="preserve">עולי ברית המועצות לשעבר, </w:t>
      </w:r>
      <w:r w:rsidRPr="00DC0064">
        <w:rPr>
          <w:rFonts w:ascii="David" w:hAnsi="David" w:cs="David"/>
          <w:sz w:val="24"/>
          <w:szCs w:val="24"/>
          <w:rtl/>
        </w:rPr>
        <w:t xml:space="preserve">מחלת נפש קשה, </w:t>
      </w:r>
      <w:r>
        <w:rPr>
          <w:rFonts w:ascii="David" w:hAnsi="David" w:cs="David" w:hint="cs"/>
          <w:sz w:val="24"/>
          <w:szCs w:val="24"/>
          <w:rtl/>
        </w:rPr>
        <w:t>משאבי התמודדות, מחקר איכותני</w:t>
      </w:r>
    </w:p>
    <w:p w14:paraId="1B216914" w14:textId="77777777" w:rsidR="00BA09E7" w:rsidRDefault="00BA09E7" w:rsidP="00BA09E7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</w:p>
    <w:p w14:paraId="430CC935" w14:textId="77777777" w:rsidR="007E0CCF" w:rsidRDefault="00BA09E7"/>
    <w:sectPr w:rsidR="007E0CCF" w:rsidSect="00E962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E7"/>
    <w:rsid w:val="003A01B3"/>
    <w:rsid w:val="00BA09E7"/>
    <w:rsid w:val="00E9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4B35"/>
  <w15:chartTrackingRefBased/>
  <w15:docId w15:val="{69E52187-6DA7-4B9C-A5B6-E9820074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9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1260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טניה קנייפל</dc:creator>
  <cp:keywords/>
  <dc:description/>
  <cp:lastModifiedBy>טניה קנייפל</cp:lastModifiedBy>
  <cp:revision>1</cp:revision>
  <dcterms:created xsi:type="dcterms:W3CDTF">2021-06-12T19:16:00Z</dcterms:created>
  <dcterms:modified xsi:type="dcterms:W3CDTF">2021-06-12T19:19:00Z</dcterms:modified>
</cp:coreProperties>
</file>