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BB47" w14:textId="6A873C67" w:rsidR="00B006F1" w:rsidRPr="00E2358C" w:rsidRDefault="00FE0420" w:rsidP="005B671E">
      <w:pPr>
        <w:spacing w:line="360" w:lineRule="auto"/>
        <w:rPr>
          <w:rtl/>
        </w:rPr>
      </w:pPr>
      <w:r w:rsidRPr="00E2358C">
        <w:rPr>
          <w:rtl/>
        </w:rPr>
        <w:t>בס"ד</w:t>
      </w:r>
    </w:p>
    <w:p w14:paraId="61253540" w14:textId="3E325C0A" w:rsidR="004E2796" w:rsidRDefault="004E2796" w:rsidP="00E2358C">
      <w:pPr>
        <w:spacing w:line="360" w:lineRule="auto"/>
        <w:jc w:val="center"/>
        <w:rPr>
          <w:rtl/>
        </w:rPr>
      </w:pPr>
      <w:r w:rsidRPr="00E2358C">
        <w:t>Rebellion: Ideology and Practice in Judaea 63 BC – 136 CE</w:t>
      </w:r>
    </w:p>
    <w:p w14:paraId="2D01BA62" w14:textId="6C94B60F" w:rsidR="00AA0AD8" w:rsidRPr="00E2358C" w:rsidRDefault="007C6EFA" w:rsidP="00AA0AD8">
      <w:pPr>
        <w:spacing w:line="360" w:lineRule="auto"/>
      </w:pPr>
      <w:hyperlink r:id="rId7" w:history="1">
        <w:r w:rsidR="00AA0AD8" w:rsidRPr="00E2358C">
          <w:rPr>
            <w:rStyle w:val="Hyperlink"/>
            <w:color w:val="auto"/>
          </w:rPr>
          <w:t>https://global.oup.com/academic/authors/proposals/?lang=en&amp;cc=us</w:t>
        </w:r>
      </w:hyperlink>
      <w:r w:rsidR="00AA0AD8" w:rsidRPr="00E2358C">
        <w:rPr>
          <w:rtl/>
        </w:rPr>
        <w:t xml:space="preserve"> </w:t>
      </w:r>
    </w:p>
    <w:p w14:paraId="713241E9" w14:textId="77777777" w:rsidR="00E2358C" w:rsidRPr="00E2358C" w:rsidRDefault="00E2358C" w:rsidP="00E2358C">
      <w:pPr>
        <w:bidi w:val="0"/>
        <w:spacing w:before="210" w:after="210" w:line="312" w:lineRule="atLeast"/>
        <w:outlineLvl w:val="1"/>
        <w:rPr>
          <w:rFonts w:eastAsia="Times New Roman"/>
        </w:rPr>
      </w:pPr>
      <w:r w:rsidRPr="00E2358C">
        <w:rPr>
          <w:rFonts w:eastAsia="Times New Roman"/>
        </w:rPr>
        <w:t>The Book</w:t>
      </w:r>
    </w:p>
    <w:p w14:paraId="30176BE6" w14:textId="40D4FB74" w:rsidR="00E2358C" w:rsidRPr="00E2358C" w:rsidRDefault="001D4EA0" w:rsidP="001D4EA0">
      <w:pPr>
        <w:shd w:val="clear" w:color="auto" w:fill="FFFFFF"/>
        <w:bidi w:val="0"/>
        <w:spacing w:before="120" w:after="120" w:line="336" w:lineRule="atLeast"/>
        <w:rPr>
          <w:rFonts w:eastAsia="Times New Roman"/>
        </w:rPr>
      </w:pPr>
      <w:r>
        <w:rPr>
          <w:rFonts w:eastAsia="Times New Roman"/>
          <w:b/>
          <w:bCs/>
        </w:rPr>
        <w:t xml:space="preserve">1. </w:t>
      </w:r>
      <w:r w:rsidR="00E2358C" w:rsidRPr="00E2358C">
        <w:rPr>
          <w:rFonts w:eastAsia="Times New Roman"/>
          <w:b/>
          <w:bCs/>
        </w:rPr>
        <w:t>Brief Description</w:t>
      </w:r>
      <w:r w:rsidR="00E2358C" w:rsidRPr="00E2358C">
        <w:rPr>
          <w:rFonts w:eastAsia="Times New Roman"/>
        </w:rPr>
        <w:t> - In one or two paragraphs, describe the work, including its rationale, approach, and pedagogy. (This book is... It does... Its distinguishing features are...)</w:t>
      </w:r>
    </w:p>
    <w:p w14:paraId="17E55AEA" w14:textId="189D0AEF" w:rsidR="00FE0420" w:rsidRPr="00E2358C" w:rsidRDefault="001D4EA0" w:rsidP="005B671E">
      <w:pPr>
        <w:spacing w:line="360" w:lineRule="auto"/>
        <w:rPr>
          <w:rtl/>
        </w:rPr>
      </w:pPr>
      <w:r>
        <w:rPr>
          <w:rFonts w:hint="cs"/>
          <w:rtl/>
        </w:rPr>
        <w:t>ה</w:t>
      </w:r>
      <w:r w:rsidR="00FE0420" w:rsidRPr="00E2358C">
        <w:rPr>
          <w:rtl/>
        </w:rPr>
        <w:t>ספר מתאר את גלגוליו של רעיון המרד באימפריה הרומית</w:t>
      </w:r>
      <w:r w:rsidR="00E2358C">
        <w:rPr>
          <w:rFonts w:hint="cs"/>
          <w:rtl/>
        </w:rPr>
        <w:t xml:space="preserve"> אצל קבוצות יהודיות</w:t>
      </w:r>
      <w:r w:rsidR="00FE0420" w:rsidRPr="00E2358C">
        <w:rPr>
          <w:rtl/>
        </w:rPr>
        <w:t xml:space="preserve"> ואת מימושו החל מכיבושה של יהודה בידי רומא בשנת 63 לפנה"ס ועד לסיומו של מרד בר כוכבא בשנת 136. </w:t>
      </w:r>
      <w:r>
        <w:rPr>
          <w:rFonts w:hint="cs"/>
          <w:rtl/>
        </w:rPr>
        <w:t>בתקופה זו</w:t>
      </w:r>
      <w:r w:rsidR="00FE0420" w:rsidRPr="00E2358C">
        <w:rPr>
          <w:rtl/>
        </w:rPr>
        <w:t xml:space="preserve"> רעיון המרד פשט צורה ולבש צורה, האידיאולוגיה והערכים השתנו לאורך זמן ואף בין קבוצות שונות שפעלו באותו פרק זמן. גם מידת התמיכה שלה זכה רעיון המרד השתנתה. לעיתים רק קומץ אנשים משולי החברה אחזו בשלהבת המרד, ולעיתים הצטרפו </w:t>
      </w:r>
      <w:r w:rsidR="00E2358C">
        <w:rPr>
          <w:rFonts w:hint="cs"/>
          <w:rtl/>
        </w:rPr>
        <w:t>אליו</w:t>
      </w:r>
      <w:r w:rsidR="00FE0420" w:rsidRPr="00E2358C">
        <w:rPr>
          <w:rtl/>
        </w:rPr>
        <w:t xml:space="preserve"> חוגים רחבים ו</w:t>
      </w:r>
      <w:r w:rsidR="00E2358C">
        <w:rPr>
          <w:rFonts w:hint="cs"/>
          <w:rtl/>
        </w:rPr>
        <w:t>אף חלקים</w:t>
      </w:r>
      <w:r w:rsidR="00FE0420" w:rsidRPr="00E2358C">
        <w:rPr>
          <w:rtl/>
        </w:rPr>
        <w:t xml:space="preserve"> מהאליטה של החברה היהודית. </w:t>
      </w:r>
      <w:r>
        <w:rPr>
          <w:rFonts w:hint="cs"/>
          <w:rtl/>
        </w:rPr>
        <w:t xml:space="preserve">הספר אמנם מתמקד ביהודה בהגדרתה הרחבה (השטח שבין נהר הירדן </w:t>
      </w:r>
      <w:r w:rsidR="001628E2">
        <w:rPr>
          <w:rFonts w:hint="cs"/>
          <w:rtl/>
        </w:rPr>
        <w:t xml:space="preserve">וים המלח </w:t>
      </w:r>
      <w:r>
        <w:rPr>
          <w:rFonts w:hint="cs"/>
          <w:rtl/>
        </w:rPr>
        <w:t xml:space="preserve">לים התיכון ועבר הירדן המזרחי), מפני שבשטח זה אירעו מרבית המרידות. עם זאת אעסוק גם ביחסם של היהודים מחוץ לארץ ישראל ברעיון זה ובגילוייו, ובפרט בכל מה שקשור במרד התפוצות. </w:t>
      </w:r>
      <w:r w:rsidR="00FE0420" w:rsidRPr="00E2358C">
        <w:rPr>
          <w:rtl/>
        </w:rPr>
        <w:t xml:space="preserve">מטרת הספר היא לבחון את הקשרים בין אידיאולוגיית המרד </w:t>
      </w:r>
      <w:r w:rsidR="00C92643" w:rsidRPr="00E2358C">
        <w:rPr>
          <w:rtl/>
        </w:rPr>
        <w:t>ל</w:t>
      </w:r>
      <w:r w:rsidR="00FE0420" w:rsidRPr="00E2358C">
        <w:rPr>
          <w:rtl/>
        </w:rPr>
        <w:t xml:space="preserve">חברה היהודית בת הזמן. </w:t>
      </w:r>
      <w:r w:rsidR="00C92643" w:rsidRPr="00E2358C">
        <w:rPr>
          <w:rtl/>
        </w:rPr>
        <w:t>כיצד השפיעה אידיאולוגיית המרד על דרכי הארגון והלחימה בפועל של קבוצות מורדים שונות, ובאיזה אופנים השתנתה תפיסת המרד והתגוונו חוגי המורדים לאור הנסיבות ההיסטוריות.</w:t>
      </w:r>
      <w:r w:rsidR="001A7854" w:rsidRPr="00E2358C">
        <w:rPr>
          <w:rtl/>
        </w:rPr>
        <w:t xml:space="preserve"> אעסוק</w:t>
      </w:r>
      <w:r w:rsidR="001628E2">
        <w:rPr>
          <w:rFonts w:hint="cs"/>
          <w:rtl/>
        </w:rPr>
        <w:t xml:space="preserve"> גם</w:t>
      </w:r>
      <w:r w:rsidR="001A7854" w:rsidRPr="00E2358C">
        <w:rPr>
          <w:rtl/>
        </w:rPr>
        <w:t xml:space="preserve"> בשאלה, האם אמנם ניתן להצביע על קיומה של תנועת התנגדות המונית לרומא שרחשה כל העת ביהודה הכבושה, או שמא מדובר בהתלקחויות נפרדות, ואשר כל אחת מהן </w:t>
      </w:r>
      <w:proofErr w:type="spellStart"/>
      <w:r w:rsidR="001A7854" w:rsidRPr="00E2358C">
        <w:rPr>
          <w:rtl/>
        </w:rPr>
        <w:t>היתה</w:t>
      </w:r>
      <w:proofErr w:type="spellEnd"/>
      <w:r w:rsidR="001A7854" w:rsidRPr="00E2358C">
        <w:rPr>
          <w:rtl/>
        </w:rPr>
        <w:t xml:space="preserve"> תוצאה של נסיבות היסטוריות ייחודיות.</w:t>
      </w:r>
    </w:p>
    <w:p w14:paraId="5F9FCD60" w14:textId="77777777" w:rsidR="00DD4EE8" w:rsidRDefault="00C92643" w:rsidP="00DD4EE8">
      <w:pPr>
        <w:spacing w:line="360" w:lineRule="auto"/>
        <w:rPr>
          <w:rtl/>
        </w:rPr>
      </w:pPr>
      <w:r w:rsidRPr="00E2358C">
        <w:rPr>
          <w:rtl/>
        </w:rPr>
        <w:t xml:space="preserve">ייחודו של הספר </w:t>
      </w:r>
      <w:r w:rsidR="00BD79DA" w:rsidRPr="00E2358C">
        <w:rPr>
          <w:rtl/>
        </w:rPr>
        <w:t>נובע מהגדרת הנושא, מאופי הטיפול בו ומטיב המקורות</w:t>
      </w:r>
      <w:r w:rsidR="001628E2">
        <w:rPr>
          <w:rFonts w:hint="cs"/>
          <w:rtl/>
        </w:rPr>
        <w:t xml:space="preserve"> הנידונים</w:t>
      </w:r>
      <w:r w:rsidR="00BD79DA" w:rsidRPr="00E2358C">
        <w:rPr>
          <w:rtl/>
        </w:rPr>
        <w:t>. על אף הספרים והמאמרים הרבים שהוקדשו לתקופה הרומית בכלל ולמרידות היהודים ברומא בפרט</w:t>
      </w:r>
      <w:r w:rsidR="001D4EA0">
        <w:rPr>
          <w:rFonts w:hint="cs"/>
          <w:rtl/>
        </w:rPr>
        <w:t xml:space="preserve"> (ראו פירוט להלן)</w:t>
      </w:r>
      <w:r w:rsidR="00BD79DA" w:rsidRPr="00E2358C">
        <w:rPr>
          <w:rtl/>
        </w:rPr>
        <w:t>, לא היה עד כה ניסיון שיטתי לעקוב אחרי גלגוליה של אידיאת המרד נגד רומא</w:t>
      </w:r>
      <w:r w:rsidR="001A7854" w:rsidRPr="00E2358C">
        <w:rPr>
          <w:rtl/>
        </w:rPr>
        <w:t xml:space="preserve"> (והאם אכן </w:t>
      </w:r>
      <w:proofErr w:type="spellStart"/>
      <w:r w:rsidR="001A7854" w:rsidRPr="00E2358C">
        <w:rPr>
          <w:rtl/>
        </w:rPr>
        <w:t>היתה</w:t>
      </w:r>
      <w:proofErr w:type="spellEnd"/>
      <w:r w:rsidR="001A7854" w:rsidRPr="00E2358C">
        <w:rPr>
          <w:rtl/>
        </w:rPr>
        <w:t xml:space="preserve"> אידיאה שכזו)</w:t>
      </w:r>
      <w:r w:rsidR="00BD79DA" w:rsidRPr="00E2358C">
        <w:rPr>
          <w:rtl/>
        </w:rPr>
        <w:t xml:space="preserve"> הן מההיבט האידיאולוגי והן מהפן החברתי-מדיני, והקשרים שבין שני</w:t>
      </w:r>
      <w:r w:rsidR="001D4EA0">
        <w:rPr>
          <w:rFonts w:hint="cs"/>
          <w:rtl/>
        </w:rPr>
        <w:t>הם</w:t>
      </w:r>
      <w:r w:rsidR="00BD79DA" w:rsidRPr="00E2358C">
        <w:rPr>
          <w:rtl/>
        </w:rPr>
        <w:t xml:space="preserve">. </w:t>
      </w:r>
      <w:r w:rsidR="001A7854" w:rsidRPr="00E2358C">
        <w:rPr>
          <w:rtl/>
        </w:rPr>
        <w:t xml:space="preserve">בספר זה </w:t>
      </w:r>
      <w:r w:rsidR="001D4EA0">
        <w:rPr>
          <w:rFonts w:hint="cs"/>
          <w:rtl/>
        </w:rPr>
        <w:t>נושאים אלו ייבחנו</w:t>
      </w:r>
      <w:r w:rsidR="001A7854" w:rsidRPr="00E2358C">
        <w:rPr>
          <w:rtl/>
        </w:rPr>
        <w:t xml:space="preserve"> </w:t>
      </w:r>
      <w:r w:rsidR="004902C0" w:rsidRPr="00E2358C">
        <w:rPr>
          <w:rtl/>
        </w:rPr>
        <w:t>בהתאם</w:t>
      </w:r>
      <w:r w:rsidR="001A7854" w:rsidRPr="00E2358C">
        <w:rPr>
          <w:rtl/>
        </w:rPr>
        <w:t xml:space="preserve"> </w:t>
      </w:r>
      <w:r w:rsidR="004902C0" w:rsidRPr="00E2358C">
        <w:rPr>
          <w:rtl/>
        </w:rPr>
        <w:t>ל</w:t>
      </w:r>
      <w:r w:rsidR="001A7854" w:rsidRPr="00E2358C">
        <w:rPr>
          <w:rtl/>
        </w:rPr>
        <w:t xml:space="preserve">תיאוריות עדכניות העוסקות במרד ובמהפכה, ובמיוחד לאור מחקריו רבי ההשפעה של </w:t>
      </w:r>
      <w:r w:rsidR="001A7854" w:rsidRPr="00E2358C">
        <w:t>Jack Goldstone</w:t>
      </w:r>
      <w:r w:rsidR="001A7854" w:rsidRPr="00E2358C">
        <w:rPr>
          <w:rtl/>
        </w:rPr>
        <w:t>. הרקע התיאורטי יאפשר הבנה טובה יותר של אירועי האלימות השונים, הן מבחינת יעדיהם והן מבחינת הזיקות האפשריות ביניהם</w:t>
      </w:r>
      <w:r w:rsidR="001D4EA0">
        <w:rPr>
          <w:rFonts w:hint="cs"/>
          <w:rtl/>
        </w:rPr>
        <w:t xml:space="preserve">. מבחינת המקורות, </w:t>
      </w:r>
      <w:r w:rsidR="001A7854" w:rsidRPr="00E2358C">
        <w:rPr>
          <w:rtl/>
        </w:rPr>
        <w:t>בשנים האחרונות הידע ודרכי הניתוח של המקורות הקדומים עברו שינויים משמעותיים. יש כיום תשתית מחקרית המאפשרת לחרוג הרבה מעבר לתמונה שצייר</w:t>
      </w:r>
      <w:r w:rsidR="00786EAD" w:rsidRPr="00E2358C">
        <w:rPr>
          <w:rtl/>
        </w:rPr>
        <w:t>ו</w:t>
      </w:r>
      <w:r w:rsidR="001A7854" w:rsidRPr="00E2358C">
        <w:rPr>
          <w:rtl/>
        </w:rPr>
        <w:t xml:space="preserve"> </w:t>
      </w:r>
      <w:proofErr w:type="spellStart"/>
      <w:r w:rsidR="001A7854" w:rsidRPr="00E2358C">
        <w:rPr>
          <w:rtl/>
        </w:rPr>
        <w:t>יוספוס</w:t>
      </w:r>
      <w:proofErr w:type="spellEnd"/>
      <w:r w:rsidR="001A7854" w:rsidRPr="00E2358C">
        <w:rPr>
          <w:rtl/>
        </w:rPr>
        <w:t xml:space="preserve"> בספריו</w:t>
      </w:r>
      <w:r w:rsidR="00786EAD" w:rsidRPr="00E2358C">
        <w:rPr>
          <w:rtl/>
        </w:rPr>
        <w:t>, והסופרים היווניים והרומיים בתיאוריהם הקצרים</w:t>
      </w:r>
      <w:r w:rsidR="001A7854" w:rsidRPr="00E2358C">
        <w:rPr>
          <w:rtl/>
        </w:rPr>
        <w:t xml:space="preserve">. מגילות מדבר יהודה, </w:t>
      </w:r>
      <w:r w:rsidR="004902C0" w:rsidRPr="00E2358C">
        <w:rPr>
          <w:rtl/>
        </w:rPr>
        <w:t xml:space="preserve">הספרות </w:t>
      </w:r>
      <w:proofErr w:type="spellStart"/>
      <w:r w:rsidR="004902C0" w:rsidRPr="00E2358C">
        <w:rPr>
          <w:rtl/>
        </w:rPr>
        <w:t>האפוקריפית</w:t>
      </w:r>
      <w:proofErr w:type="spellEnd"/>
      <w:r w:rsidR="004902C0" w:rsidRPr="00E2358C">
        <w:rPr>
          <w:rtl/>
        </w:rPr>
        <w:t xml:space="preserve"> </w:t>
      </w:r>
      <w:proofErr w:type="spellStart"/>
      <w:r w:rsidR="004902C0" w:rsidRPr="00E2358C">
        <w:rPr>
          <w:rtl/>
        </w:rPr>
        <w:t>והפסוודו</w:t>
      </w:r>
      <w:proofErr w:type="spellEnd"/>
      <w:r w:rsidR="004902C0" w:rsidRPr="00E2358C">
        <w:rPr>
          <w:rtl/>
        </w:rPr>
        <w:t xml:space="preserve">-אפיגרפית, </w:t>
      </w:r>
      <w:r w:rsidR="001A7854" w:rsidRPr="00E2358C">
        <w:rPr>
          <w:rtl/>
        </w:rPr>
        <w:t xml:space="preserve">הממצאים הארכיאולוגיים (מטבעות, כתובות ושרידים לפעילות אנושית), וספרות חז"ל (על אף הבעיות הרבות הכרוכות בשימוש בה כמקור היסטורי) מאפשרים לאשר, לדחות </w:t>
      </w:r>
      <w:r w:rsidR="004902C0" w:rsidRPr="00E2358C">
        <w:rPr>
          <w:rtl/>
        </w:rPr>
        <w:t>ו</w:t>
      </w:r>
      <w:r w:rsidR="001A7854" w:rsidRPr="00E2358C">
        <w:rPr>
          <w:rtl/>
        </w:rPr>
        <w:t xml:space="preserve">לעדכן את תיאוריו של </w:t>
      </w:r>
      <w:proofErr w:type="spellStart"/>
      <w:r w:rsidR="001A7854" w:rsidRPr="00E2358C">
        <w:rPr>
          <w:rtl/>
        </w:rPr>
        <w:t>יוספוס</w:t>
      </w:r>
      <w:proofErr w:type="spellEnd"/>
      <w:r w:rsidR="001A7854" w:rsidRPr="00E2358C">
        <w:rPr>
          <w:rtl/>
        </w:rPr>
        <w:t xml:space="preserve">. </w:t>
      </w:r>
      <w:r w:rsidR="004902C0" w:rsidRPr="00E2358C">
        <w:rPr>
          <w:rtl/>
        </w:rPr>
        <w:t xml:space="preserve">חשיבותה של ספרות מדבר יהודה וחלקים מהספרות </w:t>
      </w:r>
      <w:proofErr w:type="spellStart"/>
      <w:r w:rsidR="004902C0" w:rsidRPr="00E2358C">
        <w:rPr>
          <w:rtl/>
        </w:rPr>
        <w:t>האפוקריפית</w:t>
      </w:r>
      <w:proofErr w:type="spellEnd"/>
      <w:r w:rsidR="004902C0" w:rsidRPr="00E2358C">
        <w:rPr>
          <w:rtl/>
        </w:rPr>
        <w:t xml:space="preserve"> הוא בכך שמדובר בספרות בת הזמן שנכתבה בידי יהודים, ושניתן להכיר דרכה את הלכי הרוח בחברה היהודית ובכלל זה היחס לרומא ולרעיון </w:t>
      </w:r>
      <w:r w:rsidR="004902C0" w:rsidRPr="00E2358C">
        <w:rPr>
          <w:rtl/>
        </w:rPr>
        <w:lastRenderedPageBreak/>
        <w:t>המרד. הממצאים הארכיאולוגיים יכולים ללמדנו הן על ההיבטים האידיאולוגיים (כגון כתובות ודימויים על גבי המטבעות) והן על ההיקף של חוגי המורדים</w:t>
      </w:r>
      <w:r w:rsidR="001D4EA0">
        <w:rPr>
          <w:rFonts w:hint="cs"/>
          <w:rtl/>
        </w:rPr>
        <w:t xml:space="preserve"> והמרידות</w:t>
      </w:r>
      <w:r w:rsidR="004902C0" w:rsidRPr="00E2358C">
        <w:rPr>
          <w:rtl/>
        </w:rPr>
        <w:t xml:space="preserve"> בזמנים שונים</w:t>
      </w:r>
    </w:p>
    <w:p w14:paraId="051E6D1B" w14:textId="77777777" w:rsidR="00DD4EE8" w:rsidRDefault="00DD4EE8" w:rsidP="00DD4EE8">
      <w:pPr>
        <w:spacing w:line="360" w:lineRule="auto"/>
        <w:rPr>
          <w:rtl/>
        </w:rPr>
      </w:pPr>
    </w:p>
    <w:p w14:paraId="23870BE5" w14:textId="1096D2B7" w:rsidR="00E2358C" w:rsidRPr="00DD4EE8" w:rsidRDefault="004902C0" w:rsidP="00DD4EE8">
      <w:pPr>
        <w:spacing w:line="360" w:lineRule="auto"/>
      </w:pPr>
      <w:r w:rsidRPr="00E2358C">
        <w:rPr>
          <w:rtl/>
        </w:rPr>
        <w:t>.</w:t>
      </w:r>
      <w:r w:rsidR="00E2358C" w:rsidRPr="00E2358C">
        <w:rPr>
          <w:rFonts w:eastAsia="Times New Roman"/>
          <w:b/>
          <w:bCs/>
        </w:rPr>
        <w:t>2. Outline</w:t>
      </w:r>
      <w:r w:rsidR="00E2358C" w:rsidRPr="00E2358C">
        <w:rPr>
          <w:rFonts w:eastAsia="Times New Roman"/>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3AA0F5AE" w14:textId="77777777" w:rsidR="002348AE" w:rsidRDefault="002348AE" w:rsidP="005B671E">
      <w:pPr>
        <w:spacing w:line="360" w:lineRule="auto"/>
        <w:rPr>
          <w:b/>
          <w:bCs/>
          <w:rtl/>
        </w:rPr>
      </w:pPr>
    </w:p>
    <w:p w14:paraId="0E033427" w14:textId="19285065" w:rsidR="00B703F0" w:rsidRPr="002348AE" w:rsidRDefault="004A1111" w:rsidP="005B671E">
      <w:pPr>
        <w:spacing w:line="360" w:lineRule="auto"/>
        <w:rPr>
          <w:b/>
          <w:bCs/>
          <w:rtl/>
        </w:rPr>
      </w:pPr>
      <w:r w:rsidRPr="002348AE">
        <w:rPr>
          <w:b/>
          <w:bCs/>
          <w:rtl/>
        </w:rPr>
        <w:t xml:space="preserve">פרק א: </w:t>
      </w:r>
      <w:r w:rsidRPr="002348AE">
        <w:rPr>
          <w:b/>
          <w:bCs/>
        </w:rPr>
        <w:t xml:space="preserve">Theorizing Rebellion </w:t>
      </w:r>
    </w:p>
    <w:p w14:paraId="24B5D93E" w14:textId="7524FF30" w:rsidR="00786EAD" w:rsidRPr="00E2358C" w:rsidRDefault="00786EAD" w:rsidP="005B671E">
      <w:pPr>
        <w:spacing w:line="360" w:lineRule="auto"/>
        <w:rPr>
          <w:rtl/>
        </w:rPr>
      </w:pPr>
      <w:r w:rsidRPr="00E2358C">
        <w:rPr>
          <w:rtl/>
        </w:rPr>
        <w:t>בפרק זה אתאר בקצרה את מטרת הספר וייחודו המתודי</w:t>
      </w:r>
      <w:r w:rsidR="001628E2">
        <w:rPr>
          <w:rFonts w:hint="cs"/>
          <w:rtl/>
        </w:rPr>
        <w:t>. אפתח בהצגת הבסיס התיאורטי, ואסיים בהערות מתודולוגיות לגבי אופי המקורות.</w:t>
      </w:r>
    </w:p>
    <w:p w14:paraId="288DA9AC" w14:textId="7D15AB72" w:rsidR="004A1111" w:rsidRPr="00E2358C" w:rsidRDefault="004A1111" w:rsidP="005B671E">
      <w:pPr>
        <w:pStyle w:val="a7"/>
        <w:numPr>
          <w:ilvl w:val="1"/>
          <w:numId w:val="2"/>
        </w:numPr>
        <w:spacing w:line="360" w:lineRule="auto"/>
      </w:pPr>
      <w:r w:rsidRPr="00E2358C">
        <w:rPr>
          <w:b/>
          <w:bCs/>
          <w:rtl/>
        </w:rPr>
        <w:t>מרד: אידיאולוגיה ופרקטיקה</w:t>
      </w:r>
      <w:r w:rsidRPr="00E2358C">
        <w:rPr>
          <w:rtl/>
        </w:rPr>
        <w:t xml:space="preserve">: התנגדות לשלטון הקיים על מנת להחליפו מצריכה </w:t>
      </w:r>
      <w:r w:rsidR="00786EAD" w:rsidRPr="00E2358C">
        <w:rPr>
          <w:rtl/>
        </w:rPr>
        <w:t xml:space="preserve">תנאים רעיוניים וחברתיים </w:t>
      </w:r>
      <w:proofErr w:type="spellStart"/>
      <w:r w:rsidR="00786EAD" w:rsidRPr="00E2358C">
        <w:rPr>
          <w:rtl/>
        </w:rPr>
        <w:t>מסויימים</w:t>
      </w:r>
      <w:proofErr w:type="spellEnd"/>
      <w:r w:rsidR="00786EAD" w:rsidRPr="00E2358C">
        <w:rPr>
          <w:rtl/>
        </w:rPr>
        <w:t>. בחלק זה אציג את התנאים הנדרשים על פי התיאוריות העדכניות בתחום זה ואת יעילותן לצורך הבנת האירועים ביהודה</w:t>
      </w:r>
      <w:r w:rsidR="002348AE">
        <w:rPr>
          <w:rFonts w:hint="cs"/>
          <w:rtl/>
        </w:rPr>
        <w:t xml:space="preserve">. אציג בפירוט את התיאוריה של ג'ק </w:t>
      </w:r>
      <w:proofErr w:type="spellStart"/>
      <w:r w:rsidR="002348AE">
        <w:rPr>
          <w:rFonts w:hint="cs"/>
          <w:rtl/>
        </w:rPr>
        <w:t>גולדסטון</w:t>
      </w:r>
      <w:proofErr w:type="spellEnd"/>
      <w:r w:rsidR="002348AE">
        <w:rPr>
          <w:rFonts w:hint="cs"/>
          <w:rtl/>
        </w:rPr>
        <w:t xml:space="preserve"> ויעילותה לנושא הספר.</w:t>
      </w:r>
    </w:p>
    <w:p w14:paraId="6FAA47B8" w14:textId="40795E5B" w:rsidR="004A1111" w:rsidRPr="00E2358C" w:rsidRDefault="004A1111" w:rsidP="005B671E">
      <w:pPr>
        <w:pStyle w:val="a7"/>
        <w:numPr>
          <w:ilvl w:val="1"/>
          <w:numId w:val="2"/>
        </w:numPr>
        <w:spacing w:line="360" w:lineRule="auto"/>
      </w:pPr>
      <w:r w:rsidRPr="00E2358C">
        <w:rPr>
          <w:b/>
          <w:bCs/>
          <w:rtl/>
        </w:rPr>
        <w:t>טקסונומיה של אלימות אנטי-שלטונית</w:t>
      </w:r>
      <w:r w:rsidRPr="00E2358C">
        <w:rPr>
          <w:rtl/>
        </w:rPr>
        <w:t>: במאתיים השנים הראשונות לכיבוש הרומי של יהודה (63 לפנה"ס – 136 לספירה), היו ביהודה אירועים אלימים רבים של התנגדות לשלטון הרומי. התיאוריה המודרנית מכירה בהבדלים האידיאולוגיים, החברתיים והפוליטיים שבין אירועי אלימות שונים כגון,</w:t>
      </w:r>
      <w:r w:rsidRPr="00E2358C">
        <w:t xml:space="preserve"> peasant revolts, grain riots, social and reform movements, coup d’états, civil wars, and revolutions</w:t>
      </w:r>
      <w:r w:rsidR="001628E2">
        <w:rPr>
          <w:rFonts w:hint="cs"/>
          <w:rtl/>
        </w:rPr>
        <w:t>. לחלוקה זו, אטען, יש חשיבות רבה להבנת הדינמיקה של התפשטות והתכווצות רעיון המרד בחברה היהודית.</w:t>
      </w:r>
    </w:p>
    <w:p w14:paraId="21283600" w14:textId="031FB4B8" w:rsidR="00786EAD" w:rsidRPr="00E2358C" w:rsidRDefault="00786EAD" w:rsidP="005B671E">
      <w:pPr>
        <w:pStyle w:val="a7"/>
        <w:numPr>
          <w:ilvl w:val="1"/>
          <w:numId w:val="2"/>
        </w:numPr>
        <w:spacing w:line="360" w:lineRule="auto"/>
      </w:pPr>
      <w:r w:rsidRPr="00E2358C">
        <w:rPr>
          <w:b/>
          <w:bCs/>
          <w:rtl/>
        </w:rPr>
        <w:t>מקורות</w:t>
      </w:r>
      <w:r w:rsidRPr="00E2358C">
        <w:rPr>
          <w:rtl/>
        </w:rPr>
        <w:t xml:space="preserve">: אתאר את המקורות המגוונים העומדים לרשותנו החל </w:t>
      </w:r>
      <w:proofErr w:type="spellStart"/>
      <w:r w:rsidRPr="00E2358C">
        <w:rPr>
          <w:rtl/>
        </w:rPr>
        <w:t>מיוספוס</w:t>
      </w:r>
      <w:proofErr w:type="spellEnd"/>
      <w:r w:rsidRPr="00E2358C">
        <w:rPr>
          <w:rtl/>
        </w:rPr>
        <w:t xml:space="preserve"> והסופרים היוונים והרומיים, דרך כתבי מדבר יהודה, הספרות </w:t>
      </w:r>
      <w:proofErr w:type="spellStart"/>
      <w:r w:rsidRPr="00E2358C">
        <w:rPr>
          <w:rtl/>
        </w:rPr>
        <w:t>האפוקריפית</w:t>
      </w:r>
      <w:proofErr w:type="spellEnd"/>
      <w:r w:rsidRPr="00E2358C">
        <w:rPr>
          <w:rtl/>
        </w:rPr>
        <w:t>, הממצאים הארכיאולוגיים ומקורות חז"ל. אצביע על היתרונות והחסרונות שבמקורות השונים, ולבסוף אציע דרך להעלאת תמונה אינטגרטיבית משלל המקורות הללו.</w:t>
      </w:r>
    </w:p>
    <w:p w14:paraId="7264B8B4" w14:textId="218EE831" w:rsidR="00786EAD" w:rsidRPr="00E2358C" w:rsidRDefault="00786EAD" w:rsidP="005B671E">
      <w:pPr>
        <w:pStyle w:val="a7"/>
        <w:numPr>
          <w:ilvl w:val="1"/>
          <w:numId w:val="2"/>
        </w:numPr>
        <w:spacing w:line="360" w:lineRule="auto"/>
      </w:pPr>
      <w:r w:rsidRPr="00E2358C">
        <w:rPr>
          <w:b/>
          <w:bCs/>
          <w:rtl/>
        </w:rPr>
        <w:t>מבנה הספר</w:t>
      </w:r>
      <w:r w:rsidRPr="00E2358C">
        <w:rPr>
          <w:rtl/>
        </w:rPr>
        <w:t>: תיאור קצר של מבנה הספר.</w:t>
      </w:r>
    </w:p>
    <w:p w14:paraId="3D5E9B63" w14:textId="717C0625" w:rsidR="00786EAD" w:rsidRPr="00E2358C" w:rsidRDefault="00786EAD" w:rsidP="005B671E">
      <w:pPr>
        <w:spacing w:line="360" w:lineRule="auto"/>
        <w:rPr>
          <w:rtl/>
        </w:rPr>
      </w:pPr>
    </w:p>
    <w:p w14:paraId="3E04A9D6" w14:textId="692FD520" w:rsidR="00786EAD" w:rsidRPr="00E2358C" w:rsidRDefault="00786EAD" w:rsidP="005B671E">
      <w:pPr>
        <w:spacing w:line="360" w:lineRule="auto"/>
        <w:rPr>
          <w:b/>
          <w:bCs/>
          <w:rtl/>
        </w:rPr>
      </w:pPr>
      <w:r w:rsidRPr="00E2358C">
        <w:rPr>
          <w:b/>
          <w:bCs/>
          <w:rtl/>
        </w:rPr>
        <w:t>פרק שני</w:t>
      </w:r>
      <w:r w:rsidR="00A46C2A" w:rsidRPr="00E2358C">
        <w:rPr>
          <w:b/>
          <w:bCs/>
          <w:rtl/>
        </w:rPr>
        <w:t xml:space="preserve"> -</w:t>
      </w:r>
      <w:r w:rsidRPr="00E2358C">
        <w:rPr>
          <w:b/>
          <w:bCs/>
          <w:rtl/>
        </w:rPr>
        <w:t xml:space="preserve"> המורשת החשמונאית</w:t>
      </w:r>
      <w:r w:rsidR="00A46C2A" w:rsidRPr="00E2358C">
        <w:rPr>
          <w:b/>
          <w:bCs/>
          <w:rtl/>
        </w:rPr>
        <w:t>: בין פאסיביות לפעולה</w:t>
      </w:r>
    </w:p>
    <w:p w14:paraId="7013186E" w14:textId="63EE2033" w:rsidR="00786EAD" w:rsidRPr="00E2358C" w:rsidRDefault="00677C49" w:rsidP="005B671E">
      <w:pPr>
        <w:spacing w:line="360" w:lineRule="auto"/>
        <w:rPr>
          <w:rtl/>
        </w:rPr>
      </w:pPr>
      <w:r w:rsidRPr="00E2358C">
        <w:rPr>
          <w:rtl/>
        </w:rPr>
        <w:t xml:space="preserve">לכאורה, רעיון המרד באימפריה מקורו במרידות המקבים באמצע המאה </w:t>
      </w:r>
      <w:proofErr w:type="spellStart"/>
      <w:r w:rsidRPr="00E2358C">
        <w:rPr>
          <w:rtl/>
        </w:rPr>
        <w:t>השניה</w:t>
      </w:r>
      <w:proofErr w:type="spellEnd"/>
      <w:r w:rsidRPr="00E2358C">
        <w:rPr>
          <w:rtl/>
        </w:rPr>
        <w:t xml:space="preserve"> לפנה"ס. בפרק זה </w:t>
      </w:r>
      <w:r w:rsidR="001628E2">
        <w:rPr>
          <w:rFonts w:hint="cs"/>
          <w:rtl/>
        </w:rPr>
        <w:t>אבחן</w:t>
      </w:r>
      <w:r w:rsidRPr="00E2358C">
        <w:rPr>
          <w:rtl/>
        </w:rPr>
        <w:t xml:space="preserve"> אלו יסודות הוטמעו בזיכרון הקולקטיבי היהודי, והאם הם יכלו לשמש צידוק בזכות המרד נגד רומא. </w:t>
      </w:r>
      <w:r w:rsidR="001628E2">
        <w:rPr>
          <w:rFonts w:hint="cs"/>
          <w:rtl/>
        </w:rPr>
        <w:t>אבקש להראות</w:t>
      </w:r>
      <w:r w:rsidRPr="00E2358C">
        <w:rPr>
          <w:rtl/>
        </w:rPr>
        <w:t xml:space="preserve"> שספרי המקבים, יחד עם פעילות תעמולה נוספת של החשמונאים, לא </w:t>
      </w:r>
      <w:r w:rsidR="001628E2">
        <w:rPr>
          <w:rFonts w:hint="cs"/>
          <w:rtl/>
        </w:rPr>
        <w:t>העניקו</w:t>
      </w:r>
      <w:r w:rsidRPr="00E2358C">
        <w:rPr>
          <w:rtl/>
        </w:rPr>
        <w:t xml:space="preserve"> צידוק למרד עממי נגד האימפריה הרומית. המרד </w:t>
      </w:r>
      <w:proofErr w:type="spellStart"/>
      <w:r w:rsidRPr="00E2358C">
        <w:rPr>
          <w:rtl/>
        </w:rPr>
        <w:t>המקבי</w:t>
      </w:r>
      <w:proofErr w:type="spellEnd"/>
      <w:r w:rsidRPr="00E2358C">
        <w:rPr>
          <w:rtl/>
        </w:rPr>
        <w:t xml:space="preserve"> כפי שעוצב בזיכרון הקולקטיבי</w:t>
      </w:r>
      <w:r w:rsidR="001628E2">
        <w:rPr>
          <w:rFonts w:hint="cs"/>
          <w:rtl/>
        </w:rPr>
        <w:t>, היינו ספרי המקבים</w:t>
      </w:r>
      <w:r w:rsidRPr="00E2358C">
        <w:rPr>
          <w:rtl/>
        </w:rPr>
        <w:t xml:space="preserve"> (בלי להתייחס כרגע להיסטוריה הממשית, הנתונה כיום בוויכוח עז) היה מרד </w:t>
      </w:r>
      <w:r w:rsidR="00A46C2A" w:rsidRPr="00E2358C">
        <w:rPr>
          <w:rtl/>
        </w:rPr>
        <w:t xml:space="preserve">דתי, שהונהג בידי כוהני דת שנבחרו לכך על ידי האל. ועם זאת, החשמונאים </w:t>
      </w:r>
      <w:r w:rsidR="00A46C2A" w:rsidRPr="00E2358C">
        <w:rPr>
          <w:rtl/>
        </w:rPr>
        <w:lastRenderedPageBreak/>
        <w:t xml:space="preserve">הנחילו לדורות הבאים הן את עצם הרעיון של התנגדות אלימה לאימפריה במקום קבלה פאסיבית של תהפוכות ההיסטוריה, והן את הצורך בהקשר דתי. </w:t>
      </w:r>
    </w:p>
    <w:p w14:paraId="7D0084C3" w14:textId="77777777" w:rsidR="00284176" w:rsidRDefault="00284176" w:rsidP="005B671E">
      <w:pPr>
        <w:spacing w:line="360" w:lineRule="auto"/>
        <w:rPr>
          <w:b/>
          <w:bCs/>
          <w:rtl/>
        </w:rPr>
      </w:pPr>
    </w:p>
    <w:p w14:paraId="493837B0" w14:textId="63BA4BF3" w:rsidR="00AD372F" w:rsidRPr="00E2358C" w:rsidRDefault="00091C6A" w:rsidP="005B671E">
      <w:pPr>
        <w:spacing w:line="360" w:lineRule="auto"/>
        <w:rPr>
          <w:b/>
          <w:bCs/>
          <w:rtl/>
        </w:rPr>
      </w:pPr>
      <w:r w:rsidRPr="00E2358C">
        <w:rPr>
          <w:b/>
          <w:bCs/>
          <w:rtl/>
        </w:rPr>
        <w:t xml:space="preserve">פרק שלישי – </w:t>
      </w:r>
      <w:r w:rsidR="001628E2">
        <w:rPr>
          <w:rFonts w:hint="cs"/>
          <w:b/>
          <w:bCs/>
          <w:rtl/>
        </w:rPr>
        <w:t>משחקי הכס</w:t>
      </w:r>
      <w:r w:rsidRPr="00E2358C">
        <w:rPr>
          <w:b/>
          <w:bCs/>
          <w:rtl/>
        </w:rPr>
        <w:t xml:space="preserve"> ועליית אידיאולוגיית ההתנגדות (37-63)</w:t>
      </w:r>
    </w:p>
    <w:p w14:paraId="5ED089F6" w14:textId="06B83EE6" w:rsidR="00091C6A" w:rsidRPr="00E2358C" w:rsidRDefault="00091C6A" w:rsidP="005B671E">
      <w:pPr>
        <w:spacing w:line="360" w:lineRule="auto"/>
        <w:rPr>
          <w:rtl/>
        </w:rPr>
      </w:pPr>
      <w:r w:rsidRPr="001628E2">
        <w:rPr>
          <w:b/>
          <w:bCs/>
          <w:rtl/>
        </w:rPr>
        <w:t xml:space="preserve">מאבקי יהודה </w:t>
      </w:r>
      <w:proofErr w:type="spellStart"/>
      <w:r w:rsidRPr="001628E2">
        <w:rPr>
          <w:b/>
          <w:bCs/>
          <w:rtl/>
        </w:rPr>
        <w:t>אריסטובולוס</w:t>
      </w:r>
      <w:proofErr w:type="spellEnd"/>
      <w:r w:rsidRPr="001628E2">
        <w:rPr>
          <w:b/>
          <w:bCs/>
          <w:rtl/>
        </w:rPr>
        <w:t xml:space="preserve"> ויוחנן </w:t>
      </w:r>
      <w:proofErr w:type="spellStart"/>
      <w:r w:rsidRPr="001628E2">
        <w:rPr>
          <w:b/>
          <w:bCs/>
          <w:rtl/>
        </w:rPr>
        <w:t>הורקנוס</w:t>
      </w:r>
      <w:proofErr w:type="spellEnd"/>
      <w:r w:rsidRPr="001628E2">
        <w:rPr>
          <w:b/>
          <w:bCs/>
          <w:rtl/>
        </w:rPr>
        <w:t xml:space="preserve"> על השלטון</w:t>
      </w:r>
      <w:r w:rsidRPr="00E2358C">
        <w:rPr>
          <w:rtl/>
        </w:rPr>
        <w:t xml:space="preserve"> – הכיבוש הרומי פיצל את המשפחה החשמונאית. </w:t>
      </w:r>
      <w:proofErr w:type="spellStart"/>
      <w:r w:rsidRPr="00E2358C">
        <w:rPr>
          <w:rtl/>
        </w:rPr>
        <w:t>נסיונותיהם</w:t>
      </w:r>
      <w:proofErr w:type="spellEnd"/>
      <w:r w:rsidRPr="00E2358C">
        <w:rPr>
          <w:rtl/>
        </w:rPr>
        <w:t xml:space="preserve"> של יהודה </w:t>
      </w:r>
      <w:proofErr w:type="spellStart"/>
      <w:r w:rsidRPr="00E2358C">
        <w:rPr>
          <w:rtl/>
        </w:rPr>
        <w:t>אריסטובולוס</w:t>
      </w:r>
      <w:proofErr w:type="spellEnd"/>
      <w:r w:rsidRPr="00E2358C">
        <w:rPr>
          <w:rtl/>
        </w:rPr>
        <w:t xml:space="preserve"> וצאצאיו לחזור לשלטון, יותר ממה שהם מבטאים התנגדות לרומא, הם חלק מהמשכה של מלחמת האחים החשמונאים שקדמה לכיבושי </w:t>
      </w:r>
      <w:proofErr w:type="spellStart"/>
      <w:r w:rsidRPr="00E2358C">
        <w:rPr>
          <w:rtl/>
        </w:rPr>
        <w:t>פומפיוס</w:t>
      </w:r>
      <w:proofErr w:type="spellEnd"/>
      <w:r w:rsidRPr="00E2358C">
        <w:rPr>
          <w:rtl/>
        </w:rPr>
        <w:t xml:space="preserve">. הראיה לכך היא נכונותו של יהודה </w:t>
      </w:r>
      <w:proofErr w:type="spellStart"/>
      <w:r w:rsidRPr="00E2358C">
        <w:rPr>
          <w:rtl/>
        </w:rPr>
        <w:t>אריסטובולוס</w:t>
      </w:r>
      <w:proofErr w:type="spellEnd"/>
      <w:r w:rsidRPr="00E2358C">
        <w:rPr>
          <w:rtl/>
        </w:rPr>
        <w:t xml:space="preserve"> לשתף פעולה עם יוליוס קיסר להדחת </w:t>
      </w:r>
      <w:proofErr w:type="spellStart"/>
      <w:r w:rsidRPr="00E2358C">
        <w:rPr>
          <w:rtl/>
        </w:rPr>
        <w:t>הורקנוס</w:t>
      </w:r>
      <w:proofErr w:type="spellEnd"/>
      <w:r w:rsidRPr="00E2358C">
        <w:rPr>
          <w:rtl/>
        </w:rPr>
        <w:t xml:space="preserve"> (מלח' א 186-183; </w:t>
      </w:r>
      <w:proofErr w:type="spellStart"/>
      <w:r w:rsidRPr="00E2358C">
        <w:rPr>
          <w:rtl/>
        </w:rPr>
        <w:t>קדמ</w:t>
      </w:r>
      <w:proofErr w:type="spellEnd"/>
      <w:r w:rsidRPr="00E2358C">
        <w:rPr>
          <w:rtl/>
        </w:rPr>
        <w:t>' יד 126-123).</w:t>
      </w:r>
    </w:p>
    <w:p w14:paraId="55ACE6F0" w14:textId="08B30B37" w:rsidR="00091C6A" w:rsidRPr="00E2358C" w:rsidRDefault="00091C6A" w:rsidP="005B671E">
      <w:pPr>
        <w:spacing w:line="360" w:lineRule="auto"/>
        <w:rPr>
          <w:rtl/>
        </w:rPr>
      </w:pPr>
      <w:r w:rsidRPr="001628E2">
        <w:rPr>
          <w:b/>
          <w:bCs/>
          <w:rtl/>
        </w:rPr>
        <w:t>עלייתה של אידיאולוגיית ההתנגדות לרומא</w:t>
      </w:r>
      <w:r w:rsidRPr="00E2358C">
        <w:rPr>
          <w:rtl/>
        </w:rPr>
        <w:t xml:space="preserve"> – ניצנים אידיאולוגיים ומעשיים להתנגדות לרומא, שאיננה קשורה בחשמונאים, ישנם כבר בתקופה זו. </w:t>
      </w:r>
      <w:r w:rsidR="004202AA" w:rsidRPr="00E2358C">
        <w:rPr>
          <w:rtl/>
        </w:rPr>
        <w:t xml:space="preserve">מזמורי שלמה ופשרים שנכתבו על ידי אנשי כת מדבר יהודה מציגים התנגדות תקיפה לשלטונה של רומי, במקביל הולכת ומתגבשת תפיסה בדלנית קיצונית המתנגדת לנוכחות נוכרית בארץ ישראל (ספר היובלים, חוקי טהרה ועוד). </w:t>
      </w:r>
      <w:r w:rsidR="00712F77" w:rsidRPr="00E2358C">
        <w:rPr>
          <w:rtl/>
        </w:rPr>
        <w:t xml:space="preserve">יתירה מזו בכתבי כת מדבר יהודה מופיע לראשונה המונח 'קנאי', כתיאור של אדם </w:t>
      </w:r>
      <w:proofErr w:type="spellStart"/>
      <w:r w:rsidR="00712F77" w:rsidRPr="00E2358C">
        <w:rPr>
          <w:rtl/>
        </w:rPr>
        <w:t>המחוייב</w:t>
      </w:r>
      <w:proofErr w:type="spellEnd"/>
      <w:r w:rsidR="00712F77" w:rsidRPr="00E2358C">
        <w:rPr>
          <w:rtl/>
        </w:rPr>
        <w:t xml:space="preserve"> לפעול נגד אלו שפוגעים בנחלה שהאל הבטיח לנבחרים (</w:t>
      </w:r>
      <w:r w:rsidR="00712F77" w:rsidRPr="00E2358C">
        <w:t>4Q423</w:t>
      </w:r>
      <w:r w:rsidR="00712F77" w:rsidRPr="00E2358C">
        <w:rPr>
          <w:rtl/>
        </w:rPr>
        <w:t xml:space="preserve">, מגילת ההודיות). </w:t>
      </w:r>
      <w:proofErr w:type="spellStart"/>
      <w:r w:rsidR="004202AA" w:rsidRPr="00E2358C">
        <w:rPr>
          <w:rtl/>
        </w:rPr>
        <w:t>יוספוס</w:t>
      </w:r>
      <w:proofErr w:type="spellEnd"/>
      <w:r w:rsidR="004202AA" w:rsidRPr="00E2358C">
        <w:rPr>
          <w:rtl/>
        </w:rPr>
        <w:t xml:space="preserve"> </w:t>
      </w:r>
      <w:r w:rsidR="00712F77" w:rsidRPr="00E2358C">
        <w:rPr>
          <w:rtl/>
        </w:rPr>
        <w:t xml:space="preserve">אף </w:t>
      </w:r>
      <w:r w:rsidR="004202AA" w:rsidRPr="00E2358C">
        <w:rPr>
          <w:rtl/>
        </w:rPr>
        <w:t>מתאר מקרים של התנגדות קיצונית לשלטון הקיים (הזקן במערות הארבל; חזקיה הגלילי).</w:t>
      </w:r>
    </w:p>
    <w:p w14:paraId="2039DD63" w14:textId="7962F0BC" w:rsidR="00C12283" w:rsidRPr="00E2358C" w:rsidRDefault="00091C6A" w:rsidP="005B671E">
      <w:pPr>
        <w:spacing w:line="360" w:lineRule="auto"/>
        <w:rPr>
          <w:rtl/>
        </w:rPr>
      </w:pPr>
      <w:proofErr w:type="spellStart"/>
      <w:r w:rsidRPr="001628E2">
        <w:rPr>
          <w:b/>
          <w:bCs/>
          <w:rtl/>
        </w:rPr>
        <w:t>מתתיה</w:t>
      </w:r>
      <w:proofErr w:type="spellEnd"/>
      <w:r w:rsidRPr="001628E2">
        <w:rPr>
          <w:b/>
          <w:bCs/>
          <w:rtl/>
        </w:rPr>
        <w:t xml:space="preserve"> </w:t>
      </w:r>
      <w:proofErr w:type="spellStart"/>
      <w:r w:rsidRPr="001628E2">
        <w:rPr>
          <w:b/>
          <w:bCs/>
          <w:rtl/>
        </w:rPr>
        <w:t>אנטיגונוס</w:t>
      </w:r>
      <w:proofErr w:type="spellEnd"/>
      <w:r w:rsidRPr="001628E2">
        <w:rPr>
          <w:b/>
          <w:bCs/>
          <w:rtl/>
        </w:rPr>
        <w:t>: יורש עצר או מורד</w:t>
      </w:r>
      <w:r w:rsidR="004202AA" w:rsidRPr="00E2358C">
        <w:rPr>
          <w:rtl/>
        </w:rPr>
        <w:t xml:space="preserve"> – שיאו של</w:t>
      </w:r>
      <w:r w:rsidR="00942738" w:rsidRPr="00E2358C">
        <w:rPr>
          <w:rtl/>
        </w:rPr>
        <w:t xml:space="preserve"> המאבק של בני </w:t>
      </w:r>
      <w:proofErr w:type="spellStart"/>
      <w:r w:rsidR="00942738" w:rsidRPr="00E2358C">
        <w:rPr>
          <w:rtl/>
        </w:rPr>
        <w:t>אריסטובולוס</w:t>
      </w:r>
      <w:proofErr w:type="spellEnd"/>
      <w:r w:rsidR="00036037" w:rsidRPr="00E2358C">
        <w:rPr>
          <w:rtl/>
        </w:rPr>
        <w:t xml:space="preserve"> לחזור לשלטון היה שלטונו קצר הימים אל </w:t>
      </w:r>
      <w:proofErr w:type="spellStart"/>
      <w:r w:rsidR="00036037" w:rsidRPr="00E2358C">
        <w:rPr>
          <w:rtl/>
        </w:rPr>
        <w:t>מתתיה</w:t>
      </w:r>
      <w:proofErr w:type="spellEnd"/>
      <w:r w:rsidR="00036037" w:rsidRPr="00E2358C">
        <w:rPr>
          <w:rtl/>
        </w:rPr>
        <w:t xml:space="preserve"> </w:t>
      </w:r>
      <w:proofErr w:type="spellStart"/>
      <w:r w:rsidR="00036037" w:rsidRPr="00E2358C">
        <w:rPr>
          <w:rtl/>
        </w:rPr>
        <w:t>אנטיגונוס</w:t>
      </w:r>
      <w:proofErr w:type="spellEnd"/>
      <w:r w:rsidR="00036037" w:rsidRPr="00E2358C">
        <w:rPr>
          <w:rtl/>
        </w:rPr>
        <w:t xml:space="preserve">. </w:t>
      </w:r>
      <w:r w:rsidR="00C12283" w:rsidRPr="00E2358C">
        <w:rPr>
          <w:rtl/>
        </w:rPr>
        <w:t xml:space="preserve">הממצא הנומיסמטי והספרותי מאפשר לאפיין את תקופת שלטונו כקץ העידן החשמונאי. למרות שישנם ביטויים </w:t>
      </w:r>
      <w:proofErr w:type="spellStart"/>
      <w:r w:rsidR="00C12283" w:rsidRPr="00E2358C">
        <w:rPr>
          <w:rtl/>
        </w:rPr>
        <w:t>מסויימים</w:t>
      </w:r>
      <w:proofErr w:type="spellEnd"/>
      <w:r w:rsidR="00C12283" w:rsidRPr="00E2358C">
        <w:rPr>
          <w:rtl/>
        </w:rPr>
        <w:t xml:space="preserve"> לאהדה ציבורית רחבה </w:t>
      </w:r>
      <w:proofErr w:type="spellStart"/>
      <w:r w:rsidR="00C12283" w:rsidRPr="00E2358C">
        <w:rPr>
          <w:rtl/>
        </w:rPr>
        <w:t>לאנטיגונוס</w:t>
      </w:r>
      <w:proofErr w:type="spellEnd"/>
      <w:r w:rsidR="00C12283" w:rsidRPr="00E2358C">
        <w:rPr>
          <w:rtl/>
        </w:rPr>
        <w:t>, הוא ממשיך את המסורת החשמונאית של שיתוף פעולה עם מעצמות זרות לצורך ביצור השלטון האישי. מכאן ואילך ההתנגדות לרומא ת</w:t>
      </w:r>
      <w:r w:rsidR="00284176">
        <w:rPr>
          <w:rFonts w:hint="cs"/>
          <w:rtl/>
        </w:rPr>
        <w:t>י</w:t>
      </w:r>
      <w:r w:rsidR="00C12283" w:rsidRPr="00E2358C">
        <w:rPr>
          <w:rtl/>
        </w:rPr>
        <w:t>שא אופי שוני בעליל.</w:t>
      </w:r>
    </w:p>
    <w:p w14:paraId="0BBD5EF2" w14:textId="77777777" w:rsidR="003648B3" w:rsidRDefault="003648B3" w:rsidP="005B671E">
      <w:pPr>
        <w:spacing w:line="360" w:lineRule="auto"/>
        <w:rPr>
          <w:b/>
          <w:bCs/>
          <w:rtl/>
        </w:rPr>
      </w:pPr>
    </w:p>
    <w:p w14:paraId="607960B7" w14:textId="33B3973A" w:rsidR="00091C6A" w:rsidRPr="00E2358C" w:rsidRDefault="00C12283" w:rsidP="005B671E">
      <w:pPr>
        <w:spacing w:line="360" w:lineRule="auto"/>
        <w:rPr>
          <w:b/>
          <w:bCs/>
          <w:rtl/>
        </w:rPr>
      </w:pPr>
      <w:r w:rsidRPr="00E2358C">
        <w:rPr>
          <w:b/>
          <w:bCs/>
          <w:rtl/>
        </w:rPr>
        <w:t>פרק רביעי – ימי הורדוס: מרד ברומא או שנאת הורדוס</w:t>
      </w:r>
      <w:r w:rsidR="00BA3FE3" w:rsidRPr="00E2358C">
        <w:rPr>
          <w:b/>
          <w:bCs/>
          <w:rtl/>
        </w:rPr>
        <w:t xml:space="preserve"> (4-37)</w:t>
      </w:r>
    </w:p>
    <w:p w14:paraId="777F8313" w14:textId="5D283178" w:rsidR="00FD22D5" w:rsidRPr="00E2358C" w:rsidRDefault="00C12283" w:rsidP="00964AF6">
      <w:pPr>
        <w:spacing w:line="360" w:lineRule="auto"/>
        <w:rPr>
          <w:rtl/>
        </w:rPr>
      </w:pPr>
      <w:r w:rsidRPr="00E2358C">
        <w:rPr>
          <w:rtl/>
        </w:rPr>
        <w:t>בשנות מלכותו של הורדוס אירעו כמה וכמה התנגשויות בין ציבורים יהודים שונים לבין הורדוס. האם ניתן לייחס להתנגדות להורדוס אידיאולוגיה אנטי-רומית</w:t>
      </w:r>
      <w:r w:rsidR="00FD22D5" w:rsidRPr="00E2358C">
        <w:rPr>
          <w:rtl/>
        </w:rPr>
        <w:t xml:space="preserve">? </w:t>
      </w:r>
    </w:p>
    <w:p w14:paraId="6CF19238" w14:textId="755627E3" w:rsidR="00FD22D5" w:rsidRPr="00E2358C" w:rsidRDefault="00964AF6" w:rsidP="00964AF6">
      <w:pPr>
        <w:spacing w:line="360" w:lineRule="auto"/>
        <w:rPr>
          <w:rtl/>
        </w:rPr>
      </w:pPr>
      <w:r w:rsidRPr="00964AF6">
        <w:rPr>
          <w:rFonts w:hint="cs"/>
          <w:b/>
          <w:bCs/>
          <w:rtl/>
        </w:rPr>
        <w:t>הורדוס והחשמונאים</w:t>
      </w:r>
      <w:r>
        <w:rPr>
          <w:rFonts w:hint="cs"/>
          <w:rtl/>
        </w:rPr>
        <w:t xml:space="preserve"> </w:t>
      </w:r>
      <w:r>
        <w:rPr>
          <w:rtl/>
        </w:rPr>
        <w:t>–</w:t>
      </w:r>
      <w:r>
        <w:rPr>
          <w:rFonts w:hint="cs"/>
          <w:rtl/>
        </w:rPr>
        <w:t xml:space="preserve"> </w:t>
      </w:r>
      <w:r w:rsidR="00FD22D5" w:rsidRPr="00E2358C">
        <w:rPr>
          <w:rtl/>
        </w:rPr>
        <w:t xml:space="preserve">הפופולריות של השושלת החשמונאית הטילה צל על כל ימי שלטונו של הורדוס. עם זאת בחינה של דברי </w:t>
      </w:r>
      <w:proofErr w:type="spellStart"/>
      <w:r w:rsidR="00FD22D5" w:rsidRPr="00E2358C">
        <w:rPr>
          <w:rtl/>
        </w:rPr>
        <w:t>יוספוס</w:t>
      </w:r>
      <w:proofErr w:type="spellEnd"/>
      <w:r w:rsidR="00FD22D5" w:rsidRPr="00E2358C">
        <w:rPr>
          <w:rtl/>
        </w:rPr>
        <w:t xml:space="preserve"> מלמדת ששרידי החשמונאים מעולם לא הצליחו לאסוף סביבם כוח משמעותי. ואולם, קרוב לוודאי שהאכזריות של הורדוס תרמה לשנאה כלפיו והזינה גורמים אחרים שהתנגדו לשלטונו.</w:t>
      </w:r>
    </w:p>
    <w:p w14:paraId="408A7C23" w14:textId="1A242F0A" w:rsidR="00091C6A" w:rsidRPr="00E2358C" w:rsidRDefault="00964AF6" w:rsidP="005B671E">
      <w:pPr>
        <w:spacing w:line="360" w:lineRule="auto"/>
        <w:rPr>
          <w:rtl/>
        </w:rPr>
      </w:pPr>
      <w:r w:rsidRPr="00964AF6">
        <w:rPr>
          <w:rFonts w:hint="cs"/>
          <w:b/>
          <w:bCs/>
          <w:rtl/>
        </w:rPr>
        <w:t>הורדוס והמורדים החדשים</w:t>
      </w:r>
      <w:r>
        <w:rPr>
          <w:rFonts w:hint="cs"/>
          <w:rtl/>
        </w:rPr>
        <w:t xml:space="preserve"> </w:t>
      </w:r>
      <w:r>
        <w:rPr>
          <w:rtl/>
        </w:rPr>
        <w:t>–</w:t>
      </w:r>
      <w:r>
        <w:rPr>
          <w:rFonts w:hint="cs"/>
          <w:rtl/>
        </w:rPr>
        <w:t xml:space="preserve"> </w:t>
      </w:r>
      <w:r w:rsidR="00C12283" w:rsidRPr="00E2358C">
        <w:rPr>
          <w:rtl/>
        </w:rPr>
        <w:t xml:space="preserve">לקראת סוף ימי הורדוס, במהלך פרשת נשר הזהב בבית המקדש, עולים </w:t>
      </w:r>
      <w:r w:rsidR="00FD22D5" w:rsidRPr="00E2358C">
        <w:rPr>
          <w:rtl/>
        </w:rPr>
        <w:t>מספר</w:t>
      </w:r>
      <w:r w:rsidR="00C12283" w:rsidRPr="00E2358C">
        <w:rPr>
          <w:rtl/>
        </w:rPr>
        <w:t xml:space="preserve"> מאפיינים חשובים של תנועות ההתנגדות לרומא: 1. </w:t>
      </w:r>
      <w:r w:rsidR="00FD22D5" w:rsidRPr="00E2358C">
        <w:rPr>
          <w:rtl/>
        </w:rPr>
        <w:t>ההתנגדות מובלת לראשונה לא על ידי גורמים הטוענים לשלטון, אלא על ידי מנהיגים רוחניים. 2. ההתנגדות לשלטון כורכת מרכיב דתי ומרכיב פוליטי. 3. מתנגדי השלטון מוכנים להקריב את חייהם בעצם פעולת ההתנגדות גם אם היא לא תביא לשינוי המקווה.</w:t>
      </w:r>
    </w:p>
    <w:p w14:paraId="0A6BACCC" w14:textId="77777777" w:rsidR="00964AF6" w:rsidRDefault="00964AF6" w:rsidP="005B671E">
      <w:pPr>
        <w:spacing w:line="360" w:lineRule="auto"/>
        <w:rPr>
          <w:b/>
          <w:bCs/>
          <w:rtl/>
        </w:rPr>
      </w:pPr>
    </w:p>
    <w:p w14:paraId="3AB33F47" w14:textId="6551B3CD" w:rsidR="00FD22D5" w:rsidRPr="00E2358C" w:rsidRDefault="00BA3FE3" w:rsidP="005B671E">
      <w:pPr>
        <w:spacing w:line="360" w:lineRule="auto"/>
        <w:rPr>
          <w:b/>
          <w:bCs/>
          <w:rtl/>
        </w:rPr>
      </w:pPr>
      <w:r w:rsidRPr="00E2358C">
        <w:rPr>
          <w:b/>
          <w:bCs/>
          <w:rtl/>
        </w:rPr>
        <w:t>פרק חמישי – מעברים (4 לפנה"ס – 6 לספירה)</w:t>
      </w:r>
    </w:p>
    <w:p w14:paraId="4BA8850F" w14:textId="563BAA53" w:rsidR="00BA3FE3" w:rsidRPr="00E2358C" w:rsidRDefault="00BA3FE3" w:rsidP="005B671E">
      <w:pPr>
        <w:spacing w:line="360" w:lineRule="auto"/>
        <w:rPr>
          <w:rtl/>
        </w:rPr>
      </w:pPr>
      <w:r w:rsidRPr="00E2358C">
        <w:rPr>
          <w:rtl/>
        </w:rPr>
        <w:t xml:space="preserve">לאחר מותו של הורדוס עברו על החברה היהודית בארץ ישראל עשר שנים </w:t>
      </w:r>
      <w:r w:rsidR="00964AF6">
        <w:rPr>
          <w:rFonts w:hint="cs"/>
          <w:rtl/>
        </w:rPr>
        <w:t>ש</w:t>
      </w:r>
      <w:r w:rsidRPr="00E2358C">
        <w:rPr>
          <w:rtl/>
        </w:rPr>
        <w:t>בהן ניסו גורמים שונים לתפוס את השלטון. על אף שכ</w:t>
      </w:r>
      <w:r w:rsidR="00964AF6">
        <w:rPr>
          <w:rFonts w:hint="cs"/>
          <w:rtl/>
        </w:rPr>
        <w:t>ולם</w:t>
      </w:r>
      <w:r w:rsidRPr="00E2358C">
        <w:rPr>
          <w:rtl/>
        </w:rPr>
        <w:t xml:space="preserve"> התנגדו לסדר הקיים, המניעים השונים לא אפשרו שיתוף פעולה וחשפו את </w:t>
      </w:r>
      <w:r w:rsidR="00964AF6">
        <w:rPr>
          <w:rFonts w:hint="cs"/>
          <w:rtl/>
        </w:rPr>
        <w:t>האידיאולוגיות השונות</w:t>
      </w:r>
      <w:r w:rsidRPr="00E2358C">
        <w:rPr>
          <w:rtl/>
        </w:rPr>
        <w:t xml:space="preserve"> והחוגים החברתיים השונים שהתנגדו ל</w:t>
      </w:r>
      <w:r w:rsidR="00964AF6">
        <w:rPr>
          <w:rFonts w:hint="cs"/>
          <w:rtl/>
        </w:rPr>
        <w:t>רומא</w:t>
      </w:r>
      <w:r w:rsidRPr="00E2358C">
        <w:rPr>
          <w:rtl/>
        </w:rPr>
        <w:t>.</w:t>
      </w:r>
    </w:p>
    <w:p w14:paraId="1A290F3C" w14:textId="2F094E89" w:rsidR="00BA3FE3" w:rsidRPr="00E2358C" w:rsidRDefault="00964AF6" w:rsidP="005B671E">
      <w:pPr>
        <w:spacing w:line="360" w:lineRule="auto"/>
        <w:rPr>
          <w:rtl/>
        </w:rPr>
      </w:pPr>
      <w:r>
        <w:rPr>
          <w:rFonts w:hint="cs"/>
          <w:b/>
          <w:bCs/>
          <w:rtl/>
        </w:rPr>
        <w:t>חילופי שלטון וזרעי פורענות</w:t>
      </w:r>
      <w:r>
        <w:rPr>
          <w:rFonts w:hint="cs"/>
          <w:rtl/>
        </w:rPr>
        <w:t xml:space="preserve"> </w:t>
      </w:r>
      <w:r>
        <w:rPr>
          <w:rtl/>
        </w:rPr>
        <w:t>–</w:t>
      </w:r>
      <w:r>
        <w:rPr>
          <w:rFonts w:hint="cs"/>
          <w:rtl/>
        </w:rPr>
        <w:t xml:space="preserve">  </w:t>
      </w:r>
      <w:r w:rsidR="00BA3FE3" w:rsidRPr="00E2358C">
        <w:rPr>
          <w:rtl/>
        </w:rPr>
        <w:t xml:space="preserve">מייד עם מותו של הורדוס היו לכל הפחות ארבעה גורמים שונים שהתנגדו להעברת השלטון </w:t>
      </w:r>
      <w:proofErr w:type="spellStart"/>
      <w:r w:rsidR="00BA3FE3" w:rsidRPr="00E2358C">
        <w:rPr>
          <w:rtl/>
        </w:rPr>
        <w:t>לארכילאוס</w:t>
      </w:r>
      <w:proofErr w:type="spellEnd"/>
      <w:r w:rsidR="00BA3FE3" w:rsidRPr="00E2358C">
        <w:rPr>
          <w:rtl/>
        </w:rPr>
        <w:t>, בנו של הורדוס</w:t>
      </w:r>
      <w:r>
        <w:rPr>
          <w:rFonts w:hint="cs"/>
          <w:rtl/>
        </w:rPr>
        <w:t>:</w:t>
      </w:r>
      <w:r w:rsidR="00BA3FE3" w:rsidRPr="00E2358C">
        <w:rPr>
          <w:rtl/>
        </w:rPr>
        <w:t xml:space="preserve"> </w:t>
      </w:r>
    </w:p>
    <w:p w14:paraId="30803022" w14:textId="7A611C94" w:rsidR="00BA3FE3" w:rsidRPr="00E2358C" w:rsidRDefault="00964AF6" w:rsidP="005B671E">
      <w:pPr>
        <w:pStyle w:val="a7"/>
        <w:numPr>
          <w:ilvl w:val="0"/>
          <w:numId w:val="5"/>
        </w:numPr>
        <w:spacing w:line="360" w:lineRule="auto"/>
      </w:pPr>
      <w:r>
        <w:rPr>
          <w:rFonts w:hint="cs"/>
          <w:rtl/>
        </w:rPr>
        <w:t xml:space="preserve">שמעון, </w:t>
      </w:r>
      <w:r w:rsidR="00BA3FE3" w:rsidRPr="00E2358C">
        <w:rPr>
          <w:rtl/>
        </w:rPr>
        <w:t xml:space="preserve">עבדו של הורדוס, מייצג את </w:t>
      </w:r>
      <w:proofErr w:type="spellStart"/>
      <w:r w:rsidR="00BA3FE3" w:rsidRPr="00E2358C">
        <w:rPr>
          <w:rtl/>
        </w:rPr>
        <w:t>הנטיה</w:t>
      </w:r>
      <w:proofErr w:type="spellEnd"/>
      <w:r w:rsidR="00BA3FE3" w:rsidRPr="00E2358C">
        <w:rPr>
          <w:rtl/>
        </w:rPr>
        <w:t xml:space="preserve"> להפיכות פנימיות בבתי מלוכה במהלך חילופי שלטון, ובמידה </w:t>
      </w:r>
      <w:proofErr w:type="spellStart"/>
      <w:r w:rsidR="00BA3FE3" w:rsidRPr="00E2358C">
        <w:rPr>
          <w:rtl/>
        </w:rPr>
        <w:t>מסויימת</w:t>
      </w:r>
      <w:proofErr w:type="spellEnd"/>
      <w:r w:rsidR="00BA3FE3" w:rsidRPr="00E2358C">
        <w:rPr>
          <w:rtl/>
        </w:rPr>
        <w:t xml:space="preserve"> הוא ממשיך את דפוס הפעילות שאפיין את המאבקים הפנים-חשמונאיים.</w:t>
      </w:r>
    </w:p>
    <w:p w14:paraId="3A0DF622" w14:textId="455D6822" w:rsidR="00BA3FE3" w:rsidRPr="00E2358C" w:rsidRDefault="00BA3FE3" w:rsidP="005B671E">
      <w:pPr>
        <w:pStyle w:val="a7"/>
        <w:numPr>
          <w:ilvl w:val="0"/>
          <w:numId w:val="5"/>
        </w:numPr>
        <w:spacing w:line="360" w:lineRule="auto"/>
      </w:pPr>
      <w:proofErr w:type="spellStart"/>
      <w:r w:rsidRPr="00E2358C">
        <w:rPr>
          <w:rtl/>
        </w:rPr>
        <w:t>אתרונגס</w:t>
      </w:r>
      <w:proofErr w:type="spellEnd"/>
      <w:r w:rsidRPr="00E2358C">
        <w:rPr>
          <w:rtl/>
        </w:rPr>
        <w:t xml:space="preserve"> מייצג את הפוטנציאל הגלום במנהיגים </w:t>
      </w:r>
      <w:proofErr w:type="spellStart"/>
      <w:r w:rsidRPr="00E2358C">
        <w:rPr>
          <w:rtl/>
        </w:rPr>
        <w:t>כאריזמטיים</w:t>
      </w:r>
      <w:proofErr w:type="spellEnd"/>
      <w:r w:rsidRPr="00E2358C">
        <w:rPr>
          <w:rtl/>
        </w:rPr>
        <w:t>.</w:t>
      </w:r>
    </w:p>
    <w:p w14:paraId="2B70AAC2" w14:textId="71AD4331" w:rsidR="00BA3FE3" w:rsidRPr="00E2358C" w:rsidRDefault="00BA3FE3" w:rsidP="005B671E">
      <w:pPr>
        <w:pStyle w:val="a7"/>
        <w:numPr>
          <w:ilvl w:val="0"/>
          <w:numId w:val="5"/>
        </w:numPr>
        <w:spacing w:line="360" w:lineRule="auto"/>
      </w:pPr>
      <w:r w:rsidRPr="00E2358C">
        <w:rPr>
          <w:rtl/>
        </w:rPr>
        <w:t>יהודה הגלילי קשור ככל הנראה בגיבושה של אידיאולוגיה אנטי</w:t>
      </w:r>
      <w:r w:rsidR="00117A61" w:rsidRPr="00E2358C">
        <w:rPr>
          <w:rtl/>
        </w:rPr>
        <w:t>-רומית מובהקת שתידון בסעיף הבא.</w:t>
      </w:r>
    </w:p>
    <w:p w14:paraId="1EF79BC0" w14:textId="0BAEBB2D" w:rsidR="00117A61" w:rsidRPr="00E2358C" w:rsidRDefault="00117A61" w:rsidP="005B671E">
      <w:pPr>
        <w:pStyle w:val="a7"/>
        <w:numPr>
          <w:ilvl w:val="0"/>
          <w:numId w:val="5"/>
        </w:numPr>
        <w:spacing w:line="360" w:lineRule="auto"/>
      </w:pPr>
      <w:r w:rsidRPr="00E2358C">
        <w:rPr>
          <w:rtl/>
        </w:rPr>
        <w:t xml:space="preserve">מהומות עממיות שפרצו בשל פעילות רומית, מלמדות על הסכנה הרבה </w:t>
      </w:r>
      <w:proofErr w:type="spellStart"/>
      <w:r w:rsidRPr="00E2358C">
        <w:rPr>
          <w:rtl/>
        </w:rPr>
        <w:t>שהיתה</w:t>
      </w:r>
      <w:proofErr w:type="spellEnd"/>
      <w:r w:rsidRPr="00E2358C">
        <w:rPr>
          <w:rtl/>
        </w:rPr>
        <w:t xml:space="preserve"> טמונה בגירוי היהודים, והפוטנציאל הגלום בהם לערעור הסדר. חומרת המהומות הניעה את </w:t>
      </w:r>
      <w:r w:rsidR="00964AF6">
        <w:rPr>
          <w:rFonts w:hint="cs"/>
          <w:rtl/>
        </w:rPr>
        <w:t xml:space="preserve">הנציב הרומי בסוריה, </w:t>
      </w:r>
      <w:r w:rsidRPr="00E2358C">
        <w:rPr>
          <w:rtl/>
        </w:rPr>
        <w:t xml:space="preserve">וארוס להביא </w:t>
      </w:r>
      <w:proofErr w:type="spellStart"/>
      <w:r w:rsidRPr="00E2358C">
        <w:rPr>
          <w:rtl/>
        </w:rPr>
        <w:t>איתו</w:t>
      </w:r>
      <w:proofErr w:type="spellEnd"/>
      <w:r w:rsidR="007B0098" w:rsidRPr="00E2358C">
        <w:rPr>
          <w:rtl/>
        </w:rPr>
        <w:t xml:space="preserve"> שני לגיונות מסוריה וכוחות עזר.</w:t>
      </w:r>
    </w:p>
    <w:p w14:paraId="60E854F0" w14:textId="08BCC721" w:rsidR="007B0098" w:rsidRPr="00E2358C" w:rsidRDefault="007B0098" w:rsidP="002348AE">
      <w:pPr>
        <w:spacing w:line="360" w:lineRule="auto"/>
        <w:rPr>
          <w:rtl/>
        </w:rPr>
      </w:pPr>
      <w:r w:rsidRPr="00E2358C">
        <w:rPr>
          <w:rtl/>
        </w:rPr>
        <w:t>האירועים האלימים לאחר מות הורדוס הצביעו מצד אחד על קיומם של חוגים חברתיים המעוניינים בערעור השלטון הקיים, ואולם הם גם מלמדים על הפערים האידיאולוגיים והתפיסות השונות שלא אפשרו מאבק משותף.</w:t>
      </w:r>
    </w:p>
    <w:p w14:paraId="4D2FFE66" w14:textId="637C7C0E" w:rsidR="007B0098" w:rsidRPr="00E2358C" w:rsidRDefault="007B0098" w:rsidP="002348AE">
      <w:pPr>
        <w:spacing w:line="360" w:lineRule="auto"/>
        <w:rPr>
          <w:rtl/>
        </w:rPr>
      </w:pPr>
      <w:r w:rsidRPr="00284176">
        <w:rPr>
          <w:b/>
          <w:bCs/>
          <w:rtl/>
        </w:rPr>
        <w:t xml:space="preserve">המפקד של </w:t>
      </w:r>
      <w:proofErr w:type="spellStart"/>
      <w:r w:rsidRPr="00284176">
        <w:rPr>
          <w:b/>
          <w:bCs/>
          <w:rtl/>
        </w:rPr>
        <w:t>קוויריניוס</w:t>
      </w:r>
      <w:proofErr w:type="spellEnd"/>
      <w:r w:rsidRPr="00284176">
        <w:rPr>
          <w:b/>
          <w:bCs/>
          <w:rtl/>
        </w:rPr>
        <w:t xml:space="preserve"> והפילוסופיה הרביעית</w:t>
      </w:r>
      <w:r w:rsidRPr="00E2358C">
        <w:rPr>
          <w:rtl/>
        </w:rPr>
        <w:t xml:space="preserve"> – בשנת 6 התקבלה ההחלטה להעביר את יהודה לשלטון רומי ישיר ולספחה </w:t>
      </w:r>
      <w:proofErr w:type="spellStart"/>
      <w:r w:rsidRPr="00E2358C">
        <w:rPr>
          <w:rtl/>
        </w:rPr>
        <w:t>לפרובינקיה</w:t>
      </w:r>
      <w:proofErr w:type="spellEnd"/>
      <w:r w:rsidRPr="00E2358C">
        <w:rPr>
          <w:rtl/>
        </w:rPr>
        <w:t xml:space="preserve"> של סוריה. בהקשר זה מופ</w:t>
      </w:r>
      <w:r w:rsidR="00284176">
        <w:rPr>
          <w:rFonts w:hint="cs"/>
          <w:rtl/>
        </w:rPr>
        <w:t>י</w:t>
      </w:r>
      <w:r w:rsidRPr="00E2358C">
        <w:rPr>
          <w:rtl/>
        </w:rPr>
        <w:t>ע</w:t>
      </w:r>
      <w:r w:rsidR="00284176">
        <w:rPr>
          <w:rFonts w:hint="cs"/>
          <w:rtl/>
        </w:rPr>
        <w:t>ה</w:t>
      </w:r>
      <w:r w:rsidRPr="00E2358C">
        <w:rPr>
          <w:rtl/>
        </w:rPr>
        <w:t xml:space="preserve"> לראשונה 'הפילוסופיה הרביעית'</w:t>
      </w:r>
      <w:r w:rsidR="00284176">
        <w:rPr>
          <w:rFonts w:hint="cs"/>
          <w:rtl/>
        </w:rPr>
        <w:t xml:space="preserve"> שמציעה אידיאולוגיה מגובשת להתנגדות לרומא</w:t>
      </w:r>
      <w:r w:rsidRPr="00E2358C">
        <w:rPr>
          <w:rtl/>
        </w:rPr>
        <w:t xml:space="preserve">. </w:t>
      </w:r>
      <w:r w:rsidR="00284176">
        <w:rPr>
          <w:rFonts w:hint="cs"/>
          <w:rtl/>
        </w:rPr>
        <w:t xml:space="preserve">עם זאת אין מדובר בהתפתחות 'יש מאין'. </w:t>
      </w:r>
      <w:r w:rsidRPr="00E2358C">
        <w:rPr>
          <w:rtl/>
        </w:rPr>
        <w:t xml:space="preserve">אצביע על הזיקות שבין הפילוסופיה הרביעית </w:t>
      </w:r>
      <w:r w:rsidR="00284176">
        <w:rPr>
          <w:rFonts w:hint="cs"/>
          <w:rtl/>
        </w:rPr>
        <w:t>ל</w:t>
      </w:r>
      <w:r w:rsidRPr="00E2358C">
        <w:rPr>
          <w:rtl/>
        </w:rPr>
        <w:t xml:space="preserve">תפיסות דתיות השוללות שלטון </w:t>
      </w:r>
      <w:proofErr w:type="spellStart"/>
      <w:r w:rsidRPr="00E2358C">
        <w:rPr>
          <w:rtl/>
        </w:rPr>
        <w:t>נכרי</w:t>
      </w:r>
      <w:proofErr w:type="spellEnd"/>
      <w:r w:rsidRPr="00E2358C">
        <w:rPr>
          <w:rtl/>
        </w:rPr>
        <w:t xml:space="preserve"> במגילות מדבר יהודה ובספר היובלים. חידושה של הפילוסופיה הרביעית הוא בהצגת תוכנית פעולה המיועדת לביצוע </w:t>
      </w:r>
      <w:proofErr w:type="spellStart"/>
      <w:r w:rsidRPr="00E2358C">
        <w:rPr>
          <w:rtl/>
        </w:rPr>
        <w:t>מיידי</w:t>
      </w:r>
      <w:proofErr w:type="spellEnd"/>
      <w:r w:rsidRPr="00E2358C">
        <w:rPr>
          <w:rtl/>
        </w:rPr>
        <w:t xml:space="preserve">. </w:t>
      </w:r>
      <w:r w:rsidR="00284176">
        <w:rPr>
          <w:rFonts w:hint="cs"/>
          <w:rtl/>
        </w:rPr>
        <w:t>ועדיין</w:t>
      </w:r>
      <w:r w:rsidRPr="00E2358C">
        <w:rPr>
          <w:rtl/>
        </w:rPr>
        <w:t xml:space="preserve"> אי אפשר לראות באירועים האלימים בתקופה זו פרי של ארגון מסודר</w:t>
      </w:r>
      <w:r w:rsidR="00284176">
        <w:rPr>
          <w:rFonts w:hint="cs"/>
          <w:rtl/>
        </w:rPr>
        <w:t xml:space="preserve">. המהומות היו שילוב של </w:t>
      </w:r>
      <w:r w:rsidRPr="00E2358C">
        <w:rPr>
          <w:rtl/>
        </w:rPr>
        <w:t>נסיבות מקומיות</w:t>
      </w:r>
      <w:r w:rsidR="00284176">
        <w:rPr>
          <w:rFonts w:hint="cs"/>
          <w:rtl/>
        </w:rPr>
        <w:t xml:space="preserve"> כפי שאראה, שבמסגרתן פעלה אולי גם קבוצה אידיאולוגית יותר</w:t>
      </w:r>
      <w:r w:rsidRPr="00E2358C">
        <w:rPr>
          <w:rtl/>
        </w:rPr>
        <w:t>.</w:t>
      </w:r>
    </w:p>
    <w:p w14:paraId="0C642819" w14:textId="77777777" w:rsidR="00284176" w:rsidRDefault="00284176" w:rsidP="005B671E">
      <w:pPr>
        <w:spacing w:line="360" w:lineRule="auto"/>
        <w:ind w:left="360"/>
        <w:rPr>
          <w:b/>
          <w:bCs/>
          <w:rtl/>
        </w:rPr>
      </w:pPr>
    </w:p>
    <w:p w14:paraId="0D835661" w14:textId="00565E16" w:rsidR="007B0098" w:rsidRPr="00E2358C" w:rsidRDefault="007B0098" w:rsidP="002348AE">
      <w:pPr>
        <w:spacing w:line="360" w:lineRule="auto"/>
        <w:rPr>
          <w:b/>
          <w:bCs/>
          <w:rtl/>
        </w:rPr>
      </w:pPr>
      <w:r w:rsidRPr="00E2358C">
        <w:rPr>
          <w:b/>
          <w:bCs/>
          <w:rtl/>
        </w:rPr>
        <w:t xml:space="preserve">פרק שישי – תחת שלטון רומא (41-6) </w:t>
      </w:r>
    </w:p>
    <w:p w14:paraId="54985B1B" w14:textId="7077E65B" w:rsidR="007B0098" w:rsidRPr="00E2358C" w:rsidRDefault="00602181" w:rsidP="002348AE">
      <w:pPr>
        <w:spacing w:line="360" w:lineRule="auto"/>
        <w:rPr>
          <w:rtl/>
        </w:rPr>
      </w:pPr>
      <w:r w:rsidRPr="00284176">
        <w:rPr>
          <w:b/>
          <w:bCs/>
          <w:rtl/>
        </w:rPr>
        <w:t>הסטטוס קוו</w:t>
      </w:r>
      <w:r w:rsidRPr="00E2358C">
        <w:rPr>
          <w:rtl/>
        </w:rPr>
        <w:t xml:space="preserve"> - פרק הזמן הראשון תחת שלטון רומא מאופיין בשקט יחסי. הממצא הנומיסמטי והספרותי </w:t>
      </w:r>
      <w:r w:rsidR="002348AE">
        <w:rPr>
          <w:rFonts w:hint="cs"/>
          <w:rtl/>
        </w:rPr>
        <w:t>מלמדים</w:t>
      </w:r>
      <w:r w:rsidRPr="00E2358C">
        <w:rPr>
          <w:rtl/>
        </w:rPr>
        <w:t xml:space="preserve"> על סטטוס קוו בכל מה שנוגע להיבטים הדתיים של יחסי רומא והיהודים. </w:t>
      </w:r>
    </w:p>
    <w:p w14:paraId="29C8F7DE" w14:textId="552CA5FB" w:rsidR="002348AE" w:rsidRDefault="00602181" w:rsidP="002348AE">
      <w:pPr>
        <w:spacing w:line="360" w:lineRule="auto"/>
        <w:rPr>
          <w:rtl/>
        </w:rPr>
      </w:pPr>
      <w:r w:rsidRPr="00284176">
        <w:rPr>
          <w:b/>
          <w:bCs/>
          <w:rtl/>
        </w:rPr>
        <w:t>ערעור הסטטוס קוו</w:t>
      </w:r>
      <w:r w:rsidRPr="00E2358C">
        <w:rPr>
          <w:rtl/>
        </w:rPr>
        <w:t xml:space="preserve"> – החל מימי </w:t>
      </w:r>
      <w:proofErr w:type="spellStart"/>
      <w:r w:rsidRPr="00E2358C">
        <w:rPr>
          <w:rtl/>
        </w:rPr>
        <w:t>פונטיוס</w:t>
      </w:r>
      <w:proofErr w:type="spellEnd"/>
      <w:r w:rsidRPr="00E2358C">
        <w:rPr>
          <w:rtl/>
        </w:rPr>
        <w:t xml:space="preserve"> </w:t>
      </w:r>
      <w:proofErr w:type="spellStart"/>
      <w:r w:rsidRPr="00E2358C">
        <w:rPr>
          <w:rtl/>
        </w:rPr>
        <w:t>פילאטוס</w:t>
      </w:r>
      <w:proofErr w:type="spellEnd"/>
      <w:r w:rsidRPr="00E2358C">
        <w:rPr>
          <w:rtl/>
        </w:rPr>
        <w:t xml:space="preserve"> ישנן עדויות ספרותיות (</w:t>
      </w:r>
      <w:proofErr w:type="spellStart"/>
      <w:r w:rsidRPr="00E2358C">
        <w:rPr>
          <w:rtl/>
        </w:rPr>
        <w:t>יוספוס</w:t>
      </w:r>
      <w:proofErr w:type="spellEnd"/>
      <w:r w:rsidRPr="00E2358C">
        <w:rPr>
          <w:rtl/>
        </w:rPr>
        <w:t xml:space="preserve">, הברית החדשה) </w:t>
      </w:r>
      <w:r w:rsidR="00284176">
        <w:rPr>
          <w:rFonts w:hint="cs"/>
          <w:rtl/>
        </w:rPr>
        <w:t>וארכיאולוגיות (בעיקר נומיסמטיות)</w:t>
      </w:r>
      <w:r w:rsidRPr="00E2358C">
        <w:rPr>
          <w:rtl/>
        </w:rPr>
        <w:t xml:space="preserve"> לכרסום </w:t>
      </w:r>
      <w:r w:rsidR="002348AE">
        <w:rPr>
          <w:rFonts w:hint="cs"/>
          <w:rtl/>
        </w:rPr>
        <w:t>ב</w:t>
      </w:r>
      <w:r w:rsidRPr="00E2358C">
        <w:rPr>
          <w:rtl/>
        </w:rPr>
        <w:t xml:space="preserve">סטטוס קוו. </w:t>
      </w:r>
      <w:r w:rsidR="002348AE">
        <w:rPr>
          <w:rFonts w:hint="cs"/>
          <w:rtl/>
        </w:rPr>
        <w:t xml:space="preserve">במוקד הדיון תעמוד </w:t>
      </w:r>
      <w:r w:rsidRPr="00E2358C">
        <w:rPr>
          <w:rtl/>
        </w:rPr>
        <w:t xml:space="preserve">השאלה האם ביזת המקדש בידי </w:t>
      </w:r>
      <w:proofErr w:type="spellStart"/>
      <w:r w:rsidRPr="00E2358C">
        <w:rPr>
          <w:rtl/>
        </w:rPr>
        <w:t>פונטיוס</w:t>
      </w:r>
      <w:proofErr w:type="spellEnd"/>
      <w:r w:rsidRPr="00E2358C">
        <w:rPr>
          <w:rtl/>
        </w:rPr>
        <w:t xml:space="preserve"> </w:t>
      </w:r>
      <w:proofErr w:type="spellStart"/>
      <w:r w:rsidRPr="00E2358C">
        <w:rPr>
          <w:rtl/>
        </w:rPr>
        <w:t>פילאטוס</w:t>
      </w:r>
      <w:proofErr w:type="spellEnd"/>
      <w:r w:rsidRPr="00E2358C">
        <w:rPr>
          <w:rtl/>
        </w:rPr>
        <w:t xml:space="preserve"> ופרשת הצלם בהיכל בימי </w:t>
      </w:r>
      <w:proofErr w:type="spellStart"/>
      <w:r w:rsidRPr="00E2358C">
        <w:rPr>
          <w:rtl/>
        </w:rPr>
        <w:t>קאליגולה</w:t>
      </w:r>
      <w:proofErr w:type="spellEnd"/>
      <w:r w:rsidR="002348AE">
        <w:rPr>
          <w:rFonts w:hint="cs"/>
          <w:rtl/>
        </w:rPr>
        <w:t xml:space="preserve"> הביאו לעליה </w:t>
      </w:r>
      <w:r w:rsidR="002348AE">
        <w:rPr>
          <w:rFonts w:hint="cs"/>
          <w:rtl/>
        </w:rPr>
        <w:lastRenderedPageBreak/>
        <w:t>בנטייה למרוד ובתמיכה באידיאולוגיות של מרד</w:t>
      </w:r>
      <w:r w:rsidRPr="00E2358C">
        <w:rPr>
          <w:rtl/>
        </w:rPr>
        <w:t>. בהקשר זה אבחן במיוחד את ספר מעשי השליחים ואת העימות בשאלת מעמדם של הנוכרים בכנסייה הקדומה.</w:t>
      </w:r>
    </w:p>
    <w:p w14:paraId="2CE87EBA" w14:textId="77777777" w:rsidR="002348AE" w:rsidRPr="002348AE" w:rsidRDefault="002348AE" w:rsidP="002348AE">
      <w:pPr>
        <w:spacing w:line="360" w:lineRule="auto"/>
        <w:rPr>
          <w:rtl/>
        </w:rPr>
      </w:pPr>
    </w:p>
    <w:p w14:paraId="624EDAE8" w14:textId="3FCCAB00" w:rsidR="00602181" w:rsidRPr="00E2358C" w:rsidRDefault="00602181" w:rsidP="002348AE">
      <w:pPr>
        <w:spacing w:line="360" w:lineRule="auto"/>
        <w:rPr>
          <w:b/>
          <w:bCs/>
          <w:rtl/>
        </w:rPr>
      </w:pPr>
      <w:r w:rsidRPr="00E2358C">
        <w:rPr>
          <w:b/>
          <w:bCs/>
          <w:rtl/>
        </w:rPr>
        <w:t>פרק שביעי – אגריפס: מתקווה לאכזבה (44-41)</w:t>
      </w:r>
    </w:p>
    <w:p w14:paraId="19530A12" w14:textId="365294EE" w:rsidR="00602181" w:rsidRPr="00E2358C" w:rsidRDefault="00602181" w:rsidP="002348AE">
      <w:pPr>
        <w:spacing w:line="360" w:lineRule="auto"/>
        <w:rPr>
          <w:rtl/>
        </w:rPr>
      </w:pPr>
      <w:r w:rsidRPr="00E2358C">
        <w:rPr>
          <w:rtl/>
        </w:rPr>
        <w:t>האם תקופת מלכותו של אגריפס הציפה מחדש את התקווה לשלטון עצמי</w:t>
      </w:r>
      <w:r w:rsidR="002348AE">
        <w:rPr>
          <w:rFonts w:hint="cs"/>
          <w:rtl/>
        </w:rPr>
        <w:t>?</w:t>
      </w:r>
      <w:r w:rsidRPr="00E2358C">
        <w:rPr>
          <w:rtl/>
        </w:rPr>
        <w:t xml:space="preserve"> הממצא הנומיסמטי והספרותי (כתבי </w:t>
      </w:r>
      <w:proofErr w:type="spellStart"/>
      <w:r w:rsidRPr="00E2358C">
        <w:rPr>
          <w:rtl/>
        </w:rPr>
        <w:t>יוספוס</w:t>
      </w:r>
      <w:proofErr w:type="spellEnd"/>
      <w:r w:rsidRPr="00E2358C">
        <w:rPr>
          <w:rtl/>
        </w:rPr>
        <w:t xml:space="preserve"> ומקורות חז"ל</w:t>
      </w:r>
      <w:r w:rsidR="002348AE">
        <w:rPr>
          <w:rFonts w:hint="cs"/>
          <w:rtl/>
        </w:rPr>
        <w:t xml:space="preserve"> במידה </w:t>
      </w:r>
      <w:proofErr w:type="spellStart"/>
      <w:r w:rsidR="002348AE">
        <w:rPr>
          <w:rFonts w:hint="cs"/>
          <w:rtl/>
        </w:rPr>
        <w:t>מסויימת</w:t>
      </w:r>
      <w:proofErr w:type="spellEnd"/>
      <w:r w:rsidRPr="00E2358C">
        <w:rPr>
          <w:rtl/>
        </w:rPr>
        <w:t>), מ</w:t>
      </w:r>
      <w:r w:rsidR="002348AE">
        <w:rPr>
          <w:rFonts w:hint="cs"/>
          <w:rtl/>
        </w:rPr>
        <w:t>למדים שייתכן ש</w:t>
      </w:r>
      <w:r w:rsidRPr="00E2358C">
        <w:rPr>
          <w:rtl/>
        </w:rPr>
        <w:t xml:space="preserve">חוגים </w:t>
      </w:r>
      <w:proofErr w:type="spellStart"/>
      <w:r w:rsidRPr="00E2358C">
        <w:rPr>
          <w:rtl/>
        </w:rPr>
        <w:t>מסויימים</w:t>
      </w:r>
      <w:proofErr w:type="spellEnd"/>
      <w:r w:rsidRPr="00E2358C">
        <w:rPr>
          <w:rtl/>
        </w:rPr>
        <w:t xml:space="preserve"> תלו באגריפס תקוות, שככל הנראה לא היה להן על מה לסמוך. האירועים בשנים הבאות </w:t>
      </w:r>
      <w:r w:rsidR="00F30C9C" w:rsidRPr="00E2358C">
        <w:rPr>
          <w:rtl/>
        </w:rPr>
        <w:t>עשויים להיות מובנים טוב יותר על רקע זה.</w:t>
      </w:r>
    </w:p>
    <w:p w14:paraId="313A3B0E" w14:textId="77777777" w:rsidR="002348AE" w:rsidRDefault="002348AE" w:rsidP="002348AE">
      <w:pPr>
        <w:spacing w:line="360" w:lineRule="auto"/>
        <w:rPr>
          <w:b/>
          <w:bCs/>
          <w:rtl/>
        </w:rPr>
      </w:pPr>
    </w:p>
    <w:p w14:paraId="10F2713C" w14:textId="28FDF204" w:rsidR="00F30C9C" w:rsidRPr="00E2358C" w:rsidRDefault="00F30C9C" w:rsidP="002348AE">
      <w:pPr>
        <w:spacing w:line="360" w:lineRule="auto"/>
        <w:rPr>
          <w:b/>
          <w:bCs/>
          <w:rtl/>
        </w:rPr>
      </w:pPr>
      <w:r w:rsidRPr="00E2358C">
        <w:rPr>
          <w:b/>
          <w:bCs/>
          <w:rtl/>
        </w:rPr>
        <w:t xml:space="preserve">פרק שמיני </w:t>
      </w:r>
      <w:r w:rsidR="00554642" w:rsidRPr="00E2358C">
        <w:rPr>
          <w:b/>
          <w:bCs/>
          <w:rtl/>
        </w:rPr>
        <w:t>–</w:t>
      </w:r>
      <w:r w:rsidRPr="00E2358C">
        <w:rPr>
          <w:b/>
          <w:bCs/>
          <w:rtl/>
        </w:rPr>
        <w:t xml:space="preserve"> </w:t>
      </w:r>
      <w:r w:rsidR="00554642" w:rsidRPr="00E2358C">
        <w:rPr>
          <w:b/>
          <w:bCs/>
          <w:rtl/>
        </w:rPr>
        <w:t>לקראת מרד (44 – קיץ 66)</w:t>
      </w:r>
    </w:p>
    <w:p w14:paraId="552194F9" w14:textId="77777777" w:rsidR="002348AE" w:rsidRDefault="00554642" w:rsidP="002348AE">
      <w:pPr>
        <w:spacing w:line="360" w:lineRule="auto"/>
        <w:rPr>
          <w:rtl/>
        </w:rPr>
      </w:pPr>
      <w:r w:rsidRPr="00E2358C">
        <w:rPr>
          <w:rtl/>
        </w:rPr>
        <w:t>עשרים השנים הללו היו רוויות בפעילות של יחידים וקבוצות שהתנגדו לשלטון הרומי. עם זאת הם גם חשפו את הפערים העקרוניים בי</w:t>
      </w:r>
      <w:r w:rsidR="002348AE">
        <w:rPr>
          <w:rFonts w:hint="cs"/>
          <w:rtl/>
        </w:rPr>
        <w:t>ניהן</w:t>
      </w:r>
      <w:r w:rsidRPr="00E2358C">
        <w:rPr>
          <w:rtl/>
        </w:rPr>
        <w:t xml:space="preserve">. </w:t>
      </w:r>
      <w:r w:rsidR="002348AE">
        <w:rPr>
          <w:rFonts w:hint="cs"/>
          <w:rtl/>
        </w:rPr>
        <w:t>במקביל מספר</w:t>
      </w:r>
      <w:r w:rsidRPr="00E2358C">
        <w:rPr>
          <w:rtl/>
        </w:rPr>
        <w:t xml:space="preserve"> התרחשויות הניעו תהליכים חברתיים שיכלו לסחוף קהלים רחבים יותר לתמיכה בפעילות אנטי-רומית. מעקב אחרי התהליכים הללו מלמד כיצד בעשרים השנים הללו הלכו והתמלאו התנאים למהפכה מדינית וחברתית ביהודה לאור הגדרותיו של </w:t>
      </w:r>
      <w:proofErr w:type="spellStart"/>
      <w:r w:rsidRPr="00E2358C">
        <w:rPr>
          <w:rtl/>
        </w:rPr>
        <w:t>גולדסטון</w:t>
      </w:r>
      <w:proofErr w:type="spellEnd"/>
      <w:r w:rsidRPr="00E2358C">
        <w:rPr>
          <w:rtl/>
        </w:rPr>
        <w:t>.</w:t>
      </w:r>
    </w:p>
    <w:p w14:paraId="1CACA542" w14:textId="77777777" w:rsidR="002348AE" w:rsidRDefault="00554642" w:rsidP="002348AE">
      <w:pPr>
        <w:pStyle w:val="a7"/>
        <w:numPr>
          <w:ilvl w:val="0"/>
          <w:numId w:val="18"/>
        </w:numPr>
        <w:spacing w:line="360" w:lineRule="auto"/>
      </w:pPr>
      <w:r w:rsidRPr="002348AE">
        <w:rPr>
          <w:b/>
          <w:bCs/>
          <w:rtl/>
        </w:rPr>
        <w:t>ערעור הסטטוס קוו</w:t>
      </w:r>
      <w:r w:rsidRPr="00E2358C">
        <w:rPr>
          <w:rtl/>
        </w:rPr>
        <w:t xml:space="preserve"> – סדרה של פגיעות מצד השומרונים </w:t>
      </w:r>
      <w:proofErr w:type="spellStart"/>
      <w:r w:rsidRPr="00E2358C">
        <w:rPr>
          <w:rtl/>
        </w:rPr>
        <w:t>והאוכלוסיה</w:t>
      </w:r>
      <w:proofErr w:type="spellEnd"/>
      <w:r w:rsidRPr="00E2358C">
        <w:rPr>
          <w:rtl/>
        </w:rPr>
        <w:t xml:space="preserve"> היוונית-סורית בציבור היהודי והעדר תמיכה מצד הממשל הרומי מהנציב ועד לקיסר הביאו לאבדן האמון בשלטון הרומי כשלטון הגון. אבדן האמון הינו תנאי יסודי לקיומה של מהפכה.</w:t>
      </w:r>
    </w:p>
    <w:p w14:paraId="323C0E3B" w14:textId="77777777" w:rsidR="002348AE" w:rsidRDefault="00554642" w:rsidP="002348AE">
      <w:pPr>
        <w:pStyle w:val="a7"/>
        <w:numPr>
          <w:ilvl w:val="0"/>
          <w:numId w:val="18"/>
        </w:numPr>
        <w:spacing w:line="360" w:lineRule="auto"/>
      </w:pPr>
      <w:r w:rsidRPr="002348AE">
        <w:rPr>
          <w:b/>
          <w:bCs/>
          <w:rtl/>
        </w:rPr>
        <w:t>אבדן האמון בהנהגה המקומית</w:t>
      </w:r>
      <w:r w:rsidRPr="00E2358C">
        <w:rPr>
          <w:rtl/>
        </w:rPr>
        <w:t xml:space="preserve"> – השחיתות החברתית מצד משפחות הכהונה הגדולה המתועדת על ידי </w:t>
      </w:r>
      <w:proofErr w:type="spellStart"/>
      <w:r w:rsidRPr="00E2358C">
        <w:rPr>
          <w:rtl/>
        </w:rPr>
        <w:t>יוספוס</w:t>
      </w:r>
      <w:proofErr w:type="spellEnd"/>
      <w:r w:rsidRPr="00E2358C">
        <w:rPr>
          <w:rtl/>
        </w:rPr>
        <w:t>, ספרות חז"ל והממצא הארכיאולוגי, מסבירה את עליית האמון באליטות מתחרות שהציעו סדר יום דתי וחברתי שונה</w:t>
      </w:r>
      <w:r w:rsidR="00E71927" w:rsidRPr="00E2358C">
        <w:rPr>
          <w:rtl/>
        </w:rPr>
        <w:t>.</w:t>
      </w:r>
    </w:p>
    <w:p w14:paraId="6B102703" w14:textId="58BB110A" w:rsidR="00E71927" w:rsidRPr="00E2358C" w:rsidRDefault="00E71927" w:rsidP="002348AE">
      <w:pPr>
        <w:pStyle w:val="a7"/>
        <w:numPr>
          <w:ilvl w:val="0"/>
          <w:numId w:val="18"/>
        </w:numPr>
        <w:spacing w:line="360" w:lineRule="auto"/>
        <w:rPr>
          <w:rtl/>
        </w:rPr>
      </w:pPr>
      <w:r w:rsidRPr="002348AE">
        <w:rPr>
          <w:b/>
          <w:bCs/>
          <w:rtl/>
        </w:rPr>
        <w:t>תקוות הגאולה</w:t>
      </w:r>
      <w:r w:rsidRPr="00E2358C">
        <w:rPr>
          <w:rtl/>
        </w:rPr>
        <w:t xml:space="preserve"> –</w:t>
      </w:r>
      <w:r w:rsidR="002348AE">
        <w:rPr>
          <w:rFonts w:hint="cs"/>
          <w:rtl/>
        </w:rPr>
        <w:t xml:space="preserve"> </w:t>
      </w:r>
      <w:r w:rsidRPr="00E2358C">
        <w:rPr>
          <w:rtl/>
        </w:rPr>
        <w:t>מנהיגים כריזמטיים הטוענים להשראה אלוקית</w:t>
      </w:r>
      <w:r w:rsidR="002348AE">
        <w:rPr>
          <w:rFonts w:hint="cs"/>
          <w:rtl/>
        </w:rPr>
        <w:t xml:space="preserve">, מובילים תנועות חברתיות שמעוניינות </w:t>
      </w:r>
      <w:r w:rsidRPr="00E2358C">
        <w:rPr>
          <w:rtl/>
        </w:rPr>
        <w:t>לקעקע מן היסוד את הסדר הקיי</w:t>
      </w:r>
      <w:r w:rsidR="002348AE">
        <w:rPr>
          <w:rFonts w:hint="cs"/>
          <w:rtl/>
        </w:rPr>
        <w:t xml:space="preserve">ם. </w:t>
      </w:r>
      <w:r w:rsidRPr="00E2358C">
        <w:rPr>
          <w:rtl/>
        </w:rPr>
        <w:t xml:space="preserve">בחלקן היו אף מרכיבים משיחיים המוכרים הן מהמקרא והן מהספרות </w:t>
      </w:r>
      <w:proofErr w:type="spellStart"/>
      <w:r w:rsidRPr="00E2358C">
        <w:rPr>
          <w:rtl/>
        </w:rPr>
        <w:t>האפוקריפית</w:t>
      </w:r>
      <w:proofErr w:type="spellEnd"/>
      <w:r w:rsidRPr="00E2358C">
        <w:rPr>
          <w:rtl/>
        </w:rPr>
        <w:t>.</w:t>
      </w:r>
    </w:p>
    <w:p w14:paraId="4CD53471" w14:textId="5F3FFCA6" w:rsidR="00E71927" w:rsidRPr="00E2358C" w:rsidRDefault="00E71927" w:rsidP="005B671E">
      <w:pPr>
        <w:spacing w:line="360" w:lineRule="auto"/>
        <w:rPr>
          <w:rtl/>
        </w:rPr>
      </w:pPr>
      <w:r w:rsidRPr="002348AE">
        <w:rPr>
          <w:b/>
          <w:bCs/>
          <w:rtl/>
        </w:rPr>
        <w:t>הסיקריים</w:t>
      </w:r>
      <w:r w:rsidRPr="00E2358C">
        <w:rPr>
          <w:rtl/>
        </w:rPr>
        <w:t xml:space="preserve"> – בתקופה זו פעולות קבוצות טרור מקומיות, המתועדות הן אצל </w:t>
      </w:r>
      <w:proofErr w:type="spellStart"/>
      <w:r w:rsidRPr="00E2358C">
        <w:rPr>
          <w:rtl/>
        </w:rPr>
        <w:t>יוספוס</w:t>
      </w:r>
      <w:proofErr w:type="spellEnd"/>
      <w:r w:rsidRPr="00E2358C">
        <w:rPr>
          <w:rtl/>
        </w:rPr>
        <w:t xml:space="preserve"> והן בספרות חז"ל. </w:t>
      </w:r>
      <w:proofErr w:type="spellStart"/>
      <w:r w:rsidRPr="00E2358C">
        <w:rPr>
          <w:rtl/>
        </w:rPr>
        <w:t>יוספוס</w:t>
      </w:r>
      <w:proofErr w:type="spellEnd"/>
      <w:r w:rsidRPr="00E2358C">
        <w:rPr>
          <w:rtl/>
        </w:rPr>
        <w:t xml:space="preserve"> עוסק בעיקר בטכניקת הפעילות שלהן (רצח באמצעות פגיון </w:t>
      </w:r>
      <w:proofErr w:type="spellStart"/>
      <w:r w:rsidRPr="00E2358C">
        <w:t>sica</w:t>
      </w:r>
      <w:proofErr w:type="spellEnd"/>
      <w:r w:rsidRPr="00E2358C">
        <w:t xml:space="preserve"> in Latin</w:t>
      </w:r>
      <w:r w:rsidRPr="00E2358C">
        <w:rPr>
          <w:rtl/>
        </w:rPr>
        <w:t>). מספרות חז"ל עולה קרבת</w:t>
      </w:r>
      <w:r w:rsidR="002348AE">
        <w:rPr>
          <w:rFonts w:hint="cs"/>
          <w:rtl/>
        </w:rPr>
        <w:t>ם</w:t>
      </w:r>
      <w:r w:rsidRPr="00E2358C">
        <w:rPr>
          <w:rtl/>
        </w:rPr>
        <w:t xml:space="preserve"> לזרם </w:t>
      </w:r>
      <w:proofErr w:type="spellStart"/>
      <w:r w:rsidRPr="00E2358C">
        <w:rPr>
          <w:rtl/>
        </w:rPr>
        <w:t>הפרושי</w:t>
      </w:r>
      <w:proofErr w:type="spellEnd"/>
      <w:r w:rsidRPr="00E2358C">
        <w:rPr>
          <w:rtl/>
        </w:rPr>
        <w:t>. מעשי השליחים ואגרותיו של פאולוס חושפים גם כן את הפעילות הזו.</w:t>
      </w:r>
    </w:p>
    <w:p w14:paraId="7AECFC2D" w14:textId="676F7620" w:rsidR="00660BB0" w:rsidRPr="00E2358C" w:rsidRDefault="00660BB0" w:rsidP="005B671E">
      <w:pPr>
        <w:spacing w:line="360" w:lineRule="auto"/>
        <w:rPr>
          <w:rtl/>
        </w:rPr>
      </w:pPr>
      <w:r w:rsidRPr="002348AE">
        <w:rPr>
          <w:b/>
          <w:bCs/>
          <w:rtl/>
        </w:rPr>
        <w:t>לקראת המרד והצטרפות האליטות</w:t>
      </w:r>
      <w:r w:rsidRPr="00E2358C">
        <w:rPr>
          <w:rtl/>
        </w:rPr>
        <w:t xml:space="preserve"> – הפסקת </w:t>
      </w:r>
      <w:proofErr w:type="spellStart"/>
      <w:r w:rsidRPr="00E2358C">
        <w:rPr>
          <w:rtl/>
        </w:rPr>
        <w:t>הקרבן</w:t>
      </w:r>
      <w:proofErr w:type="spellEnd"/>
      <w:r w:rsidRPr="00E2358C">
        <w:rPr>
          <w:rtl/>
        </w:rPr>
        <w:t xml:space="preserve"> לשלום הקיסר בידי סגן </w:t>
      </w:r>
      <w:r w:rsidR="002348AE">
        <w:rPr>
          <w:rFonts w:hint="cs"/>
          <w:rtl/>
        </w:rPr>
        <w:t>הכוהנים</w:t>
      </w:r>
      <w:r w:rsidRPr="00E2358C">
        <w:rPr>
          <w:rtl/>
        </w:rPr>
        <w:t xml:space="preserve">, מלמדת על הצטרפותן של חלק מהאליטות למרד. בכך הושלמו כל התנאים שמציב </w:t>
      </w:r>
      <w:proofErr w:type="spellStart"/>
      <w:r w:rsidRPr="00E2358C">
        <w:rPr>
          <w:rtl/>
        </w:rPr>
        <w:t>גולדסטון</w:t>
      </w:r>
      <w:proofErr w:type="spellEnd"/>
      <w:r w:rsidRPr="00E2358C">
        <w:rPr>
          <w:rtl/>
        </w:rPr>
        <w:t xml:space="preserve"> להתפתחותה של מהפכה. מכאן ואילך ניתן לעקוב אחרי התפתחות המרד בזיקה להתפתחותן של מהפכות.</w:t>
      </w:r>
    </w:p>
    <w:p w14:paraId="080C69B5" w14:textId="77777777" w:rsidR="002348AE" w:rsidRDefault="002348AE" w:rsidP="005B671E">
      <w:pPr>
        <w:spacing w:line="360" w:lineRule="auto"/>
        <w:rPr>
          <w:b/>
          <w:bCs/>
          <w:rtl/>
        </w:rPr>
      </w:pPr>
    </w:p>
    <w:p w14:paraId="3D47FEA5" w14:textId="77777777" w:rsidR="00DD4EE8" w:rsidRDefault="00DD4EE8" w:rsidP="005B671E">
      <w:pPr>
        <w:spacing w:line="360" w:lineRule="auto"/>
        <w:rPr>
          <w:b/>
          <w:bCs/>
          <w:rtl/>
        </w:rPr>
      </w:pPr>
    </w:p>
    <w:p w14:paraId="52509816" w14:textId="77777777" w:rsidR="00DD4EE8" w:rsidRDefault="00DD4EE8" w:rsidP="005B671E">
      <w:pPr>
        <w:spacing w:line="360" w:lineRule="auto"/>
        <w:rPr>
          <w:b/>
          <w:bCs/>
          <w:rtl/>
        </w:rPr>
      </w:pPr>
    </w:p>
    <w:p w14:paraId="4A4FB095" w14:textId="0E00DDFB" w:rsidR="00660BB0" w:rsidRPr="00E2358C" w:rsidRDefault="00660BB0" w:rsidP="005B671E">
      <w:pPr>
        <w:spacing w:line="360" w:lineRule="auto"/>
        <w:rPr>
          <w:b/>
          <w:bCs/>
          <w:rtl/>
        </w:rPr>
      </w:pPr>
      <w:r w:rsidRPr="00E2358C">
        <w:rPr>
          <w:b/>
          <w:bCs/>
          <w:rtl/>
        </w:rPr>
        <w:lastRenderedPageBreak/>
        <w:t>פרק תשיעי – מהפכה ותבוסה</w:t>
      </w:r>
    </w:p>
    <w:p w14:paraId="2DCA3C9A" w14:textId="0901444C" w:rsidR="00F744C9" w:rsidRPr="00E2358C" w:rsidRDefault="00F744C9" w:rsidP="005B671E">
      <w:pPr>
        <w:spacing w:line="360" w:lineRule="auto"/>
        <w:rPr>
          <w:rtl/>
        </w:rPr>
      </w:pPr>
      <w:r w:rsidRPr="00E2358C">
        <w:rPr>
          <w:rtl/>
        </w:rPr>
        <w:t xml:space="preserve">החברה היהודית נכנסה למרד כאשר פועלות בה קבוצות שונות עם אידיאולוגיות שונות. </w:t>
      </w:r>
      <w:r w:rsidR="00003019" w:rsidRPr="00E2358C">
        <w:rPr>
          <w:rtl/>
        </w:rPr>
        <w:t>תיאוריות של מהפכות מלמדות שבמהלך המהפכה צפויות לצוץ קבוצות רדיקליות ומנהיגים כריזמטיים המשלבים יסודות ישנים וחדשים. מעקב אחרי התפתחותן של קבוצות המורדים השונות ומנהיגיהם מאושש את התיאוריה, בעוד שהתיאוריה מסייעת להבהיר את התפתחות המרד.</w:t>
      </w:r>
    </w:p>
    <w:p w14:paraId="108F60A3" w14:textId="7AEF5264" w:rsidR="00F744C9" w:rsidRPr="00E2358C" w:rsidRDefault="00F744C9" w:rsidP="005B671E">
      <w:pPr>
        <w:spacing w:line="360" w:lineRule="auto"/>
        <w:rPr>
          <w:rtl/>
        </w:rPr>
      </w:pPr>
      <w:r w:rsidRPr="00EA1C94">
        <w:rPr>
          <w:b/>
          <w:bCs/>
          <w:rtl/>
        </w:rPr>
        <w:t>סיקריים</w:t>
      </w:r>
      <w:r w:rsidRPr="00E2358C">
        <w:rPr>
          <w:rtl/>
        </w:rPr>
        <w:t xml:space="preserve"> – הקבוצה הראשונה שמתגבשת מייד עם תחילת המרד סביב אידיאולוגיה ומנהיגות מובחנים אלו הם הסיקריים (קרוב לוודאי שלא כל מי שנמנה על חבורות הטרור שפעלו בשנות החמישים והשישים הצטרף לקבוצה זו). ואולם יומרתם למנהיגות המרד נקטעת באיבה והם נסוגים למצדה מבלי ליטול חלק פעיל בשנים הבאות. </w:t>
      </w:r>
    </w:p>
    <w:p w14:paraId="0178D570" w14:textId="52084A62" w:rsidR="00F744C9" w:rsidRPr="00E2358C" w:rsidRDefault="00BB6B6E" w:rsidP="005B671E">
      <w:pPr>
        <w:spacing w:line="360" w:lineRule="auto"/>
        <w:rPr>
          <w:rtl/>
        </w:rPr>
      </w:pPr>
      <w:r w:rsidRPr="00EA1C94">
        <w:rPr>
          <w:b/>
          <w:bCs/>
          <w:rtl/>
        </w:rPr>
        <w:t>מורדים מתונים</w:t>
      </w:r>
      <w:r w:rsidRPr="00E2358C">
        <w:rPr>
          <w:rtl/>
        </w:rPr>
        <w:t xml:space="preserve"> – בשלב הראשון המרד הונהג בידי חלקים מהאליטות הוותיקות ובהן הכוהנים הגדולים לשעבר, ראשי הפרושים ועשירי העיר. </w:t>
      </w:r>
      <w:proofErr w:type="spellStart"/>
      <w:r w:rsidRPr="00E2358C">
        <w:rPr>
          <w:rtl/>
        </w:rPr>
        <w:t>יוספוס</w:t>
      </w:r>
      <w:proofErr w:type="spellEnd"/>
      <w:r w:rsidRPr="00E2358C">
        <w:rPr>
          <w:rtl/>
        </w:rPr>
        <w:t xml:space="preserve"> לא תיעד את האידיאולוגיה של קבוצה זו, ואולם מתוך הממצא הנומיסמטי וספרות חז"ל ניתן להציג כמה מאפיינים בולטים של קבוצה זו: 1. מרכזיותה של קדושת ירושלים כפי שהדבר מתבטא במטבעות 'ירושלים הקדושה'. 2. העדר </w:t>
      </w:r>
      <w:proofErr w:type="spellStart"/>
      <w:r w:rsidRPr="00E2358C">
        <w:rPr>
          <w:rtl/>
        </w:rPr>
        <w:t>ציפיה</w:t>
      </w:r>
      <w:proofErr w:type="spellEnd"/>
      <w:r w:rsidRPr="00E2358C">
        <w:rPr>
          <w:rtl/>
        </w:rPr>
        <w:t xml:space="preserve"> משיחית. 3. </w:t>
      </w:r>
      <w:r w:rsidR="00EA1C94">
        <w:rPr>
          <w:rFonts w:hint="cs"/>
          <w:rtl/>
        </w:rPr>
        <w:t>רצון ל</w:t>
      </w:r>
      <w:r w:rsidRPr="00E2358C">
        <w:rPr>
          <w:rtl/>
        </w:rPr>
        <w:t xml:space="preserve">מידה </w:t>
      </w:r>
      <w:proofErr w:type="spellStart"/>
      <w:r w:rsidRPr="00E2358C">
        <w:rPr>
          <w:rtl/>
        </w:rPr>
        <w:t>מסויימת</w:t>
      </w:r>
      <w:proofErr w:type="spellEnd"/>
      <w:r w:rsidRPr="00E2358C">
        <w:rPr>
          <w:rtl/>
        </w:rPr>
        <w:t xml:space="preserve"> של אוטונומיה</w:t>
      </w:r>
      <w:r w:rsidR="00EA1C94">
        <w:rPr>
          <w:rFonts w:hint="cs"/>
          <w:rtl/>
        </w:rPr>
        <w:t>.</w:t>
      </w:r>
    </w:p>
    <w:p w14:paraId="3F7B9038" w14:textId="3150C7BD" w:rsidR="00BB6B6E" w:rsidRPr="00E2358C" w:rsidRDefault="00BB6B6E" w:rsidP="005B671E">
      <w:pPr>
        <w:spacing w:line="360" w:lineRule="auto"/>
        <w:rPr>
          <w:rtl/>
        </w:rPr>
      </w:pPr>
      <w:r w:rsidRPr="00EA1C94">
        <w:rPr>
          <w:b/>
          <w:bCs/>
          <w:rtl/>
        </w:rPr>
        <w:t>הקנאים</w:t>
      </w:r>
      <w:r w:rsidR="00B70AE8" w:rsidRPr="00EA1C94">
        <w:rPr>
          <w:b/>
          <w:bCs/>
          <w:rtl/>
        </w:rPr>
        <w:t xml:space="preserve"> והרדיקליזציה של המרד</w:t>
      </w:r>
      <w:r w:rsidRPr="00E2358C">
        <w:rPr>
          <w:rtl/>
        </w:rPr>
        <w:t xml:space="preserve"> – </w:t>
      </w:r>
      <w:r w:rsidR="00003019" w:rsidRPr="00E2358C">
        <w:rPr>
          <w:rtl/>
        </w:rPr>
        <w:t xml:space="preserve">הקנאים היו </w:t>
      </w:r>
      <w:r w:rsidRPr="00E2358C">
        <w:rPr>
          <w:rtl/>
        </w:rPr>
        <w:t xml:space="preserve">ככל הנראה הקבוצה האחרונה שהתגבשה, וזאת בעקבות כיבוש הגליל וחילוקי הדעות בקרב הנהגת המרד על המשך הדרך. </w:t>
      </w:r>
      <w:r w:rsidR="00003019" w:rsidRPr="00E2358C">
        <w:rPr>
          <w:rtl/>
        </w:rPr>
        <w:t xml:space="preserve">מדברי </w:t>
      </w:r>
      <w:proofErr w:type="spellStart"/>
      <w:r w:rsidR="00003019" w:rsidRPr="00E2358C">
        <w:rPr>
          <w:rtl/>
        </w:rPr>
        <w:t>יוספוס</w:t>
      </w:r>
      <w:proofErr w:type="spellEnd"/>
      <w:r w:rsidR="00003019" w:rsidRPr="00E2358C">
        <w:rPr>
          <w:rtl/>
        </w:rPr>
        <w:t xml:space="preserve"> ומדברי חכמים עולה הזיקה שלהם למקדש, ולאמונה בכוחה של עבודת המקדש להגן על ירושלים. ייתכן שבקבוצה זו פעמו גם ציפיות משיחיות, גם אם הן לא התמקדו במנהיג מוכר.</w:t>
      </w:r>
      <w:r w:rsidR="006C71E4" w:rsidRPr="00E2358C">
        <w:rPr>
          <w:rtl/>
        </w:rPr>
        <w:t xml:space="preserve"> ניתן למצוא שרידים של התפיסות הקנאיות ביחס לירושלים והמקדש הן בספרות ההלכתית והן בסיפורי החורבן.</w:t>
      </w:r>
      <w:r w:rsidR="00B70AE8" w:rsidRPr="00E2358C">
        <w:rPr>
          <w:rtl/>
        </w:rPr>
        <w:t xml:space="preserve"> </w:t>
      </w:r>
      <w:proofErr w:type="spellStart"/>
      <w:r w:rsidR="00B70AE8" w:rsidRPr="00E2358C">
        <w:rPr>
          <w:rtl/>
        </w:rPr>
        <w:t>מחוייבותם</w:t>
      </w:r>
      <w:proofErr w:type="spellEnd"/>
      <w:r w:rsidR="00B70AE8" w:rsidRPr="00E2358C">
        <w:rPr>
          <w:rtl/>
        </w:rPr>
        <w:t xml:space="preserve"> למקדש מסבירה גם את התבצרותם במתחם המקדש על אף ויותר סביר להניח שבשל קדושתו. </w:t>
      </w:r>
      <w:proofErr w:type="spellStart"/>
      <w:r w:rsidR="00B70AE8" w:rsidRPr="00E2358C">
        <w:rPr>
          <w:rtl/>
        </w:rPr>
        <w:t>מחוייבות</w:t>
      </w:r>
      <w:proofErr w:type="spellEnd"/>
      <w:r w:rsidR="00B70AE8" w:rsidRPr="00E2358C">
        <w:rPr>
          <w:rtl/>
        </w:rPr>
        <w:t xml:space="preserve"> זו באה בד בבד עם אמונה מוחלטת שהביאה אותם לאלימות כלפי חברי הממשלה המתונה.</w:t>
      </w:r>
    </w:p>
    <w:p w14:paraId="48253D19" w14:textId="346ADAD4" w:rsidR="00003019" w:rsidRPr="00E2358C" w:rsidRDefault="00003019" w:rsidP="005B671E">
      <w:pPr>
        <w:spacing w:line="360" w:lineRule="auto"/>
        <w:rPr>
          <w:rtl/>
        </w:rPr>
      </w:pPr>
      <w:r w:rsidRPr="00EA1C94">
        <w:rPr>
          <w:b/>
          <w:bCs/>
          <w:rtl/>
        </w:rPr>
        <w:t>יוחנן מגוש חלב</w:t>
      </w:r>
      <w:r w:rsidRPr="00E2358C">
        <w:rPr>
          <w:rtl/>
        </w:rPr>
        <w:t xml:space="preserve"> – סיפור חייו של יוחנן הוא דוגמא לסיפורם של יהודים אחרים שהצטרפו למרד וככל שחלף הזמן הוא הלך ואימץ </w:t>
      </w:r>
      <w:r w:rsidR="00EA1C94">
        <w:rPr>
          <w:rFonts w:hint="cs"/>
          <w:rtl/>
        </w:rPr>
        <w:t>חלקים</w:t>
      </w:r>
      <w:r w:rsidRPr="00E2358C">
        <w:rPr>
          <w:rtl/>
        </w:rPr>
        <w:t xml:space="preserve"> </w:t>
      </w:r>
      <w:r w:rsidR="00EA1C94">
        <w:rPr>
          <w:rFonts w:hint="cs"/>
          <w:rtl/>
        </w:rPr>
        <w:t>מ</w:t>
      </w:r>
      <w:r w:rsidRPr="00E2358C">
        <w:rPr>
          <w:rtl/>
        </w:rPr>
        <w:t>האידיאולוגיה הקנאית. ייתכן שהאספירציות המשיחיות שלו ושל שמעון בר גיורא באות לידי ביטוי במטבעות 'לגאולת ציון' מהשנה הרביעית של המרד.</w:t>
      </w:r>
    </w:p>
    <w:p w14:paraId="04D566BA" w14:textId="3E3AB711" w:rsidR="00003019" w:rsidRPr="00EA1C94" w:rsidRDefault="006C71E4" w:rsidP="005B671E">
      <w:pPr>
        <w:spacing w:line="360" w:lineRule="auto"/>
        <w:rPr>
          <w:rtl/>
        </w:rPr>
      </w:pPr>
      <w:r w:rsidRPr="00EA1C94">
        <w:rPr>
          <w:b/>
          <w:bCs/>
          <w:rtl/>
        </w:rPr>
        <w:t>שמעון בר גיורא</w:t>
      </w:r>
      <w:r w:rsidR="00B70AE8" w:rsidRPr="00EA1C94">
        <w:rPr>
          <w:b/>
          <w:bCs/>
          <w:rtl/>
        </w:rPr>
        <w:t xml:space="preserve"> ומלחמת האחים</w:t>
      </w:r>
      <w:r w:rsidRPr="00E2358C">
        <w:rPr>
          <w:rtl/>
        </w:rPr>
        <w:t xml:space="preserve"> – בעיני הרומאים נתפס שמעון כמנהיג המרד, </w:t>
      </w:r>
      <w:r w:rsidR="00B70AE8" w:rsidRPr="00E2358C">
        <w:rPr>
          <w:rtl/>
        </w:rPr>
        <w:t xml:space="preserve">ככל הנראה בשל העוצמה הצבאית שהוא ריכז, כפי שעולה מדבריהם של </w:t>
      </w:r>
      <w:proofErr w:type="spellStart"/>
      <w:r w:rsidR="00B70AE8" w:rsidRPr="00E2358C">
        <w:rPr>
          <w:rtl/>
        </w:rPr>
        <w:t>קסיוס</w:t>
      </w:r>
      <w:proofErr w:type="spellEnd"/>
      <w:r w:rsidR="00B70AE8" w:rsidRPr="00E2358C">
        <w:rPr>
          <w:rtl/>
        </w:rPr>
        <w:t xml:space="preserve"> דיו </w:t>
      </w:r>
      <w:proofErr w:type="spellStart"/>
      <w:r w:rsidR="00B70AE8" w:rsidRPr="00E2358C">
        <w:rPr>
          <w:rtl/>
        </w:rPr>
        <w:t>וטקיטוס</w:t>
      </w:r>
      <w:proofErr w:type="spellEnd"/>
      <w:r w:rsidR="00B70AE8" w:rsidRPr="00E2358C">
        <w:rPr>
          <w:rtl/>
        </w:rPr>
        <w:t>. עם זאת מבחינה פנים-יהודית קשה להצביע על אידיאולוגיה ייחודית שהבדילה אותו מהקנאים או מיוחנן מגוש חלב. עלייתו לשלטון ומלחמתו ביוחנן ובקנאים היא ביטוי לתופעת ה-</w:t>
      </w:r>
      <w:r w:rsidR="00B70AE8" w:rsidRPr="00E2358C">
        <w:t xml:space="preserve">coup </w:t>
      </w:r>
      <w:proofErr w:type="spellStart"/>
      <w:r w:rsidR="00B70AE8" w:rsidRPr="00E2358C">
        <w:t>d'etat</w:t>
      </w:r>
      <w:proofErr w:type="spellEnd"/>
      <w:r w:rsidR="00B70AE8" w:rsidRPr="00E2358C">
        <w:rPr>
          <w:rtl/>
        </w:rPr>
        <w:t>, המאפיינת מהפכות רבות.</w:t>
      </w:r>
      <w:r w:rsidR="00EA1C94">
        <w:rPr>
          <w:rFonts w:hint="cs"/>
          <w:rtl/>
        </w:rPr>
        <w:t xml:space="preserve"> בהקשר זה יש לציין במיוחד את הדמיון לאירועי הדמים במהלך </w:t>
      </w:r>
      <w:r w:rsidR="00EA1C94">
        <w:t xml:space="preserve">the </w:t>
      </w:r>
      <w:r w:rsidR="00EA1C94" w:rsidRPr="00EA1C94">
        <w:t>Münster rebellion</w:t>
      </w:r>
      <w:r w:rsidR="00EA1C94">
        <w:t xml:space="preserve"> (1534-1535)</w:t>
      </w:r>
      <w:r w:rsidR="00EA1C94">
        <w:rPr>
          <w:rFonts w:hint="cs"/>
          <w:rtl/>
        </w:rPr>
        <w:t>.</w:t>
      </w:r>
    </w:p>
    <w:p w14:paraId="31E2FDD1" w14:textId="3EBA8B2C" w:rsidR="00B70AE8" w:rsidRPr="00E2358C" w:rsidRDefault="00B70AE8" w:rsidP="005B671E">
      <w:pPr>
        <w:spacing w:line="360" w:lineRule="auto"/>
        <w:rPr>
          <w:rtl/>
        </w:rPr>
      </w:pPr>
      <w:r w:rsidRPr="00EA1C94">
        <w:rPr>
          <w:b/>
          <w:bCs/>
          <w:rtl/>
        </w:rPr>
        <w:t>מצדה</w:t>
      </w:r>
      <w:r w:rsidRPr="00E2358C">
        <w:rPr>
          <w:rtl/>
        </w:rPr>
        <w:t xml:space="preserve"> – רק כשלוש שנים לאחר החורבן התפנו הרומאים לטפל בסיקריים שישבו במצדה. הסיקריים אמצו את האידיאולוגיה של הפילוסופיה הרביעית ככל הנראה בהשפעתו של אלעזר בן יאיר, שהיה צאצא של יהודה הגלילי. אידיאולוגיה זו הכתיבה במידה לא מבוטלת הן את </w:t>
      </w:r>
      <w:r w:rsidRPr="00E2358C">
        <w:rPr>
          <w:rtl/>
        </w:rPr>
        <w:lastRenderedPageBreak/>
        <w:t>ההתבצרות במצדה, מתוך תקווה שריחוקם ממרכז הארץ יאפשר להם לחיות חיי חירות, והן את התאבדותם</w:t>
      </w:r>
      <w:r w:rsidR="00EA1C94">
        <w:rPr>
          <w:rFonts w:hint="cs"/>
          <w:rtl/>
        </w:rPr>
        <w:t xml:space="preserve"> המשוערת</w:t>
      </w:r>
      <w:r w:rsidRPr="00E2358C">
        <w:rPr>
          <w:rtl/>
        </w:rPr>
        <w:t xml:space="preserve"> משהסתבר שהרומאים מתעקשים לפרוש את שלטונם על כל שטחי הארץ.</w:t>
      </w:r>
    </w:p>
    <w:p w14:paraId="694285E1" w14:textId="77777777" w:rsidR="006B7AA5" w:rsidRPr="00E2358C" w:rsidRDefault="006B7AA5" w:rsidP="005B671E">
      <w:pPr>
        <w:tabs>
          <w:tab w:val="left" w:pos="5045"/>
        </w:tabs>
        <w:spacing w:line="360" w:lineRule="auto"/>
        <w:rPr>
          <w:b/>
          <w:bCs/>
          <w:rtl/>
        </w:rPr>
      </w:pPr>
    </w:p>
    <w:p w14:paraId="66E96DEF" w14:textId="6A58BC73" w:rsidR="00D63706" w:rsidRPr="00E2358C" w:rsidRDefault="00D63706" w:rsidP="005B671E">
      <w:pPr>
        <w:tabs>
          <w:tab w:val="left" w:pos="5045"/>
        </w:tabs>
        <w:spacing w:line="360" w:lineRule="auto"/>
        <w:rPr>
          <w:b/>
          <w:bCs/>
          <w:rtl/>
        </w:rPr>
      </w:pPr>
      <w:r w:rsidRPr="00E2358C">
        <w:rPr>
          <w:b/>
          <w:bCs/>
          <w:rtl/>
        </w:rPr>
        <w:t>פרק עשירי – מסורת ומשבר</w:t>
      </w:r>
      <w:r w:rsidR="00CA0703" w:rsidRPr="00E2358C">
        <w:rPr>
          <w:b/>
          <w:bCs/>
          <w:rtl/>
        </w:rPr>
        <w:t xml:space="preserve"> בהתנגדות לרומא</w:t>
      </w:r>
    </w:p>
    <w:p w14:paraId="6C86BEC2" w14:textId="5F6C46A8" w:rsidR="00CA0703" w:rsidRPr="00E2358C" w:rsidRDefault="006B7AA5" w:rsidP="005B671E">
      <w:pPr>
        <w:tabs>
          <w:tab w:val="left" w:pos="5045"/>
        </w:tabs>
        <w:spacing w:line="360" w:lineRule="auto"/>
        <w:rPr>
          <w:rtl/>
        </w:rPr>
      </w:pPr>
      <w:r w:rsidRPr="00E2358C">
        <w:rPr>
          <w:rtl/>
        </w:rPr>
        <w:t>הפרק יעסוק בהשפעות החורבן על מסורת המרד ועל מידת הרצון להוציא אל הפועל מרד נוסף נגד רומא.</w:t>
      </w:r>
    </w:p>
    <w:p w14:paraId="38A29C56" w14:textId="77777777" w:rsidR="008B3A00" w:rsidRDefault="006B7AA5" w:rsidP="008B3A00">
      <w:pPr>
        <w:tabs>
          <w:tab w:val="left" w:pos="5045"/>
        </w:tabs>
        <w:spacing w:line="360" w:lineRule="auto"/>
        <w:rPr>
          <w:rtl/>
        </w:rPr>
      </w:pPr>
      <w:r w:rsidRPr="008B3A00">
        <w:rPr>
          <w:b/>
          <w:bCs/>
          <w:rtl/>
        </w:rPr>
        <w:t>מהארץ לשמים</w:t>
      </w:r>
      <w:r w:rsidRPr="00E2358C">
        <w:rPr>
          <w:rtl/>
        </w:rPr>
        <w:t xml:space="preserve"> – הספרים האפוקליפטיים (עזרא הרביעי, וברוך השני) ממשיכים מחד גיסא את מסורת העויינות כלפי רומא, ומאידך גיסא מעבירים את תקוות הגאולה לאחרית הימים. חשוב מכך, בשונה מחיבורים אפוקליפטיים קדומים, בחיבורים </w:t>
      </w:r>
      <w:r w:rsidR="008B3A00">
        <w:rPr>
          <w:rFonts w:hint="cs"/>
          <w:rtl/>
        </w:rPr>
        <w:t>אלו</w:t>
      </w:r>
      <w:r w:rsidRPr="00E2358C">
        <w:rPr>
          <w:rtl/>
        </w:rPr>
        <w:t xml:space="preserve"> יש קביעה ברורה שבשלב הזה צריך לעסוק בקיום תורה ומצוות. הרחקת הגאולה לאחרית הימים והתמקדות בקיום מצוות בזמן הזה היא ביטוי לחוסר הנכונות לצאת למרד ולהפניית ההתנגדות לרומא לאפיקים רוחניים.</w:t>
      </w:r>
    </w:p>
    <w:p w14:paraId="1A5C8867" w14:textId="1BD43FDC" w:rsidR="00027540" w:rsidRPr="00E2358C" w:rsidRDefault="006B7AA5" w:rsidP="008B3A00">
      <w:pPr>
        <w:tabs>
          <w:tab w:val="left" w:pos="5045"/>
        </w:tabs>
        <w:spacing w:line="360" w:lineRule="auto"/>
        <w:rPr>
          <w:rtl/>
        </w:rPr>
      </w:pPr>
      <w:r w:rsidRPr="008B3A00">
        <w:rPr>
          <w:b/>
          <w:bCs/>
          <w:rtl/>
        </w:rPr>
        <w:t>מירושלים ליבנה</w:t>
      </w:r>
      <w:r w:rsidRPr="00E2358C">
        <w:rPr>
          <w:rtl/>
        </w:rPr>
        <w:t xml:space="preserve"> – לאחר החורבן הלך והתהווה מעמד של חכמים ששאפו להנהגת הציבור היהודי</w:t>
      </w:r>
      <w:r w:rsidR="00027540" w:rsidRPr="00E2358C">
        <w:rPr>
          <w:rtl/>
        </w:rPr>
        <w:t>. למרות שיש קושי בשחזור דבריהם של חכמים שפעלו בשני הדורות שלאחר החורבן, ניתן להצביע על שני כיוונים עיקריים. הכיוון האחד הוא קבלת המציאות כפי שהיא והתאמת הנורמות הדתיות לעולם ללא מקדש, תוך וויתור על הציפיה לשינוי מדיני בזמן הקרוב.</w:t>
      </w:r>
    </w:p>
    <w:p w14:paraId="3A220A86" w14:textId="34ED3F77" w:rsidR="00027540" w:rsidRPr="00E2358C" w:rsidRDefault="00027540" w:rsidP="005B671E">
      <w:pPr>
        <w:tabs>
          <w:tab w:val="left" w:pos="5045"/>
        </w:tabs>
        <w:spacing w:line="360" w:lineRule="auto"/>
        <w:rPr>
          <w:rtl/>
        </w:rPr>
      </w:pPr>
      <w:r w:rsidRPr="008B3A00">
        <w:rPr>
          <w:b/>
          <w:bCs/>
          <w:rtl/>
        </w:rPr>
        <w:t xml:space="preserve">גחלת </w:t>
      </w:r>
      <w:r w:rsidR="008B3A00" w:rsidRPr="008B3A00">
        <w:rPr>
          <w:rFonts w:hint="cs"/>
          <w:b/>
          <w:bCs/>
          <w:rtl/>
        </w:rPr>
        <w:t>לוחשת</w:t>
      </w:r>
      <w:r w:rsidRPr="00E2358C">
        <w:rPr>
          <w:rtl/>
        </w:rPr>
        <w:t xml:space="preserve"> – הכיוון האחר שעולה מספרות חז"ל הוא המשכה של מסורת ההתנגדות לרומא. התנגדות זו התבטאה הן בדרשות בעלות גוון אנטי-רומי חריף, והן בשימור המסורת ההלכתית לגבי היבדלות מן הגויים.</w:t>
      </w:r>
    </w:p>
    <w:p w14:paraId="15EBAB77" w14:textId="77777777" w:rsidR="00027540" w:rsidRPr="00E2358C" w:rsidRDefault="00027540" w:rsidP="005B671E">
      <w:pPr>
        <w:tabs>
          <w:tab w:val="left" w:pos="5045"/>
        </w:tabs>
        <w:spacing w:line="360" w:lineRule="auto"/>
        <w:rPr>
          <w:rtl/>
        </w:rPr>
      </w:pPr>
    </w:p>
    <w:p w14:paraId="7991E821" w14:textId="6A65FE19" w:rsidR="006B7AA5" w:rsidRPr="00E2358C" w:rsidRDefault="00027540" w:rsidP="005B671E">
      <w:pPr>
        <w:tabs>
          <w:tab w:val="left" w:pos="5045"/>
        </w:tabs>
        <w:spacing w:line="360" w:lineRule="auto"/>
        <w:rPr>
          <w:b/>
          <w:bCs/>
          <w:rtl/>
        </w:rPr>
      </w:pPr>
      <w:r w:rsidRPr="00E2358C">
        <w:rPr>
          <w:b/>
          <w:bCs/>
          <w:rtl/>
        </w:rPr>
        <w:t xml:space="preserve">פרק אחד עשר – מרד התפוצות, האמנם מרד? </w:t>
      </w:r>
      <w:r w:rsidR="006B7AA5" w:rsidRPr="00E2358C">
        <w:rPr>
          <w:b/>
          <w:bCs/>
          <w:rtl/>
        </w:rPr>
        <w:t xml:space="preserve"> </w:t>
      </w:r>
    </w:p>
    <w:p w14:paraId="65D1FD31" w14:textId="1C2F6F77" w:rsidR="00027540" w:rsidRPr="00E2358C" w:rsidRDefault="00027540" w:rsidP="005B671E">
      <w:pPr>
        <w:tabs>
          <w:tab w:val="left" w:pos="5045"/>
        </w:tabs>
        <w:spacing w:line="360" w:lineRule="auto"/>
        <w:rPr>
          <w:rtl/>
        </w:rPr>
      </w:pPr>
      <w:r w:rsidRPr="00E2358C">
        <w:rPr>
          <w:rtl/>
        </w:rPr>
        <w:t xml:space="preserve">האם האירועים המתוארים בהיסטוריוגרפיה כמרד התפוצות (117-115), הם אכן תוצאה של הפצת האידיאולוגיה הקנאית? בחינתם של האירועים לאור התשתית התיאורטית מלמדת שלא ניתן לראות באירועים אלו המשך ישיר של אירועי המרד הגדול, והסיבות להתפרצויות האלימות קשורות בהיבטים מקומיים בעיקר. אמנם, במבט לאחור, האירועים הללו נתפסו הן בעיני הרומאים והן בעיני היהודים כביטוי נוסף לעימות בין יהודה לרומא, וייתכן שזו הסיבה </w:t>
      </w:r>
      <w:r w:rsidR="00A40DCD" w:rsidRPr="00E2358C">
        <w:rPr>
          <w:rtl/>
        </w:rPr>
        <w:t>לפגיעה האנושה בקהילות היהודיות שנטלו חלק באירועים.</w:t>
      </w:r>
    </w:p>
    <w:p w14:paraId="4ED4075C" w14:textId="372B300F" w:rsidR="00A40DCD" w:rsidRPr="00E2358C" w:rsidRDefault="00A40DCD" w:rsidP="005B671E">
      <w:pPr>
        <w:tabs>
          <w:tab w:val="left" w:pos="5045"/>
        </w:tabs>
        <w:spacing w:line="360" w:lineRule="auto"/>
        <w:rPr>
          <w:rtl/>
        </w:rPr>
      </w:pPr>
    </w:p>
    <w:p w14:paraId="0EDF8EE9" w14:textId="2EDBF976" w:rsidR="00A40DCD" w:rsidRPr="00E2358C" w:rsidRDefault="00A40DCD" w:rsidP="005B671E">
      <w:pPr>
        <w:tabs>
          <w:tab w:val="left" w:pos="5045"/>
        </w:tabs>
        <w:spacing w:line="360" w:lineRule="auto"/>
        <w:rPr>
          <w:b/>
          <w:bCs/>
          <w:rtl/>
        </w:rPr>
      </w:pPr>
      <w:r w:rsidRPr="00E2358C">
        <w:rPr>
          <w:b/>
          <w:bCs/>
          <w:rtl/>
        </w:rPr>
        <w:t>פרק שנים עשר – מרד בר כוכבא וסוף עידן המרידות</w:t>
      </w:r>
    </w:p>
    <w:p w14:paraId="75D134C2" w14:textId="220C5592" w:rsidR="00F744C9" w:rsidRPr="00E2358C" w:rsidRDefault="00A40DCD" w:rsidP="005B671E">
      <w:pPr>
        <w:spacing w:line="360" w:lineRule="auto"/>
        <w:rPr>
          <w:rtl/>
        </w:rPr>
      </w:pPr>
      <w:r w:rsidRPr="00E2358C">
        <w:rPr>
          <w:rtl/>
        </w:rPr>
        <w:t xml:space="preserve">מרד בר כוכבא היה הניסיון המאורגן האחרון של יהודי ארץ ישראל למרוד בשלטון הרומי ולכונן שלטון יהודי. </w:t>
      </w:r>
      <w:r w:rsidR="00BE3770" w:rsidRPr="00E2358C">
        <w:rPr>
          <w:rtl/>
        </w:rPr>
        <w:t xml:space="preserve">מבחינה זו ניתן לראות את המרד כהמשך ישיר של המרד הגדול, ואולם הן העדויות הארכיאולוגיות והן עדויות כתובות מלמדות על מספר שינויים שחלו בטיבו של רעיון המרד </w:t>
      </w:r>
      <w:r w:rsidR="008B3A00">
        <w:rPr>
          <w:rFonts w:hint="cs"/>
          <w:rtl/>
        </w:rPr>
        <w:t xml:space="preserve">ובעקבות זאת </w:t>
      </w:r>
      <w:r w:rsidR="00BE3770" w:rsidRPr="00E2358C">
        <w:rPr>
          <w:rtl/>
        </w:rPr>
        <w:t>גם באופי הפעילות הצבאית והמדינית.</w:t>
      </w:r>
    </w:p>
    <w:p w14:paraId="4CF1A124" w14:textId="55780856" w:rsidR="00BE3770" w:rsidRPr="00E2358C" w:rsidRDefault="00BE3770" w:rsidP="005B671E">
      <w:pPr>
        <w:spacing w:line="360" w:lineRule="auto"/>
        <w:rPr>
          <w:rtl/>
        </w:rPr>
      </w:pPr>
      <w:r w:rsidRPr="008B3A00">
        <w:rPr>
          <w:b/>
          <w:bCs/>
          <w:rtl/>
        </w:rPr>
        <w:lastRenderedPageBreak/>
        <w:t>הנהגה</w:t>
      </w:r>
      <w:r w:rsidR="008F3CC8" w:rsidRPr="008B3A00">
        <w:rPr>
          <w:b/>
          <w:bCs/>
          <w:rtl/>
        </w:rPr>
        <w:t>, מנהיגות וציבור</w:t>
      </w:r>
      <w:r w:rsidR="008F3CC8" w:rsidRPr="00E2358C">
        <w:rPr>
          <w:rtl/>
        </w:rPr>
        <w:t xml:space="preserve"> </w:t>
      </w:r>
      <w:r w:rsidRPr="00E2358C">
        <w:rPr>
          <w:rtl/>
        </w:rPr>
        <w:t xml:space="preserve">– מרד בר כוכבא מתאפיין בהנהגה כריזמטית, שככל הנראה העניקה למרד </w:t>
      </w:r>
      <w:proofErr w:type="spellStart"/>
      <w:r w:rsidRPr="00E2358C">
        <w:rPr>
          <w:rtl/>
        </w:rPr>
        <w:t>מימד</w:t>
      </w:r>
      <w:proofErr w:type="spellEnd"/>
      <w:r w:rsidRPr="00E2358C">
        <w:rPr>
          <w:rtl/>
        </w:rPr>
        <w:t xml:space="preserve"> משיחי מובהק, שבא לידי ביטוי הן במטבעות המרד ומסמכים אחרים בני הזמן והן בעדויות מאוחרות על המרד בספרות חז"ל ואצל אבות הכנסייה.</w:t>
      </w:r>
      <w:r w:rsidR="00F47F18" w:rsidRPr="00E2358C">
        <w:rPr>
          <w:rtl/>
        </w:rPr>
        <w:t xml:space="preserve"> ממקורות אלו גם מסתבר שגיוס ההמונים למרד התבסס על המנהיגות הכריזמטית והציפיות שהיא טיפחה</w:t>
      </w:r>
      <w:r w:rsidR="00ED4738" w:rsidRPr="00E2358C">
        <w:rPr>
          <w:rtl/>
        </w:rPr>
        <w:t>, תוך ניצול החלטות מדיניות מהצד הרומי.</w:t>
      </w:r>
      <w:r w:rsidR="008B3A00">
        <w:rPr>
          <w:rFonts w:hint="cs"/>
          <w:rtl/>
        </w:rPr>
        <w:t xml:space="preserve"> בה בעת, האידיאולוגיה של הפילוסופיה הרביעית, ובוודאי באופן שבו כנראה באה לידי ביטוי במצדה, נזנחה.</w:t>
      </w:r>
    </w:p>
    <w:p w14:paraId="36283AF1" w14:textId="27C9618C" w:rsidR="00C30C4A" w:rsidRPr="00E2358C" w:rsidRDefault="00BE3770" w:rsidP="005B671E">
      <w:pPr>
        <w:spacing w:line="360" w:lineRule="auto"/>
        <w:rPr>
          <w:rtl/>
        </w:rPr>
      </w:pPr>
      <w:r w:rsidRPr="008B3A00">
        <w:rPr>
          <w:b/>
          <w:bCs/>
          <w:rtl/>
        </w:rPr>
        <w:t>מהלך המרד</w:t>
      </w:r>
      <w:r w:rsidRPr="00E2358C">
        <w:rPr>
          <w:rtl/>
        </w:rPr>
        <w:t xml:space="preserve"> </w:t>
      </w:r>
      <w:r w:rsidR="00C30C4A" w:rsidRPr="00E2358C">
        <w:rPr>
          <w:rtl/>
        </w:rPr>
        <w:t>–</w:t>
      </w:r>
      <w:r w:rsidRPr="00E2358C">
        <w:rPr>
          <w:rtl/>
        </w:rPr>
        <w:t xml:space="preserve"> </w:t>
      </w:r>
      <w:r w:rsidR="00C30C4A" w:rsidRPr="00E2358C">
        <w:rPr>
          <w:rtl/>
        </w:rPr>
        <w:t xml:space="preserve">המנהיגות הכריזמטית של בר כוכבא הביאה לארגונם של דפוסי פעילות דומים בכל אזור יהודה. השימוש במחילות מסתור לצורך התקפה, ארגון הכוח הלוחם, הפעילות הכלכלית ועוד. לאור זאת נבחן גם את מעמדה של ירושלים. בעוד שבמרד הגדול 'קדושת ירושלים' </w:t>
      </w:r>
      <w:proofErr w:type="spellStart"/>
      <w:r w:rsidR="00C30C4A" w:rsidRPr="00E2358C">
        <w:rPr>
          <w:rtl/>
        </w:rPr>
        <w:t>היתה</w:t>
      </w:r>
      <w:proofErr w:type="spellEnd"/>
      <w:r w:rsidR="00C30C4A" w:rsidRPr="00E2358C">
        <w:rPr>
          <w:rtl/>
        </w:rPr>
        <w:t xml:space="preserve"> נדבך באסטרטגיה של חלק מהמורדים, ייתכן שבמרד בר כוכבא בשל האופי השונה של המרד 'ירושלים' נעשתה לסיסמא בלבד.</w:t>
      </w:r>
    </w:p>
    <w:p w14:paraId="5606DE6C" w14:textId="608FB9F0" w:rsidR="00C30C4A" w:rsidRPr="00E2358C" w:rsidRDefault="00C30C4A" w:rsidP="005B671E">
      <w:pPr>
        <w:spacing w:line="360" w:lineRule="auto"/>
        <w:rPr>
          <w:rtl/>
        </w:rPr>
      </w:pPr>
    </w:p>
    <w:p w14:paraId="04DD164A" w14:textId="045FA269" w:rsidR="00C30C4A" w:rsidRPr="00E2358C" w:rsidRDefault="00C30C4A" w:rsidP="005B671E">
      <w:pPr>
        <w:spacing w:line="360" w:lineRule="auto"/>
        <w:rPr>
          <w:b/>
          <w:bCs/>
          <w:rtl/>
        </w:rPr>
      </w:pPr>
      <w:r w:rsidRPr="00E2358C">
        <w:rPr>
          <w:b/>
          <w:bCs/>
          <w:rtl/>
        </w:rPr>
        <w:t>פרק שלושה עשר – מה הלאה?</w:t>
      </w:r>
    </w:p>
    <w:p w14:paraId="63E63A09" w14:textId="1DE3D06F" w:rsidR="00C30C4A" w:rsidRPr="00E2358C" w:rsidRDefault="00C30C4A" w:rsidP="005B671E">
      <w:pPr>
        <w:spacing w:line="360" w:lineRule="auto"/>
        <w:rPr>
          <w:rtl/>
        </w:rPr>
      </w:pPr>
      <w:r w:rsidRPr="00E2358C">
        <w:rPr>
          <w:rtl/>
        </w:rPr>
        <w:t xml:space="preserve">חורבן יהודה במהלך מרד בר כוכבא העביר את מרכז הכובד של החיים היהודיים אל הגליל. המסמך העיקרי שחובר על ידי יהודים בתקופה זו (גם אם לא ברור מה </w:t>
      </w:r>
      <w:proofErr w:type="spellStart"/>
      <w:r w:rsidRPr="00E2358C">
        <w:rPr>
          <w:rtl/>
        </w:rPr>
        <w:t>היתה</w:t>
      </w:r>
      <w:proofErr w:type="spellEnd"/>
      <w:r w:rsidRPr="00E2358C">
        <w:rPr>
          <w:rtl/>
        </w:rPr>
        <w:t xml:space="preserve"> מידת התקבלותו) היה המשנה. אצביע על שלש  נטיות של המשנה שמבטאות הדחקה והתרחקות </w:t>
      </w:r>
      <w:r w:rsidR="009429C3" w:rsidRPr="00E2358C">
        <w:rPr>
          <w:rtl/>
        </w:rPr>
        <w:t>מרעיון המרד והמהפכה</w:t>
      </w:r>
      <w:r w:rsidRPr="00E2358C">
        <w:rPr>
          <w:rtl/>
        </w:rPr>
        <w:t>.</w:t>
      </w:r>
    </w:p>
    <w:p w14:paraId="1DC21047" w14:textId="2F804045" w:rsidR="00C30C4A" w:rsidRPr="00E2358C" w:rsidRDefault="00C30C4A" w:rsidP="005B671E">
      <w:pPr>
        <w:spacing w:line="360" w:lineRule="auto"/>
        <w:rPr>
          <w:rtl/>
        </w:rPr>
      </w:pPr>
      <w:r w:rsidRPr="008B3A00">
        <w:rPr>
          <w:b/>
          <w:bCs/>
          <w:rtl/>
        </w:rPr>
        <w:t>למי מיועדת המשנה</w:t>
      </w:r>
      <w:r w:rsidRPr="00E2358C">
        <w:rPr>
          <w:rtl/>
        </w:rPr>
        <w:t xml:space="preserve"> – הנמען של המשנה איננו עם ישראל או ציבור כלשהו אלא הפרט היהודי. בכך המשנה מוותרת על היומרה להציע תוכנית חברתית או משפטית לארגון של החברה היהודית</w:t>
      </w:r>
      <w:r w:rsidR="001054CA" w:rsidRPr="00E2358C">
        <w:rPr>
          <w:rtl/>
        </w:rPr>
        <w:t>.</w:t>
      </w:r>
      <w:r w:rsidRPr="00E2358C">
        <w:rPr>
          <w:rtl/>
        </w:rPr>
        <w:t xml:space="preserve"> </w:t>
      </w:r>
      <w:r w:rsidR="001054CA" w:rsidRPr="00E2358C">
        <w:rPr>
          <w:rtl/>
        </w:rPr>
        <w:t>המשנה אם כן אינה מציעה אלטרנטיבה לשלטון הרומי הנוהג בפועל,</w:t>
      </w:r>
      <w:r w:rsidRPr="00E2358C">
        <w:rPr>
          <w:rtl/>
        </w:rPr>
        <w:t xml:space="preserve"> </w:t>
      </w:r>
      <w:r w:rsidR="001054CA" w:rsidRPr="00E2358C">
        <w:rPr>
          <w:rtl/>
        </w:rPr>
        <w:t>ו</w:t>
      </w:r>
      <w:r w:rsidRPr="00E2358C">
        <w:rPr>
          <w:rtl/>
        </w:rPr>
        <w:t>מפרקת את הבסיס החברתי שעליו יכולות להבנות תוכניות ושאיפות</w:t>
      </w:r>
      <w:r w:rsidR="001054CA" w:rsidRPr="00E2358C">
        <w:rPr>
          <w:rtl/>
        </w:rPr>
        <w:t xml:space="preserve"> לשינוי השלטון הקיים.</w:t>
      </w:r>
    </w:p>
    <w:p w14:paraId="70AD9AD9" w14:textId="5F54CEB6" w:rsidR="001054CA" w:rsidRPr="00E2358C" w:rsidRDefault="001054CA" w:rsidP="005B671E">
      <w:pPr>
        <w:spacing w:line="360" w:lineRule="auto"/>
        <w:rPr>
          <w:rtl/>
        </w:rPr>
      </w:pPr>
      <w:r w:rsidRPr="002A2A53">
        <w:rPr>
          <w:b/>
          <w:bCs/>
          <w:rtl/>
        </w:rPr>
        <w:t>המקדש, ירושלים והמשנה</w:t>
      </w:r>
      <w:r w:rsidRPr="00E2358C">
        <w:rPr>
          <w:rtl/>
        </w:rPr>
        <w:t xml:space="preserve"> – המשנה מציעה תוכנית מלאה לחיים דתיים מלאים עבור הפרט שבה אין צורך בהקמת המקדש או בהגעה לירושלים.</w:t>
      </w:r>
    </w:p>
    <w:p w14:paraId="2C7C9BA7" w14:textId="3F557AFF" w:rsidR="001054CA" w:rsidRPr="00E2358C" w:rsidRDefault="001054CA" w:rsidP="005B671E">
      <w:pPr>
        <w:spacing w:line="360" w:lineRule="auto"/>
        <w:rPr>
          <w:rtl/>
        </w:rPr>
      </w:pPr>
      <w:r w:rsidRPr="002A2A53">
        <w:rPr>
          <w:b/>
          <w:bCs/>
          <w:rtl/>
        </w:rPr>
        <w:t>משיח?</w:t>
      </w:r>
      <w:r w:rsidRPr="00E2358C">
        <w:rPr>
          <w:rtl/>
        </w:rPr>
        <w:t xml:space="preserve"> – המשנה מתרחקת לחלוטין מהאפוקליפסה ומהתקוות המשיחיות ולמעשה לא מציעה אופק של שינוי אפשרי בזמן הזה.</w:t>
      </w:r>
    </w:p>
    <w:p w14:paraId="68F359C1" w14:textId="77777777" w:rsidR="002A2A53" w:rsidRDefault="002A2A53" w:rsidP="005B671E">
      <w:pPr>
        <w:spacing w:line="360" w:lineRule="auto"/>
        <w:rPr>
          <w:b/>
          <w:bCs/>
          <w:rtl/>
        </w:rPr>
      </w:pPr>
    </w:p>
    <w:p w14:paraId="7205E85A" w14:textId="4D5C4C99" w:rsidR="00DB4397" w:rsidRPr="00E2358C" w:rsidRDefault="00DB4397" w:rsidP="005B671E">
      <w:pPr>
        <w:spacing w:line="360" w:lineRule="auto"/>
        <w:rPr>
          <w:b/>
          <w:bCs/>
          <w:rtl/>
        </w:rPr>
      </w:pPr>
      <w:r w:rsidRPr="00E2358C">
        <w:rPr>
          <w:b/>
          <w:bCs/>
          <w:rtl/>
        </w:rPr>
        <w:t>פרק ארבעה עשר – סיכום ומסקנות</w:t>
      </w:r>
    </w:p>
    <w:p w14:paraId="79017F23" w14:textId="77777777" w:rsidR="0010612D" w:rsidRPr="00E2358C" w:rsidRDefault="00BE6AA6" w:rsidP="005B671E">
      <w:pPr>
        <w:spacing w:line="360" w:lineRule="auto"/>
        <w:rPr>
          <w:rtl/>
        </w:rPr>
      </w:pPr>
      <w:r w:rsidRPr="00E2358C">
        <w:rPr>
          <w:rtl/>
        </w:rPr>
        <w:t xml:space="preserve">לאור ממצאי הספר הפרק יעסוק בשאלה האם האירועים האלימים השונים שהתרחשו ביהודה לאורך מאתיים שנה הם תוצאה של התנגדות מתמדת לרומא, או שמא יש לראותם כהתרחשויות עצמאיות ומקריות. שאלה זו תבחן משתי נקודת מבט: </w:t>
      </w:r>
    </w:p>
    <w:p w14:paraId="0F4AB608" w14:textId="669B2270" w:rsidR="0010612D" w:rsidRPr="00E2358C" w:rsidRDefault="002A2A53" w:rsidP="005B671E">
      <w:pPr>
        <w:pStyle w:val="a7"/>
        <w:numPr>
          <w:ilvl w:val="0"/>
          <w:numId w:val="8"/>
        </w:numPr>
        <w:spacing w:line="360" w:lineRule="auto"/>
      </w:pPr>
      <w:r w:rsidRPr="002A2A53">
        <w:rPr>
          <w:rFonts w:hint="cs"/>
          <w:b/>
          <w:bCs/>
          <w:rtl/>
        </w:rPr>
        <w:t>יהודה ורומא?</w:t>
      </w:r>
      <w:r>
        <w:rPr>
          <w:rFonts w:hint="cs"/>
          <w:rtl/>
        </w:rPr>
        <w:t xml:space="preserve"> </w:t>
      </w:r>
      <w:r>
        <w:rPr>
          <w:rtl/>
        </w:rPr>
        <w:t>–</w:t>
      </w:r>
      <w:r>
        <w:rPr>
          <w:rFonts w:hint="cs"/>
          <w:rtl/>
        </w:rPr>
        <w:t xml:space="preserve"> </w:t>
      </w:r>
      <w:r w:rsidR="0010612D" w:rsidRPr="00E2358C">
        <w:rPr>
          <w:rtl/>
        </w:rPr>
        <w:t>המחקר המודרני שעוסק ביחסי יהודה-רומא בשנים 63 לפנה"ס-136 לספירה הגיע למסקנות הפוכות בשאלה זו.</w:t>
      </w:r>
      <w:r>
        <w:rPr>
          <w:rFonts w:hint="cs"/>
          <w:rtl/>
        </w:rPr>
        <w:t xml:space="preserve"> יש הטוענים לקיומה של אידיאולוגיית מרד אחידה לכל אורך התקופה, ויש הטוענים שכל האירועים האלימים נבעו מנסיבות מקומיות ואין לקשור ביניהן.</w:t>
      </w:r>
      <w:r w:rsidR="0010612D" w:rsidRPr="00E2358C">
        <w:rPr>
          <w:rtl/>
        </w:rPr>
        <w:t xml:space="preserve"> ממצאי הספר מציעים גישה שונה לנושא, שלפיה קבוצות </w:t>
      </w:r>
      <w:r w:rsidR="0010612D" w:rsidRPr="00E2358C">
        <w:rPr>
          <w:rtl/>
        </w:rPr>
        <w:lastRenderedPageBreak/>
        <w:t>שונות ביהודה תפסו באופן שונה את האירועים, ואילו מהצד הרומי ניתן להצביע על שינוי מצטבר לאורך זמן ביחס ליהודה וליהודים.</w:t>
      </w:r>
    </w:p>
    <w:p w14:paraId="206EF70E" w14:textId="726C04A8" w:rsidR="00BE6AA6" w:rsidRPr="00E2358C" w:rsidRDefault="0010612D" w:rsidP="005B671E">
      <w:pPr>
        <w:pStyle w:val="a7"/>
        <w:numPr>
          <w:ilvl w:val="0"/>
          <w:numId w:val="8"/>
        </w:numPr>
        <w:spacing w:line="360" w:lineRule="auto"/>
        <w:rPr>
          <w:rtl/>
        </w:rPr>
      </w:pPr>
      <w:r w:rsidRPr="002A2A53">
        <w:rPr>
          <w:b/>
          <w:bCs/>
          <w:rtl/>
        </w:rPr>
        <w:t>הזיכרון התרבותי של יחסי יהודה ורומא בשלהי העת העתיקה בקרב יהודים</w:t>
      </w:r>
      <w:r w:rsidR="002A2A53">
        <w:rPr>
          <w:rFonts w:hint="cs"/>
          <w:rtl/>
        </w:rPr>
        <w:t xml:space="preserve"> </w:t>
      </w:r>
      <w:r w:rsidR="002A2A53">
        <w:rPr>
          <w:rtl/>
        </w:rPr>
        <w:t>–</w:t>
      </w:r>
      <w:r w:rsidRPr="00E2358C">
        <w:rPr>
          <w:rtl/>
        </w:rPr>
        <w:t xml:space="preserve"> ניווכח כיצד תרבותם של חכמים</w:t>
      </w:r>
      <w:r w:rsidR="002A2A53">
        <w:rPr>
          <w:rFonts w:hint="cs"/>
          <w:rtl/>
        </w:rPr>
        <w:t xml:space="preserve">, </w:t>
      </w:r>
      <w:r w:rsidR="002A2A53" w:rsidRPr="002A2A53">
        <w:rPr>
          <w:rFonts w:hint="cs"/>
          <w:b/>
          <w:bCs/>
          <w:rtl/>
        </w:rPr>
        <w:t>לאחר תום תקופת המרידות</w:t>
      </w:r>
      <w:r w:rsidR="002A2A53">
        <w:rPr>
          <w:rFonts w:hint="cs"/>
          <w:rtl/>
        </w:rPr>
        <w:t>,</w:t>
      </w:r>
      <w:r w:rsidRPr="00E2358C">
        <w:rPr>
          <w:rtl/>
        </w:rPr>
        <w:t xml:space="preserve"> עצבה את העימות בין יהודה לרומא כעימות מהותי וכהתנגשות בין שני אחים</w:t>
      </w:r>
      <w:r w:rsidR="002A2A53">
        <w:rPr>
          <w:rFonts w:hint="cs"/>
          <w:rtl/>
        </w:rPr>
        <w:t>, יעקב ועשו,</w:t>
      </w:r>
      <w:r w:rsidRPr="00E2358C">
        <w:rPr>
          <w:rtl/>
        </w:rPr>
        <w:t xml:space="preserve"> המבטאים ערכים ותפיסות עולם מנוגדות. מנגד, ייתכן שאימוץ דמותו של </w:t>
      </w:r>
      <w:proofErr w:type="spellStart"/>
      <w:r w:rsidRPr="00E2358C">
        <w:rPr>
          <w:rtl/>
        </w:rPr>
        <w:t>הליוס</w:t>
      </w:r>
      <w:proofErr w:type="spellEnd"/>
      <w:r w:rsidRPr="00E2358C">
        <w:rPr>
          <w:rtl/>
        </w:rPr>
        <w:t xml:space="preserve"> ברצפות הפסיפס של בתי הכנסת בשלהי העת העתיקה רומזות על תפיסה אחרת שמקבלת את הקיסר הרומי ורואה אותו כחלק מסדר העולם שהוכתב על ידי האל.</w:t>
      </w:r>
    </w:p>
    <w:p w14:paraId="5383FDD9" w14:textId="306BA896" w:rsidR="00E2358C" w:rsidRPr="00E2358C" w:rsidRDefault="00E2358C" w:rsidP="00E2358C">
      <w:pPr>
        <w:bidi w:val="0"/>
        <w:spacing w:line="360" w:lineRule="auto"/>
      </w:pPr>
    </w:p>
    <w:p w14:paraId="36619E98" w14:textId="79B12DCF" w:rsidR="00E2358C" w:rsidRPr="00E2358C" w:rsidRDefault="00E2358C" w:rsidP="00E2358C">
      <w:pPr>
        <w:shd w:val="clear" w:color="auto" w:fill="FFFFFF"/>
        <w:bidi w:val="0"/>
        <w:spacing w:before="120" w:after="120" w:line="336" w:lineRule="atLeast"/>
      </w:pPr>
      <w:r w:rsidRPr="00E2358C">
        <w:rPr>
          <w:rFonts w:eastAsia="Times New Roman"/>
          <w:b/>
          <w:bCs/>
        </w:rPr>
        <w:t>3. Outstanding Features List </w:t>
      </w:r>
      <w:r w:rsidRPr="00E2358C">
        <w:rPr>
          <w:rFonts w:eastAsia="Times New Roman"/>
        </w:rPr>
        <w:t>- Briefly what you consider to be the outstanding, distinctive, or unique features of the work.</w:t>
      </w:r>
    </w:p>
    <w:p w14:paraId="54D77C64" w14:textId="77777777" w:rsidR="002A2A53" w:rsidRDefault="002A2A53" w:rsidP="002A2A53">
      <w:pPr>
        <w:shd w:val="clear" w:color="auto" w:fill="FFFFFF"/>
        <w:spacing w:before="120" w:after="120" w:line="336" w:lineRule="atLeast"/>
        <w:rPr>
          <w:rFonts w:eastAsia="Times New Roman"/>
          <w:b/>
          <w:bCs/>
          <w:rtl/>
        </w:rPr>
      </w:pPr>
    </w:p>
    <w:p w14:paraId="0FA8AD44" w14:textId="32FDFCC9" w:rsidR="00E2358C" w:rsidRPr="002A2A53" w:rsidRDefault="00E2358C" w:rsidP="002A2A53">
      <w:pPr>
        <w:shd w:val="clear" w:color="auto" w:fill="FFFFFF"/>
        <w:spacing w:before="120" w:after="120" w:line="336" w:lineRule="atLeast"/>
        <w:rPr>
          <w:rFonts w:eastAsia="Times New Roman"/>
          <w:rtl/>
        </w:rPr>
      </w:pPr>
      <w:r w:rsidRPr="002A2A53">
        <w:rPr>
          <w:rFonts w:eastAsia="Times New Roman"/>
          <w:rtl/>
        </w:rPr>
        <w:t>המאפיינים הייחודיים של ספר זה בזיקה לספרות שקיימת בנושא הם:</w:t>
      </w:r>
    </w:p>
    <w:p w14:paraId="5EAD9F87" w14:textId="3E33B652" w:rsidR="002A2A53" w:rsidRDefault="008D2AFB" w:rsidP="002A2A53">
      <w:pPr>
        <w:pStyle w:val="a7"/>
        <w:numPr>
          <w:ilvl w:val="0"/>
          <w:numId w:val="19"/>
        </w:numPr>
        <w:spacing w:line="360" w:lineRule="auto"/>
      </w:pPr>
      <w:r w:rsidRPr="002A2A53">
        <w:rPr>
          <w:b/>
          <w:bCs/>
          <w:rtl/>
        </w:rPr>
        <w:t>הגדרת הנושא: רעיון המרד</w:t>
      </w:r>
      <w:r w:rsidRPr="00E2358C">
        <w:rPr>
          <w:rtl/>
        </w:rPr>
        <w:t xml:space="preserve">  - בעשורים האחרונים התפתחו במחקר שתי תפיסות עקרוניות. מהעבר האחד חוקרים הסבורים שכבר עם ראשית הכיבוש הרומי החברה היהודית גילתה התנגדות לרומא. חוקרים אלו עסקו בעיקר בשאלה מדוע ההתנגדות העקרונית התפרצה בתקופות </w:t>
      </w:r>
      <w:proofErr w:type="spellStart"/>
      <w:r w:rsidRPr="00E2358C">
        <w:rPr>
          <w:rtl/>
        </w:rPr>
        <w:t>מסויימות</w:t>
      </w:r>
      <w:proofErr w:type="spellEnd"/>
      <w:r w:rsidRPr="00E2358C">
        <w:rPr>
          <w:rtl/>
        </w:rPr>
        <w:t xml:space="preserve"> דווקא ולא בתקופות אחרות. הגישה האחרת גרסה שככלל היהודים קיבלו את הכיבוש הרומי בהבנה. פעולות אלימות נגד רומא הוסברו על רקע של </w:t>
      </w:r>
      <w:r w:rsidR="00E04460" w:rsidRPr="00E2358C">
        <w:rPr>
          <w:rtl/>
        </w:rPr>
        <w:t>צירוף</w:t>
      </w:r>
      <w:r w:rsidRPr="00E2358C">
        <w:rPr>
          <w:rtl/>
        </w:rPr>
        <w:t xml:space="preserve"> נסיבות מקו</w:t>
      </w:r>
      <w:r w:rsidR="00E04460" w:rsidRPr="00E2358C">
        <w:rPr>
          <w:rtl/>
        </w:rPr>
        <w:t>מי</w:t>
      </w:r>
      <w:r w:rsidRPr="00E2358C">
        <w:rPr>
          <w:rtl/>
        </w:rPr>
        <w:t>, תוך נטייה למעט בחשיבותו של המרכיב האידאולוגי. בספר זה בכוונתי לעקוב אחר גלגוליו של רעיון המרד</w:t>
      </w:r>
      <w:r w:rsidR="002A2A53">
        <w:rPr>
          <w:rFonts w:hint="cs"/>
          <w:rtl/>
        </w:rPr>
        <w:t>, ומבחינה זו ניתן לראות ספר זה כביטוי ל-</w:t>
      </w:r>
      <w:r w:rsidR="002A2A53">
        <w:t>History of ideas</w:t>
      </w:r>
      <w:r w:rsidRPr="00E2358C">
        <w:rPr>
          <w:rtl/>
        </w:rPr>
        <w:t xml:space="preserve">, ולעמוד על זיקתו לאירועי התנגדות אלימים. </w:t>
      </w:r>
      <w:r w:rsidR="002A2A53">
        <w:rPr>
          <w:rFonts w:hint="cs"/>
          <w:rtl/>
        </w:rPr>
        <w:t>הספר יראה</w:t>
      </w:r>
      <w:r w:rsidRPr="00E2358C">
        <w:rPr>
          <w:rtl/>
        </w:rPr>
        <w:t xml:space="preserve"> </w:t>
      </w:r>
      <w:r w:rsidR="002A2A53">
        <w:rPr>
          <w:rFonts w:hint="cs"/>
          <w:rtl/>
        </w:rPr>
        <w:t>ש</w:t>
      </w:r>
      <w:r w:rsidRPr="00E2358C">
        <w:rPr>
          <w:rtl/>
        </w:rPr>
        <w:t xml:space="preserve">רעיון המרד עבר שינויים משמעותיים הן לאורך זמן והן בין קבוצות שונות שפעלו באותו הזמן. אופיו של רעיון המרד השפיע במידה לא מבוטלת על תפיסת הלוחמה ויעדיה אצל קבוצות </w:t>
      </w:r>
      <w:proofErr w:type="spellStart"/>
      <w:r w:rsidRPr="00E2358C">
        <w:rPr>
          <w:rtl/>
        </w:rPr>
        <w:t>מסויימות</w:t>
      </w:r>
      <w:proofErr w:type="spellEnd"/>
      <w:r w:rsidRPr="00E2358C">
        <w:rPr>
          <w:rtl/>
        </w:rPr>
        <w:t xml:space="preserve">, לעומת זאת ניווכח שחלק </w:t>
      </w:r>
      <w:r w:rsidR="00E04460" w:rsidRPr="00E2358C">
        <w:rPr>
          <w:rtl/>
        </w:rPr>
        <w:t>מהאירועים האלימים כלל לא היו קשורים לאידיאולוגיית המרד, ואולם התרחשותם הזינה לעיתים את אידיאולוגיית המרד והתומכים בה.</w:t>
      </w:r>
    </w:p>
    <w:p w14:paraId="059D823E" w14:textId="77777777" w:rsidR="002A2A53" w:rsidRDefault="002A2A53" w:rsidP="002A2A53">
      <w:pPr>
        <w:pStyle w:val="a7"/>
        <w:spacing w:line="360" w:lineRule="auto"/>
      </w:pPr>
    </w:p>
    <w:p w14:paraId="47B1F82C" w14:textId="77777777" w:rsidR="007178DA" w:rsidRDefault="00E04460" w:rsidP="007178DA">
      <w:pPr>
        <w:pStyle w:val="a7"/>
        <w:numPr>
          <w:ilvl w:val="0"/>
          <w:numId w:val="19"/>
        </w:numPr>
        <w:spacing w:line="360" w:lineRule="auto"/>
      </w:pPr>
      <w:r w:rsidRPr="002A2A53">
        <w:rPr>
          <w:b/>
          <w:bCs/>
          <w:rtl/>
        </w:rPr>
        <w:t>תיאוריה והיסטוריה</w:t>
      </w:r>
      <w:r w:rsidRPr="00E2358C">
        <w:rPr>
          <w:rtl/>
        </w:rPr>
        <w:t xml:space="preserve"> – למרות ההתנגדות של היסטוריונים רבים לכפות 'תיאוריה' על הדינמיות והקונטינגנטיות שמאפיינים התרחשויות היסטוריות, עדיין תיאוריות עדכניות בנושא מרד ומרידות מאפשרים סיווג של האירועים האלימים, ומפנים זרקור לסוג הקשרים הסיבתיים שמאפשרים לפענח תופעות </w:t>
      </w:r>
      <w:proofErr w:type="spellStart"/>
      <w:r w:rsidRPr="00E2358C">
        <w:rPr>
          <w:rtl/>
        </w:rPr>
        <w:t>מסויימות</w:t>
      </w:r>
      <w:proofErr w:type="spellEnd"/>
      <w:r w:rsidRPr="00E2358C">
        <w:rPr>
          <w:rtl/>
        </w:rPr>
        <w:t xml:space="preserve">. אני מוצא ששימוש זהיר בתיאוריות אלו יכול להבהיר את האופי המורכב של ההיסטוריה של יהודה. בה בעת, היסטוריה זו יכולה לסייע בעדכון של היבטים תיאורטיים </w:t>
      </w:r>
      <w:proofErr w:type="spellStart"/>
      <w:r w:rsidRPr="00E2358C">
        <w:rPr>
          <w:rtl/>
        </w:rPr>
        <w:t>מסויימים</w:t>
      </w:r>
      <w:proofErr w:type="spellEnd"/>
      <w:r w:rsidRPr="00E2358C">
        <w:rPr>
          <w:rtl/>
        </w:rPr>
        <w:t>, במיוחד בכמה שקשור לאופי המשתנה של אידיאולוגיית המרד ככל שהיא מופצת בקרב קבוצות שונות.</w:t>
      </w:r>
    </w:p>
    <w:p w14:paraId="4D2A7A40" w14:textId="77777777" w:rsidR="007178DA" w:rsidRDefault="007178DA" w:rsidP="007178DA">
      <w:pPr>
        <w:pStyle w:val="a7"/>
        <w:spacing w:line="360" w:lineRule="auto"/>
      </w:pPr>
    </w:p>
    <w:p w14:paraId="0032B267" w14:textId="61065E70" w:rsidR="00E04460" w:rsidRPr="00E2358C" w:rsidRDefault="00E04460" w:rsidP="007178DA">
      <w:pPr>
        <w:pStyle w:val="a7"/>
        <w:numPr>
          <w:ilvl w:val="0"/>
          <w:numId w:val="19"/>
        </w:numPr>
        <w:spacing w:line="360" w:lineRule="auto"/>
        <w:rPr>
          <w:rtl/>
        </w:rPr>
      </w:pPr>
      <w:r w:rsidRPr="007178DA">
        <w:rPr>
          <w:b/>
          <w:bCs/>
          <w:rtl/>
        </w:rPr>
        <w:t>מקורות</w:t>
      </w:r>
      <w:r w:rsidRPr="00E2358C">
        <w:rPr>
          <w:rtl/>
        </w:rPr>
        <w:t xml:space="preserve"> – בכוונתי לעשות שימוש אינטנסיבי יותר מהמקובל בספרות בית שני </w:t>
      </w:r>
      <w:r w:rsidR="005B671E" w:rsidRPr="00E2358C">
        <w:rPr>
          <w:rtl/>
        </w:rPr>
        <w:t xml:space="preserve">(כלומר, ספרות קומראן והספרות </w:t>
      </w:r>
      <w:proofErr w:type="spellStart"/>
      <w:r w:rsidR="005B671E" w:rsidRPr="00E2358C">
        <w:rPr>
          <w:rtl/>
        </w:rPr>
        <w:t>האפוקריפית</w:t>
      </w:r>
      <w:proofErr w:type="spellEnd"/>
      <w:r w:rsidR="005B671E" w:rsidRPr="00E2358C">
        <w:rPr>
          <w:rtl/>
        </w:rPr>
        <w:t xml:space="preserve">) ובממצאים ארכיאולוגיים (אפיגרפיה, מטבעות) כדי להתחקות אחרי הזרמים האידיאולוגיים השונים לגווניהם. אכן, מידי פעם בפעם </w:t>
      </w:r>
      <w:r w:rsidR="005B671E" w:rsidRPr="00E2358C">
        <w:rPr>
          <w:rtl/>
        </w:rPr>
        <w:lastRenderedPageBreak/>
        <w:t>ישנם מאמרים העוסקים בהיבט כזה או אחר, במיוחד בכל מה שקשור לאידיאולוגיה (שאולי) טבועה במטבעות מתקופת המרד הגדול ומרד בר כוכבא, ואולם שימוש שיטתי ל</w:t>
      </w:r>
      <w:r w:rsidR="007178DA">
        <w:rPr>
          <w:rFonts w:hint="cs"/>
          <w:rtl/>
        </w:rPr>
        <w:t xml:space="preserve">שם תיאור </w:t>
      </w:r>
      <w:r w:rsidR="005B671E" w:rsidRPr="00E2358C">
        <w:rPr>
          <w:rtl/>
        </w:rPr>
        <w:t xml:space="preserve">של התקופות והאירועים השונים למיטב ידיעתי, עדיין איננו </w:t>
      </w:r>
      <w:r w:rsidR="007178DA">
        <w:rPr>
          <w:rFonts w:hint="cs"/>
          <w:rtl/>
        </w:rPr>
        <w:t>קיים</w:t>
      </w:r>
      <w:r w:rsidR="005B671E" w:rsidRPr="00E2358C">
        <w:rPr>
          <w:rtl/>
        </w:rPr>
        <w:t>.</w:t>
      </w:r>
    </w:p>
    <w:p w14:paraId="244FB366" w14:textId="294EBCC7" w:rsidR="00E2358C" w:rsidRPr="00E2358C" w:rsidRDefault="00E2358C" w:rsidP="00E2358C">
      <w:pPr>
        <w:shd w:val="clear" w:color="auto" w:fill="FFFFFF"/>
        <w:bidi w:val="0"/>
        <w:spacing w:before="120" w:after="120" w:line="336" w:lineRule="atLeast"/>
        <w:rPr>
          <w:rFonts w:eastAsia="Times New Roman"/>
        </w:rPr>
      </w:pPr>
      <w:r w:rsidRPr="00E2358C">
        <w:rPr>
          <w:rFonts w:eastAsia="Times New Roman"/>
        </w:rPr>
        <w:t xml:space="preserve">4. </w:t>
      </w:r>
      <w:r w:rsidRPr="00E2358C">
        <w:rPr>
          <w:rFonts w:eastAsia="Times New Roman"/>
          <w:b/>
          <w:bCs/>
        </w:rPr>
        <w:t>Apparatus</w:t>
      </w:r>
    </w:p>
    <w:p w14:paraId="20A21F1B" w14:textId="77777777" w:rsidR="00E2358C" w:rsidRPr="00E2358C" w:rsidRDefault="00E2358C" w:rsidP="00E2358C">
      <w:pPr>
        <w:numPr>
          <w:ilvl w:val="1"/>
          <w:numId w:val="12"/>
        </w:numPr>
        <w:shd w:val="clear" w:color="auto" w:fill="FFFFFF"/>
        <w:bidi w:val="0"/>
        <w:spacing w:before="120" w:after="120" w:line="336" w:lineRule="atLeast"/>
        <w:ind w:left="2040"/>
        <w:rPr>
          <w:rFonts w:eastAsia="Times New Roman"/>
        </w:rPr>
      </w:pPr>
      <w:r w:rsidRPr="00E2358C">
        <w:rPr>
          <w:rFonts w:eastAsia="Times New Roman"/>
        </w:rPr>
        <w:t>Will the book include photographs, line drawings, cases, questions, problems, glossaries, bibliography, references, appendices, etc.?</w:t>
      </w:r>
    </w:p>
    <w:p w14:paraId="06901A7D" w14:textId="77777777" w:rsidR="00E2358C" w:rsidRPr="00E2358C" w:rsidRDefault="00E2358C" w:rsidP="00E2358C">
      <w:pPr>
        <w:numPr>
          <w:ilvl w:val="1"/>
          <w:numId w:val="12"/>
        </w:numPr>
        <w:shd w:val="clear" w:color="auto" w:fill="FFFFFF"/>
        <w:bidi w:val="0"/>
        <w:spacing w:before="120" w:after="120" w:line="336" w:lineRule="atLeast"/>
        <w:ind w:left="2040"/>
        <w:rPr>
          <w:rFonts w:eastAsia="Times New Roman"/>
        </w:rPr>
      </w:pPr>
      <w:r w:rsidRPr="00E2358C">
        <w:rPr>
          <w:rFonts w:eastAsia="Times New Roman"/>
        </w:rPr>
        <w:t>If the book is a text, do you plan to provide supplementary material to accompany it? (Teacher's manual, study guide, solutions, answers, workbook, anthology, or other material.)</w:t>
      </w:r>
    </w:p>
    <w:p w14:paraId="6154F26B" w14:textId="77777777" w:rsidR="00E2358C" w:rsidRPr="00E2358C" w:rsidRDefault="00E2358C" w:rsidP="00E2358C">
      <w:pPr>
        <w:bidi w:val="0"/>
        <w:spacing w:line="360" w:lineRule="auto"/>
      </w:pPr>
    </w:p>
    <w:p w14:paraId="32ECD9EB" w14:textId="4C61E97F" w:rsidR="00E2358C" w:rsidRPr="00E2358C" w:rsidRDefault="005B671E" w:rsidP="007178DA">
      <w:pPr>
        <w:spacing w:line="360" w:lineRule="auto"/>
        <w:rPr>
          <w:rtl/>
        </w:rPr>
      </w:pPr>
      <w:r w:rsidRPr="00E2358C">
        <w:rPr>
          <w:rtl/>
        </w:rPr>
        <w:t xml:space="preserve">הספר יכלול </w:t>
      </w:r>
      <w:r w:rsidR="005D2567" w:rsidRPr="00E2358C">
        <w:rPr>
          <w:rtl/>
        </w:rPr>
        <w:t>ביבליוגרפיה, תמונות ומפות.</w:t>
      </w:r>
    </w:p>
    <w:p w14:paraId="301E991B" w14:textId="1011A77C" w:rsidR="00E2358C" w:rsidRPr="00E2358C" w:rsidRDefault="00E2358C" w:rsidP="00E2358C">
      <w:pPr>
        <w:shd w:val="clear" w:color="auto" w:fill="FFFFFF"/>
        <w:bidi w:val="0"/>
        <w:spacing w:before="120" w:after="120" w:line="336" w:lineRule="atLeast"/>
        <w:ind w:left="709"/>
        <w:rPr>
          <w:rFonts w:eastAsia="Times New Roman"/>
        </w:rPr>
      </w:pPr>
      <w:r w:rsidRPr="00E2358C">
        <w:rPr>
          <w:rFonts w:eastAsia="Times New Roman"/>
          <w:b/>
          <w:bCs/>
        </w:rPr>
        <w:t>5. Competition</w:t>
      </w:r>
    </w:p>
    <w:p w14:paraId="20E46898" w14:textId="77777777" w:rsidR="00E2358C" w:rsidRPr="00E2358C" w:rsidRDefault="00E2358C" w:rsidP="00E2358C">
      <w:pPr>
        <w:numPr>
          <w:ilvl w:val="1"/>
          <w:numId w:val="13"/>
        </w:numPr>
        <w:shd w:val="clear" w:color="auto" w:fill="FFFFFF"/>
        <w:bidi w:val="0"/>
        <w:spacing w:before="120" w:after="120" w:line="336" w:lineRule="atLeast"/>
        <w:ind w:left="2040"/>
        <w:rPr>
          <w:rFonts w:eastAsia="Times New Roman"/>
        </w:rPr>
      </w:pPr>
      <w:r w:rsidRPr="00E2358C">
        <w:rPr>
          <w:rFonts w:eastAsia="Times New Roman"/>
        </w:rPr>
        <w:t xml:space="preserve">Consider the existing books in this field and discuss specifically their strengths and weaknesses. Spell out how your book will be </w:t>
      </w:r>
      <w:proofErr w:type="gramStart"/>
      <w:r w:rsidRPr="00E2358C">
        <w:rPr>
          <w:rFonts w:eastAsia="Times New Roman"/>
        </w:rPr>
        <w:t>similar to</w:t>
      </w:r>
      <w:proofErr w:type="gramEnd"/>
      <w:r w:rsidRPr="00E2358C">
        <w:rPr>
          <w:rFonts w:eastAsia="Times New Roman"/>
        </w:rPr>
        <w:t>, as well as different from, competing works.</w:t>
      </w:r>
    </w:p>
    <w:p w14:paraId="758D4EA5" w14:textId="77777777" w:rsidR="00E2358C" w:rsidRPr="00E2358C" w:rsidRDefault="00E2358C" w:rsidP="00E2358C">
      <w:pPr>
        <w:numPr>
          <w:ilvl w:val="1"/>
          <w:numId w:val="13"/>
        </w:numPr>
        <w:shd w:val="clear" w:color="auto" w:fill="FFFFFF"/>
        <w:bidi w:val="0"/>
        <w:spacing w:before="120" w:after="120" w:line="336" w:lineRule="atLeast"/>
        <w:ind w:left="2040"/>
        <w:rPr>
          <w:rFonts w:eastAsia="Times New Roman"/>
        </w:rPr>
      </w:pPr>
      <w:r w:rsidRPr="00E2358C">
        <w:rPr>
          <w:rFonts w:eastAsia="Times New Roman"/>
        </w:rPr>
        <w:t xml:space="preserve">Consider what aspects of topical coverage are </w:t>
      </w:r>
      <w:proofErr w:type="gramStart"/>
      <w:r w:rsidRPr="00E2358C">
        <w:rPr>
          <w:rFonts w:eastAsia="Times New Roman"/>
        </w:rPr>
        <w:t>similar to</w:t>
      </w:r>
      <w:proofErr w:type="gramEnd"/>
      <w:r w:rsidRPr="00E2358C">
        <w:rPr>
          <w:rFonts w:eastAsia="Times New Roman"/>
        </w:rPr>
        <w:t xml:space="preserve"> or different from the competition. What topics have been left out of competing books and what topics have been left out of yours?</w:t>
      </w:r>
    </w:p>
    <w:p w14:paraId="490EF3B5" w14:textId="77777777" w:rsidR="00E2358C" w:rsidRPr="00E2358C" w:rsidRDefault="00E2358C" w:rsidP="00E2358C">
      <w:pPr>
        <w:numPr>
          <w:ilvl w:val="1"/>
          <w:numId w:val="13"/>
        </w:numPr>
        <w:shd w:val="clear" w:color="auto" w:fill="FFFFFF"/>
        <w:bidi w:val="0"/>
        <w:spacing w:before="120" w:after="120" w:line="336" w:lineRule="atLeast"/>
        <w:ind w:left="2040"/>
        <w:rPr>
          <w:rFonts w:eastAsia="Times New Roman"/>
        </w:rPr>
      </w:pPr>
      <w:r w:rsidRPr="00E2358C">
        <w:rPr>
          <w:rFonts w:eastAsia="Times New Roman"/>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E2358C">
        <w:rPr>
          <w:rFonts w:eastAsia="Times New Roman"/>
        </w:rPr>
        <w:t>due, and</w:t>
      </w:r>
      <w:proofErr w:type="gramEnd"/>
      <w:r w:rsidRPr="00E2358C">
        <w:rPr>
          <w:rFonts w:eastAsia="Times New Roman"/>
        </w:rPr>
        <w:t xml:space="preserve"> show how you can do it better.</w:t>
      </w:r>
    </w:p>
    <w:p w14:paraId="5AF4F18A" w14:textId="77777777" w:rsidR="00E2358C" w:rsidRPr="00E2358C" w:rsidRDefault="00E2358C" w:rsidP="00E2358C">
      <w:pPr>
        <w:bidi w:val="0"/>
        <w:spacing w:line="360" w:lineRule="auto"/>
      </w:pPr>
    </w:p>
    <w:p w14:paraId="1DAD9A1E" w14:textId="1E8EE98A" w:rsidR="005D2567" w:rsidRPr="00E2358C" w:rsidRDefault="005D2567" w:rsidP="005D2567">
      <w:pPr>
        <w:spacing w:line="360" w:lineRule="auto"/>
        <w:rPr>
          <w:rtl/>
        </w:rPr>
      </w:pPr>
      <w:r w:rsidRPr="00E2358C">
        <w:rPr>
          <w:rtl/>
        </w:rPr>
        <w:t>לאורך השנים נכתבו עשרות ספרים ומאות מאמרים על מרידות היהודים ברומאים. הסקירה שלהלן מתייחסת לספרים ולמחקרים המשמעותיים שפורסמו בשנים האחרונות, לפי סדר כרונולוגי מהמוקדם למאוחר.</w:t>
      </w:r>
    </w:p>
    <w:p w14:paraId="178BE20E" w14:textId="6BA21092" w:rsidR="00FB0FB1" w:rsidRDefault="00FB0FB1" w:rsidP="00FB0FB1">
      <w:pPr>
        <w:pStyle w:val="a7"/>
        <w:numPr>
          <w:ilvl w:val="0"/>
          <w:numId w:val="9"/>
        </w:numPr>
        <w:bidi w:val="0"/>
        <w:spacing w:line="360" w:lineRule="auto"/>
      </w:pPr>
      <w:r w:rsidRPr="00E2358C">
        <w:t xml:space="preserve">Mireille </w:t>
      </w:r>
      <w:proofErr w:type="spellStart"/>
      <w:r w:rsidRPr="00E2358C">
        <w:t>Hadas</w:t>
      </w:r>
      <w:proofErr w:type="spellEnd"/>
      <w:r w:rsidRPr="00E2358C">
        <w:t>-Lebel: Jerusalem against Rome, Leuven 2006</w:t>
      </w:r>
    </w:p>
    <w:p w14:paraId="4362AF25" w14:textId="14016E9F" w:rsidR="007178DA" w:rsidRPr="00E2358C" w:rsidRDefault="007178DA" w:rsidP="007178DA">
      <w:pPr>
        <w:spacing w:line="360" w:lineRule="auto"/>
        <w:rPr>
          <w:rtl/>
        </w:rPr>
      </w:pPr>
      <w:r>
        <w:rPr>
          <w:rFonts w:hint="cs"/>
          <w:rtl/>
        </w:rPr>
        <w:t xml:space="preserve">ספר זה הוא מייצג נאמן של הגישה הוותיקה שלפיה כל מרידות היהודים נגד רומא, בארץ ישראל ומחוצה לה, מבטאים עמדה אנטי-רומית אחידה פחות או יותר. יתירה מזו, הרצון לעצמאות לפי </w:t>
      </w:r>
      <w:r>
        <w:rPr>
          <w:rFonts w:hint="cs"/>
          <w:rtl/>
        </w:rPr>
        <w:lastRenderedPageBreak/>
        <w:t>גישה זו הוא תוצר מובהק של העצמאות החשמונאית. תקופה זו היא שהזינה את שאיפות העצמאות ואת להבות המרד למשך למעלה ממאתיים שנים.</w:t>
      </w:r>
    </w:p>
    <w:p w14:paraId="465D562F" w14:textId="247C6C45" w:rsidR="000D1FBC" w:rsidRPr="00E2358C" w:rsidRDefault="005369E6" w:rsidP="000D1FBC">
      <w:pPr>
        <w:pStyle w:val="a7"/>
        <w:numPr>
          <w:ilvl w:val="0"/>
          <w:numId w:val="9"/>
        </w:numPr>
        <w:bidi w:val="0"/>
        <w:spacing w:line="360" w:lineRule="auto"/>
      </w:pPr>
      <w:r w:rsidRPr="00E2358C">
        <w:t xml:space="preserve">Goodman, Martin. Rome and Jerusalem: The Clash of Ancient Civilizations. </w:t>
      </w:r>
      <w:proofErr w:type="gramStart"/>
      <w:r w:rsidRPr="00E2358C">
        <w:t>London ;</w:t>
      </w:r>
      <w:proofErr w:type="gramEnd"/>
      <w:r w:rsidRPr="00E2358C">
        <w:t xml:space="preserve"> New York: Allen Lane, 2007.</w:t>
      </w:r>
    </w:p>
    <w:p w14:paraId="54524D6F" w14:textId="0669A0B9" w:rsidR="000D1FBC" w:rsidRPr="00E2358C" w:rsidRDefault="000A4B20" w:rsidP="000D1FBC">
      <w:pPr>
        <w:spacing w:line="360" w:lineRule="auto"/>
        <w:rPr>
          <w:rtl/>
        </w:rPr>
      </w:pPr>
      <w:r w:rsidRPr="00E2358C">
        <w:rPr>
          <w:rtl/>
        </w:rPr>
        <w:t xml:space="preserve">ספרו של גודמן סוקר במכחול רחב את היחסים בין יהודים לרומאים החל מכיבושי </w:t>
      </w:r>
      <w:proofErr w:type="spellStart"/>
      <w:r w:rsidRPr="00E2358C">
        <w:rPr>
          <w:rtl/>
        </w:rPr>
        <w:t>פומפיוס</w:t>
      </w:r>
      <w:proofErr w:type="spellEnd"/>
      <w:r w:rsidRPr="00E2358C">
        <w:rPr>
          <w:rtl/>
        </w:rPr>
        <w:t xml:space="preserve"> ועד לימי קונסטנטינוס. </w:t>
      </w:r>
      <w:r w:rsidR="000D1FBC" w:rsidRPr="00E2358C">
        <w:rPr>
          <w:rtl/>
        </w:rPr>
        <w:t xml:space="preserve">בניגוד למשתמע משם ספרו של גודמן, יהודים ורומאים לא נעו לקראת התנגשות בלתי נמנעת. המרד הגדול לפי גודמן היה תוצאה של השתלשלות טראגית ולא הכרחית. </w:t>
      </w:r>
      <w:r w:rsidR="007271A2" w:rsidRPr="00E2358C">
        <w:rPr>
          <w:rtl/>
        </w:rPr>
        <w:t xml:space="preserve">ספרו של גודמן שינה באופן דרמטי את האופן שבו נתפסה ההתנגדות של יהודים כלפי רומא. </w:t>
      </w:r>
      <w:r w:rsidR="007178DA">
        <w:rPr>
          <w:rFonts w:hint="cs"/>
          <w:rtl/>
        </w:rPr>
        <w:t xml:space="preserve">במידה רבה ספר זה הוא ההפך המוחלט מספרה של </w:t>
      </w:r>
      <w:proofErr w:type="spellStart"/>
      <w:r w:rsidR="007178DA">
        <w:t>Hadas</w:t>
      </w:r>
      <w:proofErr w:type="spellEnd"/>
      <w:r w:rsidR="007178DA">
        <w:t>-Lebel</w:t>
      </w:r>
      <w:r w:rsidR="007178DA">
        <w:rPr>
          <w:rFonts w:hint="cs"/>
          <w:rtl/>
        </w:rPr>
        <w:t>, והוא מב</w:t>
      </w:r>
      <w:r w:rsidR="007271A2" w:rsidRPr="00E2358C">
        <w:rPr>
          <w:rtl/>
        </w:rPr>
        <w:t xml:space="preserve">ליט את תקופות השקט והשגשוג. ספרו של גודמן עוסק במכלול ההיבטים של יחסי יהודים-רומאים ובכלל זה התרבות, הפוליטיקה והדת. תמונה רחבה זו אמנם מעניקה פרספקטיבה כלפי כלל החברה ביהודה, אבל היא עשויה להחמיץ התפתחויות אידיאולוגיות חרישיות שפילסו את דרכן משולי החברה לחלקים רחבים בציבור. התפתחויות אלו, ככל שהן נוגעות לרעיון המרד נגד רומא, הם שיעמדו במוקד הספר המוצע. מטבע הדברים, גודמן עושה, שימוש אינטנסיבי בסופרים יווניים ורומיים, אבל סופרים אלו, ובכללם </w:t>
      </w:r>
      <w:proofErr w:type="spellStart"/>
      <w:r w:rsidR="007271A2" w:rsidRPr="00E2358C">
        <w:rPr>
          <w:rtl/>
        </w:rPr>
        <w:t>יוספוס</w:t>
      </w:r>
      <w:proofErr w:type="spellEnd"/>
      <w:r w:rsidR="007271A2" w:rsidRPr="00E2358C">
        <w:rPr>
          <w:rtl/>
        </w:rPr>
        <w:t>, לא היו יכולים להכיר את החיים הרוחניים והדתיים על שלל הניואנסים שלהם. על מנת למלא חסר זה בכוונתי לתת מקום רחב יותר למקורות היהודיים בני הזמן ובכלל זה גם כתבי הברית החדשה (עם כל המורכבות המתודולוגית הכרוכה בהם).</w:t>
      </w:r>
    </w:p>
    <w:p w14:paraId="55DA06D5" w14:textId="60A92C03" w:rsidR="008B6677" w:rsidRPr="007178DA" w:rsidRDefault="008B6677" w:rsidP="008B6677">
      <w:pPr>
        <w:pStyle w:val="a7"/>
        <w:numPr>
          <w:ilvl w:val="0"/>
          <w:numId w:val="9"/>
        </w:numPr>
        <w:bidi w:val="0"/>
        <w:spacing w:line="360" w:lineRule="auto"/>
      </w:pPr>
      <w:r w:rsidRPr="007178DA">
        <w:t xml:space="preserve">Hanan </w:t>
      </w:r>
      <w:proofErr w:type="spellStart"/>
      <w:r w:rsidRPr="007178DA">
        <w:t>Eshel</w:t>
      </w:r>
      <w:proofErr w:type="spellEnd"/>
      <w:r w:rsidRPr="007178DA">
        <w:t xml:space="preserve">, </w:t>
      </w:r>
      <w:r w:rsidRPr="007178DA">
        <w:rPr>
          <w:i/>
          <w:iCs/>
        </w:rPr>
        <w:t>The Dead Sea Scrolls and the Hasmonean State</w:t>
      </w:r>
      <w:r w:rsidRPr="007178DA">
        <w:t>, Grand Rapids. MI:  Eerdmans/Jerusalem Ben-</w:t>
      </w:r>
      <w:proofErr w:type="spellStart"/>
      <w:r w:rsidRPr="007178DA">
        <w:t>Zvi</w:t>
      </w:r>
      <w:proofErr w:type="spellEnd"/>
      <w:r w:rsidRPr="007178DA">
        <w:t xml:space="preserve"> Press, 2008.</w:t>
      </w:r>
    </w:p>
    <w:p w14:paraId="5396092C" w14:textId="3DEAB0C1" w:rsidR="007178DA" w:rsidRPr="00E2358C" w:rsidRDefault="008B6677" w:rsidP="007178DA">
      <w:pPr>
        <w:spacing w:line="360" w:lineRule="auto"/>
        <w:rPr>
          <w:rtl/>
        </w:rPr>
      </w:pPr>
      <w:r w:rsidRPr="00E2358C">
        <w:rPr>
          <w:rtl/>
        </w:rPr>
        <w:t xml:space="preserve">ספרו של אשל עוקב אחרי השלבים השונים בהתפתחות המדינה החשמונאית החל ממרד החשמונאים ועד לכיבושי </w:t>
      </w:r>
      <w:proofErr w:type="spellStart"/>
      <w:r w:rsidRPr="00E2358C">
        <w:rPr>
          <w:rtl/>
        </w:rPr>
        <w:t>פומפיוס</w:t>
      </w:r>
      <w:proofErr w:type="spellEnd"/>
      <w:r w:rsidRPr="00E2358C">
        <w:rPr>
          <w:rtl/>
        </w:rPr>
        <w:t>. מטרת</w:t>
      </w:r>
      <w:r w:rsidR="007178DA">
        <w:rPr>
          <w:rFonts w:hint="cs"/>
          <w:rtl/>
        </w:rPr>
        <w:t xml:space="preserve"> </w:t>
      </w:r>
      <w:r w:rsidRPr="00E2358C">
        <w:rPr>
          <w:rtl/>
        </w:rPr>
        <w:t xml:space="preserve">הספר היא להראות כיצד מגילות מדבר יהודה מאפשרות הבנה טובה יותר של תהליכים חברתיים ואירועים מדיניים ואחרים ביהודה החשמונאית. אשל איננו עוסק בתקופה שבה אמור לעסוק הספר המוצע, אבל הוא מורה דרך לאופן שבו כתבי קומראן וחיבורים יהודים אחרים בני הזמן יכולים לסייע בשחזור ההיסטוריה ולבחינת מקורות היסטוריים אחרים דוגמת </w:t>
      </w:r>
      <w:proofErr w:type="spellStart"/>
      <w:r w:rsidRPr="00E2358C">
        <w:rPr>
          <w:rtl/>
        </w:rPr>
        <w:t>יוספוס</w:t>
      </w:r>
      <w:proofErr w:type="spellEnd"/>
      <w:r w:rsidRPr="00E2358C">
        <w:rPr>
          <w:rtl/>
        </w:rPr>
        <w:t>.</w:t>
      </w:r>
    </w:p>
    <w:p w14:paraId="2ECA60DB" w14:textId="42CC82C0" w:rsidR="001A5C68" w:rsidRPr="007178DA" w:rsidRDefault="001A5C68" w:rsidP="008D57B2">
      <w:pPr>
        <w:pStyle w:val="a7"/>
        <w:numPr>
          <w:ilvl w:val="0"/>
          <w:numId w:val="9"/>
        </w:numPr>
        <w:bidi w:val="0"/>
        <w:spacing w:line="360" w:lineRule="auto"/>
      </w:pPr>
      <w:r w:rsidRPr="007178DA">
        <w:t xml:space="preserve">Mark Andrew Brighton, </w:t>
      </w:r>
      <w:r w:rsidRPr="007178DA">
        <w:rPr>
          <w:i/>
          <w:iCs/>
        </w:rPr>
        <w:t>Sicarii in Josephus's Judean War: Rhetorical Analysis and Historical Observations</w:t>
      </w:r>
      <w:r w:rsidRPr="007178DA">
        <w:t xml:space="preserve"> (Atlanta: Society of Biblical Literature), 2009.</w:t>
      </w:r>
    </w:p>
    <w:p w14:paraId="3AC0CB6E" w14:textId="0A17E41B" w:rsidR="00BC0ECD" w:rsidRPr="00E2358C" w:rsidRDefault="00BC0ECD" w:rsidP="00BC0ECD">
      <w:pPr>
        <w:spacing w:line="360" w:lineRule="auto"/>
        <w:rPr>
          <w:rtl/>
        </w:rPr>
      </w:pPr>
      <w:r w:rsidRPr="00E2358C">
        <w:rPr>
          <w:rtl/>
        </w:rPr>
        <w:t xml:space="preserve">ברייטון מציג ניתוח לשוני וספרותי מעמיק של המונח 'סיקריים' בכתבי </w:t>
      </w:r>
      <w:proofErr w:type="spellStart"/>
      <w:r w:rsidRPr="00E2358C">
        <w:rPr>
          <w:rtl/>
        </w:rPr>
        <w:t>יוספוס</w:t>
      </w:r>
      <w:proofErr w:type="spellEnd"/>
      <w:r w:rsidRPr="00E2358C">
        <w:rPr>
          <w:rtl/>
        </w:rPr>
        <w:t xml:space="preserve">. לדבריו, </w:t>
      </w:r>
      <w:proofErr w:type="spellStart"/>
      <w:r w:rsidRPr="00E2358C">
        <w:rPr>
          <w:rtl/>
        </w:rPr>
        <w:t>יוספוס</w:t>
      </w:r>
      <w:proofErr w:type="spellEnd"/>
      <w:r w:rsidRPr="00E2358C">
        <w:rPr>
          <w:rtl/>
        </w:rPr>
        <w:t xml:space="preserve"> משתמש במונח זה כדי לציין מאפיין </w:t>
      </w:r>
      <w:proofErr w:type="spellStart"/>
      <w:r w:rsidRPr="00E2358C">
        <w:rPr>
          <w:rtl/>
        </w:rPr>
        <w:t>מסויים</w:t>
      </w:r>
      <w:proofErr w:type="spellEnd"/>
      <w:r w:rsidRPr="00E2358C">
        <w:rPr>
          <w:rtl/>
        </w:rPr>
        <w:t xml:space="preserve"> של פעילות טרור של יהודים נגד יהודים במהלך המרד הגדול. על הסיקריים כקבוצה מובחנת ניתן לדבר רק עם תחילת המרד הגדול. ברייטון איננו עוסק כמעט בקבוצות מורדים אחרות (הקנאים, יוחנן מגוש חלב, שמעון בר גיורא). ההתמקדות בניתוח הלשוני של </w:t>
      </w:r>
      <w:proofErr w:type="spellStart"/>
      <w:r w:rsidRPr="00E2358C">
        <w:rPr>
          <w:rtl/>
        </w:rPr>
        <w:t>יוספוס</w:t>
      </w:r>
      <w:proofErr w:type="spellEnd"/>
      <w:r w:rsidRPr="00E2358C">
        <w:rPr>
          <w:rtl/>
        </w:rPr>
        <w:t xml:space="preserve"> נוטה להמעיט מהתרומה של מקורות תלמודיים להבנת הקבוצה הזו, וכן מהזיקות הרעיוניות האפשריות בין האידיאולוגיות הרדיקליות והאנטי-רומיות שתססו ביהודה במאה הראשונה לספירה.</w:t>
      </w:r>
    </w:p>
    <w:p w14:paraId="5E3D5E66" w14:textId="1F0CBF18" w:rsidR="007178DA" w:rsidRDefault="001A5C68" w:rsidP="007178DA">
      <w:pPr>
        <w:pStyle w:val="a7"/>
        <w:numPr>
          <w:ilvl w:val="0"/>
          <w:numId w:val="9"/>
        </w:numPr>
        <w:bidi w:val="0"/>
        <w:spacing w:line="360" w:lineRule="auto"/>
      </w:pPr>
      <w:proofErr w:type="spellStart"/>
      <w:r w:rsidRPr="00E2358C">
        <w:lastRenderedPageBreak/>
        <w:t>Mladen</w:t>
      </w:r>
      <w:proofErr w:type="spellEnd"/>
      <w:r w:rsidRPr="00E2358C">
        <w:t xml:space="preserve"> </w:t>
      </w:r>
      <w:proofErr w:type="spellStart"/>
      <w:r w:rsidRPr="00E2358C">
        <w:t>Popovi</w:t>
      </w:r>
      <w:r w:rsidRPr="00E2358C">
        <w:rPr>
          <w:rFonts w:ascii="Calibri" w:hAnsi="Calibri" w:cs="Calibri"/>
        </w:rPr>
        <w:t>ć</w:t>
      </w:r>
      <w:proofErr w:type="spellEnd"/>
      <w:r w:rsidRPr="00E2358C">
        <w:t xml:space="preserve"> (ed.), </w:t>
      </w:r>
      <w:r w:rsidRPr="00E2358C">
        <w:rPr>
          <w:i/>
          <w:iCs/>
        </w:rPr>
        <w:t>The Jewish Revolt Against Rome: Interdisciplinary Perspectives</w:t>
      </w:r>
      <w:r w:rsidRPr="00E2358C">
        <w:t xml:space="preserve"> (Leiden: Brill), 2011.</w:t>
      </w:r>
    </w:p>
    <w:p w14:paraId="470BBE8E" w14:textId="3ACA3522" w:rsidR="007178DA" w:rsidRDefault="007178DA" w:rsidP="007178DA">
      <w:pPr>
        <w:pStyle w:val="a7"/>
        <w:bidi w:val="0"/>
        <w:spacing w:line="360" w:lineRule="auto"/>
        <w:jc w:val="right"/>
        <w:rPr>
          <w:rtl/>
        </w:rPr>
      </w:pPr>
      <w:r>
        <w:rPr>
          <w:rFonts w:hint="cs"/>
          <w:rtl/>
        </w:rPr>
        <w:t xml:space="preserve">זוהי אסופת מאמרים חשובה המציגה חידושים בתחומי מחקר שונים ובפרט בארכיאולוגיה של תקופת המרד הגדול. כמובן שאין למצוא </w:t>
      </w:r>
      <w:proofErr w:type="spellStart"/>
      <w:r>
        <w:rPr>
          <w:rFonts w:hint="cs"/>
          <w:rtl/>
        </w:rPr>
        <w:t>תיזה</w:t>
      </w:r>
      <w:proofErr w:type="spellEnd"/>
      <w:r>
        <w:rPr>
          <w:rFonts w:hint="cs"/>
          <w:rtl/>
        </w:rPr>
        <w:t xml:space="preserve"> קוהרנטית לגבי המרד הגדול ואף אין התייחסות לשלל הסוגיות והנושאים הקשורים במרד הגדול.</w:t>
      </w:r>
    </w:p>
    <w:p w14:paraId="7A651E22" w14:textId="77777777" w:rsidR="007178DA" w:rsidRPr="00E2358C" w:rsidRDefault="007178DA" w:rsidP="007178DA">
      <w:pPr>
        <w:pStyle w:val="a7"/>
        <w:bidi w:val="0"/>
        <w:spacing w:line="360" w:lineRule="auto"/>
        <w:jc w:val="right"/>
        <w:rPr>
          <w:rtl/>
        </w:rPr>
      </w:pPr>
    </w:p>
    <w:p w14:paraId="45D1FB6F" w14:textId="3C638079" w:rsidR="00D03472" w:rsidRPr="007178DA" w:rsidRDefault="00D03472" w:rsidP="001A5C68">
      <w:pPr>
        <w:pStyle w:val="a7"/>
        <w:numPr>
          <w:ilvl w:val="0"/>
          <w:numId w:val="9"/>
        </w:numPr>
        <w:bidi w:val="0"/>
        <w:spacing w:line="360" w:lineRule="auto"/>
      </w:pPr>
      <w:r w:rsidRPr="007178DA">
        <w:t xml:space="preserve">Portier-Young, </w:t>
      </w:r>
      <w:proofErr w:type="spellStart"/>
      <w:r w:rsidRPr="007178DA">
        <w:t>Anathea</w:t>
      </w:r>
      <w:proofErr w:type="spellEnd"/>
      <w:r w:rsidRPr="007178DA">
        <w:t xml:space="preserve">. </w:t>
      </w:r>
      <w:r w:rsidRPr="007178DA">
        <w:rPr>
          <w:i/>
          <w:iCs/>
        </w:rPr>
        <w:t>Apocalypse against Empire: Theologies of Resistance in Early Judaism</w:t>
      </w:r>
      <w:r w:rsidRPr="007178DA">
        <w:t>. Grand Rapids, Mich.: William B. Eerdmans Pub., 2011.</w:t>
      </w:r>
    </w:p>
    <w:p w14:paraId="50447F9E" w14:textId="7C434C74" w:rsidR="00C72A5F" w:rsidRPr="00E2358C" w:rsidRDefault="00C72A5F" w:rsidP="00C72A5F">
      <w:pPr>
        <w:spacing w:line="360" w:lineRule="auto"/>
        <w:ind w:left="360"/>
        <w:rPr>
          <w:rtl/>
        </w:rPr>
      </w:pPr>
      <w:proofErr w:type="spellStart"/>
      <w:r w:rsidRPr="00E2358C">
        <w:rPr>
          <w:rtl/>
        </w:rPr>
        <w:t>פורטיר</w:t>
      </w:r>
      <w:proofErr w:type="spellEnd"/>
      <w:r w:rsidRPr="00E2358C">
        <w:rPr>
          <w:rtl/>
        </w:rPr>
        <w:t xml:space="preserve">-יאנג הניחה תשתית תיאורטית ודוגמא מחקרית מרשימה לאופן שבו ספרות הבית השני בכלל, והספרות האפוקליפטית בפרט, יכולה לחשוף את אידיאולוגיות של התנגדות </w:t>
      </w:r>
      <w:proofErr w:type="spellStart"/>
      <w:r w:rsidRPr="00E2358C">
        <w:rPr>
          <w:rtl/>
        </w:rPr>
        <w:t>לכח</w:t>
      </w:r>
      <w:proofErr w:type="spellEnd"/>
      <w:r w:rsidRPr="00E2358C">
        <w:rPr>
          <w:rtl/>
        </w:rPr>
        <w:t xml:space="preserve"> אימפריאלי. </w:t>
      </w:r>
      <w:proofErr w:type="spellStart"/>
      <w:r w:rsidRPr="00E2358C">
        <w:rPr>
          <w:rtl/>
        </w:rPr>
        <w:t>פורטיר</w:t>
      </w:r>
      <w:proofErr w:type="spellEnd"/>
      <w:r w:rsidRPr="00E2358C">
        <w:rPr>
          <w:rtl/>
        </w:rPr>
        <w:t>-יאנג עוסקת בתקופה ההלניסטית, ובקשרים שבין הספרות האפוקליפטית בת התקופה למרד המקבים. מסקנות מחקרה עשויות לשמש תשתית מתודולוגית והיסטורית למחקר המוצע, אם כי יש כמובן להביא בחשבון את הביקורות המתודולוגיות והאחרות שהועלו ביחס לדבריה.</w:t>
      </w:r>
    </w:p>
    <w:p w14:paraId="2CC5875C" w14:textId="66885DA1" w:rsidR="001A5C68" w:rsidRPr="00E2358C" w:rsidRDefault="001A5C68" w:rsidP="006019B4">
      <w:pPr>
        <w:pStyle w:val="a7"/>
        <w:numPr>
          <w:ilvl w:val="0"/>
          <w:numId w:val="9"/>
        </w:numPr>
        <w:bidi w:val="0"/>
        <w:spacing w:line="360" w:lineRule="auto"/>
      </w:pPr>
      <w:r w:rsidRPr="00E2358C">
        <w:t xml:space="preserve">William Horbury, Jewish War under </w:t>
      </w:r>
      <w:proofErr w:type="gramStart"/>
      <w:r w:rsidRPr="00E2358C">
        <w:t>Trajan</w:t>
      </w:r>
      <w:proofErr w:type="gramEnd"/>
      <w:r w:rsidRPr="00E2358C">
        <w:t xml:space="preserve"> and Hadrian (Cambridge: Cambridge University Press), 2014</w:t>
      </w:r>
    </w:p>
    <w:p w14:paraId="187CDE74" w14:textId="6FAB42D7" w:rsidR="00870006" w:rsidRPr="00E2358C" w:rsidRDefault="00870006" w:rsidP="00870006">
      <w:pPr>
        <w:spacing w:line="360" w:lineRule="auto"/>
        <w:rPr>
          <w:rtl/>
        </w:rPr>
      </w:pPr>
      <w:r w:rsidRPr="00E2358C">
        <w:rPr>
          <w:rtl/>
        </w:rPr>
        <w:t xml:space="preserve">ספרו של </w:t>
      </w:r>
      <w:proofErr w:type="spellStart"/>
      <w:r w:rsidRPr="00E2358C">
        <w:rPr>
          <w:rtl/>
        </w:rPr>
        <w:t>הארברי</w:t>
      </w:r>
      <w:proofErr w:type="spellEnd"/>
      <w:r w:rsidRPr="00E2358C">
        <w:rPr>
          <w:rtl/>
        </w:rPr>
        <w:t xml:space="preserve"> סוקר את מרידות היהודים בימי </w:t>
      </w:r>
      <w:proofErr w:type="spellStart"/>
      <w:r w:rsidRPr="00E2358C">
        <w:rPr>
          <w:rtl/>
        </w:rPr>
        <w:t>טריאנוס</w:t>
      </w:r>
      <w:proofErr w:type="spellEnd"/>
      <w:r w:rsidRPr="00E2358C">
        <w:rPr>
          <w:rtl/>
        </w:rPr>
        <w:t xml:space="preserve"> </w:t>
      </w:r>
      <w:proofErr w:type="spellStart"/>
      <w:r w:rsidRPr="00E2358C">
        <w:rPr>
          <w:rtl/>
        </w:rPr>
        <w:t>והדריאנוס</w:t>
      </w:r>
      <w:proofErr w:type="spellEnd"/>
      <w:r w:rsidRPr="00E2358C">
        <w:rPr>
          <w:rtl/>
        </w:rPr>
        <w:t xml:space="preserve">. הספר מבוסס על בראש ובראשונה על המקורות הרומיים המוכרים, תוך הישענות על מחקרים שעשו שימוש במקורות היהודיים. הספר מאמץ את הגישה הוותיקה שרואה את מרידות היהודים כולן כחלק מתנועת התנגדות יהודית לרומא שראשיתה בכיבושי </w:t>
      </w:r>
      <w:proofErr w:type="spellStart"/>
      <w:r w:rsidRPr="00E2358C">
        <w:rPr>
          <w:rtl/>
        </w:rPr>
        <w:t>פומפיוס</w:t>
      </w:r>
      <w:proofErr w:type="spellEnd"/>
      <w:r w:rsidRPr="00E2358C">
        <w:rPr>
          <w:rtl/>
        </w:rPr>
        <w:t>. הספר עשיר במקורות ראשוניים ומשניים אבל איננו מנסה לחדור לשינויים שחלו ברעיון המרד ובמימושו בחוגים שונים בחברה היהודית.</w:t>
      </w:r>
    </w:p>
    <w:p w14:paraId="3BD380A9" w14:textId="18302679" w:rsidR="00315C43" w:rsidRPr="00E2358C" w:rsidRDefault="00315C43" w:rsidP="001A5C68">
      <w:pPr>
        <w:pStyle w:val="a7"/>
        <w:numPr>
          <w:ilvl w:val="0"/>
          <w:numId w:val="9"/>
        </w:numPr>
        <w:bidi w:val="0"/>
        <w:spacing w:line="360" w:lineRule="auto"/>
      </w:pPr>
      <w:proofErr w:type="spellStart"/>
      <w:r w:rsidRPr="00E2358C">
        <w:t>Gambash</w:t>
      </w:r>
      <w:proofErr w:type="spellEnd"/>
      <w:r w:rsidRPr="00E2358C">
        <w:t>, Gil. Rome and Provincial Resistance. Routledge Monographs in Classical Studies; 21. New York: Routledge/Taylor &amp; Francis Group, 2015.</w:t>
      </w:r>
    </w:p>
    <w:p w14:paraId="0A40A6E2" w14:textId="08B1E1F6" w:rsidR="00870006" w:rsidRPr="00E2358C" w:rsidRDefault="0053794F" w:rsidP="00870006">
      <w:pPr>
        <w:spacing w:line="360" w:lineRule="auto"/>
        <w:rPr>
          <w:rtl/>
        </w:rPr>
      </w:pPr>
      <w:r w:rsidRPr="00E2358C">
        <w:rPr>
          <w:rtl/>
        </w:rPr>
        <w:t xml:space="preserve">ספרו של </w:t>
      </w:r>
      <w:proofErr w:type="spellStart"/>
      <w:r w:rsidRPr="00E2358C">
        <w:rPr>
          <w:rtl/>
        </w:rPr>
        <w:t>גמבש</w:t>
      </w:r>
      <w:proofErr w:type="spellEnd"/>
      <w:r w:rsidRPr="00E2358C">
        <w:rPr>
          <w:rtl/>
        </w:rPr>
        <w:t xml:space="preserve"> עוסק אמנם במרידות ובהתנגדות לרומא </w:t>
      </w:r>
      <w:proofErr w:type="spellStart"/>
      <w:r w:rsidRPr="00E2358C">
        <w:rPr>
          <w:rtl/>
        </w:rPr>
        <w:t>בפרובינקיות</w:t>
      </w:r>
      <w:proofErr w:type="spellEnd"/>
      <w:r w:rsidRPr="00E2358C">
        <w:rPr>
          <w:rtl/>
        </w:rPr>
        <w:t xml:space="preserve"> השונות, אבל הוא מקדיש מקום נרחב ליהודה, ובמידה רבה אחת ממטרות הספר היא להבהיר מה ההבדל בין המרד ביהודה למרידות </w:t>
      </w:r>
      <w:proofErr w:type="spellStart"/>
      <w:r w:rsidRPr="00E2358C">
        <w:rPr>
          <w:rtl/>
        </w:rPr>
        <w:t>בפרובינקיות</w:t>
      </w:r>
      <w:proofErr w:type="spellEnd"/>
      <w:r w:rsidRPr="00E2358C">
        <w:rPr>
          <w:rtl/>
        </w:rPr>
        <w:t xml:space="preserve"> אחרות מנקודת המבט הרומית. הספר עשיר בדיונים על האופן שבו הרומאים תפסו את המרידות השונות, אבל הוא נמנע ביודעין מלהתייחס לנקודת המבט של המורדים בכלל ושל היהודים בפרט. מבחינה זו הספר המוצע משלים את ספרו של </w:t>
      </w:r>
      <w:proofErr w:type="spellStart"/>
      <w:r w:rsidRPr="00E2358C">
        <w:rPr>
          <w:rtl/>
        </w:rPr>
        <w:t>גמבש</w:t>
      </w:r>
      <w:proofErr w:type="spellEnd"/>
      <w:r w:rsidRPr="00E2358C">
        <w:rPr>
          <w:rtl/>
        </w:rPr>
        <w:t xml:space="preserve"> בהאירו את נקודת המבט היהודית, ועל בסיס ספרו של </w:t>
      </w:r>
      <w:proofErr w:type="spellStart"/>
      <w:r w:rsidRPr="00E2358C">
        <w:rPr>
          <w:rtl/>
        </w:rPr>
        <w:t>גמבש</w:t>
      </w:r>
      <w:proofErr w:type="spellEnd"/>
      <w:r w:rsidRPr="00E2358C">
        <w:rPr>
          <w:rtl/>
        </w:rPr>
        <w:t xml:space="preserve"> ניתן גם להבין טוב יותר את התגובות של היהודים לצעדי הרומאים ולהפך.</w:t>
      </w:r>
    </w:p>
    <w:p w14:paraId="0205FFA6" w14:textId="3E2BF6CB" w:rsidR="00FB0FB1" w:rsidRPr="00AA0AD8" w:rsidRDefault="00FB0FB1" w:rsidP="00FB0FB1">
      <w:pPr>
        <w:pStyle w:val="a7"/>
        <w:numPr>
          <w:ilvl w:val="0"/>
          <w:numId w:val="9"/>
        </w:numPr>
        <w:bidi w:val="0"/>
        <w:spacing w:line="360" w:lineRule="auto"/>
      </w:pPr>
      <w:proofErr w:type="spellStart"/>
      <w:r w:rsidRPr="00AA0AD8">
        <w:t>Vasily</w:t>
      </w:r>
      <w:proofErr w:type="spellEnd"/>
      <w:r w:rsidRPr="00AA0AD8">
        <w:t xml:space="preserve"> </w:t>
      </w:r>
      <w:proofErr w:type="spellStart"/>
      <w:r w:rsidRPr="00AA0AD8">
        <w:t>Rudich</w:t>
      </w:r>
      <w:proofErr w:type="spellEnd"/>
      <w:r w:rsidRPr="00AA0AD8">
        <w:t>, Religious Dissent in the Roman Empire: Violence in Judaea at the Time of Nero. Routledge Monographs in Classical Studies. London; New York: Routledge, 2015</w:t>
      </w:r>
    </w:p>
    <w:p w14:paraId="37A79B7E" w14:textId="62F6F28B" w:rsidR="001E06F9" w:rsidRPr="00E2358C" w:rsidRDefault="001E06F9" w:rsidP="001E06F9">
      <w:pPr>
        <w:spacing w:line="360" w:lineRule="auto"/>
        <w:rPr>
          <w:rtl/>
        </w:rPr>
      </w:pPr>
      <w:r w:rsidRPr="00E2358C">
        <w:rPr>
          <w:rtl/>
        </w:rPr>
        <w:t xml:space="preserve">ספרו של </w:t>
      </w:r>
      <w:proofErr w:type="spellStart"/>
      <w:r w:rsidRPr="00E2358C">
        <w:rPr>
          <w:rtl/>
        </w:rPr>
        <w:t>רודיק</w:t>
      </w:r>
      <w:proofErr w:type="spellEnd"/>
      <w:r w:rsidRPr="00E2358C">
        <w:rPr>
          <w:rtl/>
        </w:rPr>
        <w:t xml:space="preserve"> הינו החלק השלישי בסדרה המתארת התנגדות לסדר הרומי בזמנו של </w:t>
      </w:r>
      <w:proofErr w:type="spellStart"/>
      <w:r w:rsidRPr="00E2358C">
        <w:rPr>
          <w:rtl/>
        </w:rPr>
        <w:t>נירון</w:t>
      </w:r>
      <w:proofErr w:type="spellEnd"/>
      <w:r w:rsidRPr="00E2358C">
        <w:rPr>
          <w:rtl/>
        </w:rPr>
        <w:t xml:space="preserve">, המבוססת על מוטיבציה דתית. לפי </w:t>
      </w:r>
      <w:proofErr w:type="spellStart"/>
      <w:r w:rsidRPr="00E2358C">
        <w:rPr>
          <w:rtl/>
        </w:rPr>
        <w:t>רודיק</w:t>
      </w:r>
      <w:proofErr w:type="spellEnd"/>
      <w:r w:rsidRPr="00E2358C">
        <w:rPr>
          <w:rtl/>
        </w:rPr>
        <w:t xml:space="preserve"> קבוצות המורדים השונות ביהודה לא רק שפעלו </w:t>
      </w:r>
      <w:proofErr w:type="spellStart"/>
      <w:r w:rsidRPr="00E2358C">
        <w:rPr>
          <w:rtl/>
        </w:rPr>
        <w:t>מכח</w:t>
      </w:r>
      <w:proofErr w:type="spellEnd"/>
      <w:r w:rsidRPr="00E2358C">
        <w:rPr>
          <w:rtl/>
        </w:rPr>
        <w:t xml:space="preserve"> אידיאולוגיה דתית, אלא שלאידיאולוגיה </w:t>
      </w:r>
      <w:proofErr w:type="spellStart"/>
      <w:r w:rsidRPr="00E2358C">
        <w:rPr>
          <w:rtl/>
        </w:rPr>
        <w:t>היתה</w:t>
      </w:r>
      <w:proofErr w:type="spellEnd"/>
      <w:r w:rsidRPr="00E2358C">
        <w:rPr>
          <w:rtl/>
        </w:rPr>
        <w:t xml:space="preserve"> השפעה עמוקה על ההיבטים הפסיכולוגיים של </w:t>
      </w:r>
      <w:r w:rsidRPr="00E2358C">
        <w:rPr>
          <w:rtl/>
        </w:rPr>
        <w:lastRenderedPageBreak/>
        <w:t xml:space="preserve">המורדים. לטענתו, המאפיינים הייחודיים של הפסיכולוגיה של המורדים מאפשרת להבין כיצד הם יכלו לפעול בניגוד למצוות התורה (לדוגמא לרצוח את מתנגדיהם), ואף בניגוד להיגיון המלחמתי (שריפת האסמים), וכל זאת בשם אמונתם הדתית. </w:t>
      </w:r>
      <w:proofErr w:type="spellStart"/>
      <w:r w:rsidRPr="00E2358C">
        <w:rPr>
          <w:rtl/>
        </w:rPr>
        <w:t>רודיק</w:t>
      </w:r>
      <w:proofErr w:type="spellEnd"/>
      <w:r w:rsidRPr="00E2358C">
        <w:rPr>
          <w:rtl/>
        </w:rPr>
        <w:t xml:space="preserve"> עוסק כמעט אך ורק באופן שבו הפסיכולוגיה הדתית השפיעה על עוצמת ההתנגדות, אבל הוא כמעט ואיננו עוסק בתכנים הדתיים הייחודיים. </w:t>
      </w:r>
      <w:r w:rsidR="00F34607" w:rsidRPr="00E2358C">
        <w:rPr>
          <w:rtl/>
        </w:rPr>
        <w:t xml:space="preserve">כיוון שכך הוא גם כמעט ואינו מתייחס לשאלת ההבדלים הרעיוניים בין קבוצות המורדים השונות. </w:t>
      </w:r>
      <w:r w:rsidRPr="00E2358C">
        <w:rPr>
          <w:rtl/>
        </w:rPr>
        <w:t xml:space="preserve">המקור הכמעט בלעדי של </w:t>
      </w:r>
      <w:proofErr w:type="spellStart"/>
      <w:r w:rsidRPr="00E2358C">
        <w:rPr>
          <w:rtl/>
        </w:rPr>
        <w:t>רודיק</w:t>
      </w:r>
      <w:proofErr w:type="spellEnd"/>
      <w:r w:rsidRPr="00E2358C">
        <w:rPr>
          <w:rtl/>
        </w:rPr>
        <w:t xml:space="preserve"> הוא ספרו של </w:t>
      </w:r>
      <w:proofErr w:type="spellStart"/>
      <w:r w:rsidRPr="00E2358C">
        <w:rPr>
          <w:rtl/>
        </w:rPr>
        <w:t>יוספוס</w:t>
      </w:r>
      <w:proofErr w:type="spellEnd"/>
      <w:r w:rsidRPr="00E2358C">
        <w:rPr>
          <w:rtl/>
        </w:rPr>
        <w:t xml:space="preserve">, ואילו מקורות יהודיים כמעט ואינם מוזכרים. גם אם מקבלים את עיקרי הטיעון של </w:t>
      </w:r>
      <w:proofErr w:type="spellStart"/>
      <w:r w:rsidRPr="00E2358C">
        <w:rPr>
          <w:rtl/>
        </w:rPr>
        <w:t>רודיק</w:t>
      </w:r>
      <w:proofErr w:type="spellEnd"/>
      <w:r w:rsidRPr="00E2358C">
        <w:rPr>
          <w:rtl/>
        </w:rPr>
        <w:t xml:space="preserve">, ספרו עדיין זקוק להשלמה משמעותית בכל מה שקשור לתוכן של אידיאולוגיות המרד השונות. </w:t>
      </w:r>
      <w:r w:rsidR="00F34607" w:rsidRPr="00E2358C">
        <w:rPr>
          <w:rtl/>
        </w:rPr>
        <w:t xml:space="preserve">השלמה שכזו אינה יכולה להיות להסתפק בספרו של </w:t>
      </w:r>
      <w:proofErr w:type="spellStart"/>
      <w:r w:rsidR="00F34607" w:rsidRPr="00E2358C">
        <w:rPr>
          <w:rtl/>
        </w:rPr>
        <w:t>יוספוס</w:t>
      </w:r>
      <w:proofErr w:type="spellEnd"/>
      <w:r w:rsidR="00F34607" w:rsidRPr="00E2358C">
        <w:rPr>
          <w:rtl/>
        </w:rPr>
        <w:t xml:space="preserve"> והיא צריכה להתבסס על מגוון מקורות</w:t>
      </w:r>
      <w:r w:rsidR="00AA0AD8">
        <w:rPr>
          <w:rFonts w:hint="cs"/>
          <w:rtl/>
        </w:rPr>
        <w:t>,</w:t>
      </w:r>
      <w:r w:rsidR="00F34607" w:rsidRPr="00E2358C">
        <w:rPr>
          <w:rtl/>
        </w:rPr>
        <w:t xml:space="preserve"> יהודים ושאינם יהודים, המתארים את החיים הרעיוניים התוססים של היהדות במאה הראשונה לספירה.</w:t>
      </w:r>
    </w:p>
    <w:p w14:paraId="09711390" w14:textId="0EBBD543" w:rsidR="006F7D5A" w:rsidRPr="00E2358C" w:rsidRDefault="006F7D5A" w:rsidP="009E3623">
      <w:pPr>
        <w:pStyle w:val="a7"/>
        <w:numPr>
          <w:ilvl w:val="0"/>
          <w:numId w:val="9"/>
        </w:numPr>
        <w:bidi w:val="0"/>
        <w:spacing w:line="360" w:lineRule="auto"/>
      </w:pPr>
      <w:r w:rsidRPr="00E2358C">
        <w:t xml:space="preserve">Collins, John J., and Joseph Gilbert Manning. Revolt and Resistance in the Ancient Classical World and the Near </w:t>
      </w:r>
      <w:proofErr w:type="gramStart"/>
      <w:r w:rsidRPr="00E2358C">
        <w:t>East :</w:t>
      </w:r>
      <w:proofErr w:type="gramEnd"/>
      <w:r w:rsidRPr="00E2358C">
        <w:t xml:space="preserve"> In the Crucible of Empire. Culture and History of the Ancient Near </w:t>
      </w:r>
      <w:proofErr w:type="gramStart"/>
      <w:r w:rsidRPr="00E2358C">
        <w:t>East ;</w:t>
      </w:r>
      <w:proofErr w:type="gramEnd"/>
      <w:r w:rsidRPr="00E2358C">
        <w:t xml:space="preserve"> v. 85. </w:t>
      </w:r>
      <w:proofErr w:type="gramStart"/>
      <w:r w:rsidRPr="00E2358C">
        <w:t>Leiden ;</w:t>
      </w:r>
      <w:proofErr w:type="gramEnd"/>
      <w:r w:rsidRPr="00E2358C">
        <w:t xml:space="preserve"> Boston: Brill, 2016.</w:t>
      </w:r>
    </w:p>
    <w:p w14:paraId="56F11A05" w14:textId="5EA4248A" w:rsidR="002070AA" w:rsidRPr="00E2358C" w:rsidRDefault="002070AA" w:rsidP="002070AA">
      <w:pPr>
        <w:spacing w:line="360" w:lineRule="auto"/>
        <w:rPr>
          <w:rtl/>
        </w:rPr>
      </w:pPr>
      <w:r w:rsidRPr="00E2358C">
        <w:rPr>
          <w:rtl/>
        </w:rPr>
        <w:t xml:space="preserve">רובו של הספר אמנם אינו עוסק במרידות היהודים ברומא, אבל חלק מהמאמרים בספר מתעמתים ביחס שבין המודלים התיאורטיים להבנת מרידות לבין המרידות בעת העתיקה. מאמרם של ג'יימס </w:t>
      </w:r>
      <w:proofErr w:type="spellStart"/>
      <w:r w:rsidRPr="00E2358C">
        <w:rPr>
          <w:rtl/>
        </w:rPr>
        <w:t>מק'לרן</w:t>
      </w:r>
      <w:proofErr w:type="spellEnd"/>
      <w:r w:rsidRPr="00E2358C">
        <w:rPr>
          <w:rtl/>
        </w:rPr>
        <w:t xml:space="preserve"> ומרטין גודמן אף עוסק במרד הגדול לאור התיאוריה של </w:t>
      </w:r>
      <w:r w:rsidRPr="00E2358C">
        <w:t>Jack Goldstone</w:t>
      </w:r>
      <w:r w:rsidRPr="00E2358C">
        <w:rPr>
          <w:rtl/>
        </w:rPr>
        <w:t>. מהמאמר  עולה הפוריות הרבה שמתאפשרת על ידי שימוש ברקע תיאורטי לבחינת הממצאים ההיסטוריים. בספר המוצע אני מעוניין להרחיב את היריעה להבנת תופעת המרד וגלגוליה האידיאולוגיים והמעשיים לאור התיאוריה.</w:t>
      </w:r>
    </w:p>
    <w:p w14:paraId="36BEC1DD" w14:textId="5A1AB1A0" w:rsidR="005D2567" w:rsidRPr="00E2358C" w:rsidRDefault="001A5C68" w:rsidP="006F7D5A">
      <w:pPr>
        <w:pStyle w:val="a7"/>
        <w:numPr>
          <w:ilvl w:val="0"/>
          <w:numId w:val="9"/>
        </w:numPr>
        <w:bidi w:val="0"/>
        <w:spacing w:line="360" w:lineRule="auto"/>
      </w:pPr>
      <w:r w:rsidRPr="00E2358C">
        <w:t xml:space="preserve">Steve Mason, </w:t>
      </w:r>
      <w:r w:rsidRPr="00E2358C">
        <w:rPr>
          <w:i/>
          <w:iCs/>
        </w:rPr>
        <w:t>A history of the Jewish War, A.D. 66-74</w:t>
      </w:r>
      <w:r w:rsidRPr="00E2358C">
        <w:t xml:space="preserve"> (New York: Cambridge University Press), 2016</w:t>
      </w:r>
    </w:p>
    <w:p w14:paraId="4D1D2BC1" w14:textId="36C3B329" w:rsidR="002070AA" w:rsidRPr="00E2358C" w:rsidRDefault="002070AA" w:rsidP="002070AA">
      <w:pPr>
        <w:spacing w:line="360" w:lineRule="auto"/>
        <w:rPr>
          <w:rtl/>
        </w:rPr>
      </w:pPr>
      <w:r w:rsidRPr="00E2358C">
        <w:rPr>
          <w:rtl/>
        </w:rPr>
        <w:t xml:space="preserve">זהו הספר המקיף ביותר עד היום על המרד הגדול. הספר מבוסס על מחקריו הרבים של </w:t>
      </w:r>
      <w:proofErr w:type="spellStart"/>
      <w:r w:rsidRPr="00E2358C">
        <w:rPr>
          <w:rtl/>
        </w:rPr>
        <w:t>מייסון</w:t>
      </w:r>
      <w:proofErr w:type="spellEnd"/>
      <w:r w:rsidRPr="00E2358C">
        <w:rPr>
          <w:rtl/>
        </w:rPr>
        <w:t xml:space="preserve"> בכתביו של </w:t>
      </w:r>
      <w:proofErr w:type="spellStart"/>
      <w:r w:rsidRPr="00E2358C">
        <w:rPr>
          <w:rtl/>
        </w:rPr>
        <w:t>יוספוס</w:t>
      </w:r>
      <w:proofErr w:type="spellEnd"/>
      <w:r w:rsidR="00530995" w:rsidRPr="00E2358C">
        <w:rPr>
          <w:rtl/>
        </w:rPr>
        <w:t xml:space="preserve">. </w:t>
      </w:r>
      <w:proofErr w:type="spellStart"/>
      <w:r w:rsidR="00530995" w:rsidRPr="00E2358C">
        <w:rPr>
          <w:rtl/>
        </w:rPr>
        <w:t>מייסון</w:t>
      </w:r>
      <w:proofErr w:type="spellEnd"/>
      <w:r w:rsidR="00530995" w:rsidRPr="00E2358C">
        <w:rPr>
          <w:rtl/>
        </w:rPr>
        <w:t xml:space="preserve"> מצביע בפרוטרוט על התהליכים והאירועים שהובילו לפרוץ המרד הגדול בזמן שבו הוא פרץ ובאופן שבו הוא התרחש. </w:t>
      </w:r>
      <w:proofErr w:type="spellStart"/>
      <w:r w:rsidR="00530995" w:rsidRPr="00E2358C">
        <w:rPr>
          <w:rtl/>
        </w:rPr>
        <w:t>מייסון</w:t>
      </w:r>
      <w:proofErr w:type="spellEnd"/>
      <w:r w:rsidR="00530995" w:rsidRPr="00E2358C">
        <w:rPr>
          <w:rtl/>
        </w:rPr>
        <w:t xml:space="preserve">, בדומה לגודמן, מפקפק בקיומה של תנועת התנגדות ממוסדת וותיקה לרומא. מחקריו של </w:t>
      </w:r>
      <w:proofErr w:type="spellStart"/>
      <w:r w:rsidR="00530995" w:rsidRPr="00E2358C">
        <w:rPr>
          <w:rtl/>
        </w:rPr>
        <w:t>מייסון</w:t>
      </w:r>
      <w:proofErr w:type="spellEnd"/>
      <w:r w:rsidR="00530995" w:rsidRPr="00E2358C">
        <w:rPr>
          <w:rtl/>
        </w:rPr>
        <w:t xml:space="preserve"> מעניקים משקל נמוך למדי למקורות יהודיים בני הזמן (כגון כתבי כת מדבר יהודה), ומתעלמים כמעט לחלוטין מספרות חז"ל בשל הקשיים המתודולוגיים שהיא מעמידה. להערכתי, יש מקום לבחון מחדש את מקומם של המקורות היהודיים, זיקתם לספרות היוונית-רומית בכלל ודברי </w:t>
      </w:r>
      <w:proofErr w:type="spellStart"/>
      <w:r w:rsidR="00530995" w:rsidRPr="00E2358C">
        <w:rPr>
          <w:rtl/>
        </w:rPr>
        <w:t>יוספוס</w:t>
      </w:r>
      <w:proofErr w:type="spellEnd"/>
      <w:r w:rsidR="00530995" w:rsidRPr="00E2358C">
        <w:rPr>
          <w:rtl/>
        </w:rPr>
        <w:t xml:space="preserve"> בפרט, ולאור זאת להעריך את רעיון המרד ומשמעותו.</w:t>
      </w:r>
    </w:p>
    <w:p w14:paraId="0948DA31" w14:textId="529F2461" w:rsidR="00821BE2" w:rsidRPr="00E2358C" w:rsidRDefault="00821BE2" w:rsidP="005369E6">
      <w:pPr>
        <w:pStyle w:val="a7"/>
        <w:numPr>
          <w:ilvl w:val="0"/>
          <w:numId w:val="9"/>
        </w:numPr>
        <w:bidi w:val="0"/>
        <w:spacing w:line="360" w:lineRule="auto"/>
      </w:pPr>
      <w:proofErr w:type="spellStart"/>
      <w:r w:rsidRPr="00E2358C">
        <w:t>Mor</w:t>
      </w:r>
      <w:proofErr w:type="spellEnd"/>
      <w:r w:rsidRPr="00E2358C">
        <w:t xml:space="preserve">, Menahem. The Second Jewish </w:t>
      </w:r>
      <w:proofErr w:type="gramStart"/>
      <w:r w:rsidRPr="00E2358C">
        <w:t>Revolt :</w:t>
      </w:r>
      <w:proofErr w:type="gramEnd"/>
      <w:r w:rsidRPr="00E2358C">
        <w:t xml:space="preserve"> The Bar </w:t>
      </w:r>
      <w:proofErr w:type="spellStart"/>
      <w:r w:rsidRPr="00E2358C">
        <w:t>Kokhba</w:t>
      </w:r>
      <w:proofErr w:type="spellEnd"/>
      <w:r w:rsidRPr="00E2358C">
        <w:t xml:space="preserve"> War, 132-136 CE. Brill Reference Library of </w:t>
      </w:r>
      <w:proofErr w:type="gramStart"/>
      <w:r w:rsidRPr="00E2358C">
        <w:t>Judaism ;</w:t>
      </w:r>
      <w:proofErr w:type="gramEnd"/>
      <w:r w:rsidRPr="00E2358C">
        <w:t xml:space="preserve"> v. 50. </w:t>
      </w:r>
      <w:proofErr w:type="gramStart"/>
      <w:r w:rsidRPr="00E2358C">
        <w:t>Leiden ;</w:t>
      </w:r>
      <w:proofErr w:type="gramEnd"/>
      <w:r w:rsidRPr="00E2358C">
        <w:t xml:space="preserve"> Boston: Brill, 2016.</w:t>
      </w:r>
    </w:p>
    <w:p w14:paraId="3E436F2C" w14:textId="04B04E33" w:rsidR="00530995" w:rsidRPr="00E2358C" w:rsidRDefault="00530995" w:rsidP="00530995">
      <w:pPr>
        <w:spacing w:line="360" w:lineRule="auto"/>
        <w:rPr>
          <w:rtl/>
        </w:rPr>
      </w:pPr>
      <w:r w:rsidRPr="00E2358C">
        <w:rPr>
          <w:rtl/>
        </w:rPr>
        <w:t xml:space="preserve">ספרו של מור הוא במידה רבה תרגום של ספרו העברי שראה אור בשנת 1991. מור נוטה להמעיט בעוצמתו של מרד בר כוכבא, וכן במקומה של האידיאולוגיה האנטי-רומית. חלק מטענותיו של מור בוקרו על ידי חוקרים אחרים (הבולטים שבהם הם ורנר </w:t>
      </w:r>
      <w:proofErr w:type="spellStart"/>
      <w:r w:rsidRPr="00E2358C">
        <w:rPr>
          <w:rtl/>
        </w:rPr>
        <w:t>אק</w:t>
      </w:r>
      <w:proofErr w:type="spellEnd"/>
      <w:r w:rsidRPr="00E2358C">
        <w:rPr>
          <w:rtl/>
        </w:rPr>
        <w:t xml:space="preserve"> וחנן אשל). הללו הראו שיש להבין הן את המניעים למרד והן את מהלכו</w:t>
      </w:r>
      <w:r w:rsidR="00DD29E0" w:rsidRPr="00E2358C">
        <w:rPr>
          <w:rtl/>
        </w:rPr>
        <w:t xml:space="preserve"> (מבחינת הכוחות הרומיים והיהודים)</w:t>
      </w:r>
      <w:r w:rsidRPr="00E2358C">
        <w:rPr>
          <w:rtl/>
        </w:rPr>
        <w:t xml:space="preserve"> על רקע עמדות אנטי-רומיות שמקורן בשנות השלטון הרומי הממושך ובמרידות הקודמות.</w:t>
      </w:r>
    </w:p>
    <w:p w14:paraId="1E66417F" w14:textId="4D5EC4F6" w:rsidR="00DD30AA" w:rsidRPr="00E2358C" w:rsidRDefault="005369E6" w:rsidP="00DD30AA">
      <w:pPr>
        <w:pStyle w:val="a7"/>
        <w:numPr>
          <w:ilvl w:val="0"/>
          <w:numId w:val="9"/>
        </w:numPr>
        <w:bidi w:val="0"/>
        <w:spacing w:line="360" w:lineRule="auto"/>
      </w:pPr>
      <w:proofErr w:type="spellStart"/>
      <w:r w:rsidRPr="00E2358C">
        <w:lastRenderedPageBreak/>
        <w:t>Weikert</w:t>
      </w:r>
      <w:proofErr w:type="spellEnd"/>
      <w:r w:rsidRPr="00E2358C">
        <w:t xml:space="preserve">, Christopher. Von Jerusalem Zu </w:t>
      </w:r>
      <w:proofErr w:type="spellStart"/>
      <w:r w:rsidRPr="00E2358C">
        <w:t>Aelia</w:t>
      </w:r>
      <w:proofErr w:type="spellEnd"/>
      <w:r w:rsidRPr="00E2358C">
        <w:t xml:space="preserve"> </w:t>
      </w:r>
      <w:proofErr w:type="spellStart"/>
      <w:proofErr w:type="gramStart"/>
      <w:r w:rsidRPr="00E2358C">
        <w:t>Capitolina</w:t>
      </w:r>
      <w:proofErr w:type="spellEnd"/>
      <w:r w:rsidRPr="00E2358C">
        <w:t xml:space="preserve"> :</w:t>
      </w:r>
      <w:proofErr w:type="gramEnd"/>
      <w:r w:rsidRPr="00E2358C">
        <w:t xml:space="preserve"> Die </w:t>
      </w:r>
      <w:proofErr w:type="spellStart"/>
      <w:r w:rsidRPr="00E2358C">
        <w:t>Römische</w:t>
      </w:r>
      <w:proofErr w:type="spellEnd"/>
      <w:r w:rsidRPr="00E2358C">
        <w:t xml:space="preserve"> </w:t>
      </w:r>
      <w:proofErr w:type="spellStart"/>
      <w:r w:rsidRPr="00E2358C">
        <w:t>Politik</w:t>
      </w:r>
      <w:proofErr w:type="spellEnd"/>
      <w:r w:rsidRPr="00E2358C">
        <w:t xml:space="preserve"> </w:t>
      </w:r>
      <w:proofErr w:type="spellStart"/>
      <w:r w:rsidRPr="00E2358C">
        <w:t>Gegenüber</w:t>
      </w:r>
      <w:proofErr w:type="spellEnd"/>
      <w:r w:rsidRPr="00E2358C">
        <w:t xml:space="preserve"> Den </w:t>
      </w:r>
      <w:proofErr w:type="spellStart"/>
      <w:r w:rsidRPr="00E2358C">
        <w:t>Juden</w:t>
      </w:r>
      <w:proofErr w:type="spellEnd"/>
      <w:r w:rsidRPr="00E2358C">
        <w:t xml:space="preserve"> Von Vespasian Bis Hadrian. V&amp;R Academic. </w:t>
      </w:r>
      <w:proofErr w:type="gramStart"/>
      <w:r w:rsidRPr="00E2358C">
        <w:t>Göttingen ;</w:t>
      </w:r>
      <w:proofErr w:type="gramEnd"/>
      <w:r w:rsidRPr="00E2358C">
        <w:t xml:space="preserve"> Bristol, CT: </w:t>
      </w:r>
      <w:proofErr w:type="spellStart"/>
      <w:r w:rsidRPr="00E2358C">
        <w:t>Vandenhoeck</w:t>
      </w:r>
      <w:proofErr w:type="spellEnd"/>
      <w:r w:rsidRPr="00E2358C">
        <w:t xml:space="preserve"> &amp; Ruprecht, 2016.</w:t>
      </w:r>
    </w:p>
    <w:p w14:paraId="47B6F0FA" w14:textId="698D5505" w:rsidR="00DD30AA" w:rsidRPr="00E2358C" w:rsidRDefault="00DD30AA" w:rsidP="00DD30AA">
      <w:pPr>
        <w:spacing w:line="360" w:lineRule="auto"/>
        <w:rPr>
          <w:rtl/>
        </w:rPr>
      </w:pPr>
      <w:r w:rsidRPr="00E2358C">
        <w:rPr>
          <w:rtl/>
        </w:rPr>
        <w:t xml:space="preserve">הספר  בוחן את חשיבות המלחמה ביהודה עבור הדימוי של השושלת </w:t>
      </w:r>
      <w:proofErr w:type="spellStart"/>
      <w:r w:rsidRPr="00E2358C">
        <w:rPr>
          <w:rtl/>
        </w:rPr>
        <w:t>הפלאווית</w:t>
      </w:r>
      <w:proofErr w:type="spellEnd"/>
      <w:r w:rsidR="003B1625" w:rsidRPr="00E2358C">
        <w:rPr>
          <w:rtl/>
        </w:rPr>
        <w:t>, ואת המשכה של המדיניות הרומית כלפי היהודים. גם ספר זה עושה שימוש רב במקורות הרומיים כדי לפענח את המדיניות הרומית. מטבע הדברים ההתמקדות במדיניות הרומית מותיר מקום מועט לדיון בהתפתחויות הפנימיות ביהודה ובשינויים הרעיוניים שעברו על רעיון המרד וההתנגדות לרומא.</w:t>
      </w:r>
    </w:p>
    <w:p w14:paraId="0A8BB2AE" w14:textId="18095F3F" w:rsidR="00113543" w:rsidRPr="00E2358C" w:rsidRDefault="00113543" w:rsidP="007A4154">
      <w:pPr>
        <w:pStyle w:val="a7"/>
        <w:numPr>
          <w:ilvl w:val="0"/>
          <w:numId w:val="9"/>
        </w:numPr>
        <w:bidi w:val="0"/>
        <w:spacing w:line="360" w:lineRule="auto"/>
      </w:pPr>
      <w:r w:rsidRPr="00E2358C">
        <w:t xml:space="preserve">Sharon, Nadav. Judea under Roman </w:t>
      </w:r>
      <w:proofErr w:type="gramStart"/>
      <w:r w:rsidRPr="00E2358C">
        <w:t>Domination :</w:t>
      </w:r>
      <w:proofErr w:type="gramEnd"/>
      <w:r w:rsidRPr="00E2358C">
        <w:t xml:space="preserve"> The First Generation of Statelessness and Its Legacy. Early Judaism and Its Literature No. 46. Atlanta: SBL Press, 2017.</w:t>
      </w:r>
    </w:p>
    <w:p w14:paraId="3A97BA18" w14:textId="0CBCFE9E" w:rsidR="003B1625" w:rsidRPr="00E2358C" w:rsidRDefault="003B1625" w:rsidP="003B1625">
      <w:pPr>
        <w:spacing w:line="360" w:lineRule="auto"/>
        <w:rPr>
          <w:rtl/>
        </w:rPr>
      </w:pPr>
      <w:r w:rsidRPr="00E2358C">
        <w:rPr>
          <w:rtl/>
        </w:rPr>
        <w:t xml:space="preserve">זהו הספר הראשון שהוקדש באופן בלעדי לתקופת יוחנן </w:t>
      </w:r>
      <w:proofErr w:type="spellStart"/>
      <w:r w:rsidRPr="00E2358C">
        <w:rPr>
          <w:rtl/>
        </w:rPr>
        <w:t>הורקנוס</w:t>
      </w:r>
      <w:proofErr w:type="spellEnd"/>
      <w:r w:rsidRPr="00E2358C">
        <w:rPr>
          <w:rtl/>
        </w:rPr>
        <w:t xml:space="preserve"> השני. לפי שרון אלו השנים שבהם התעצבה תנועת ההתנגדות לרומא. שרון עושה שימוש אינטנסיבי במקורות יהודיים בני הזמן וגם שימוש ביקורתי ומושכל במקורות חז"ל, ועל ידי כך מתאר בפרוטרוט את ההתפתחויות שחלו ביהודה. עם זאת, בהעדר רקע תיאורטי שרון רואה בכל פעולה של התנגדות לרומא ו/או לשלטונו של יוחנן </w:t>
      </w:r>
      <w:proofErr w:type="spellStart"/>
      <w:r w:rsidRPr="00E2358C">
        <w:rPr>
          <w:rtl/>
        </w:rPr>
        <w:t>הורקנוס</w:t>
      </w:r>
      <w:proofErr w:type="spellEnd"/>
      <w:r w:rsidRPr="00E2358C">
        <w:rPr>
          <w:rtl/>
        </w:rPr>
        <w:t xml:space="preserve"> חלק מאידיאולוגיה אנטי-רומית מגובשת שהקיפה חלקים רבים של הציבור. הספר מלמד </w:t>
      </w:r>
      <w:proofErr w:type="spellStart"/>
      <w:r w:rsidRPr="00E2358C">
        <w:rPr>
          <w:rtl/>
        </w:rPr>
        <w:t>איפוא</w:t>
      </w:r>
      <w:proofErr w:type="spellEnd"/>
      <w:r w:rsidRPr="00E2358C">
        <w:rPr>
          <w:rtl/>
        </w:rPr>
        <w:t xml:space="preserve"> על הפוטנציאל הטמון בחיבורים יהודים בני הזמן להכרת ההיסטוריה, מצד שני יש צורך בעידון ועדכון התמונה שהוא מציג, ועוד יותר מכך בתיאור הגלגולים שעברו על רעיון המרד ברומא משנת 37 לפנה"ס ואילך.</w:t>
      </w:r>
    </w:p>
    <w:p w14:paraId="4B1956EF" w14:textId="6B9A91DE" w:rsidR="00D061C2" w:rsidRPr="00E2358C" w:rsidRDefault="00D061C2" w:rsidP="00D061C2">
      <w:pPr>
        <w:pStyle w:val="a7"/>
        <w:numPr>
          <w:ilvl w:val="0"/>
          <w:numId w:val="9"/>
        </w:numPr>
        <w:bidi w:val="0"/>
        <w:spacing w:line="360" w:lineRule="auto"/>
      </w:pPr>
      <w:r w:rsidRPr="00E2358C">
        <w:t xml:space="preserve">Anthony </w:t>
      </w:r>
      <w:proofErr w:type="spellStart"/>
      <w:r w:rsidRPr="00E2358C">
        <w:t>Giambrone</w:t>
      </w:r>
      <w:proofErr w:type="spellEnd"/>
      <w:r w:rsidRPr="00E2358C">
        <w:t xml:space="preserve"> (ed.), </w:t>
      </w:r>
      <w:r w:rsidRPr="00E2358C">
        <w:rPr>
          <w:i/>
          <w:iCs/>
        </w:rPr>
        <w:t>Rethinking the Jewish War: Archaeology, Society, Texts and Traditions</w:t>
      </w:r>
      <w:r w:rsidRPr="00E2358C">
        <w:t xml:space="preserve">, Leuven: </w:t>
      </w:r>
      <w:proofErr w:type="spellStart"/>
      <w:r w:rsidRPr="00E2358C">
        <w:t>Peeters</w:t>
      </w:r>
      <w:proofErr w:type="spellEnd"/>
      <w:r w:rsidRPr="00E2358C">
        <w:t xml:space="preserve"> (2021)</w:t>
      </w:r>
    </w:p>
    <w:p w14:paraId="23DAD109" w14:textId="626F5810" w:rsidR="00975E36" w:rsidRPr="00E2358C" w:rsidRDefault="00975E36" w:rsidP="00975E36">
      <w:pPr>
        <w:spacing w:line="360" w:lineRule="auto"/>
        <w:rPr>
          <w:rtl/>
        </w:rPr>
      </w:pPr>
      <w:r w:rsidRPr="00E2358C">
        <w:rPr>
          <w:rtl/>
        </w:rPr>
        <w:t xml:space="preserve">אוסף המאמרים מייצגים ביקורות שונות על תפיסתו של </w:t>
      </w:r>
      <w:proofErr w:type="spellStart"/>
      <w:r w:rsidRPr="00E2358C">
        <w:rPr>
          <w:rtl/>
        </w:rPr>
        <w:t>מייסון</w:t>
      </w:r>
      <w:proofErr w:type="spellEnd"/>
      <w:r w:rsidRPr="00E2358C">
        <w:rPr>
          <w:rtl/>
        </w:rPr>
        <w:t xml:space="preserve"> ואת תגובתו של </w:t>
      </w:r>
      <w:proofErr w:type="spellStart"/>
      <w:r w:rsidRPr="00E2358C">
        <w:rPr>
          <w:rtl/>
        </w:rPr>
        <w:t>מייסון</w:t>
      </w:r>
      <w:proofErr w:type="spellEnd"/>
      <w:r w:rsidRPr="00E2358C">
        <w:rPr>
          <w:rtl/>
        </w:rPr>
        <w:t xml:space="preserve">. חלק מהמאמרים מציגים כיצד שימוש במקורות נוספים (ספרות בית שני, מטבעות וממצאים ארכיאולוגיים) יכולים לאשר, להכחיש או להוסיף מידע על דברי </w:t>
      </w:r>
      <w:proofErr w:type="spellStart"/>
      <w:r w:rsidRPr="00E2358C">
        <w:rPr>
          <w:rtl/>
        </w:rPr>
        <w:t>יוספוס</w:t>
      </w:r>
      <w:proofErr w:type="spellEnd"/>
      <w:r w:rsidRPr="00E2358C">
        <w:rPr>
          <w:rtl/>
        </w:rPr>
        <w:t xml:space="preserve">, הן בעניינים הנוגעים למהלך המרד והן ביחס לשאלת הרקע הרעיוני והאמונות של המורדים. </w:t>
      </w:r>
      <w:r w:rsidR="003F3EC8" w:rsidRPr="00E2358C">
        <w:rPr>
          <w:rtl/>
        </w:rPr>
        <w:t xml:space="preserve">תגובתו של </w:t>
      </w:r>
      <w:proofErr w:type="spellStart"/>
      <w:r w:rsidR="003F3EC8" w:rsidRPr="00E2358C">
        <w:rPr>
          <w:rtl/>
        </w:rPr>
        <w:t>מייסון</w:t>
      </w:r>
      <w:proofErr w:type="spellEnd"/>
      <w:r w:rsidR="003F3EC8" w:rsidRPr="00E2358C">
        <w:rPr>
          <w:rtl/>
        </w:rPr>
        <w:t xml:space="preserve"> אף היא רבת עניין, ובכל מקרה הדו שיח שבין דפי הספר מקדם את המחקר ומאפשר להציע שחזור היסטורי חדש ומורכב יותר.</w:t>
      </w:r>
    </w:p>
    <w:p w14:paraId="1D3791A3" w14:textId="403B542C" w:rsidR="00822800" w:rsidRPr="00E2358C" w:rsidRDefault="00822800" w:rsidP="003F3EC8">
      <w:pPr>
        <w:shd w:val="clear" w:color="auto" w:fill="FFFFFF"/>
        <w:bidi w:val="0"/>
        <w:spacing w:before="210" w:after="210" w:line="312" w:lineRule="atLeast"/>
        <w:outlineLvl w:val="1"/>
      </w:pPr>
      <w:proofErr w:type="spellStart"/>
      <w:r w:rsidRPr="00E2358C">
        <w:t>Katell</w:t>
      </w:r>
      <w:proofErr w:type="spellEnd"/>
      <w:r w:rsidRPr="00E2358C">
        <w:t xml:space="preserve"> Berthelot, Jews and Their Roman Rivals: Pagan Rome's Challenge to Israel, Princeton University Press, 2021</w:t>
      </w:r>
    </w:p>
    <w:p w14:paraId="3F18FAB2" w14:textId="272E089D" w:rsidR="00822800" w:rsidRDefault="00822800" w:rsidP="00822800">
      <w:pPr>
        <w:shd w:val="clear" w:color="auto" w:fill="FFFFFF"/>
        <w:spacing w:before="210" w:after="210" w:line="312" w:lineRule="atLeast"/>
        <w:outlineLvl w:val="1"/>
        <w:rPr>
          <w:rtl/>
        </w:rPr>
      </w:pPr>
      <w:r w:rsidRPr="00E2358C">
        <w:rPr>
          <w:rtl/>
        </w:rPr>
        <w:t xml:space="preserve">בניגוד למרבית הספרים שעוסקים ביהודה ורומא, ספר זה איננו עוסק בסכסוך המדיני והצבאי, אלא באופן שבו הגיבו יהודים, ובמיוחד הספרות הרבנית למגוון של רעיונות וערכים רומיים ביחס </w:t>
      </w:r>
      <w:proofErr w:type="spellStart"/>
      <w:r w:rsidRPr="00E2358C">
        <w:rPr>
          <w:rtl/>
        </w:rPr>
        <w:t>לכח</w:t>
      </w:r>
      <w:proofErr w:type="spellEnd"/>
      <w:r w:rsidRPr="00E2358C">
        <w:rPr>
          <w:rtl/>
        </w:rPr>
        <w:t xml:space="preserve">, חוק ואזרחות </w:t>
      </w:r>
      <w:r w:rsidRPr="00E2358C">
        <w:t>(power, law and citizenship)</w:t>
      </w:r>
      <w:r w:rsidRPr="00E2358C">
        <w:rPr>
          <w:rtl/>
        </w:rPr>
        <w:t xml:space="preserve">. הספר באופן מכוון איננו עוסק בעימותים הצבאיים ובתפיסות האידיאולוגיות שהובילו את היהודים למרוד. כמו כן על אף שהספר מתיימר לעסוק בכל התקופה הרומית, בפועל הספר מתמקד בספרות חז"ל ובתגובותיהם של חכמים לעולם הרומי החל מהמאה </w:t>
      </w:r>
      <w:proofErr w:type="spellStart"/>
      <w:r w:rsidRPr="00E2358C">
        <w:rPr>
          <w:rtl/>
        </w:rPr>
        <w:t>השניה</w:t>
      </w:r>
      <w:proofErr w:type="spellEnd"/>
      <w:r w:rsidRPr="00E2358C">
        <w:rPr>
          <w:rtl/>
        </w:rPr>
        <w:t xml:space="preserve"> לספירה.</w:t>
      </w:r>
      <w:r w:rsidR="00555CD8" w:rsidRPr="00E2358C">
        <w:rPr>
          <w:rtl/>
        </w:rPr>
        <w:t xml:space="preserve"> תקופה שהיא מעבר לתקופות הנידונות בהצעה זו.</w:t>
      </w:r>
    </w:p>
    <w:p w14:paraId="2C0D3FE2" w14:textId="77777777" w:rsidR="006230CD" w:rsidRPr="00E2358C" w:rsidRDefault="006230CD" w:rsidP="00822800">
      <w:pPr>
        <w:shd w:val="clear" w:color="auto" w:fill="FFFFFF"/>
        <w:spacing w:before="210" w:after="210" w:line="312" w:lineRule="atLeast"/>
        <w:outlineLvl w:val="1"/>
        <w:rPr>
          <w:rFonts w:hint="cs"/>
          <w:rtl/>
        </w:rPr>
      </w:pPr>
    </w:p>
    <w:p w14:paraId="596116B9" w14:textId="207E02A1" w:rsidR="003F3EC8" w:rsidRPr="00E2358C" w:rsidRDefault="003F3EC8" w:rsidP="00822800">
      <w:pPr>
        <w:shd w:val="clear" w:color="auto" w:fill="FFFFFF"/>
        <w:bidi w:val="0"/>
        <w:spacing w:before="210" w:after="210" w:line="312" w:lineRule="atLeast"/>
        <w:outlineLvl w:val="1"/>
        <w:rPr>
          <w:rFonts w:eastAsia="Times New Roman"/>
        </w:rPr>
      </w:pPr>
      <w:r w:rsidRPr="00E2358C">
        <w:rPr>
          <w:rFonts w:eastAsia="Times New Roman"/>
        </w:rPr>
        <w:lastRenderedPageBreak/>
        <w:t>Market Considerations</w:t>
      </w:r>
    </w:p>
    <w:p w14:paraId="7CB1910B" w14:textId="255ABC33" w:rsidR="003F3EC8" w:rsidRPr="00E2358C" w:rsidRDefault="003F3EC8" w:rsidP="003F3EC8">
      <w:pPr>
        <w:shd w:val="clear" w:color="auto" w:fill="FFFFFF"/>
        <w:bidi w:val="0"/>
        <w:spacing w:before="150" w:after="150" w:line="336" w:lineRule="atLeast"/>
        <w:rPr>
          <w:rFonts w:eastAsia="Times New Roman"/>
        </w:rPr>
      </w:pPr>
      <w:r w:rsidRPr="00E2358C">
        <w:rPr>
          <w:rFonts w:eastAsia="Times New Roman"/>
          <w:b/>
          <w:bCs/>
        </w:rPr>
        <w:t>The Primary Market</w:t>
      </w:r>
    </w:p>
    <w:p w14:paraId="4F2F8578" w14:textId="77777777" w:rsidR="00E2358C" w:rsidRPr="00E2358C" w:rsidRDefault="00E2358C" w:rsidP="00E2358C">
      <w:pPr>
        <w:numPr>
          <w:ilvl w:val="0"/>
          <w:numId w:val="14"/>
        </w:numPr>
        <w:shd w:val="clear" w:color="auto" w:fill="FFFFFF"/>
        <w:bidi w:val="0"/>
        <w:spacing w:before="120" w:after="120" w:line="336" w:lineRule="atLeast"/>
        <w:ind w:left="1095"/>
        <w:rPr>
          <w:rFonts w:eastAsia="Times New Roman"/>
        </w:rPr>
      </w:pPr>
      <w:r w:rsidRPr="00E2358C">
        <w:rPr>
          <w:rFonts w:eastAsia="Times New Roman"/>
        </w:rPr>
        <w:t>What is the major market for the book? (Scholarly/professional, text, reference, trade?)</w:t>
      </w:r>
    </w:p>
    <w:p w14:paraId="6D2021EF" w14:textId="77777777" w:rsidR="00E2358C" w:rsidRPr="00E2358C" w:rsidRDefault="00E2358C" w:rsidP="00E2358C">
      <w:pPr>
        <w:numPr>
          <w:ilvl w:val="0"/>
          <w:numId w:val="14"/>
        </w:numPr>
        <w:shd w:val="clear" w:color="auto" w:fill="FFFFFF"/>
        <w:bidi w:val="0"/>
        <w:spacing w:before="120" w:after="120" w:line="336" w:lineRule="atLeast"/>
        <w:ind w:left="1095"/>
        <w:rPr>
          <w:rFonts w:eastAsia="Times New Roman"/>
        </w:rPr>
      </w:pPr>
      <w:r w:rsidRPr="00E2358C">
        <w:rPr>
          <w:rFonts w:eastAsia="Times New Roman"/>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04C2C9C2" w14:textId="77777777" w:rsidR="00E2358C" w:rsidRPr="00E2358C" w:rsidRDefault="00E2358C" w:rsidP="00E2358C">
      <w:pPr>
        <w:numPr>
          <w:ilvl w:val="0"/>
          <w:numId w:val="14"/>
        </w:numPr>
        <w:shd w:val="clear" w:color="auto" w:fill="FFFFFF"/>
        <w:bidi w:val="0"/>
        <w:spacing w:before="120" w:after="120" w:line="336" w:lineRule="atLeast"/>
        <w:ind w:left="1095"/>
        <w:rPr>
          <w:rFonts w:eastAsia="Times New Roman"/>
        </w:rPr>
      </w:pPr>
      <w:r w:rsidRPr="00E2358C">
        <w:rPr>
          <w:rFonts w:eastAsia="Times New Roman"/>
        </w:rPr>
        <w:t xml:space="preserve">If the market is scholarly/professional, reference, or trade, how may it best be reached? (Direct mail, relevant journals, professional associations, libraries, </w:t>
      </w:r>
      <w:proofErr w:type="gramStart"/>
      <w:r w:rsidRPr="00E2358C">
        <w:rPr>
          <w:rFonts w:eastAsia="Times New Roman"/>
        </w:rPr>
        <w:t>book</w:t>
      </w:r>
      <w:proofErr w:type="gramEnd"/>
      <w:r w:rsidRPr="00E2358C">
        <w:rPr>
          <w:rFonts w:eastAsia="Times New Roman"/>
        </w:rPr>
        <w:t xml:space="preserve"> or music stores?) For what type of reader is your book intended?</w:t>
      </w:r>
    </w:p>
    <w:p w14:paraId="24F2A74D" w14:textId="77777777" w:rsidR="00E2358C" w:rsidRPr="00E2358C" w:rsidRDefault="00E2358C" w:rsidP="00E2358C">
      <w:pPr>
        <w:shd w:val="clear" w:color="auto" w:fill="FFFFFF"/>
        <w:bidi w:val="0"/>
        <w:spacing w:before="150" w:after="150" w:line="336" w:lineRule="atLeast"/>
        <w:rPr>
          <w:rFonts w:eastAsia="Times New Roman"/>
        </w:rPr>
      </w:pPr>
    </w:p>
    <w:p w14:paraId="1312EE62" w14:textId="421A4212" w:rsidR="003F3EC8" w:rsidRPr="00E2358C" w:rsidRDefault="003F3EC8" w:rsidP="003F3EC8">
      <w:pPr>
        <w:spacing w:line="360" w:lineRule="auto"/>
        <w:rPr>
          <w:rtl/>
        </w:rPr>
      </w:pPr>
      <w:r w:rsidRPr="00E2358C">
        <w:rPr>
          <w:rtl/>
        </w:rPr>
        <w:t>השוק העיקרי לספר הוא השוק האקדמי. הספר מיועד בראש ובראשונה לכל העוסקים באופן ביהדות הקדומה, ובפרט בתקופה הסוערת של סוף ימי הבית השני. הספר מיועד גם לאנשי מדע המדינה וסוציולוגים העוסקים בדינמיקה של מרידות ומהומות לאורך ההיסטוריה. לקהילות האקדמיות הרלוונטיות ניתן להגיע באמצעות כתבי העת המקצועיים, כנסים אקדמיים ודיוור ישיר באמצעות האימייל.</w:t>
      </w:r>
    </w:p>
    <w:p w14:paraId="1C9B54C6" w14:textId="77777777" w:rsidR="003F3EC8" w:rsidRPr="00E2358C" w:rsidRDefault="003F3EC8" w:rsidP="003F3EC8">
      <w:pPr>
        <w:pStyle w:val="2"/>
        <w:shd w:val="clear" w:color="auto" w:fill="FFFFFF"/>
        <w:spacing w:before="210" w:beforeAutospacing="0" w:after="210" w:afterAutospacing="0" w:line="312" w:lineRule="atLeast"/>
        <w:rPr>
          <w:rFonts w:ascii="David" w:hAnsi="David" w:cs="David"/>
          <w:b w:val="0"/>
          <w:bCs w:val="0"/>
          <w:sz w:val="24"/>
          <w:szCs w:val="24"/>
        </w:rPr>
      </w:pPr>
      <w:r w:rsidRPr="00E2358C">
        <w:rPr>
          <w:rFonts w:ascii="David" w:hAnsi="David" w:cs="David"/>
          <w:b w:val="0"/>
          <w:bCs w:val="0"/>
          <w:sz w:val="24"/>
          <w:szCs w:val="24"/>
        </w:rPr>
        <w:t>Status of the Work</w:t>
      </w:r>
    </w:p>
    <w:p w14:paraId="0E10032E" w14:textId="77777777" w:rsidR="003F3EC8" w:rsidRPr="00E2358C" w:rsidRDefault="003F3EC8" w:rsidP="003F3EC8">
      <w:pPr>
        <w:numPr>
          <w:ilvl w:val="0"/>
          <w:numId w:val="10"/>
        </w:numPr>
        <w:shd w:val="clear" w:color="auto" w:fill="FFFFFF"/>
        <w:bidi w:val="0"/>
        <w:spacing w:before="120" w:after="120" w:line="336" w:lineRule="atLeast"/>
        <w:ind w:left="1095"/>
      </w:pPr>
      <w:r w:rsidRPr="00E2358C">
        <w:t>Do you have a timetable for completing the book?</w:t>
      </w:r>
    </w:p>
    <w:p w14:paraId="1756A79F" w14:textId="77777777" w:rsidR="003F3EC8" w:rsidRPr="00E2358C" w:rsidRDefault="003F3EC8" w:rsidP="003F3EC8">
      <w:pPr>
        <w:numPr>
          <w:ilvl w:val="1"/>
          <w:numId w:val="10"/>
        </w:numPr>
        <w:shd w:val="clear" w:color="auto" w:fill="FFFFFF"/>
        <w:bidi w:val="0"/>
        <w:spacing w:before="120" w:after="120" w:line="336" w:lineRule="atLeast"/>
        <w:ind w:left="2040"/>
      </w:pPr>
      <w:r w:rsidRPr="00E2358C">
        <w:t>What portion or percentage of the material is now complete?</w:t>
      </w:r>
    </w:p>
    <w:p w14:paraId="21EAE502" w14:textId="48010798" w:rsidR="002A486F" w:rsidRPr="00E2358C" w:rsidRDefault="003F3EC8" w:rsidP="002A486F">
      <w:pPr>
        <w:numPr>
          <w:ilvl w:val="1"/>
          <w:numId w:val="10"/>
        </w:numPr>
        <w:shd w:val="clear" w:color="auto" w:fill="FFFFFF"/>
        <w:bidi w:val="0"/>
        <w:spacing w:before="120" w:after="120" w:line="336" w:lineRule="atLeast"/>
        <w:ind w:left="2040"/>
      </w:pPr>
      <w:r w:rsidRPr="00E2358C">
        <w:t>When do you expect to have a complete manuscript?</w:t>
      </w:r>
    </w:p>
    <w:p w14:paraId="2B041FC8" w14:textId="6A9C8DDE" w:rsidR="002A486F" w:rsidRPr="00E2358C" w:rsidRDefault="002A486F" w:rsidP="00AA0AD8">
      <w:pPr>
        <w:shd w:val="clear" w:color="auto" w:fill="FFFFFF"/>
        <w:spacing w:before="120" w:after="120" w:line="336" w:lineRule="atLeast"/>
        <w:rPr>
          <w:rtl/>
        </w:rPr>
      </w:pPr>
      <w:r w:rsidRPr="00E2358C">
        <w:rPr>
          <w:rtl/>
        </w:rPr>
        <w:t>היבטים שונים של המחקר כבר נידונו על ידי בפרסומים קודמים במיוחד בכל מה שקשור במרד הגדול. יחד עם זאת ארגון החומר במסגרת הקונספטואלית והתיאורטית עדיין לא נעשה גם ביחס למרד הגדול.</w:t>
      </w:r>
      <w:r w:rsidR="00AA0AD8">
        <w:rPr>
          <w:rFonts w:hint="cs"/>
          <w:rtl/>
        </w:rPr>
        <w:t xml:space="preserve"> </w:t>
      </w:r>
      <w:r w:rsidRPr="00E2358C">
        <w:rPr>
          <w:rtl/>
        </w:rPr>
        <w:t xml:space="preserve">אני מקווה לסיים את </w:t>
      </w:r>
      <w:proofErr w:type="spellStart"/>
      <w:r w:rsidRPr="00E2358C">
        <w:rPr>
          <w:rtl/>
        </w:rPr>
        <w:t>הפרוייקט</w:t>
      </w:r>
      <w:proofErr w:type="spellEnd"/>
      <w:r w:rsidRPr="00E2358C">
        <w:rPr>
          <w:rtl/>
        </w:rPr>
        <w:t xml:space="preserve"> כולו בתוך כשנתיים.</w:t>
      </w:r>
    </w:p>
    <w:p w14:paraId="4B42C29B" w14:textId="55D6864C" w:rsidR="003F3EC8" w:rsidRPr="00E2358C" w:rsidRDefault="003F3EC8" w:rsidP="002A486F">
      <w:pPr>
        <w:numPr>
          <w:ilvl w:val="0"/>
          <w:numId w:val="10"/>
        </w:numPr>
        <w:shd w:val="clear" w:color="auto" w:fill="FFFFFF"/>
        <w:bidi w:val="0"/>
        <w:spacing w:before="120" w:after="120" w:line="336" w:lineRule="atLeast"/>
        <w:ind w:left="1095"/>
      </w:pPr>
      <w:r w:rsidRPr="00E2358C">
        <w:t>What do you estimate to be the size of the completed book?</w:t>
      </w:r>
    </w:p>
    <w:p w14:paraId="5B30830F" w14:textId="77777777" w:rsidR="003F3EC8" w:rsidRPr="00E2358C" w:rsidRDefault="003F3EC8" w:rsidP="003F3EC8">
      <w:pPr>
        <w:numPr>
          <w:ilvl w:val="1"/>
          <w:numId w:val="10"/>
        </w:numPr>
        <w:shd w:val="clear" w:color="auto" w:fill="FFFFFF"/>
        <w:bidi w:val="0"/>
        <w:spacing w:before="120" w:after="120" w:line="336" w:lineRule="atLeast"/>
        <w:ind w:left="2040"/>
      </w:pPr>
      <w:r w:rsidRPr="00E2358C">
        <w:t xml:space="preserve">Double spaced typewritten pages normally reduce about one-third when set in </w:t>
      </w:r>
      <w:proofErr w:type="gramStart"/>
      <w:r w:rsidRPr="00E2358C">
        <w:t>type;</w:t>
      </w:r>
      <w:proofErr w:type="gramEnd"/>
      <w:r w:rsidRPr="00E2358C">
        <w:t xml:space="preserve"> e.g., 300 typewritten pages make about 200 printed pages. There are about 450 words on a printed page.</w:t>
      </w:r>
    </w:p>
    <w:p w14:paraId="6F20AC9D" w14:textId="77777777" w:rsidR="003F3EC8" w:rsidRPr="00E2358C" w:rsidRDefault="003F3EC8" w:rsidP="003F3EC8">
      <w:pPr>
        <w:numPr>
          <w:ilvl w:val="1"/>
          <w:numId w:val="10"/>
        </w:numPr>
        <w:shd w:val="clear" w:color="auto" w:fill="FFFFFF"/>
        <w:bidi w:val="0"/>
        <w:spacing w:before="120" w:after="120" w:line="336" w:lineRule="atLeast"/>
        <w:ind w:left="2040"/>
      </w:pPr>
      <w:r w:rsidRPr="00E2358C">
        <w:t>Approximately how many photographs do you plan to include?</w:t>
      </w:r>
    </w:p>
    <w:p w14:paraId="538AFEE4" w14:textId="77777777" w:rsidR="003F3EC8" w:rsidRPr="00E2358C" w:rsidRDefault="003F3EC8" w:rsidP="003F3EC8">
      <w:pPr>
        <w:numPr>
          <w:ilvl w:val="1"/>
          <w:numId w:val="10"/>
        </w:numPr>
        <w:shd w:val="clear" w:color="auto" w:fill="FFFFFF"/>
        <w:bidi w:val="0"/>
        <w:spacing w:before="120" w:after="120" w:line="336" w:lineRule="atLeast"/>
        <w:ind w:left="2040"/>
      </w:pPr>
      <w:r w:rsidRPr="00E2358C">
        <w:t xml:space="preserve">Approximately how many line drawings (charts, graphs, diagrams, </w:t>
      </w:r>
      <w:proofErr w:type="gramStart"/>
      <w:r w:rsidRPr="00E2358C">
        <w:t>etc. )</w:t>
      </w:r>
      <w:proofErr w:type="gramEnd"/>
      <w:r w:rsidRPr="00E2358C">
        <w:t xml:space="preserve"> will you need?</w:t>
      </w:r>
    </w:p>
    <w:p w14:paraId="62E54D9D" w14:textId="77777777" w:rsidR="002A486F" w:rsidRPr="00E2358C" w:rsidRDefault="003F3EC8" w:rsidP="003F3EC8">
      <w:pPr>
        <w:numPr>
          <w:ilvl w:val="1"/>
          <w:numId w:val="10"/>
        </w:numPr>
        <w:shd w:val="clear" w:color="auto" w:fill="FFFFFF"/>
        <w:bidi w:val="0"/>
        <w:spacing w:before="120" w:after="120" w:line="336" w:lineRule="atLeast"/>
        <w:ind w:left="2040"/>
      </w:pPr>
      <w:r w:rsidRPr="00E2358C">
        <w:t xml:space="preserve">Do you plan to include material requiring permission (text, music, lyrics, illustrations)? To what extent? Have you started the </w:t>
      </w:r>
    </w:p>
    <w:p w14:paraId="16615469" w14:textId="55ABFFC6" w:rsidR="003F3EC8" w:rsidRPr="00E2358C" w:rsidRDefault="003F3EC8" w:rsidP="002A486F">
      <w:pPr>
        <w:shd w:val="clear" w:color="auto" w:fill="FFFFFF"/>
        <w:bidi w:val="0"/>
        <w:spacing w:before="120" w:after="120" w:line="336" w:lineRule="atLeast"/>
        <w:ind w:left="2040"/>
      </w:pPr>
      <w:r w:rsidRPr="00E2358C">
        <w:lastRenderedPageBreak/>
        <w:t>permissions request process?</w:t>
      </w:r>
    </w:p>
    <w:p w14:paraId="42803B93" w14:textId="206D1856" w:rsidR="002A486F" w:rsidRPr="00E2358C" w:rsidRDefault="002A486F" w:rsidP="002A486F">
      <w:pPr>
        <w:shd w:val="clear" w:color="auto" w:fill="FFFFFF"/>
        <w:spacing w:before="120" w:after="120" w:line="336" w:lineRule="atLeast"/>
        <w:rPr>
          <w:rtl/>
        </w:rPr>
      </w:pPr>
      <w:r w:rsidRPr="00E2358C">
        <w:rPr>
          <w:rtl/>
        </w:rPr>
        <w:t>אורך הספר צפוי להיות כ- 350-300 עמודי דפוס. אני מניח שיהיה צורך בכ-15 תמונות של ממצאים ארכיאולוגיים שונים (צילומים של מגילות מדבר יהודה, מתקני טהרה, ושרידים אחרים מתקופת בית שני)</w:t>
      </w:r>
      <w:r w:rsidR="00D16CF1" w:rsidRPr="00E2358C">
        <w:rPr>
          <w:rtl/>
        </w:rPr>
        <w:t>. יש בכוונתי גם לכלול כ 8-7 מפות</w:t>
      </w:r>
    </w:p>
    <w:p w14:paraId="2EF002FB" w14:textId="68B525C7" w:rsidR="003F3EC8" w:rsidRPr="00E2358C" w:rsidRDefault="003F3EC8" w:rsidP="003F3EC8">
      <w:pPr>
        <w:numPr>
          <w:ilvl w:val="0"/>
          <w:numId w:val="10"/>
        </w:numPr>
        <w:shd w:val="clear" w:color="auto" w:fill="FFFFFF"/>
        <w:bidi w:val="0"/>
        <w:spacing w:before="120" w:after="120" w:line="336" w:lineRule="atLeast"/>
        <w:ind w:left="1095"/>
      </w:pPr>
      <w:r w:rsidRPr="00E2358C">
        <w:t>Do you plan to class-test the material in your own or other sections of the course? (Any material distributed to students should be protected by copyright notice on the material.)</w:t>
      </w:r>
    </w:p>
    <w:p w14:paraId="71451233" w14:textId="7D90FC77" w:rsidR="00DB4397" w:rsidRPr="00E2358C" w:rsidRDefault="00D16CF1" w:rsidP="00AA0AD8">
      <w:pPr>
        <w:shd w:val="clear" w:color="auto" w:fill="FFFFFF"/>
        <w:spacing w:before="120" w:after="120" w:line="336" w:lineRule="atLeast"/>
        <w:rPr>
          <w:rtl/>
        </w:rPr>
      </w:pPr>
      <w:r w:rsidRPr="00E2358C">
        <w:rPr>
          <w:rtl/>
        </w:rPr>
        <w:t>אין בכוונתי לעשות זאת</w:t>
      </w:r>
    </w:p>
    <w:sectPr w:rsidR="00DB4397" w:rsidRPr="00E2358C" w:rsidSect="00894E4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DDBA" w14:textId="77777777" w:rsidR="007C6EFA" w:rsidRDefault="007C6EFA" w:rsidP="00B703F0">
      <w:pPr>
        <w:spacing w:after="0" w:line="240" w:lineRule="auto"/>
      </w:pPr>
      <w:r>
        <w:separator/>
      </w:r>
    </w:p>
  </w:endnote>
  <w:endnote w:type="continuationSeparator" w:id="0">
    <w:p w14:paraId="2F2D08A6" w14:textId="77777777" w:rsidR="007C6EFA" w:rsidRDefault="007C6EFA" w:rsidP="00B7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3902" w14:textId="77777777" w:rsidR="007C6EFA" w:rsidRDefault="007C6EFA" w:rsidP="00B703F0">
      <w:pPr>
        <w:spacing w:after="0" w:line="240" w:lineRule="auto"/>
      </w:pPr>
      <w:r>
        <w:separator/>
      </w:r>
    </w:p>
  </w:footnote>
  <w:footnote w:type="continuationSeparator" w:id="0">
    <w:p w14:paraId="6E781100" w14:textId="77777777" w:rsidR="007C6EFA" w:rsidRDefault="007C6EFA" w:rsidP="00B7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7012505"/>
      <w:docPartObj>
        <w:docPartGallery w:val="Page Numbers (Top of Page)"/>
        <w:docPartUnique/>
      </w:docPartObj>
    </w:sdtPr>
    <w:sdtEndPr/>
    <w:sdtContent>
      <w:p w14:paraId="74514EEA" w14:textId="26F99CEB" w:rsidR="00B703F0" w:rsidRDefault="00B703F0">
        <w:pPr>
          <w:pStyle w:val="a3"/>
          <w:jc w:val="center"/>
        </w:pPr>
        <w:r>
          <w:fldChar w:fldCharType="begin"/>
        </w:r>
        <w:r>
          <w:instrText>PAGE   \* MERGEFORMAT</w:instrText>
        </w:r>
        <w:r>
          <w:fldChar w:fldCharType="separate"/>
        </w:r>
        <w:r>
          <w:rPr>
            <w:rtl/>
            <w:lang w:val="he-IL"/>
          </w:rPr>
          <w:t>2</w:t>
        </w:r>
        <w:r>
          <w:fldChar w:fldCharType="end"/>
        </w:r>
      </w:p>
    </w:sdtContent>
  </w:sdt>
  <w:p w14:paraId="1F65A952" w14:textId="77777777" w:rsidR="00B703F0" w:rsidRDefault="00B703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6358"/>
    <w:multiLevelType w:val="hybridMultilevel"/>
    <w:tmpl w:val="C0040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469DF"/>
    <w:multiLevelType w:val="multilevel"/>
    <w:tmpl w:val="D5304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97E77"/>
    <w:multiLevelType w:val="hybridMultilevel"/>
    <w:tmpl w:val="1A60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B9A"/>
    <w:multiLevelType w:val="multilevel"/>
    <w:tmpl w:val="31D4D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8E49CD"/>
    <w:multiLevelType w:val="hybridMultilevel"/>
    <w:tmpl w:val="2AB26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22790"/>
    <w:multiLevelType w:val="multilevel"/>
    <w:tmpl w:val="31D4D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954170"/>
    <w:multiLevelType w:val="hybridMultilevel"/>
    <w:tmpl w:val="54C211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9" w15:restartNumberingAfterBreak="0">
    <w:nsid w:val="52B11545"/>
    <w:multiLevelType w:val="hybridMultilevel"/>
    <w:tmpl w:val="4E58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4655B"/>
    <w:multiLevelType w:val="hybridMultilevel"/>
    <w:tmpl w:val="6400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C62D7"/>
    <w:multiLevelType w:val="hybridMultilevel"/>
    <w:tmpl w:val="25E8B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82827"/>
    <w:multiLevelType w:val="multilevel"/>
    <w:tmpl w:val="31D4D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A4630B"/>
    <w:multiLevelType w:val="hybridMultilevel"/>
    <w:tmpl w:val="CAFCC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6817E1"/>
    <w:multiLevelType w:val="hybridMultilevel"/>
    <w:tmpl w:val="16A41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0E4F12"/>
    <w:multiLevelType w:val="hybridMultilevel"/>
    <w:tmpl w:val="451E0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E55C2"/>
    <w:multiLevelType w:val="multilevel"/>
    <w:tmpl w:val="D5304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4"/>
  </w:num>
  <w:num w:numId="4">
    <w:abstractNumId w:val="6"/>
  </w:num>
  <w:num w:numId="5">
    <w:abstractNumId w:val="15"/>
  </w:num>
  <w:num w:numId="6">
    <w:abstractNumId w:val="1"/>
  </w:num>
  <w:num w:numId="7">
    <w:abstractNumId w:val="9"/>
  </w:num>
  <w:num w:numId="8">
    <w:abstractNumId w:val="3"/>
  </w:num>
  <w:num w:numId="9">
    <w:abstractNumId w:val="0"/>
  </w:num>
  <w:num w:numId="10">
    <w:abstractNumId w:val="16"/>
  </w:num>
  <w:num w:numId="11">
    <w:abstractNumId w:val="2"/>
  </w:num>
  <w:num w:numId="12">
    <w:abstractNumId w:val="18"/>
  </w:num>
  <w:num w:numId="13">
    <w:abstractNumId w:val="8"/>
  </w:num>
  <w:num w:numId="14">
    <w:abstractNumId w:val="14"/>
  </w:num>
  <w:num w:numId="15">
    <w:abstractNumId w:val="10"/>
  </w:num>
  <w:num w:numId="16">
    <w:abstractNumId w:val="7"/>
  </w:num>
  <w:num w:numId="17">
    <w:abstractNumId w:val="1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EF"/>
    <w:rsid w:val="00003019"/>
    <w:rsid w:val="00027540"/>
    <w:rsid w:val="00036037"/>
    <w:rsid w:val="00090399"/>
    <w:rsid w:val="00091C6A"/>
    <w:rsid w:val="000A3B25"/>
    <w:rsid w:val="000A4B20"/>
    <w:rsid w:val="000D1FBC"/>
    <w:rsid w:val="001054CA"/>
    <w:rsid w:val="0010612D"/>
    <w:rsid w:val="00113543"/>
    <w:rsid w:val="00117A61"/>
    <w:rsid w:val="001628E2"/>
    <w:rsid w:val="0016695C"/>
    <w:rsid w:val="00197A0C"/>
    <w:rsid w:val="001A5C68"/>
    <w:rsid w:val="001A7854"/>
    <w:rsid w:val="001D4EA0"/>
    <w:rsid w:val="001E06F9"/>
    <w:rsid w:val="002070AA"/>
    <w:rsid w:val="002279B3"/>
    <w:rsid w:val="002348AE"/>
    <w:rsid w:val="00284176"/>
    <w:rsid w:val="002A2A53"/>
    <w:rsid w:val="002A486F"/>
    <w:rsid w:val="00315C43"/>
    <w:rsid w:val="00343A91"/>
    <w:rsid w:val="003648B3"/>
    <w:rsid w:val="003B1625"/>
    <w:rsid w:val="003F3EC8"/>
    <w:rsid w:val="004202AA"/>
    <w:rsid w:val="00467A54"/>
    <w:rsid w:val="004902C0"/>
    <w:rsid w:val="004A1111"/>
    <w:rsid w:val="004C1AA4"/>
    <w:rsid w:val="004C7FA0"/>
    <w:rsid w:val="004E01F0"/>
    <w:rsid w:val="004E2796"/>
    <w:rsid w:val="00530995"/>
    <w:rsid w:val="005369E6"/>
    <w:rsid w:val="0053794F"/>
    <w:rsid w:val="00554642"/>
    <w:rsid w:val="00555CD8"/>
    <w:rsid w:val="00555FEA"/>
    <w:rsid w:val="00574F13"/>
    <w:rsid w:val="005B671E"/>
    <w:rsid w:val="005D2567"/>
    <w:rsid w:val="006019B4"/>
    <w:rsid w:val="00602181"/>
    <w:rsid w:val="006230CD"/>
    <w:rsid w:val="00660BB0"/>
    <w:rsid w:val="00677C49"/>
    <w:rsid w:val="006B7AA5"/>
    <w:rsid w:val="006C71E4"/>
    <w:rsid w:val="006F7D5A"/>
    <w:rsid w:val="00712F77"/>
    <w:rsid w:val="007178DA"/>
    <w:rsid w:val="007271A2"/>
    <w:rsid w:val="00757324"/>
    <w:rsid w:val="00763324"/>
    <w:rsid w:val="00786EAD"/>
    <w:rsid w:val="007A4154"/>
    <w:rsid w:val="007B0098"/>
    <w:rsid w:val="007C6EFA"/>
    <w:rsid w:val="00821BE2"/>
    <w:rsid w:val="00822800"/>
    <w:rsid w:val="00870006"/>
    <w:rsid w:val="008744E5"/>
    <w:rsid w:val="00894E43"/>
    <w:rsid w:val="008B3A00"/>
    <w:rsid w:val="008B4378"/>
    <w:rsid w:val="008B6677"/>
    <w:rsid w:val="008C34AB"/>
    <w:rsid w:val="008D2AFB"/>
    <w:rsid w:val="008D57B2"/>
    <w:rsid w:val="008F3CC8"/>
    <w:rsid w:val="0091593C"/>
    <w:rsid w:val="00932990"/>
    <w:rsid w:val="00942738"/>
    <w:rsid w:val="009429C3"/>
    <w:rsid w:val="00964AF6"/>
    <w:rsid w:val="00975E36"/>
    <w:rsid w:val="009E3623"/>
    <w:rsid w:val="00A40DCD"/>
    <w:rsid w:val="00A46C2A"/>
    <w:rsid w:val="00AA0AD8"/>
    <w:rsid w:val="00AD372F"/>
    <w:rsid w:val="00B006F1"/>
    <w:rsid w:val="00B52B6E"/>
    <w:rsid w:val="00B703F0"/>
    <w:rsid w:val="00B70AE8"/>
    <w:rsid w:val="00BA3FE3"/>
    <w:rsid w:val="00BB6B6E"/>
    <w:rsid w:val="00BC0ECD"/>
    <w:rsid w:val="00BD79DA"/>
    <w:rsid w:val="00BE3770"/>
    <w:rsid w:val="00BE6AA6"/>
    <w:rsid w:val="00C11BA2"/>
    <w:rsid w:val="00C12283"/>
    <w:rsid w:val="00C30C4A"/>
    <w:rsid w:val="00C72A5F"/>
    <w:rsid w:val="00C92643"/>
    <w:rsid w:val="00CA0703"/>
    <w:rsid w:val="00CA79FB"/>
    <w:rsid w:val="00CE0A09"/>
    <w:rsid w:val="00D03472"/>
    <w:rsid w:val="00D061C2"/>
    <w:rsid w:val="00D16CF1"/>
    <w:rsid w:val="00D63706"/>
    <w:rsid w:val="00DB4397"/>
    <w:rsid w:val="00DD29E0"/>
    <w:rsid w:val="00DD30AA"/>
    <w:rsid w:val="00DD4EE8"/>
    <w:rsid w:val="00DE25EF"/>
    <w:rsid w:val="00DE4665"/>
    <w:rsid w:val="00E04460"/>
    <w:rsid w:val="00E20997"/>
    <w:rsid w:val="00E2358C"/>
    <w:rsid w:val="00E26FB8"/>
    <w:rsid w:val="00E41E1E"/>
    <w:rsid w:val="00E439E4"/>
    <w:rsid w:val="00E71927"/>
    <w:rsid w:val="00E722CC"/>
    <w:rsid w:val="00E94280"/>
    <w:rsid w:val="00EA1C94"/>
    <w:rsid w:val="00EC2D3E"/>
    <w:rsid w:val="00ED4738"/>
    <w:rsid w:val="00F30C9C"/>
    <w:rsid w:val="00F34607"/>
    <w:rsid w:val="00F47F18"/>
    <w:rsid w:val="00F538A6"/>
    <w:rsid w:val="00F744C9"/>
    <w:rsid w:val="00FB0FB1"/>
    <w:rsid w:val="00FD0EE8"/>
    <w:rsid w:val="00FD22D5"/>
    <w:rsid w:val="00FE0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A594"/>
  <w15:chartTrackingRefBased/>
  <w15:docId w15:val="{A3BC8BBC-19A3-460C-A2A4-594446C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2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F3EC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3F0"/>
    <w:pPr>
      <w:tabs>
        <w:tab w:val="center" w:pos="4153"/>
        <w:tab w:val="right" w:pos="8306"/>
      </w:tabs>
      <w:spacing w:after="0" w:line="240" w:lineRule="auto"/>
    </w:pPr>
  </w:style>
  <w:style w:type="character" w:customStyle="1" w:styleId="a4">
    <w:name w:val="כותרת עליונה תו"/>
    <w:basedOn w:val="a0"/>
    <w:link w:val="a3"/>
    <w:uiPriority w:val="99"/>
    <w:rsid w:val="00B703F0"/>
  </w:style>
  <w:style w:type="paragraph" w:styleId="a5">
    <w:name w:val="footer"/>
    <w:basedOn w:val="a"/>
    <w:link w:val="a6"/>
    <w:uiPriority w:val="99"/>
    <w:unhideWhenUsed/>
    <w:rsid w:val="00B703F0"/>
    <w:pPr>
      <w:tabs>
        <w:tab w:val="center" w:pos="4153"/>
        <w:tab w:val="right" w:pos="8306"/>
      </w:tabs>
      <w:spacing w:after="0" w:line="240" w:lineRule="auto"/>
    </w:pPr>
  </w:style>
  <w:style w:type="character" w:customStyle="1" w:styleId="a6">
    <w:name w:val="כותרת תחתונה תו"/>
    <w:basedOn w:val="a0"/>
    <w:link w:val="a5"/>
    <w:uiPriority w:val="99"/>
    <w:rsid w:val="00B703F0"/>
  </w:style>
  <w:style w:type="paragraph" w:styleId="a7">
    <w:name w:val="List Paragraph"/>
    <w:basedOn w:val="a"/>
    <w:uiPriority w:val="34"/>
    <w:qFormat/>
    <w:rsid w:val="004A1111"/>
    <w:pPr>
      <w:ind w:left="720"/>
      <w:contextualSpacing/>
    </w:pPr>
  </w:style>
  <w:style w:type="character" w:styleId="Hyperlink">
    <w:name w:val="Hyperlink"/>
    <w:basedOn w:val="a0"/>
    <w:uiPriority w:val="99"/>
    <w:unhideWhenUsed/>
    <w:rsid w:val="00DB4397"/>
    <w:rPr>
      <w:color w:val="0563C1" w:themeColor="hyperlink"/>
      <w:u w:val="single"/>
    </w:rPr>
  </w:style>
  <w:style w:type="character" w:styleId="a8">
    <w:name w:val="Unresolved Mention"/>
    <w:basedOn w:val="a0"/>
    <w:uiPriority w:val="99"/>
    <w:semiHidden/>
    <w:unhideWhenUsed/>
    <w:rsid w:val="00DB4397"/>
    <w:rPr>
      <w:color w:val="605E5C"/>
      <w:shd w:val="clear" w:color="auto" w:fill="E1DFDD"/>
    </w:rPr>
  </w:style>
  <w:style w:type="character" w:styleId="FollowedHyperlink">
    <w:name w:val="FollowedHyperlink"/>
    <w:basedOn w:val="a0"/>
    <w:uiPriority w:val="99"/>
    <w:semiHidden/>
    <w:unhideWhenUsed/>
    <w:rsid w:val="00DB4397"/>
    <w:rPr>
      <w:color w:val="954F72" w:themeColor="followedHyperlink"/>
      <w:u w:val="single"/>
    </w:rPr>
  </w:style>
  <w:style w:type="character" w:customStyle="1" w:styleId="20">
    <w:name w:val="כותרת 2 תו"/>
    <w:basedOn w:val="a0"/>
    <w:link w:val="2"/>
    <w:uiPriority w:val="9"/>
    <w:rsid w:val="003F3EC8"/>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3F3EC8"/>
    <w:pPr>
      <w:bidi w:val="0"/>
      <w:spacing w:before="100" w:beforeAutospacing="1" w:after="100" w:afterAutospacing="1" w:line="240" w:lineRule="auto"/>
    </w:pPr>
    <w:rPr>
      <w:rFonts w:ascii="Times New Roman" w:eastAsia="Times New Roman" w:hAnsi="Times New Roman" w:cs="Times New Roman"/>
    </w:rPr>
  </w:style>
  <w:style w:type="character" w:styleId="a9">
    <w:name w:val="Strong"/>
    <w:basedOn w:val="a0"/>
    <w:uiPriority w:val="22"/>
    <w:qFormat/>
    <w:rsid w:val="003F3EC8"/>
    <w:rPr>
      <w:b/>
      <w:bCs/>
    </w:rPr>
  </w:style>
  <w:style w:type="character" w:customStyle="1" w:styleId="10">
    <w:name w:val="כותרת 1 תו"/>
    <w:basedOn w:val="a0"/>
    <w:link w:val="1"/>
    <w:uiPriority w:val="9"/>
    <w:rsid w:val="0082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580">
      <w:bodyDiv w:val="1"/>
      <w:marLeft w:val="0"/>
      <w:marRight w:val="0"/>
      <w:marTop w:val="0"/>
      <w:marBottom w:val="0"/>
      <w:divBdr>
        <w:top w:val="none" w:sz="0" w:space="0" w:color="auto"/>
        <w:left w:val="none" w:sz="0" w:space="0" w:color="auto"/>
        <w:bottom w:val="none" w:sz="0" w:space="0" w:color="auto"/>
        <w:right w:val="none" w:sz="0" w:space="0" w:color="auto"/>
      </w:divBdr>
    </w:div>
    <w:div w:id="279386237">
      <w:bodyDiv w:val="1"/>
      <w:marLeft w:val="0"/>
      <w:marRight w:val="0"/>
      <w:marTop w:val="0"/>
      <w:marBottom w:val="0"/>
      <w:divBdr>
        <w:top w:val="none" w:sz="0" w:space="0" w:color="auto"/>
        <w:left w:val="none" w:sz="0" w:space="0" w:color="auto"/>
        <w:bottom w:val="none" w:sz="0" w:space="0" w:color="auto"/>
        <w:right w:val="none" w:sz="0" w:space="0" w:color="auto"/>
      </w:divBdr>
      <w:divsChild>
        <w:div w:id="1937009019">
          <w:marLeft w:val="0"/>
          <w:marRight w:val="0"/>
          <w:marTop w:val="0"/>
          <w:marBottom w:val="0"/>
          <w:divBdr>
            <w:top w:val="none" w:sz="0" w:space="0" w:color="auto"/>
            <w:left w:val="none" w:sz="0" w:space="0" w:color="auto"/>
            <w:bottom w:val="none" w:sz="0" w:space="0" w:color="auto"/>
            <w:right w:val="none" w:sz="0" w:space="0" w:color="auto"/>
          </w:divBdr>
        </w:div>
        <w:div w:id="2076929273">
          <w:marLeft w:val="0"/>
          <w:marRight w:val="0"/>
          <w:marTop w:val="0"/>
          <w:marBottom w:val="0"/>
          <w:divBdr>
            <w:top w:val="none" w:sz="0" w:space="0" w:color="auto"/>
            <w:left w:val="none" w:sz="0" w:space="0" w:color="auto"/>
            <w:bottom w:val="none" w:sz="0" w:space="0" w:color="auto"/>
            <w:right w:val="none" w:sz="0" w:space="0" w:color="auto"/>
          </w:divBdr>
          <w:divsChild>
            <w:div w:id="924147117">
              <w:marLeft w:val="0"/>
              <w:marRight w:val="0"/>
              <w:marTop w:val="0"/>
              <w:marBottom w:val="0"/>
              <w:divBdr>
                <w:top w:val="none" w:sz="0" w:space="0" w:color="auto"/>
                <w:left w:val="none" w:sz="0" w:space="0" w:color="auto"/>
                <w:bottom w:val="none" w:sz="0" w:space="0" w:color="auto"/>
                <w:right w:val="none" w:sz="0" w:space="0" w:color="auto"/>
              </w:divBdr>
            </w:div>
            <w:div w:id="1441757673">
              <w:marLeft w:val="0"/>
              <w:marRight w:val="0"/>
              <w:marTop w:val="0"/>
              <w:marBottom w:val="0"/>
              <w:divBdr>
                <w:top w:val="none" w:sz="0" w:space="0" w:color="auto"/>
                <w:left w:val="none" w:sz="0" w:space="0" w:color="auto"/>
                <w:bottom w:val="none" w:sz="0" w:space="0" w:color="auto"/>
                <w:right w:val="none" w:sz="0" w:space="0" w:color="auto"/>
              </w:divBdr>
            </w:div>
          </w:divsChild>
        </w:div>
        <w:div w:id="743919396">
          <w:marLeft w:val="0"/>
          <w:marRight w:val="0"/>
          <w:marTop w:val="0"/>
          <w:marBottom w:val="0"/>
          <w:divBdr>
            <w:top w:val="none" w:sz="0" w:space="0" w:color="auto"/>
            <w:left w:val="none" w:sz="0" w:space="0" w:color="auto"/>
            <w:bottom w:val="none" w:sz="0" w:space="0" w:color="auto"/>
            <w:right w:val="none" w:sz="0" w:space="0" w:color="auto"/>
          </w:divBdr>
        </w:div>
        <w:div w:id="1157380000">
          <w:marLeft w:val="0"/>
          <w:marRight w:val="0"/>
          <w:marTop w:val="0"/>
          <w:marBottom w:val="0"/>
          <w:divBdr>
            <w:top w:val="none" w:sz="0" w:space="0" w:color="auto"/>
            <w:left w:val="none" w:sz="0" w:space="0" w:color="auto"/>
            <w:bottom w:val="none" w:sz="0" w:space="0" w:color="auto"/>
            <w:right w:val="none" w:sz="0" w:space="0" w:color="auto"/>
          </w:divBdr>
        </w:div>
        <w:div w:id="2127507573">
          <w:marLeft w:val="0"/>
          <w:marRight w:val="0"/>
          <w:marTop w:val="0"/>
          <w:marBottom w:val="0"/>
          <w:divBdr>
            <w:top w:val="none" w:sz="0" w:space="0" w:color="auto"/>
            <w:left w:val="none" w:sz="0" w:space="0" w:color="auto"/>
            <w:bottom w:val="none" w:sz="0" w:space="0" w:color="auto"/>
            <w:right w:val="none" w:sz="0" w:space="0" w:color="auto"/>
          </w:divBdr>
        </w:div>
      </w:divsChild>
    </w:div>
    <w:div w:id="324435228">
      <w:bodyDiv w:val="1"/>
      <w:marLeft w:val="0"/>
      <w:marRight w:val="0"/>
      <w:marTop w:val="0"/>
      <w:marBottom w:val="0"/>
      <w:divBdr>
        <w:top w:val="none" w:sz="0" w:space="0" w:color="auto"/>
        <w:left w:val="none" w:sz="0" w:space="0" w:color="auto"/>
        <w:bottom w:val="none" w:sz="0" w:space="0" w:color="auto"/>
        <w:right w:val="none" w:sz="0" w:space="0" w:color="auto"/>
      </w:divBdr>
    </w:div>
    <w:div w:id="562983866">
      <w:bodyDiv w:val="1"/>
      <w:marLeft w:val="0"/>
      <w:marRight w:val="0"/>
      <w:marTop w:val="0"/>
      <w:marBottom w:val="0"/>
      <w:divBdr>
        <w:top w:val="none" w:sz="0" w:space="0" w:color="auto"/>
        <w:left w:val="none" w:sz="0" w:space="0" w:color="auto"/>
        <w:bottom w:val="none" w:sz="0" w:space="0" w:color="auto"/>
        <w:right w:val="none" w:sz="0" w:space="0" w:color="auto"/>
      </w:divBdr>
    </w:div>
    <w:div w:id="654647122">
      <w:bodyDiv w:val="1"/>
      <w:marLeft w:val="0"/>
      <w:marRight w:val="0"/>
      <w:marTop w:val="0"/>
      <w:marBottom w:val="0"/>
      <w:divBdr>
        <w:top w:val="none" w:sz="0" w:space="0" w:color="auto"/>
        <w:left w:val="none" w:sz="0" w:space="0" w:color="auto"/>
        <w:bottom w:val="none" w:sz="0" w:space="0" w:color="auto"/>
        <w:right w:val="none" w:sz="0" w:space="0" w:color="auto"/>
      </w:divBdr>
    </w:div>
    <w:div w:id="669330036">
      <w:bodyDiv w:val="1"/>
      <w:marLeft w:val="0"/>
      <w:marRight w:val="0"/>
      <w:marTop w:val="0"/>
      <w:marBottom w:val="0"/>
      <w:divBdr>
        <w:top w:val="none" w:sz="0" w:space="0" w:color="auto"/>
        <w:left w:val="none" w:sz="0" w:space="0" w:color="auto"/>
        <w:bottom w:val="none" w:sz="0" w:space="0" w:color="auto"/>
        <w:right w:val="none" w:sz="0" w:space="0" w:color="auto"/>
      </w:divBdr>
    </w:div>
    <w:div w:id="690305605">
      <w:bodyDiv w:val="1"/>
      <w:marLeft w:val="0"/>
      <w:marRight w:val="0"/>
      <w:marTop w:val="0"/>
      <w:marBottom w:val="0"/>
      <w:divBdr>
        <w:top w:val="none" w:sz="0" w:space="0" w:color="auto"/>
        <w:left w:val="none" w:sz="0" w:space="0" w:color="auto"/>
        <w:bottom w:val="none" w:sz="0" w:space="0" w:color="auto"/>
        <w:right w:val="none" w:sz="0" w:space="0" w:color="auto"/>
      </w:divBdr>
    </w:div>
    <w:div w:id="757823419">
      <w:bodyDiv w:val="1"/>
      <w:marLeft w:val="0"/>
      <w:marRight w:val="0"/>
      <w:marTop w:val="0"/>
      <w:marBottom w:val="0"/>
      <w:divBdr>
        <w:top w:val="none" w:sz="0" w:space="0" w:color="auto"/>
        <w:left w:val="none" w:sz="0" w:space="0" w:color="auto"/>
        <w:bottom w:val="none" w:sz="0" w:space="0" w:color="auto"/>
        <w:right w:val="none" w:sz="0" w:space="0" w:color="auto"/>
      </w:divBdr>
    </w:div>
    <w:div w:id="961544317">
      <w:bodyDiv w:val="1"/>
      <w:marLeft w:val="0"/>
      <w:marRight w:val="0"/>
      <w:marTop w:val="0"/>
      <w:marBottom w:val="0"/>
      <w:divBdr>
        <w:top w:val="none" w:sz="0" w:space="0" w:color="auto"/>
        <w:left w:val="none" w:sz="0" w:space="0" w:color="auto"/>
        <w:bottom w:val="none" w:sz="0" w:space="0" w:color="auto"/>
        <w:right w:val="none" w:sz="0" w:space="0" w:color="auto"/>
      </w:divBdr>
    </w:div>
    <w:div w:id="970328145">
      <w:bodyDiv w:val="1"/>
      <w:marLeft w:val="0"/>
      <w:marRight w:val="0"/>
      <w:marTop w:val="0"/>
      <w:marBottom w:val="0"/>
      <w:divBdr>
        <w:top w:val="none" w:sz="0" w:space="0" w:color="auto"/>
        <w:left w:val="none" w:sz="0" w:space="0" w:color="auto"/>
        <w:bottom w:val="none" w:sz="0" w:space="0" w:color="auto"/>
        <w:right w:val="none" w:sz="0" w:space="0" w:color="auto"/>
      </w:divBdr>
    </w:div>
    <w:div w:id="1034618378">
      <w:bodyDiv w:val="1"/>
      <w:marLeft w:val="0"/>
      <w:marRight w:val="0"/>
      <w:marTop w:val="0"/>
      <w:marBottom w:val="0"/>
      <w:divBdr>
        <w:top w:val="none" w:sz="0" w:space="0" w:color="auto"/>
        <w:left w:val="none" w:sz="0" w:space="0" w:color="auto"/>
        <w:bottom w:val="none" w:sz="0" w:space="0" w:color="auto"/>
        <w:right w:val="none" w:sz="0" w:space="0" w:color="auto"/>
      </w:divBdr>
    </w:div>
    <w:div w:id="1106147691">
      <w:bodyDiv w:val="1"/>
      <w:marLeft w:val="0"/>
      <w:marRight w:val="0"/>
      <w:marTop w:val="0"/>
      <w:marBottom w:val="0"/>
      <w:divBdr>
        <w:top w:val="none" w:sz="0" w:space="0" w:color="auto"/>
        <w:left w:val="none" w:sz="0" w:space="0" w:color="auto"/>
        <w:bottom w:val="none" w:sz="0" w:space="0" w:color="auto"/>
        <w:right w:val="none" w:sz="0" w:space="0" w:color="auto"/>
      </w:divBdr>
    </w:div>
    <w:div w:id="1386559576">
      <w:bodyDiv w:val="1"/>
      <w:marLeft w:val="0"/>
      <w:marRight w:val="0"/>
      <w:marTop w:val="0"/>
      <w:marBottom w:val="0"/>
      <w:divBdr>
        <w:top w:val="none" w:sz="0" w:space="0" w:color="auto"/>
        <w:left w:val="none" w:sz="0" w:space="0" w:color="auto"/>
        <w:bottom w:val="none" w:sz="0" w:space="0" w:color="auto"/>
        <w:right w:val="none" w:sz="0" w:space="0" w:color="auto"/>
      </w:divBdr>
    </w:div>
    <w:div w:id="1445418893">
      <w:bodyDiv w:val="1"/>
      <w:marLeft w:val="0"/>
      <w:marRight w:val="0"/>
      <w:marTop w:val="0"/>
      <w:marBottom w:val="0"/>
      <w:divBdr>
        <w:top w:val="none" w:sz="0" w:space="0" w:color="auto"/>
        <w:left w:val="none" w:sz="0" w:space="0" w:color="auto"/>
        <w:bottom w:val="none" w:sz="0" w:space="0" w:color="auto"/>
        <w:right w:val="none" w:sz="0" w:space="0" w:color="auto"/>
      </w:divBdr>
    </w:div>
    <w:div w:id="17575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obal.oup.com/academic/authors/proposals/?lang=en&amp;c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3212</TotalTime>
  <Pages>1</Pages>
  <Words>5751</Words>
  <Characters>28756</Characters>
  <Application>Microsoft Office Word</Application>
  <DocSecurity>0</DocSecurity>
  <Lines>239</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dc:creator>
  <cp:keywords/>
  <dc:description/>
  <cp:lastModifiedBy>Meir Ben Shahar</cp:lastModifiedBy>
  <cp:revision>61</cp:revision>
  <dcterms:created xsi:type="dcterms:W3CDTF">2021-06-14T06:07:00Z</dcterms:created>
  <dcterms:modified xsi:type="dcterms:W3CDTF">2021-08-10T06:57:00Z</dcterms:modified>
</cp:coreProperties>
</file>