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82" w:type="pct"/>
        <w:tblCellSpacing w:w="15" w:type="dxa"/>
        <w:shd w:val="clear" w:color="auto" w:fill="FFFFFF"/>
        <w:tblCellMar>
          <w:top w:w="300" w:type="dxa"/>
          <w:left w:w="150" w:type="dxa"/>
          <w:bottom w:w="15" w:type="dxa"/>
          <w:right w:w="405" w:type="dxa"/>
        </w:tblCellMar>
        <w:tblLook w:val="04A0" w:firstRow="1" w:lastRow="0" w:firstColumn="1" w:lastColumn="0" w:noHBand="0" w:noVBand="1"/>
      </w:tblPr>
      <w:tblGrid>
        <w:gridCol w:w="6637"/>
        <w:gridCol w:w="3079"/>
      </w:tblGrid>
      <w:tr w:rsidR="00DE40F1" w:rsidRPr="00DE40F1" w14:paraId="492A10BD" w14:textId="77777777" w:rsidTr="00DE40F1">
        <w:trPr>
          <w:trHeight w:val="1217"/>
          <w:tblCellSpacing w:w="15" w:type="dxa"/>
        </w:trPr>
        <w:tc>
          <w:tcPr>
            <w:tcW w:w="6591" w:type="dxa"/>
            <w:tcBorders>
              <w:top w:val="nil"/>
              <w:left w:val="nil"/>
              <w:bottom w:val="nil"/>
              <w:right w:val="nil"/>
            </w:tcBorders>
            <w:shd w:val="clear" w:color="auto" w:fill="FFFFFF"/>
            <w:tcMar>
              <w:top w:w="300" w:type="dxa"/>
              <w:left w:w="450" w:type="dxa"/>
              <w:bottom w:w="15" w:type="dxa"/>
              <w:right w:w="405" w:type="dxa"/>
            </w:tcMar>
            <w:hideMark/>
          </w:tcPr>
          <w:p w14:paraId="3FF39B18" w14:textId="4087B7C8" w:rsidR="00DE40F1" w:rsidRPr="00DE40F1" w:rsidRDefault="00DE40F1" w:rsidP="00A4632E">
            <w:pPr>
              <w:spacing w:line="480" w:lineRule="atLeast"/>
              <w:rPr>
                <w:rFonts w:ascii="Times New Roman" w:eastAsia="Times New Roman" w:hAnsi="Times New Roman" w:cs="Times New Roman"/>
                <w:color w:val="0071C5"/>
                <w:sz w:val="30"/>
                <w:szCs w:val="30"/>
              </w:rPr>
            </w:pPr>
            <w:r w:rsidRPr="00DE40F1">
              <w:rPr>
                <w:rFonts w:ascii="Times New Roman" w:eastAsia="Times New Roman" w:hAnsi="Times New Roman" w:cs="Times New Roman"/>
                <w:color w:val="0071C5"/>
                <w:sz w:val="30"/>
                <w:szCs w:val="30"/>
              </w:rPr>
              <w:t>Global</w:t>
            </w:r>
            <w:r>
              <w:rPr>
                <w:rFonts w:ascii="Times New Roman" w:eastAsia="Times New Roman" w:hAnsi="Times New Roman" w:cs="Times New Roman"/>
                <w:color w:val="0071C5"/>
                <w:sz w:val="30"/>
                <w:szCs w:val="30"/>
              </w:rPr>
              <w:t xml:space="preserve"> Employee </w:t>
            </w:r>
            <w:r w:rsidRPr="00DE40F1">
              <w:rPr>
                <w:rFonts w:ascii="Times New Roman" w:eastAsia="Times New Roman" w:hAnsi="Times New Roman" w:cs="Times New Roman"/>
                <w:color w:val="0071C5"/>
                <w:sz w:val="30"/>
                <w:szCs w:val="30"/>
              </w:rPr>
              <w:t xml:space="preserve">Privacy Notice </w:t>
            </w:r>
          </w:p>
        </w:tc>
        <w:tc>
          <w:tcPr>
            <w:tcW w:w="3034" w:type="dxa"/>
            <w:tcBorders>
              <w:top w:val="nil"/>
              <w:left w:val="nil"/>
              <w:bottom w:val="nil"/>
              <w:right w:val="nil"/>
            </w:tcBorders>
            <w:shd w:val="clear" w:color="auto" w:fill="FFFFFF"/>
            <w:tcMar>
              <w:top w:w="300" w:type="dxa"/>
              <w:left w:w="450" w:type="dxa"/>
              <w:bottom w:w="15" w:type="dxa"/>
              <w:right w:w="450" w:type="dxa"/>
            </w:tcMar>
            <w:hideMark/>
          </w:tcPr>
          <w:tbl>
            <w:tblPr>
              <w:tblW w:w="1291" w:type="dxa"/>
              <w:tblCellSpacing w:w="15" w:type="dxa"/>
              <w:tblInd w:w="1" w:type="dxa"/>
              <w:tblCellMar>
                <w:top w:w="15" w:type="dxa"/>
                <w:left w:w="15" w:type="dxa"/>
                <w:bottom w:w="15" w:type="dxa"/>
                <w:right w:w="0" w:type="dxa"/>
              </w:tblCellMar>
              <w:tblLook w:val="04A0" w:firstRow="1" w:lastRow="0" w:firstColumn="1" w:lastColumn="0" w:noHBand="0" w:noVBand="1"/>
            </w:tblPr>
            <w:tblGrid>
              <w:gridCol w:w="1291"/>
            </w:tblGrid>
            <w:tr w:rsidR="00DE40F1" w:rsidRPr="00DE40F1" w14:paraId="1608F922" w14:textId="77777777" w:rsidTr="00DE40F1">
              <w:trPr>
                <w:trHeight w:hRule="exact" w:val="10"/>
                <w:tblCellSpacing w:w="15" w:type="dxa"/>
              </w:trPr>
              <w:tc>
                <w:tcPr>
                  <w:tcW w:w="4768" w:type="pct"/>
                  <w:vAlign w:val="center"/>
                  <w:hideMark/>
                </w:tcPr>
                <w:p w14:paraId="7F91C394" w14:textId="77777777" w:rsidR="00DE40F1" w:rsidRPr="00DE40F1" w:rsidRDefault="00DE40F1" w:rsidP="00DE40F1">
                  <w:pPr>
                    <w:spacing w:after="0" w:line="240" w:lineRule="auto"/>
                    <w:rPr>
                      <w:rFonts w:ascii="Times New Roman" w:eastAsia="Times New Roman" w:hAnsi="Times New Roman" w:cs="Times New Roman"/>
                      <w:sz w:val="24"/>
                      <w:szCs w:val="24"/>
                    </w:rPr>
                  </w:pPr>
                </w:p>
              </w:tc>
            </w:tr>
          </w:tbl>
          <w:p w14:paraId="714A4445" w14:textId="77777777" w:rsidR="00DE40F1" w:rsidRPr="00DE40F1" w:rsidRDefault="00DE40F1" w:rsidP="00DE40F1">
            <w:pPr>
              <w:spacing w:after="0" w:line="240" w:lineRule="auto"/>
              <w:rPr>
                <w:rFonts w:ascii="Times New Roman" w:eastAsia="Times New Roman" w:hAnsi="Times New Roman" w:cs="Times New Roman"/>
                <w:sz w:val="24"/>
                <w:szCs w:val="24"/>
              </w:rPr>
            </w:pPr>
          </w:p>
        </w:tc>
      </w:tr>
    </w:tbl>
    <w:p w14:paraId="6DD0FE4C" w14:textId="77777777" w:rsidR="00DE40F1" w:rsidRPr="00DE40F1" w:rsidRDefault="00DE40F1" w:rsidP="00DE40F1">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FFFF"/>
        <w:tblCellMar>
          <w:top w:w="300" w:type="dxa"/>
          <w:left w:w="150" w:type="dxa"/>
          <w:bottom w:w="15" w:type="dxa"/>
          <w:right w:w="405" w:type="dxa"/>
        </w:tblCellMar>
        <w:tblLook w:val="04A0" w:firstRow="1" w:lastRow="0" w:firstColumn="1" w:lastColumn="0" w:noHBand="0" w:noVBand="1"/>
      </w:tblPr>
      <w:tblGrid>
        <w:gridCol w:w="9026"/>
      </w:tblGrid>
      <w:tr w:rsidR="00DE40F1" w:rsidRPr="00DE40F1" w14:paraId="07006AEE" w14:textId="77777777" w:rsidTr="007F0564">
        <w:trPr>
          <w:tblCellSpacing w:w="15" w:type="dxa"/>
        </w:trPr>
        <w:tc>
          <w:tcPr>
            <w:tcW w:w="8966" w:type="dxa"/>
            <w:tcBorders>
              <w:top w:val="nil"/>
              <w:left w:val="nil"/>
              <w:bottom w:val="nil"/>
              <w:right w:val="nil"/>
            </w:tcBorders>
            <w:shd w:val="clear" w:color="auto" w:fill="FFFFFF"/>
            <w:tcMar>
              <w:top w:w="300" w:type="dxa"/>
              <w:left w:w="450" w:type="dxa"/>
              <w:bottom w:w="15" w:type="dxa"/>
              <w:right w:w="405" w:type="dxa"/>
            </w:tcMar>
            <w:hideMark/>
          </w:tcPr>
          <w:tbl>
            <w:tblPr>
              <w:tblW w:w="5000" w:type="pct"/>
              <w:tblCellSpacing w:w="0" w:type="dxa"/>
              <w:tblCellMar>
                <w:left w:w="0" w:type="dxa"/>
                <w:right w:w="0" w:type="dxa"/>
              </w:tblCellMar>
              <w:tblLook w:val="04A0" w:firstRow="1" w:lastRow="0" w:firstColumn="1" w:lastColumn="0" w:noHBand="0" w:noVBand="1"/>
            </w:tblPr>
            <w:tblGrid>
              <w:gridCol w:w="8111"/>
            </w:tblGrid>
            <w:tr w:rsidR="00DE40F1" w:rsidRPr="00DE40F1" w14:paraId="0225392D" w14:textId="77777777" w:rsidTr="00DE40F1">
              <w:trPr>
                <w:tblCellSpacing w:w="0" w:type="dxa"/>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8111"/>
                  </w:tblGrid>
                  <w:tr w:rsidR="00DE40F1" w:rsidRPr="00DE40F1" w14:paraId="5AE77C53" w14:textId="77777777" w:rsidTr="00DE40F1">
                    <w:trPr>
                      <w:tblCellSpacing w:w="0" w:type="dxa"/>
                    </w:trPr>
                    <w:tc>
                      <w:tcPr>
                        <w:tcW w:w="0" w:type="auto"/>
                        <w:vAlign w:val="center"/>
                        <w:hideMark/>
                      </w:tcPr>
                      <w:p w14:paraId="05B88912" w14:textId="77777777" w:rsidR="00DE40F1" w:rsidRPr="00DE40F1" w:rsidRDefault="00DE40F1" w:rsidP="00BB6CF8">
                        <w:pPr>
                          <w:spacing w:before="100" w:beforeAutospacing="1" w:after="225" w:line="285" w:lineRule="atLeast"/>
                          <w:jc w:val="center"/>
                          <w:rPr>
                            <w:rFonts w:ascii="Intel Clear" w:eastAsia="Times New Roman" w:hAnsi="Intel Clear" w:cs="Intel Clear"/>
                            <w:sz w:val="20"/>
                            <w:szCs w:val="20"/>
                          </w:rPr>
                        </w:pPr>
                        <w:r w:rsidRPr="00DE40F1">
                          <w:rPr>
                            <w:rFonts w:ascii="Intel Clear" w:eastAsia="Times New Roman" w:hAnsi="Intel Clear" w:cs="Intel Clear"/>
                            <w:b/>
                            <w:bCs/>
                            <w:sz w:val="20"/>
                            <w:szCs w:val="20"/>
                          </w:rPr>
                          <w:t>About this notice</w:t>
                        </w:r>
                      </w:p>
                      <w:p w14:paraId="136F3AE7" w14:textId="36A226F9" w:rsidR="00DE40F1" w:rsidRPr="00DE40F1" w:rsidRDefault="00DE40F1" w:rsidP="00BB6CF8">
                        <w:pPr>
                          <w:spacing w:before="100" w:beforeAutospacing="1" w:after="225" w:line="285" w:lineRule="atLeast"/>
                          <w:jc w:val="both"/>
                          <w:rPr>
                            <w:rFonts w:ascii="Intel Clear" w:eastAsia="Times New Roman" w:hAnsi="Intel Clear" w:cs="Intel Clear"/>
                            <w:sz w:val="20"/>
                            <w:szCs w:val="20"/>
                          </w:rPr>
                        </w:pPr>
                        <w:r w:rsidRPr="00DE40F1">
                          <w:rPr>
                            <w:rFonts w:ascii="Intel Clear" w:eastAsia="Times New Roman" w:hAnsi="Intel Clear" w:cs="Intel Clear"/>
                            <w:sz w:val="20"/>
                            <w:szCs w:val="20"/>
                          </w:rPr>
                          <w:t xml:space="preserve">This Notice outlines </w:t>
                        </w:r>
                        <w:r w:rsidR="007F0564">
                          <w:rPr>
                            <w:rFonts w:ascii="Intel Clear" w:eastAsia="Times New Roman" w:hAnsi="Intel Clear" w:cs="Intel Clear"/>
                            <w:sz w:val="20"/>
                            <w:szCs w:val="20"/>
                          </w:rPr>
                          <w:t>Mobileye</w:t>
                        </w:r>
                        <w:r w:rsidRPr="00DE40F1">
                          <w:rPr>
                            <w:rFonts w:ascii="Intel Clear" w:eastAsia="Times New Roman" w:hAnsi="Intel Clear" w:cs="Intel Clear"/>
                            <w:sz w:val="20"/>
                            <w:szCs w:val="20"/>
                          </w:rPr>
                          <w:t>'s practices for the handling of employee personal information and is applicable worldwide.</w:t>
                        </w:r>
                        <w:r w:rsidRPr="00DE40F1">
                          <w:rPr>
                            <w:rFonts w:ascii="Intel Clear" w:eastAsia="Times New Roman" w:hAnsi="Intel Clear" w:cs="Intel Clear"/>
                            <w:b/>
                            <w:bCs/>
                            <w:sz w:val="20"/>
                            <w:szCs w:val="20"/>
                          </w:rPr>
                          <w:t xml:space="preserve">  </w:t>
                        </w:r>
                        <w:r w:rsidR="007F0564">
                          <w:rPr>
                            <w:rFonts w:ascii="Intel Clear" w:eastAsia="Times New Roman" w:hAnsi="Intel Clear" w:cs="Intel Clear"/>
                            <w:sz w:val="20"/>
                            <w:szCs w:val="20"/>
                          </w:rPr>
                          <w:t>Mobileye</w:t>
                        </w:r>
                        <w:r w:rsidRPr="00DE40F1">
                          <w:rPr>
                            <w:rFonts w:ascii="Intel Clear" w:eastAsia="Times New Roman" w:hAnsi="Intel Clear" w:cs="Intel Clear"/>
                            <w:sz w:val="20"/>
                            <w:szCs w:val="20"/>
                          </w:rPr>
                          <w:t xml:space="preserve"> can amend this notice at any time. Updates will be posted here.  This Notice is applicable to employees.</w:t>
                        </w:r>
                      </w:p>
                      <w:p w14:paraId="2D336EB6" w14:textId="4DF61407" w:rsidR="00DE40F1" w:rsidRPr="00DE40F1" w:rsidRDefault="00DE40F1" w:rsidP="00DE40F1">
                        <w:pPr>
                          <w:spacing w:before="100" w:beforeAutospacing="1" w:after="225" w:line="285" w:lineRule="atLeast"/>
                          <w:rPr>
                            <w:rFonts w:ascii="Intel Clear" w:eastAsia="Times New Roman" w:hAnsi="Intel Clear" w:cs="Intel Clear"/>
                            <w:sz w:val="20"/>
                            <w:szCs w:val="20"/>
                          </w:rPr>
                        </w:pPr>
                        <w:r w:rsidRPr="00DE40F1">
                          <w:rPr>
                            <w:rFonts w:ascii="Intel Clear" w:eastAsia="Times New Roman" w:hAnsi="Intel Clear" w:cs="Intel Clear"/>
                            <w:i/>
                            <w:iCs/>
                            <w:sz w:val="20"/>
                            <w:szCs w:val="20"/>
                          </w:rPr>
                          <w:t xml:space="preserve">Policy last updated – </w:t>
                        </w:r>
                        <w:r w:rsidR="00A4632E">
                          <w:rPr>
                            <w:rFonts w:ascii="Intel Clear" w:eastAsia="Times New Roman" w:hAnsi="Intel Clear" w:cs="Intel Clear"/>
                            <w:i/>
                            <w:iCs/>
                            <w:sz w:val="20"/>
                            <w:szCs w:val="20"/>
                          </w:rPr>
                          <w:t>May</w:t>
                        </w:r>
                        <w:r w:rsidR="00A4632E" w:rsidRPr="00DE40F1">
                          <w:rPr>
                            <w:rFonts w:ascii="Intel Clear" w:eastAsia="Times New Roman" w:hAnsi="Intel Clear" w:cs="Intel Clear"/>
                            <w:i/>
                            <w:iCs/>
                            <w:sz w:val="20"/>
                            <w:szCs w:val="20"/>
                          </w:rPr>
                          <w:t xml:space="preserve"> </w:t>
                        </w:r>
                        <w:r w:rsidR="00606003">
                          <w:rPr>
                            <w:rFonts w:ascii="Intel Clear" w:eastAsia="Times New Roman" w:hAnsi="Intel Clear" w:cs="Intel Clear"/>
                            <w:i/>
                            <w:iCs/>
                            <w:sz w:val="20"/>
                            <w:szCs w:val="20"/>
                          </w:rPr>
                          <w:t>23</w:t>
                        </w:r>
                        <w:r w:rsidRPr="00DE40F1">
                          <w:rPr>
                            <w:rFonts w:ascii="Intel Clear" w:eastAsia="Times New Roman" w:hAnsi="Intel Clear" w:cs="Intel Clear"/>
                            <w:i/>
                            <w:iCs/>
                            <w:sz w:val="20"/>
                            <w:szCs w:val="20"/>
                          </w:rPr>
                          <w:t>, 201</w:t>
                        </w:r>
                        <w:r w:rsidR="00A4632E">
                          <w:rPr>
                            <w:rFonts w:ascii="Intel Clear" w:eastAsia="Times New Roman" w:hAnsi="Intel Clear" w:cs="Intel Clear"/>
                            <w:i/>
                            <w:iCs/>
                            <w:sz w:val="20"/>
                            <w:szCs w:val="20"/>
                          </w:rPr>
                          <w:t>8</w:t>
                        </w:r>
                      </w:p>
                      <w:p w14:paraId="292AF7D6" w14:textId="403B57AB" w:rsidR="00DE40F1" w:rsidRPr="00DE40F1" w:rsidRDefault="005D336A" w:rsidP="007F0564">
                        <w:pPr>
                          <w:spacing w:before="100" w:beforeAutospacing="1" w:after="225" w:line="285" w:lineRule="atLeast"/>
                          <w:jc w:val="center"/>
                          <w:rPr>
                            <w:rFonts w:ascii="Intel Clear" w:eastAsia="Times New Roman" w:hAnsi="Intel Clear" w:cs="Intel Clear"/>
                            <w:sz w:val="20"/>
                            <w:szCs w:val="20"/>
                          </w:rPr>
                        </w:pPr>
                        <w:r>
                          <w:rPr>
                            <w:rFonts w:ascii="Intel Clear" w:eastAsia="Times New Roman" w:hAnsi="Intel Clear" w:cs="Intel Clear"/>
                            <w:b/>
                            <w:bCs/>
                            <w:sz w:val="20"/>
                            <w:szCs w:val="20"/>
                          </w:rPr>
                          <w:t xml:space="preserve">Collection and Use of Your </w:t>
                        </w:r>
                        <w:r w:rsidR="00DE40F1" w:rsidRPr="00DE40F1">
                          <w:rPr>
                            <w:rFonts w:ascii="Intel Clear" w:eastAsia="Times New Roman" w:hAnsi="Intel Clear" w:cs="Intel Clear"/>
                            <w:b/>
                            <w:bCs/>
                            <w:sz w:val="20"/>
                            <w:szCs w:val="20"/>
                          </w:rPr>
                          <w:t>Personal Information</w:t>
                        </w:r>
                      </w:p>
                      <w:p w14:paraId="70729DAA" w14:textId="31EF22B5" w:rsidR="00DE40F1" w:rsidRPr="00DE40F1" w:rsidRDefault="007F0564" w:rsidP="00BB6CF8">
                        <w:pPr>
                          <w:spacing w:before="100" w:beforeAutospacing="1" w:after="225" w:line="285" w:lineRule="atLeast"/>
                          <w:jc w:val="both"/>
                          <w:rPr>
                            <w:rFonts w:ascii="Intel Clear" w:eastAsia="Times New Roman" w:hAnsi="Intel Clear" w:cs="Intel Clear"/>
                            <w:sz w:val="20"/>
                            <w:szCs w:val="20"/>
                          </w:rPr>
                        </w:pPr>
                        <w:r>
                          <w:rPr>
                            <w:rFonts w:ascii="Intel Clear" w:eastAsia="Times New Roman" w:hAnsi="Intel Clear" w:cs="Intel Clear"/>
                            <w:sz w:val="20"/>
                            <w:szCs w:val="20"/>
                          </w:rPr>
                          <w:t>Mobileye</w:t>
                        </w:r>
                        <w:r w:rsidR="00DE40F1" w:rsidRPr="00DE40F1">
                          <w:rPr>
                            <w:rFonts w:ascii="Intel Clear" w:eastAsia="Times New Roman" w:hAnsi="Intel Clear" w:cs="Intel Clear"/>
                            <w:sz w:val="20"/>
                            <w:szCs w:val="20"/>
                          </w:rPr>
                          <w:t xml:space="preserve"> collects and uses employee personal information primarily in order to </w:t>
                        </w:r>
                        <w:r w:rsidR="00DE40F1" w:rsidRPr="00BB6CF8">
                          <w:rPr>
                            <w:rFonts w:ascii="Intel Clear" w:eastAsia="Times New Roman" w:hAnsi="Intel Clear" w:cs="Intel Clear"/>
                            <w:b/>
                            <w:sz w:val="20"/>
                            <w:szCs w:val="20"/>
                          </w:rPr>
                          <w:t>manage the employment relationship</w:t>
                        </w:r>
                        <w:r w:rsidR="005D336A">
                          <w:rPr>
                            <w:rFonts w:ascii="Intel Clear" w:eastAsia="Times New Roman" w:hAnsi="Intel Clear" w:cs="Intel Clear"/>
                            <w:b/>
                            <w:sz w:val="20"/>
                            <w:szCs w:val="20"/>
                          </w:rPr>
                          <w:t xml:space="preserve"> </w:t>
                        </w:r>
                        <w:r w:rsidR="005D336A">
                          <w:rPr>
                            <w:rFonts w:ascii="Intel Clear" w:eastAsia="Times New Roman" w:hAnsi="Intel Clear" w:cs="Intel Clear"/>
                            <w:sz w:val="20"/>
                            <w:szCs w:val="20"/>
                          </w:rPr>
                          <w:t xml:space="preserve">such as </w:t>
                        </w:r>
                        <w:r w:rsidR="00DE40F1" w:rsidRPr="00DE40F1">
                          <w:rPr>
                            <w:rFonts w:ascii="Intel Clear" w:eastAsia="Times New Roman" w:hAnsi="Intel Clear" w:cs="Intel Clear"/>
                            <w:sz w:val="20"/>
                            <w:szCs w:val="20"/>
                          </w:rPr>
                          <w:t xml:space="preserve">delivery of applicable </w:t>
                        </w:r>
                        <w:r w:rsidR="00DE40F1" w:rsidRPr="00BB6CF8">
                          <w:rPr>
                            <w:rFonts w:ascii="Intel Clear" w:eastAsia="Times New Roman" w:hAnsi="Intel Clear" w:cs="Intel Clear"/>
                            <w:b/>
                            <w:sz w:val="20"/>
                            <w:szCs w:val="20"/>
                          </w:rPr>
                          <w:t>compensation</w:t>
                        </w:r>
                        <w:r w:rsidR="00DE40F1" w:rsidRPr="00DE40F1">
                          <w:rPr>
                            <w:rFonts w:ascii="Intel Clear" w:eastAsia="Times New Roman" w:hAnsi="Intel Clear" w:cs="Intel Clear"/>
                            <w:sz w:val="20"/>
                            <w:szCs w:val="20"/>
                          </w:rPr>
                          <w:t xml:space="preserve"> and </w:t>
                        </w:r>
                        <w:r w:rsidR="00DE40F1" w:rsidRPr="00BB6CF8">
                          <w:rPr>
                            <w:rFonts w:ascii="Intel Clear" w:eastAsia="Times New Roman" w:hAnsi="Intel Clear" w:cs="Intel Clear"/>
                            <w:b/>
                            <w:sz w:val="20"/>
                            <w:szCs w:val="20"/>
                          </w:rPr>
                          <w:t>benefits</w:t>
                        </w:r>
                        <w:r w:rsidR="00DE40F1" w:rsidRPr="00DE40F1">
                          <w:rPr>
                            <w:rFonts w:ascii="Intel Clear" w:eastAsia="Times New Roman" w:hAnsi="Intel Clear" w:cs="Intel Clear"/>
                            <w:sz w:val="20"/>
                            <w:szCs w:val="20"/>
                          </w:rPr>
                          <w:t xml:space="preserve"> programs; </w:t>
                        </w:r>
                        <w:r w:rsidR="00DE40F1" w:rsidRPr="00BB6CF8">
                          <w:rPr>
                            <w:rFonts w:ascii="Intel Clear" w:eastAsia="Times New Roman" w:hAnsi="Intel Clear" w:cs="Intel Clear"/>
                            <w:b/>
                            <w:sz w:val="20"/>
                            <w:szCs w:val="20"/>
                          </w:rPr>
                          <w:t>human resources practices</w:t>
                        </w:r>
                        <w:r w:rsidR="00DE40F1" w:rsidRPr="00DE40F1">
                          <w:rPr>
                            <w:rFonts w:ascii="Intel Clear" w:eastAsia="Times New Roman" w:hAnsi="Intel Clear" w:cs="Intel Clear"/>
                            <w:sz w:val="20"/>
                            <w:szCs w:val="20"/>
                          </w:rPr>
                          <w:t>, including hiring, promotion, retention</w:t>
                        </w:r>
                        <w:r w:rsidR="00BD4F88">
                          <w:rPr>
                            <w:rFonts w:ascii="Intel Clear" w:eastAsia="Times New Roman" w:hAnsi="Intel Clear" w:cs="Intel Clear"/>
                            <w:sz w:val="20"/>
                            <w:szCs w:val="20"/>
                          </w:rPr>
                          <w:t xml:space="preserve"> and</w:t>
                        </w:r>
                        <w:r w:rsidR="00DE40F1" w:rsidRPr="00DE40F1">
                          <w:rPr>
                            <w:rFonts w:ascii="Intel Clear" w:eastAsia="Times New Roman" w:hAnsi="Intel Clear" w:cs="Intel Clear"/>
                            <w:sz w:val="20"/>
                            <w:szCs w:val="20"/>
                          </w:rPr>
                          <w:t xml:space="preserve"> discipline; centralizing and processing human resources information;  participation in company provided programs and events; career development opportunities; promotion of healthy lifestyles; </w:t>
                        </w:r>
                        <w:r w:rsidR="00A85117">
                          <w:rPr>
                            <w:rFonts w:ascii="Intel Clear" w:eastAsia="Times New Roman" w:hAnsi="Intel Clear" w:cs="Intel Clear"/>
                            <w:sz w:val="20"/>
                            <w:szCs w:val="20"/>
                          </w:rPr>
                          <w:t xml:space="preserve">working with companies contracting with </w:t>
                        </w:r>
                        <w:r>
                          <w:rPr>
                            <w:rFonts w:ascii="Intel Clear" w:eastAsia="Times New Roman" w:hAnsi="Intel Clear" w:cs="Intel Clear"/>
                            <w:sz w:val="20"/>
                            <w:szCs w:val="20"/>
                          </w:rPr>
                          <w:t>Mobileye</w:t>
                        </w:r>
                        <w:r w:rsidR="00A85117">
                          <w:rPr>
                            <w:rFonts w:ascii="Intel Clear" w:eastAsia="Times New Roman" w:hAnsi="Intel Clear" w:cs="Intel Clear"/>
                            <w:sz w:val="20"/>
                            <w:szCs w:val="20"/>
                          </w:rPr>
                          <w:t xml:space="preserve">, </w:t>
                        </w:r>
                        <w:r w:rsidR="00DE40F1" w:rsidRPr="00DE40F1">
                          <w:rPr>
                            <w:rFonts w:ascii="Intel Clear" w:eastAsia="Times New Roman" w:hAnsi="Intel Clear" w:cs="Intel Clear"/>
                            <w:sz w:val="20"/>
                            <w:szCs w:val="20"/>
                          </w:rPr>
                          <w:t xml:space="preserve">assurance of a </w:t>
                        </w:r>
                        <w:r w:rsidR="00DE40F1" w:rsidRPr="00BB6CF8">
                          <w:rPr>
                            <w:rFonts w:ascii="Intel Clear" w:eastAsia="Times New Roman" w:hAnsi="Intel Clear" w:cs="Intel Clear"/>
                            <w:b/>
                            <w:sz w:val="20"/>
                            <w:szCs w:val="20"/>
                          </w:rPr>
                          <w:t>safe working environment</w:t>
                        </w:r>
                        <w:r w:rsidR="007852F4">
                          <w:rPr>
                            <w:rFonts w:ascii="Intel Clear" w:eastAsia="Times New Roman" w:hAnsi="Intel Clear" w:cs="Intel Clear"/>
                            <w:b/>
                            <w:sz w:val="20"/>
                            <w:szCs w:val="20"/>
                          </w:rPr>
                          <w:t xml:space="preserve"> and legal obligations</w:t>
                        </w:r>
                        <w:r w:rsidR="00DE40F1" w:rsidRPr="00DE40F1">
                          <w:rPr>
                            <w:rFonts w:ascii="Intel Clear" w:eastAsia="Times New Roman" w:hAnsi="Intel Clear" w:cs="Intel Clear"/>
                            <w:sz w:val="20"/>
                            <w:szCs w:val="20"/>
                          </w:rPr>
                          <w:t xml:space="preserve">, including notifying family members or designated contacts in case of emergency. </w:t>
                        </w:r>
                        <w:r w:rsidR="007852F4" w:rsidRPr="00362CDE">
                          <w:rPr>
                            <w:rFonts w:ascii="Intel Clear" w:eastAsia="Times New Roman" w:hAnsi="Intel Clear" w:cs="Intel Clear"/>
                            <w:b/>
                            <w:sz w:val="20"/>
                            <w:szCs w:val="20"/>
                          </w:rPr>
                          <w:t>Legal obligations</w:t>
                        </w:r>
                        <w:r w:rsidR="007852F4">
                          <w:rPr>
                            <w:rFonts w:ascii="Intel Clear" w:eastAsia="Times New Roman" w:hAnsi="Intel Clear" w:cs="Intel Clear"/>
                            <w:sz w:val="20"/>
                            <w:szCs w:val="20"/>
                          </w:rPr>
                          <w:t xml:space="preserve"> require us to collect and use information as needed to</w:t>
                        </w:r>
                        <w:r w:rsidR="007852F4" w:rsidRPr="00D249B9">
                          <w:rPr>
                            <w:rFonts w:ascii="Intel Clear" w:eastAsia="Times New Roman" w:hAnsi="Intel Clear" w:cs="Intel Clear"/>
                            <w:sz w:val="20"/>
                            <w:szCs w:val="20"/>
                          </w:rPr>
                          <w:t xml:space="preserve"> investigate violation of law or company policy, protect against </w:t>
                        </w:r>
                        <w:r w:rsidR="007852F4">
                          <w:rPr>
                            <w:rFonts w:ascii="Intel Clear" w:eastAsia="Times New Roman" w:hAnsi="Intel Clear" w:cs="Intel Clear"/>
                            <w:sz w:val="20"/>
                            <w:szCs w:val="20"/>
                          </w:rPr>
                          <w:t>security threats</w:t>
                        </w:r>
                        <w:r w:rsidR="007852F4" w:rsidRPr="00D249B9">
                          <w:rPr>
                            <w:rFonts w:ascii="Intel Clear" w:eastAsia="Times New Roman" w:hAnsi="Intel Clear" w:cs="Intel Clear"/>
                            <w:sz w:val="20"/>
                            <w:szCs w:val="20"/>
                          </w:rPr>
                          <w:t xml:space="preserve">, </w:t>
                        </w:r>
                        <w:r w:rsidR="007852F4">
                          <w:rPr>
                            <w:rFonts w:ascii="Intel Clear" w:eastAsia="Times New Roman" w:hAnsi="Intel Clear" w:cs="Intel Clear"/>
                            <w:sz w:val="20"/>
                            <w:szCs w:val="20"/>
                          </w:rPr>
                          <w:t>perform recordkeeping and documentation obligations (such as for financial, accounting or tax laws),</w:t>
                        </w:r>
                        <w:r w:rsidR="007852F4" w:rsidRPr="00D249B9">
                          <w:rPr>
                            <w:rFonts w:ascii="Intel Clear" w:eastAsia="Times New Roman" w:hAnsi="Intel Clear" w:cs="Intel Clear"/>
                            <w:sz w:val="20"/>
                            <w:szCs w:val="20"/>
                          </w:rPr>
                          <w:t xml:space="preserve"> </w:t>
                        </w:r>
                        <w:r w:rsidR="007852F4">
                          <w:rPr>
                            <w:rFonts w:ascii="Intel Clear" w:eastAsia="Times New Roman" w:hAnsi="Intel Clear" w:cs="Intel Clear"/>
                            <w:sz w:val="20"/>
                            <w:szCs w:val="20"/>
                          </w:rPr>
                          <w:t>responding to subpoenas, discovery or Government or other legal authority requests in the</w:t>
                        </w:r>
                        <w:r w:rsidR="007852F4" w:rsidRPr="00D249B9">
                          <w:rPr>
                            <w:rFonts w:ascii="Intel Clear" w:eastAsia="Times New Roman" w:hAnsi="Intel Clear" w:cs="Intel Clear"/>
                            <w:sz w:val="20"/>
                            <w:szCs w:val="20"/>
                          </w:rPr>
                          <w:t xml:space="preserve"> context of litigation or </w:t>
                        </w:r>
                        <w:r w:rsidR="007852F4">
                          <w:rPr>
                            <w:rFonts w:ascii="Intel Clear" w:eastAsia="Times New Roman" w:hAnsi="Intel Clear" w:cs="Intel Clear"/>
                            <w:sz w:val="20"/>
                            <w:szCs w:val="20"/>
                          </w:rPr>
                          <w:t>investigations</w:t>
                        </w:r>
                        <w:r w:rsidR="007852F4" w:rsidRPr="00D249B9">
                          <w:rPr>
                            <w:rFonts w:ascii="Intel Clear" w:eastAsia="Times New Roman" w:hAnsi="Intel Clear" w:cs="Intel Clear"/>
                            <w:sz w:val="20"/>
                            <w:szCs w:val="20"/>
                          </w:rPr>
                          <w:t xml:space="preserve">. </w:t>
                        </w:r>
                        <w:r>
                          <w:rPr>
                            <w:rFonts w:ascii="Intel Clear" w:eastAsia="Times New Roman" w:hAnsi="Intel Clear" w:cs="Intel Clear"/>
                            <w:sz w:val="20"/>
                            <w:szCs w:val="20"/>
                          </w:rPr>
                          <w:t>Mobileye</w:t>
                        </w:r>
                        <w:r w:rsidR="00DE40F1" w:rsidRPr="00DE40F1">
                          <w:rPr>
                            <w:rFonts w:ascii="Intel Clear" w:eastAsia="Times New Roman" w:hAnsi="Intel Clear" w:cs="Intel Clear"/>
                            <w:sz w:val="20"/>
                            <w:szCs w:val="20"/>
                          </w:rPr>
                          <w:t xml:space="preserve"> may also use information described under this Notice to evaluate, improve and develop services and products, subject to legal review.</w:t>
                        </w:r>
                      </w:p>
                      <w:p w14:paraId="78176330" w14:textId="2ADBABFD" w:rsidR="00DE40F1" w:rsidRDefault="007F0564" w:rsidP="00BB6CF8">
                        <w:pPr>
                          <w:spacing w:before="100" w:beforeAutospacing="1" w:after="225" w:line="285" w:lineRule="atLeast"/>
                          <w:jc w:val="both"/>
                          <w:rPr>
                            <w:rFonts w:ascii="Intel Clear" w:eastAsia="Times New Roman" w:hAnsi="Intel Clear" w:cs="Intel Clear"/>
                            <w:sz w:val="20"/>
                            <w:szCs w:val="20"/>
                          </w:rPr>
                        </w:pPr>
                        <w:r>
                          <w:rPr>
                            <w:rFonts w:ascii="Intel Clear" w:eastAsia="Times New Roman" w:hAnsi="Intel Clear" w:cs="Intel Clear"/>
                            <w:sz w:val="20"/>
                            <w:szCs w:val="20"/>
                          </w:rPr>
                          <w:t>Mobileye</w:t>
                        </w:r>
                        <w:r w:rsidR="00DE40F1" w:rsidRPr="00DE40F1">
                          <w:rPr>
                            <w:rFonts w:ascii="Intel Clear" w:eastAsia="Times New Roman" w:hAnsi="Intel Clear" w:cs="Intel Clear"/>
                            <w:sz w:val="20"/>
                            <w:szCs w:val="20"/>
                          </w:rPr>
                          <w:t xml:space="preserve"> is committed to </w:t>
                        </w:r>
                        <w:r w:rsidR="00DE40F1" w:rsidRPr="00BB6CF8">
                          <w:rPr>
                            <w:rFonts w:ascii="Intel Clear" w:eastAsia="Times New Roman" w:hAnsi="Intel Clear" w:cs="Intel Clear"/>
                            <w:b/>
                            <w:sz w:val="20"/>
                            <w:szCs w:val="20"/>
                          </w:rPr>
                          <w:t>protecting the personal information</w:t>
                        </w:r>
                        <w:r w:rsidR="00DE40F1" w:rsidRPr="00DE40F1">
                          <w:rPr>
                            <w:rFonts w:ascii="Intel Clear" w:eastAsia="Times New Roman" w:hAnsi="Intel Clear" w:cs="Intel Clear"/>
                            <w:sz w:val="20"/>
                            <w:szCs w:val="20"/>
                          </w:rPr>
                          <w:t xml:space="preserve"> of </w:t>
                        </w:r>
                        <w:r w:rsidR="00BD4F88">
                          <w:rPr>
                            <w:rFonts w:ascii="Intel Clear" w:eastAsia="Times New Roman" w:hAnsi="Intel Clear" w:cs="Intel Clear"/>
                            <w:sz w:val="20"/>
                            <w:szCs w:val="20"/>
                          </w:rPr>
                          <w:t>employees</w:t>
                        </w:r>
                        <w:r w:rsidR="00BD4F88" w:rsidRPr="00DE40F1">
                          <w:rPr>
                            <w:rFonts w:ascii="Intel Clear" w:eastAsia="Times New Roman" w:hAnsi="Intel Clear" w:cs="Intel Clear"/>
                            <w:sz w:val="20"/>
                            <w:szCs w:val="20"/>
                          </w:rPr>
                          <w:t xml:space="preserve"> </w:t>
                        </w:r>
                        <w:r w:rsidR="00DE40F1" w:rsidRPr="00DE40F1">
                          <w:rPr>
                            <w:rFonts w:ascii="Intel Clear" w:eastAsia="Times New Roman" w:hAnsi="Intel Clear" w:cs="Intel Clear"/>
                            <w:sz w:val="20"/>
                            <w:szCs w:val="20"/>
                          </w:rPr>
                          <w:t xml:space="preserve">against accidental loss, theft, and unauthorized access, use or modification. As part of these measures, </w:t>
                        </w:r>
                        <w:r w:rsidR="00BD4F88">
                          <w:rPr>
                            <w:rFonts w:ascii="Intel Clear" w:eastAsia="Times New Roman" w:hAnsi="Intel Clear" w:cs="Intel Clear"/>
                            <w:sz w:val="20"/>
                            <w:szCs w:val="20"/>
                          </w:rPr>
                          <w:t xml:space="preserve">and </w:t>
                        </w:r>
                        <w:r w:rsidR="00DE40F1" w:rsidRPr="00DE40F1">
                          <w:rPr>
                            <w:rFonts w:ascii="Intel Clear" w:eastAsia="Times New Roman" w:hAnsi="Intel Clear" w:cs="Intel Clear"/>
                            <w:sz w:val="20"/>
                            <w:szCs w:val="20"/>
                          </w:rPr>
                          <w:t xml:space="preserve">in order </w:t>
                        </w:r>
                        <w:r w:rsidR="00DE40F1" w:rsidRPr="00BB6CF8">
                          <w:rPr>
                            <w:rFonts w:ascii="Intel Clear" w:eastAsia="Times New Roman" w:hAnsi="Intel Clear" w:cs="Intel Clear"/>
                            <w:b/>
                            <w:sz w:val="20"/>
                            <w:szCs w:val="20"/>
                          </w:rPr>
                          <w:t xml:space="preserve">to protect </w:t>
                        </w:r>
                        <w:r>
                          <w:rPr>
                            <w:rFonts w:ascii="Intel Clear" w:eastAsia="Times New Roman" w:hAnsi="Intel Clear" w:cs="Intel Clear"/>
                            <w:b/>
                            <w:sz w:val="20"/>
                            <w:szCs w:val="20"/>
                          </w:rPr>
                          <w:t>Mobileye</w:t>
                        </w:r>
                        <w:r w:rsidR="0029734E" w:rsidRPr="00BB6CF8">
                          <w:rPr>
                            <w:rFonts w:ascii="Intel Clear" w:eastAsia="Times New Roman" w:hAnsi="Intel Clear" w:cs="Intel Clear"/>
                            <w:b/>
                            <w:sz w:val="20"/>
                            <w:szCs w:val="20"/>
                          </w:rPr>
                          <w:t>'s</w:t>
                        </w:r>
                        <w:r w:rsidR="00DE40F1" w:rsidRPr="00BB6CF8">
                          <w:rPr>
                            <w:rFonts w:ascii="Intel Clear" w:eastAsia="Times New Roman" w:hAnsi="Intel Clear" w:cs="Intel Clear"/>
                            <w:b/>
                            <w:sz w:val="20"/>
                            <w:szCs w:val="20"/>
                          </w:rPr>
                          <w:t xml:space="preserve"> assets</w:t>
                        </w:r>
                        <w:r w:rsidR="0029734E" w:rsidRPr="00BB6CF8">
                          <w:rPr>
                            <w:rFonts w:ascii="Intel Clear" w:eastAsia="Times New Roman" w:hAnsi="Intel Clear" w:cs="Intel Clear"/>
                            <w:b/>
                            <w:sz w:val="20"/>
                            <w:szCs w:val="20"/>
                          </w:rPr>
                          <w:t xml:space="preserve"> and rights</w:t>
                        </w:r>
                        <w:r w:rsidR="00DE40F1" w:rsidRPr="00DE40F1">
                          <w:rPr>
                            <w:rFonts w:ascii="Intel Clear" w:eastAsia="Times New Roman" w:hAnsi="Intel Clear" w:cs="Intel Clear"/>
                            <w:sz w:val="20"/>
                            <w:szCs w:val="20"/>
                          </w:rPr>
                          <w:t xml:space="preserve">, </w:t>
                        </w:r>
                        <w:r>
                          <w:rPr>
                            <w:rFonts w:ascii="Intel Clear" w:eastAsia="Times New Roman" w:hAnsi="Intel Clear" w:cs="Intel Clear"/>
                            <w:sz w:val="20"/>
                            <w:szCs w:val="20"/>
                          </w:rPr>
                          <w:t>Mobileye</w:t>
                        </w:r>
                        <w:r w:rsidR="005D336A">
                          <w:rPr>
                            <w:rFonts w:ascii="Intel Clear" w:eastAsia="Times New Roman" w:hAnsi="Intel Clear" w:cs="Intel Clear"/>
                            <w:sz w:val="20"/>
                            <w:szCs w:val="20"/>
                          </w:rPr>
                          <w:t xml:space="preserve"> records</w:t>
                        </w:r>
                        <w:r w:rsidR="00DE40F1" w:rsidRPr="00DE40F1">
                          <w:rPr>
                            <w:rFonts w:ascii="Intel Clear" w:eastAsia="Times New Roman" w:hAnsi="Intel Clear" w:cs="Intel Clear"/>
                            <w:sz w:val="20"/>
                            <w:szCs w:val="20"/>
                          </w:rPr>
                          <w:t>, collect</w:t>
                        </w:r>
                        <w:r w:rsidR="004F32D9">
                          <w:rPr>
                            <w:rFonts w:ascii="Intel Clear" w:eastAsia="Times New Roman" w:hAnsi="Intel Clear" w:cs="Intel Clear"/>
                            <w:sz w:val="20"/>
                            <w:szCs w:val="20"/>
                          </w:rPr>
                          <w:t>s</w:t>
                        </w:r>
                        <w:r w:rsidR="00DE40F1" w:rsidRPr="00DE40F1">
                          <w:rPr>
                            <w:rFonts w:ascii="Intel Clear" w:eastAsia="Times New Roman" w:hAnsi="Intel Clear" w:cs="Intel Clear"/>
                            <w:sz w:val="20"/>
                            <w:szCs w:val="20"/>
                          </w:rPr>
                          <w:t>, store</w:t>
                        </w:r>
                        <w:r w:rsidR="004F32D9">
                          <w:rPr>
                            <w:rFonts w:ascii="Intel Clear" w:eastAsia="Times New Roman" w:hAnsi="Intel Clear" w:cs="Intel Clear"/>
                            <w:sz w:val="20"/>
                            <w:szCs w:val="20"/>
                          </w:rPr>
                          <w:t>s</w:t>
                        </w:r>
                        <w:r w:rsidR="00DE40F1" w:rsidRPr="00DE40F1">
                          <w:rPr>
                            <w:rFonts w:ascii="Intel Clear" w:eastAsia="Times New Roman" w:hAnsi="Intel Clear" w:cs="Intel Clear"/>
                            <w:sz w:val="20"/>
                            <w:szCs w:val="20"/>
                          </w:rPr>
                          <w:t xml:space="preserve"> and analyze</w:t>
                        </w:r>
                        <w:r w:rsidR="004F32D9">
                          <w:rPr>
                            <w:rFonts w:ascii="Intel Clear" w:eastAsia="Times New Roman" w:hAnsi="Intel Clear" w:cs="Intel Clear"/>
                            <w:sz w:val="20"/>
                            <w:szCs w:val="20"/>
                          </w:rPr>
                          <w:t>s</w:t>
                        </w:r>
                        <w:r w:rsidR="00DE40F1" w:rsidRPr="00DE40F1">
                          <w:rPr>
                            <w:rFonts w:ascii="Intel Clear" w:eastAsia="Times New Roman" w:hAnsi="Intel Clear" w:cs="Intel Clear"/>
                            <w:sz w:val="20"/>
                            <w:szCs w:val="20"/>
                          </w:rPr>
                          <w:t xml:space="preserve"> information on: (1) your use of, or access to, company-issued equipment, media, applications, network resources and IT services, and (2) any data, content, or communications transmitted to or from, received or printed from, or created, stored or recorded on any of the above, including personal use, such as where </w:t>
                        </w:r>
                        <w:r>
                          <w:rPr>
                            <w:rFonts w:ascii="Intel Clear" w:eastAsia="Times New Roman" w:hAnsi="Intel Clear" w:cs="Intel Clear"/>
                            <w:sz w:val="20"/>
                            <w:szCs w:val="20"/>
                          </w:rPr>
                          <w:t>Mobileye</w:t>
                        </w:r>
                        <w:r w:rsidR="00DE40F1" w:rsidRPr="00DE40F1">
                          <w:rPr>
                            <w:rFonts w:ascii="Intel Clear" w:eastAsia="Times New Roman" w:hAnsi="Intel Clear" w:cs="Intel Clear"/>
                            <w:sz w:val="20"/>
                            <w:szCs w:val="20"/>
                          </w:rPr>
                          <w:t xml:space="preserve">-sensitive terms are typed into a web-based online personal email or web form, for example. This is true regardless of the labelling of the data, the use of encryption, the deletion of the data or communications, or any other factor. All activities performed on personally-owned devices used for </w:t>
                        </w:r>
                        <w:r>
                          <w:rPr>
                            <w:rFonts w:ascii="Intel Clear" w:eastAsia="Times New Roman" w:hAnsi="Intel Clear" w:cs="Intel Clear"/>
                            <w:sz w:val="20"/>
                            <w:szCs w:val="20"/>
                          </w:rPr>
                          <w:t>Mobileye</w:t>
                        </w:r>
                        <w:r w:rsidR="00DE40F1" w:rsidRPr="00DE40F1">
                          <w:rPr>
                            <w:rFonts w:ascii="Intel Clear" w:eastAsia="Times New Roman" w:hAnsi="Intel Clear" w:cs="Intel Clear"/>
                            <w:sz w:val="20"/>
                            <w:szCs w:val="20"/>
                          </w:rPr>
                          <w:t xml:space="preserve"> business, and related data, applications, content and communications, are also subject to these security measures.</w:t>
                        </w:r>
                      </w:p>
                      <w:p w14:paraId="4D4D4847" w14:textId="28DABA64" w:rsidR="00BD4F88" w:rsidRPr="00DE40F1" w:rsidRDefault="00BD4F88" w:rsidP="00BB6CF8">
                        <w:pPr>
                          <w:spacing w:before="100" w:beforeAutospacing="1" w:after="225" w:line="285" w:lineRule="atLeast"/>
                          <w:jc w:val="center"/>
                          <w:rPr>
                            <w:rFonts w:ascii="Intel Clear" w:eastAsia="Times New Roman" w:hAnsi="Intel Clear" w:cs="Intel Clear"/>
                            <w:sz w:val="20"/>
                            <w:szCs w:val="20"/>
                          </w:rPr>
                        </w:pPr>
                        <w:r w:rsidRPr="007839E4">
                          <w:rPr>
                            <w:rFonts w:ascii="Intel Clear" w:eastAsia="Times New Roman" w:hAnsi="Intel Clear" w:cs="Intel Clear"/>
                            <w:b/>
                            <w:sz w:val="20"/>
                            <w:szCs w:val="20"/>
                          </w:rPr>
                          <w:t xml:space="preserve">How </w:t>
                        </w:r>
                        <w:r>
                          <w:rPr>
                            <w:rFonts w:ascii="Intel Clear" w:eastAsia="Times New Roman" w:hAnsi="Intel Clear" w:cs="Intel Clear"/>
                            <w:b/>
                            <w:sz w:val="20"/>
                            <w:szCs w:val="20"/>
                          </w:rPr>
                          <w:t>W</w:t>
                        </w:r>
                        <w:r w:rsidRPr="007839E4">
                          <w:rPr>
                            <w:rFonts w:ascii="Intel Clear" w:eastAsia="Times New Roman" w:hAnsi="Intel Clear" w:cs="Intel Clear"/>
                            <w:b/>
                            <w:sz w:val="20"/>
                            <w:szCs w:val="20"/>
                          </w:rPr>
                          <w:t>e Share Your Personal Information</w:t>
                        </w:r>
                      </w:p>
                      <w:p w14:paraId="41B74182" w14:textId="416CBB16" w:rsidR="00E60BBC" w:rsidRPr="007839E4" w:rsidRDefault="00405AA6" w:rsidP="00405AA6">
                        <w:pPr>
                          <w:spacing w:before="100" w:beforeAutospacing="1" w:after="225" w:line="285" w:lineRule="atLeast"/>
                          <w:jc w:val="both"/>
                          <w:rPr>
                            <w:rFonts w:ascii="Intel Clear" w:eastAsia="Times New Roman" w:hAnsi="Intel Clear" w:cs="Intel Clear"/>
                            <w:sz w:val="20"/>
                            <w:szCs w:val="20"/>
                          </w:rPr>
                        </w:pPr>
                        <w:r>
                          <w:rPr>
                            <w:rFonts w:ascii="Intel Clear" w:eastAsia="Times New Roman" w:hAnsi="Intel Clear" w:cs="Intel Clear"/>
                            <w:sz w:val="20"/>
                            <w:szCs w:val="20"/>
                          </w:rPr>
                          <w:t xml:space="preserve">Mobileye is a global company with </w:t>
                        </w:r>
                        <w:r w:rsidR="00EE4750">
                          <w:rPr>
                            <w:rFonts w:ascii="Intel Clear" w:eastAsia="Times New Roman" w:hAnsi="Intel Clear" w:cs="Intel Clear"/>
                            <w:sz w:val="20"/>
                            <w:szCs w:val="20"/>
                          </w:rPr>
                          <w:t xml:space="preserve">headquarters in Israel. Mobileye is also a subsidiary of Intel Corporation (“Intel”), </w:t>
                        </w:r>
                        <w:r w:rsidR="00E60BBC" w:rsidRPr="007839E4">
                          <w:rPr>
                            <w:rFonts w:ascii="Intel Clear" w:eastAsia="Times New Roman" w:hAnsi="Intel Clear" w:cs="Intel Clear"/>
                            <w:sz w:val="20"/>
                            <w:szCs w:val="20"/>
                          </w:rPr>
                          <w:t>a global com</w:t>
                        </w:r>
                        <w:bookmarkStart w:id="0" w:name="_GoBack"/>
                        <w:bookmarkEnd w:id="0"/>
                        <w:r w:rsidR="00E60BBC" w:rsidRPr="007839E4">
                          <w:rPr>
                            <w:rFonts w:ascii="Intel Clear" w:eastAsia="Times New Roman" w:hAnsi="Intel Clear" w:cs="Intel Clear"/>
                            <w:sz w:val="20"/>
                            <w:szCs w:val="20"/>
                          </w:rPr>
                          <w:t xml:space="preserve">pany with headquarters in the United States. As such, </w:t>
                        </w:r>
                        <w:r w:rsidR="00E60BBC" w:rsidRPr="007839E4">
                          <w:rPr>
                            <w:rFonts w:ascii="Intel Clear" w:eastAsia="Times New Roman" w:hAnsi="Intel Clear" w:cs="Intel Clear"/>
                            <w:sz w:val="20"/>
                            <w:szCs w:val="20"/>
                          </w:rPr>
                          <w:lastRenderedPageBreak/>
                          <w:t xml:space="preserve">we </w:t>
                        </w:r>
                        <w:r w:rsidR="003F64F0">
                          <w:rPr>
                            <w:rFonts w:ascii="Intel Clear" w:eastAsia="Times New Roman" w:hAnsi="Intel Clear" w:cs="Intel Clear"/>
                            <w:sz w:val="20"/>
                            <w:szCs w:val="20"/>
                          </w:rPr>
                          <w:t xml:space="preserve">may </w:t>
                        </w:r>
                        <w:r w:rsidR="00E60BBC" w:rsidRPr="007839E4">
                          <w:rPr>
                            <w:rFonts w:ascii="Intel Clear" w:eastAsia="Times New Roman" w:hAnsi="Intel Clear" w:cs="Intel Clear"/>
                            <w:sz w:val="20"/>
                            <w:szCs w:val="20"/>
                          </w:rPr>
                          <w:t xml:space="preserve">transfer your personal information between </w:t>
                        </w:r>
                        <w:r w:rsidR="00EE4750">
                          <w:rPr>
                            <w:rFonts w:ascii="Intel Clear" w:eastAsia="Times New Roman" w:hAnsi="Intel Clear" w:cs="Intel Clear"/>
                            <w:sz w:val="20"/>
                            <w:szCs w:val="20"/>
                          </w:rPr>
                          <w:t xml:space="preserve">Israel and </w:t>
                        </w:r>
                        <w:r w:rsidR="00E60BBC" w:rsidRPr="007839E4">
                          <w:rPr>
                            <w:rFonts w:ascii="Intel Clear" w:eastAsia="Times New Roman" w:hAnsi="Intel Clear" w:cs="Intel Clear"/>
                            <w:sz w:val="20"/>
                            <w:szCs w:val="20"/>
                          </w:rPr>
                          <w:t>the United States and our affiliates and subsidiaries in other countries. We transfer information in order to operate efficiently, to improve performance, and to create redundancies in order to protect information in the event of an outage or other problem. We will process your personal information in a way that meets the commitments of this Notice and complies with the law wherever we transfer it.</w:t>
                        </w:r>
                      </w:p>
                      <w:p w14:paraId="2E58E4E1" w14:textId="18432B9A" w:rsidR="00E60BBC" w:rsidRDefault="00E60BBC" w:rsidP="00E60BBC">
                        <w:pPr>
                          <w:spacing w:before="100" w:beforeAutospacing="1" w:after="225" w:line="285" w:lineRule="atLeast"/>
                          <w:jc w:val="both"/>
                          <w:rPr>
                            <w:rFonts w:ascii="Intel Clear" w:eastAsia="Times New Roman" w:hAnsi="Intel Clear" w:cs="Intel Clear"/>
                            <w:sz w:val="20"/>
                            <w:szCs w:val="20"/>
                          </w:rPr>
                        </w:pPr>
                        <w:r>
                          <w:rPr>
                            <w:rFonts w:ascii="Intel Clear" w:eastAsia="Times New Roman" w:hAnsi="Intel Clear" w:cs="Intel Clear"/>
                            <w:sz w:val="20"/>
                            <w:szCs w:val="20"/>
                          </w:rPr>
                          <w:t xml:space="preserve">We also share your personal information with suppliers and vendors as needed to fulfil the lawful bases described </w:t>
                        </w:r>
                        <w:r w:rsidR="004F32D9">
                          <w:rPr>
                            <w:rFonts w:ascii="Intel Clear" w:eastAsia="Times New Roman" w:hAnsi="Intel Clear" w:cs="Intel Clear"/>
                            <w:sz w:val="20"/>
                            <w:szCs w:val="20"/>
                          </w:rPr>
                          <w:t xml:space="preserve">in this </w:t>
                        </w:r>
                        <w:r w:rsidR="00606003">
                          <w:rPr>
                            <w:rFonts w:ascii="Intel Clear" w:eastAsia="Times New Roman" w:hAnsi="Intel Clear" w:cs="Intel Clear"/>
                            <w:sz w:val="20"/>
                            <w:szCs w:val="20"/>
                          </w:rPr>
                          <w:t>N</w:t>
                        </w:r>
                        <w:r w:rsidR="004F32D9">
                          <w:rPr>
                            <w:rFonts w:ascii="Intel Clear" w:eastAsia="Times New Roman" w:hAnsi="Intel Clear" w:cs="Intel Clear"/>
                            <w:sz w:val="20"/>
                            <w:szCs w:val="20"/>
                          </w:rPr>
                          <w:t>otice</w:t>
                        </w:r>
                        <w:r>
                          <w:rPr>
                            <w:rFonts w:ascii="Intel Clear" w:eastAsia="Times New Roman" w:hAnsi="Intel Clear" w:cs="Intel Clear"/>
                            <w:sz w:val="20"/>
                            <w:szCs w:val="20"/>
                          </w:rPr>
                          <w:t xml:space="preserve">. </w:t>
                        </w:r>
                        <w:r w:rsidRPr="007839E4">
                          <w:rPr>
                            <w:rFonts w:ascii="Intel Clear" w:eastAsia="Times New Roman" w:hAnsi="Intel Clear" w:cs="Intel Clear"/>
                            <w:sz w:val="20"/>
                            <w:szCs w:val="20"/>
                          </w:rPr>
                          <w:t>Our authorized vendors and suppliers require personal information to provide services we have contracted for, such as web site hosting, data analysis, reviews or investigations, to provide IT services, financial, accounting and billing services, third party oversight and auditing. Our contracts with suppliers and vendors include provisions to protect your information and limit its use</w:t>
                        </w:r>
                        <w:r>
                          <w:rPr>
                            <w:rFonts w:ascii="Intel Clear" w:eastAsia="Times New Roman" w:hAnsi="Intel Clear" w:cs="Intel Clear"/>
                            <w:sz w:val="20"/>
                            <w:szCs w:val="20"/>
                          </w:rPr>
                          <w:t xml:space="preserve"> to the purposes described in this Privacy Notice</w:t>
                        </w:r>
                        <w:r w:rsidRPr="007839E4">
                          <w:rPr>
                            <w:rFonts w:ascii="Intel Clear" w:eastAsia="Times New Roman" w:hAnsi="Intel Clear" w:cs="Intel Clear"/>
                            <w:sz w:val="20"/>
                            <w:szCs w:val="20"/>
                          </w:rPr>
                          <w:t xml:space="preserve">. </w:t>
                        </w:r>
                        <w:r w:rsidR="00E571DF" w:rsidRPr="00B277EC">
                          <w:rPr>
                            <w:rFonts w:ascii="Intel Clear" w:eastAsia="Times New Roman" w:hAnsi="Intel Clear" w:cs="Intel Clear"/>
                            <w:sz w:val="20"/>
                            <w:szCs w:val="20"/>
                          </w:rPr>
                          <w:t>Furthermore,</w:t>
                        </w:r>
                        <w:r w:rsidRPr="00B277EC">
                          <w:rPr>
                            <w:rFonts w:ascii="Intel Clear" w:eastAsia="Times New Roman" w:hAnsi="Intel Clear" w:cs="Intel Clear"/>
                            <w:sz w:val="20"/>
                            <w:szCs w:val="20"/>
                          </w:rPr>
                          <w:t xml:space="preserve"> we share your personal information with institutions and authorities to which </w:t>
                        </w:r>
                        <w:r w:rsidR="007F0564">
                          <w:rPr>
                            <w:rFonts w:ascii="Intel Clear" w:eastAsia="Times New Roman" w:hAnsi="Intel Clear" w:cs="Intel Clear"/>
                            <w:sz w:val="20"/>
                            <w:szCs w:val="20"/>
                          </w:rPr>
                          <w:t>Mobileye</w:t>
                        </w:r>
                        <w:r w:rsidRPr="00B277EC">
                          <w:rPr>
                            <w:rFonts w:ascii="Intel Clear" w:eastAsia="Times New Roman" w:hAnsi="Intel Clear" w:cs="Intel Clear"/>
                            <w:sz w:val="20"/>
                            <w:szCs w:val="20"/>
                          </w:rPr>
                          <w:t xml:space="preserve"> is obliged to transmit data</w:t>
                        </w:r>
                        <w:r>
                          <w:rPr>
                            <w:rFonts w:ascii="Intel Clear" w:eastAsia="Times New Roman" w:hAnsi="Intel Clear" w:cs="Intel Clear"/>
                            <w:sz w:val="20"/>
                            <w:szCs w:val="20"/>
                          </w:rPr>
                          <w:t>.</w:t>
                        </w:r>
                        <w:r w:rsidRPr="007839E4">
                          <w:rPr>
                            <w:rFonts w:ascii="Intel Clear" w:eastAsia="Times New Roman" w:hAnsi="Intel Clear" w:cs="Intel Clear"/>
                            <w:sz w:val="20"/>
                            <w:szCs w:val="20"/>
                          </w:rPr>
                          <w:t xml:space="preserve"> </w:t>
                        </w:r>
                      </w:p>
                      <w:p w14:paraId="23515E9C" w14:textId="1015BED4" w:rsidR="00E60BBC" w:rsidRDefault="00E60BBC" w:rsidP="00E60BBC">
                        <w:pPr>
                          <w:spacing w:before="100" w:beforeAutospacing="1" w:after="225" w:line="285" w:lineRule="atLeast"/>
                          <w:jc w:val="both"/>
                          <w:rPr>
                            <w:rFonts w:ascii="Intel Clear" w:eastAsia="Times New Roman" w:hAnsi="Intel Clear" w:cs="Intel Clear"/>
                            <w:sz w:val="20"/>
                            <w:szCs w:val="20"/>
                          </w:rPr>
                        </w:pPr>
                        <w:r w:rsidRPr="007839E4">
                          <w:rPr>
                            <w:rFonts w:ascii="Intel Clear" w:eastAsia="Times New Roman" w:hAnsi="Intel Clear" w:cs="Intel Clear"/>
                            <w:sz w:val="20"/>
                            <w:szCs w:val="20"/>
                          </w:rPr>
                          <w:t xml:space="preserve">We may disclose personal information as part of a contemplated or actual corporate transaction such as a reorganization, merger, sale, joint venture, assignment, transfer or other disposition of all or any portion of our business, assets or stock (including in connection with any bankruptcy or similar proceedings). </w:t>
                        </w:r>
                        <w:r w:rsidR="007F0564">
                          <w:rPr>
                            <w:rFonts w:ascii="Intel Clear" w:eastAsia="Times New Roman" w:hAnsi="Intel Clear" w:cs="Intel Clear"/>
                            <w:sz w:val="20"/>
                            <w:szCs w:val="20"/>
                          </w:rPr>
                          <w:t>Mobileye</w:t>
                        </w:r>
                      </w:p>
                      <w:p w14:paraId="21CB9757" w14:textId="77777777" w:rsidR="00E60BBC" w:rsidRPr="007839E4" w:rsidRDefault="00E60BBC" w:rsidP="00E60BBC">
                        <w:pPr>
                          <w:spacing w:before="100" w:beforeAutospacing="1" w:after="225" w:line="285" w:lineRule="atLeast"/>
                          <w:jc w:val="center"/>
                          <w:rPr>
                            <w:rFonts w:ascii="Intel Clear" w:eastAsia="Times New Roman" w:hAnsi="Intel Clear" w:cs="Intel Clear"/>
                            <w:b/>
                            <w:sz w:val="20"/>
                            <w:szCs w:val="20"/>
                          </w:rPr>
                        </w:pPr>
                        <w:r w:rsidRPr="007839E4">
                          <w:rPr>
                            <w:rFonts w:ascii="Intel Clear" w:eastAsia="Times New Roman" w:hAnsi="Intel Clear" w:cs="Intel Clear"/>
                            <w:b/>
                            <w:sz w:val="20"/>
                            <w:szCs w:val="20"/>
                          </w:rPr>
                          <w:t>Your Choices and Rights</w:t>
                        </w:r>
                      </w:p>
                      <w:p w14:paraId="1A79ADF6" w14:textId="6ADD9C39" w:rsidR="00E60BBC" w:rsidRPr="007839E4" w:rsidRDefault="00606003" w:rsidP="00E60BBC">
                        <w:pPr>
                          <w:spacing w:before="100" w:beforeAutospacing="1" w:after="225" w:line="285" w:lineRule="atLeast"/>
                          <w:jc w:val="both"/>
                          <w:rPr>
                            <w:rFonts w:ascii="Intel Clear" w:eastAsia="Times New Roman" w:hAnsi="Intel Clear" w:cs="Intel Clear"/>
                            <w:sz w:val="20"/>
                            <w:szCs w:val="20"/>
                          </w:rPr>
                        </w:pPr>
                        <w:r>
                          <w:rPr>
                            <w:rFonts w:ascii="Intel Clear" w:eastAsia="Times New Roman" w:hAnsi="Intel Clear" w:cs="Intel Clear"/>
                            <w:sz w:val="20"/>
                            <w:szCs w:val="20"/>
                          </w:rPr>
                          <w:t>Y</w:t>
                        </w:r>
                        <w:r w:rsidR="00E60BBC" w:rsidRPr="007839E4">
                          <w:rPr>
                            <w:rFonts w:ascii="Intel Clear" w:eastAsia="Times New Roman" w:hAnsi="Intel Clear" w:cs="Intel Clear"/>
                            <w:sz w:val="20"/>
                            <w:szCs w:val="20"/>
                          </w:rPr>
                          <w:t xml:space="preserve">ou </w:t>
                        </w:r>
                        <w:r>
                          <w:rPr>
                            <w:rFonts w:ascii="Intel Clear" w:eastAsia="Times New Roman" w:hAnsi="Intel Clear" w:cs="Intel Clear"/>
                            <w:sz w:val="20"/>
                            <w:szCs w:val="20"/>
                          </w:rPr>
                          <w:t xml:space="preserve">may request that </w:t>
                        </w:r>
                        <w:r w:rsidR="007F0564">
                          <w:rPr>
                            <w:rFonts w:ascii="Intel Clear" w:eastAsia="Times New Roman" w:hAnsi="Intel Clear" w:cs="Intel Clear"/>
                            <w:sz w:val="20"/>
                            <w:szCs w:val="20"/>
                          </w:rPr>
                          <w:t>Mobileye</w:t>
                        </w:r>
                        <w:r>
                          <w:rPr>
                            <w:rFonts w:ascii="Intel Clear" w:eastAsia="Times New Roman" w:hAnsi="Intel Clear" w:cs="Intel Clear"/>
                            <w:sz w:val="20"/>
                            <w:szCs w:val="20"/>
                          </w:rPr>
                          <w:t xml:space="preserve"> </w:t>
                        </w:r>
                        <w:r w:rsidR="00E60BBC" w:rsidRPr="007839E4">
                          <w:rPr>
                            <w:rFonts w:ascii="Intel Clear" w:eastAsia="Times New Roman" w:hAnsi="Intel Clear" w:cs="Intel Clear"/>
                            <w:sz w:val="20"/>
                            <w:szCs w:val="20"/>
                          </w:rPr>
                          <w:t>correct or update your personal information, or request access to or deletion of your personal information</w:t>
                        </w:r>
                        <w:r>
                          <w:rPr>
                            <w:rFonts w:ascii="Intel Clear" w:eastAsia="Times New Roman" w:hAnsi="Intel Clear" w:cs="Intel Clear"/>
                            <w:sz w:val="20"/>
                            <w:szCs w:val="20"/>
                          </w:rPr>
                          <w:t>.</w:t>
                        </w:r>
                        <w:r w:rsidR="00844EB0">
                          <w:rPr>
                            <w:rFonts w:ascii="Intel Clear" w:eastAsia="Times New Roman" w:hAnsi="Intel Clear" w:cs="Intel Clear"/>
                            <w:sz w:val="20"/>
                            <w:szCs w:val="20"/>
                          </w:rPr>
                          <w:t xml:space="preserve"> </w:t>
                        </w:r>
                        <w:r>
                          <w:rPr>
                            <w:rFonts w:ascii="Intel Clear" w:eastAsia="Times New Roman" w:hAnsi="Intel Clear" w:cs="Intel Clear"/>
                            <w:sz w:val="20"/>
                            <w:szCs w:val="20"/>
                          </w:rPr>
                          <w:t>I</w:t>
                        </w:r>
                        <w:r w:rsidR="00E60BBC" w:rsidRPr="007839E4">
                          <w:rPr>
                            <w:rFonts w:ascii="Intel Clear" w:eastAsia="Times New Roman" w:hAnsi="Intel Clear" w:cs="Intel Clear"/>
                            <w:sz w:val="20"/>
                            <w:szCs w:val="20"/>
                          </w:rPr>
                          <w:t>f you request a change to or deletion of your personal information, please note that we may still need to retain certain information for recordkeeping purposes or to comply with legal or contractual requirements.</w:t>
                        </w:r>
                      </w:p>
                      <w:p w14:paraId="4913898A" w14:textId="77777777" w:rsidR="00E60BBC" w:rsidRDefault="00E60BBC" w:rsidP="00E60BBC">
                        <w:pPr>
                          <w:spacing w:before="100" w:beforeAutospacing="1" w:after="225" w:line="285" w:lineRule="atLeast"/>
                          <w:jc w:val="both"/>
                          <w:rPr>
                            <w:rFonts w:ascii="Intel Clear" w:eastAsia="Times New Roman" w:hAnsi="Intel Clear" w:cs="Intel Clear"/>
                            <w:sz w:val="20"/>
                            <w:szCs w:val="20"/>
                          </w:rPr>
                        </w:pPr>
                        <w:r w:rsidRPr="007839E4">
                          <w:rPr>
                            <w:rFonts w:ascii="Intel Clear" w:eastAsia="Times New Roman" w:hAnsi="Intel Clear" w:cs="Intel Clear"/>
                            <w:sz w:val="20"/>
                            <w:szCs w:val="20"/>
                          </w:rPr>
                          <w:t xml:space="preserve">At your request and where the law requires us to do so, we will confirm what personal information we hold about you. You may also have a legal right to obtain a copy of your personal information. </w:t>
                        </w:r>
                      </w:p>
                      <w:p w14:paraId="0D903E70" w14:textId="440B2CEA" w:rsidR="00E60BBC" w:rsidRDefault="00E60BBC" w:rsidP="00E60BBC">
                        <w:pPr>
                          <w:spacing w:before="100" w:beforeAutospacing="1" w:after="225" w:line="285" w:lineRule="atLeast"/>
                          <w:jc w:val="both"/>
                          <w:rPr>
                            <w:rFonts w:ascii="Intel Clear" w:eastAsia="Times New Roman" w:hAnsi="Intel Clear" w:cs="Intel Clear"/>
                            <w:sz w:val="20"/>
                            <w:szCs w:val="20"/>
                          </w:rPr>
                        </w:pPr>
                        <w:r w:rsidRPr="007839E4">
                          <w:rPr>
                            <w:rFonts w:ascii="Intel Clear" w:eastAsia="Times New Roman" w:hAnsi="Intel Clear" w:cs="Intel Clear"/>
                            <w:sz w:val="20"/>
                            <w:szCs w:val="20"/>
                          </w:rPr>
                          <w:t xml:space="preserve">You can make </w:t>
                        </w:r>
                        <w:r>
                          <w:rPr>
                            <w:rFonts w:ascii="Intel Clear" w:eastAsia="Times New Roman" w:hAnsi="Intel Clear" w:cs="Intel Clear"/>
                            <w:sz w:val="20"/>
                            <w:szCs w:val="20"/>
                          </w:rPr>
                          <w:t xml:space="preserve">these </w:t>
                        </w:r>
                        <w:r w:rsidRPr="007839E4">
                          <w:rPr>
                            <w:rFonts w:ascii="Intel Clear" w:eastAsia="Times New Roman" w:hAnsi="Intel Clear" w:cs="Intel Clear"/>
                            <w:sz w:val="20"/>
                            <w:szCs w:val="20"/>
                          </w:rPr>
                          <w:t>request</w:t>
                        </w:r>
                        <w:r>
                          <w:rPr>
                            <w:rFonts w:ascii="Intel Clear" w:eastAsia="Times New Roman" w:hAnsi="Intel Clear" w:cs="Intel Clear"/>
                            <w:sz w:val="20"/>
                            <w:szCs w:val="20"/>
                          </w:rPr>
                          <w:t>s</w:t>
                        </w:r>
                        <w:r w:rsidRPr="007839E4">
                          <w:rPr>
                            <w:rFonts w:ascii="Intel Clear" w:eastAsia="Times New Roman" w:hAnsi="Intel Clear" w:cs="Intel Clear"/>
                            <w:sz w:val="20"/>
                            <w:szCs w:val="20"/>
                          </w:rPr>
                          <w:t xml:space="preserve"> </w:t>
                        </w:r>
                        <w:r w:rsidR="00606003">
                          <w:rPr>
                            <w:rFonts w:ascii="Intel Clear" w:eastAsia="Times New Roman" w:hAnsi="Intel Clear" w:cs="Intel Clear"/>
                            <w:sz w:val="20"/>
                            <w:szCs w:val="20"/>
                          </w:rPr>
                          <w:t xml:space="preserve">using one of the methods set out </w:t>
                        </w:r>
                        <w:r w:rsidRPr="007839E4">
                          <w:rPr>
                            <w:rFonts w:ascii="Intel Clear" w:eastAsia="Times New Roman" w:hAnsi="Intel Clear" w:cs="Intel Clear"/>
                            <w:sz w:val="20"/>
                            <w:szCs w:val="20"/>
                          </w:rPr>
                          <w:t>in the “How to Contact Us” section below.  We may charge a processing fee for this service where permitted by law and we will require evidence of your identity before fulfilling your request.</w:t>
                        </w:r>
                        <w:r>
                          <w:rPr>
                            <w:rFonts w:ascii="Intel Clear" w:eastAsia="Times New Roman" w:hAnsi="Intel Clear" w:cs="Intel Clear"/>
                            <w:sz w:val="20"/>
                            <w:szCs w:val="20"/>
                          </w:rPr>
                          <w:t xml:space="preserve"> </w:t>
                        </w:r>
                      </w:p>
                      <w:p w14:paraId="71B81737" w14:textId="77777777" w:rsidR="00E60BBC" w:rsidRPr="007839E4" w:rsidRDefault="00E60BBC" w:rsidP="00E60BBC">
                        <w:pPr>
                          <w:shd w:val="clear" w:color="auto" w:fill="FFFFFF"/>
                          <w:spacing w:after="165" w:line="240" w:lineRule="auto"/>
                          <w:jc w:val="center"/>
                          <w:rPr>
                            <w:rFonts w:ascii="Intel Clear" w:eastAsia="Times New Roman" w:hAnsi="Intel Clear" w:cs="Intel Clear"/>
                            <w:b/>
                            <w:sz w:val="20"/>
                            <w:szCs w:val="20"/>
                          </w:rPr>
                        </w:pPr>
                        <w:r w:rsidRPr="007839E4">
                          <w:rPr>
                            <w:rFonts w:ascii="Intel Clear" w:eastAsia="Times New Roman" w:hAnsi="Intel Clear" w:cs="Intel Clear"/>
                            <w:b/>
                            <w:sz w:val="20"/>
                            <w:szCs w:val="20"/>
                          </w:rPr>
                          <w:t>Retention</w:t>
                        </w:r>
                      </w:p>
                      <w:p w14:paraId="34451FF3" w14:textId="730CD4FB" w:rsidR="00DE40F1" w:rsidRPr="00DE40F1" w:rsidRDefault="00E60BBC" w:rsidP="00BB6CF8">
                        <w:pPr>
                          <w:spacing w:before="100" w:beforeAutospacing="1" w:after="225" w:line="285" w:lineRule="atLeast"/>
                          <w:jc w:val="both"/>
                          <w:rPr>
                            <w:rFonts w:ascii="Intel Clear" w:eastAsia="Times New Roman" w:hAnsi="Intel Clear" w:cs="Intel Clear"/>
                            <w:sz w:val="20"/>
                            <w:szCs w:val="20"/>
                          </w:rPr>
                        </w:pPr>
                        <w:r>
                          <w:rPr>
                            <w:rFonts w:ascii="Intel Clear" w:eastAsia="Times New Roman" w:hAnsi="Intel Clear" w:cs="Intel Clear"/>
                            <w:sz w:val="20"/>
                            <w:szCs w:val="20"/>
                          </w:rPr>
                          <w:t>W</w:t>
                        </w:r>
                        <w:r w:rsidRPr="007839E4">
                          <w:rPr>
                            <w:rFonts w:ascii="Intel Clear" w:eastAsia="Times New Roman" w:hAnsi="Intel Clear" w:cs="Intel Clear"/>
                            <w:sz w:val="20"/>
                            <w:szCs w:val="20"/>
                          </w:rPr>
                          <w:t xml:space="preserve">e retain personal information for the period necessary to: </w:t>
                        </w:r>
                        <w:r>
                          <w:rPr>
                            <w:rFonts w:ascii="Intel Clear" w:eastAsia="Times New Roman" w:hAnsi="Intel Clear" w:cs="Intel Clear"/>
                            <w:sz w:val="20"/>
                            <w:szCs w:val="20"/>
                          </w:rPr>
                          <w:t>handle data for the purposes of this Privacy Notice</w:t>
                        </w:r>
                        <w:r w:rsidRPr="007839E4">
                          <w:rPr>
                            <w:rFonts w:ascii="Intel Clear" w:eastAsia="Times New Roman" w:hAnsi="Intel Clear" w:cs="Intel Clear"/>
                            <w:sz w:val="20"/>
                            <w:szCs w:val="20"/>
                          </w:rPr>
                          <w:t xml:space="preserve">, comply with legal obligations (e.g. to comply </w:t>
                        </w:r>
                        <w:r>
                          <w:rPr>
                            <w:rFonts w:ascii="Intel Clear" w:eastAsia="Times New Roman" w:hAnsi="Intel Clear" w:cs="Intel Clear"/>
                            <w:sz w:val="20"/>
                            <w:szCs w:val="20"/>
                          </w:rPr>
                          <w:t xml:space="preserve">with </w:t>
                        </w:r>
                        <w:r w:rsidRPr="007839E4">
                          <w:rPr>
                            <w:rFonts w:ascii="Intel Clear" w:eastAsia="Times New Roman" w:hAnsi="Intel Clear" w:cs="Intel Clear"/>
                            <w:sz w:val="20"/>
                            <w:szCs w:val="20"/>
                          </w:rPr>
                          <w:t>mandatory record retent</w:t>
                        </w:r>
                        <w:r w:rsidR="00C608DC">
                          <w:rPr>
                            <w:rFonts w:ascii="Intel Clear" w:eastAsia="Times New Roman" w:hAnsi="Intel Clear" w:cs="Intel Clear"/>
                            <w:sz w:val="20"/>
                            <w:szCs w:val="20"/>
                          </w:rPr>
                          <w:t xml:space="preserve">ion or legal hold requirements). </w:t>
                        </w:r>
                        <w:r w:rsidRPr="007839E4">
                          <w:rPr>
                            <w:rFonts w:ascii="Intel Clear" w:eastAsia="Times New Roman" w:hAnsi="Intel Clear" w:cs="Intel Clear"/>
                            <w:sz w:val="20"/>
                            <w:szCs w:val="20"/>
                          </w:rPr>
                          <w:t xml:space="preserve">Retention periods can vary significantly based on the type of information and how it is used and our retention periods are based on criteria that include legally mandated retention periods, pending or potential litigation, our </w:t>
                        </w:r>
                        <w:r w:rsidR="00F50000">
                          <w:rPr>
                            <w:rFonts w:ascii="Intel Clear" w:eastAsia="Times New Roman" w:hAnsi="Intel Clear" w:cs="Intel Clear"/>
                            <w:sz w:val="20"/>
                            <w:szCs w:val="20"/>
                          </w:rPr>
                          <w:t>intell</w:t>
                        </w:r>
                        <w:r w:rsidRPr="007839E4">
                          <w:rPr>
                            <w:rFonts w:ascii="Intel Clear" w:eastAsia="Times New Roman" w:hAnsi="Intel Clear" w:cs="Intel Clear"/>
                            <w:sz w:val="20"/>
                            <w:szCs w:val="20"/>
                          </w:rPr>
                          <w:t xml:space="preserve">ectual property or ownership rights, contract requirements, operational directives or needs, and historical archiving. When personal information is removed from our systems, it will be deleted or destroyed using appropriate security protocols so that it cannot be reconstructed or </w:t>
                        </w:r>
                      </w:p>
                    </w:tc>
                  </w:tr>
                </w:tbl>
                <w:p w14:paraId="7D996E31" w14:textId="77777777" w:rsidR="00DE40F1" w:rsidRPr="00DE40F1" w:rsidRDefault="00DE40F1" w:rsidP="00DE40F1">
                  <w:pPr>
                    <w:spacing w:after="225" w:line="285" w:lineRule="atLeast"/>
                    <w:rPr>
                      <w:rFonts w:ascii="Intel Clear" w:eastAsia="Times New Roman" w:hAnsi="Intel Clear" w:cs="Intel Clear"/>
                      <w:sz w:val="20"/>
                      <w:szCs w:val="20"/>
                    </w:rPr>
                  </w:pPr>
                </w:p>
              </w:tc>
            </w:tr>
          </w:tbl>
          <w:p w14:paraId="690F320F" w14:textId="77777777" w:rsidR="00DE40F1" w:rsidRPr="00DE40F1" w:rsidRDefault="00DE40F1" w:rsidP="00DE40F1">
            <w:pPr>
              <w:spacing w:after="0" w:line="240" w:lineRule="auto"/>
              <w:rPr>
                <w:rFonts w:ascii="Times New Roman" w:eastAsia="Times New Roman" w:hAnsi="Times New Roman" w:cs="Times New Roman"/>
                <w:sz w:val="24"/>
                <w:szCs w:val="24"/>
              </w:rPr>
            </w:pPr>
          </w:p>
        </w:tc>
      </w:tr>
      <w:tr w:rsidR="00E579D7" w:rsidRPr="00676B1F" w14:paraId="4B529154" w14:textId="77777777" w:rsidTr="00D150CB">
        <w:trPr>
          <w:tblCellSpacing w:w="15" w:type="dxa"/>
        </w:trPr>
        <w:tc>
          <w:tcPr>
            <w:tcW w:w="8966" w:type="dxa"/>
            <w:tcBorders>
              <w:top w:val="nil"/>
              <w:left w:val="nil"/>
              <w:bottom w:val="nil"/>
              <w:right w:val="nil"/>
            </w:tcBorders>
            <w:shd w:val="clear" w:color="auto" w:fill="FFFFFF"/>
            <w:tcMar>
              <w:top w:w="300" w:type="dxa"/>
              <w:left w:w="450" w:type="dxa"/>
              <w:bottom w:w="15" w:type="dxa"/>
              <w:right w:w="405" w:type="dxa"/>
            </w:tcMar>
            <w:hideMark/>
          </w:tcPr>
          <w:tbl>
            <w:tblPr>
              <w:tblW w:w="5000" w:type="pct"/>
              <w:tblCellSpacing w:w="0" w:type="dxa"/>
              <w:tblCellMar>
                <w:left w:w="0" w:type="dxa"/>
                <w:right w:w="0" w:type="dxa"/>
              </w:tblCellMar>
              <w:tblLook w:val="04A0" w:firstRow="1" w:lastRow="0" w:firstColumn="1" w:lastColumn="0" w:noHBand="0" w:noVBand="1"/>
            </w:tblPr>
            <w:tblGrid>
              <w:gridCol w:w="8111"/>
            </w:tblGrid>
            <w:tr w:rsidR="00E579D7" w:rsidRPr="00676B1F" w14:paraId="19E3EC50" w14:textId="77777777" w:rsidTr="00D150CB">
              <w:trPr>
                <w:tblCellSpacing w:w="0" w:type="dxa"/>
              </w:trPr>
              <w:tc>
                <w:tcPr>
                  <w:tcW w:w="5000" w:type="pct"/>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8111"/>
                  </w:tblGrid>
                  <w:tr w:rsidR="00E579D7" w:rsidRPr="00676B1F" w14:paraId="4D4AD876" w14:textId="77777777" w:rsidTr="00EE4750">
                    <w:trPr>
                      <w:tblCellSpacing w:w="0" w:type="dxa"/>
                    </w:trPr>
                    <w:tc>
                      <w:tcPr>
                        <w:tcW w:w="0" w:type="auto"/>
                        <w:vAlign w:val="center"/>
                        <w:hideMark/>
                      </w:tcPr>
                      <w:p w14:paraId="28B629AF" w14:textId="6AA6E1C5" w:rsidR="00E579D7" w:rsidRPr="00DE40F1" w:rsidRDefault="004B4AE7" w:rsidP="00D150CB">
                        <w:pPr>
                          <w:spacing w:before="100" w:beforeAutospacing="1" w:after="225" w:line="285" w:lineRule="atLeast"/>
                          <w:jc w:val="center"/>
                          <w:rPr>
                            <w:rFonts w:ascii="Intel Clear" w:eastAsia="Times New Roman" w:hAnsi="Intel Clear" w:cs="Intel Clear"/>
                            <w:sz w:val="20"/>
                            <w:szCs w:val="20"/>
                          </w:rPr>
                        </w:pPr>
                        <w:r>
                          <w:rPr>
                            <w:rFonts w:ascii="Intel Clear" w:eastAsia="Times New Roman" w:hAnsi="Intel Clear" w:cs="Intel Clear"/>
                            <w:b/>
                            <w:bCs/>
                            <w:sz w:val="20"/>
                            <w:szCs w:val="20"/>
                          </w:rPr>
                          <w:lastRenderedPageBreak/>
                          <w:t xml:space="preserve">Additional </w:t>
                        </w:r>
                        <w:r w:rsidR="002A669E">
                          <w:rPr>
                            <w:rFonts w:ascii="Intel Clear" w:eastAsia="Times New Roman" w:hAnsi="Intel Clear" w:cs="Intel Clear"/>
                            <w:b/>
                            <w:bCs/>
                            <w:sz w:val="20"/>
                            <w:szCs w:val="20"/>
                          </w:rPr>
                          <w:t xml:space="preserve">Information for </w:t>
                        </w:r>
                        <w:r w:rsidR="004C7DFB">
                          <w:rPr>
                            <w:rFonts w:ascii="Intel Clear" w:eastAsia="Times New Roman" w:hAnsi="Intel Clear" w:cs="Intel Clear"/>
                            <w:b/>
                            <w:bCs/>
                            <w:sz w:val="20"/>
                            <w:szCs w:val="20"/>
                          </w:rPr>
                          <w:t>Employees R</w:t>
                        </w:r>
                        <w:r w:rsidR="002A669E">
                          <w:rPr>
                            <w:rFonts w:ascii="Intel Clear" w:eastAsia="Times New Roman" w:hAnsi="Intel Clear" w:cs="Intel Clear"/>
                            <w:b/>
                            <w:bCs/>
                            <w:sz w:val="20"/>
                            <w:szCs w:val="20"/>
                          </w:rPr>
                          <w:t>esiding in the European Economic Area (EEA)</w:t>
                        </w:r>
                      </w:p>
                      <w:p w14:paraId="2100CFFD" w14:textId="02AE1F55" w:rsidR="002A669E" w:rsidRDefault="00E60BBC" w:rsidP="00D150CB">
                        <w:pPr>
                          <w:spacing w:before="100" w:beforeAutospacing="1" w:after="225" w:line="285" w:lineRule="atLeast"/>
                          <w:rPr>
                            <w:rFonts w:ascii="Intel Clear" w:eastAsia="Times New Roman" w:hAnsi="Intel Clear" w:cs="Intel Clear"/>
                            <w:sz w:val="20"/>
                            <w:szCs w:val="20"/>
                          </w:rPr>
                        </w:pPr>
                        <w:r>
                          <w:rPr>
                            <w:rFonts w:ascii="Intel Clear" w:eastAsia="Times New Roman" w:hAnsi="Intel Clear" w:cs="Intel Clear"/>
                            <w:sz w:val="20"/>
                            <w:szCs w:val="20"/>
                          </w:rPr>
                          <w:t xml:space="preserve">If you work for a </w:t>
                        </w:r>
                        <w:r w:rsidR="007F0564">
                          <w:rPr>
                            <w:rFonts w:ascii="Intel Clear" w:eastAsia="Times New Roman" w:hAnsi="Intel Clear" w:cs="Intel Clear"/>
                            <w:sz w:val="20"/>
                            <w:szCs w:val="20"/>
                          </w:rPr>
                          <w:t>Mobileye</w:t>
                        </w:r>
                        <w:r>
                          <w:rPr>
                            <w:rFonts w:ascii="Intel Clear" w:eastAsia="Times New Roman" w:hAnsi="Intel Clear" w:cs="Intel Clear"/>
                            <w:sz w:val="20"/>
                            <w:szCs w:val="20"/>
                          </w:rPr>
                          <w:t xml:space="preserve"> entity established in the EEA that entity is responsible for handling your personal information and the following sections provide additional information under the EU General Data Protection Regulation ("GDPR") and national data protection law.</w:t>
                        </w:r>
                      </w:p>
                      <w:p w14:paraId="64E251C5" w14:textId="22C119D5" w:rsidR="00EB6EAD" w:rsidRDefault="00ED76C2" w:rsidP="00D150CB">
                        <w:pPr>
                          <w:spacing w:before="100" w:beforeAutospacing="1" w:after="225" w:line="285" w:lineRule="atLeast"/>
                          <w:rPr>
                            <w:rFonts w:ascii="Intel Clear" w:eastAsia="Times New Roman" w:hAnsi="Intel Clear" w:cs="Intel Clear"/>
                            <w:bCs/>
                            <w:sz w:val="20"/>
                            <w:szCs w:val="20"/>
                          </w:rPr>
                        </w:pPr>
                        <w:r>
                          <w:rPr>
                            <w:rFonts w:ascii="Intel Clear" w:eastAsia="Times New Roman" w:hAnsi="Intel Clear" w:cs="Intel Clear"/>
                            <w:sz w:val="20"/>
                            <w:szCs w:val="20"/>
                          </w:rPr>
                          <w:t xml:space="preserve">Most of the data we process is required to perform our working relationship with you (Art. 6 b) GDPR, Art. 88 GDPR and </w:t>
                        </w:r>
                        <w:r w:rsidR="00F72BC8">
                          <w:rPr>
                            <w:rFonts w:ascii="Intel Clear" w:eastAsia="Times New Roman" w:hAnsi="Intel Clear" w:cs="Intel Clear"/>
                            <w:sz w:val="20"/>
                            <w:szCs w:val="20"/>
                          </w:rPr>
                          <w:t xml:space="preserve">other </w:t>
                        </w:r>
                        <w:r>
                          <w:rPr>
                            <w:rFonts w:ascii="Intel Clear" w:eastAsia="Times New Roman" w:hAnsi="Intel Clear" w:cs="Intel Clear"/>
                            <w:sz w:val="20"/>
                            <w:szCs w:val="20"/>
                          </w:rPr>
                          <w:t>applicable laws), or to comply with legal obligations. Where we support or protect our assets, rights and security, this processing is based on our legitimate interest.</w:t>
                        </w:r>
                      </w:p>
                      <w:p w14:paraId="34C2A707" w14:textId="5C9179F5" w:rsidR="005D336A" w:rsidRPr="00C41589" w:rsidRDefault="00EB6EAD" w:rsidP="00C41589">
                        <w:pPr>
                          <w:spacing w:before="100" w:beforeAutospacing="1" w:after="225" w:line="285" w:lineRule="atLeast"/>
                          <w:rPr>
                            <w:rFonts w:ascii="Intel Clear" w:eastAsia="Times New Roman" w:hAnsi="Intel Clear" w:cs="Intel Clear"/>
                            <w:bCs/>
                            <w:sz w:val="20"/>
                            <w:szCs w:val="20"/>
                          </w:rPr>
                        </w:pPr>
                        <w:r>
                          <w:rPr>
                            <w:rFonts w:ascii="Intel Clear" w:eastAsia="Times New Roman" w:hAnsi="Intel Clear" w:cs="Intel Clear"/>
                            <w:b/>
                            <w:sz w:val="20"/>
                            <w:szCs w:val="20"/>
                          </w:rPr>
                          <w:t xml:space="preserve">1. </w:t>
                        </w:r>
                        <w:r w:rsidR="005D336A" w:rsidRPr="00C41589">
                          <w:rPr>
                            <w:rFonts w:ascii="Intel Clear" w:eastAsia="Times New Roman" w:hAnsi="Intel Clear" w:cs="Intel Clear"/>
                            <w:b/>
                            <w:sz w:val="20"/>
                            <w:szCs w:val="20"/>
                          </w:rPr>
                          <w:t xml:space="preserve">Data Sharing </w:t>
                        </w:r>
                      </w:p>
                      <w:p w14:paraId="2A8E9368" w14:textId="63DE9EBA" w:rsidR="005D336A" w:rsidRPr="000E4E0D" w:rsidRDefault="00FF2A61" w:rsidP="00AE7F8C">
                        <w:pPr>
                          <w:spacing w:before="100" w:beforeAutospacing="1" w:after="225" w:line="285" w:lineRule="atLeast"/>
                          <w:rPr>
                            <w:rFonts w:ascii="Intel Clear" w:eastAsia="Times New Roman" w:hAnsi="Intel Clear" w:cs="Intel Clear"/>
                            <w:sz w:val="20"/>
                            <w:szCs w:val="20"/>
                          </w:rPr>
                        </w:pPr>
                        <w:r>
                          <w:rPr>
                            <w:rFonts w:ascii="Intel Clear" w:eastAsia="Times New Roman" w:hAnsi="Intel Clear" w:cs="Intel Clear"/>
                            <w:sz w:val="20"/>
                            <w:szCs w:val="20"/>
                          </w:rPr>
                          <w:t>For p</w:t>
                        </w:r>
                        <w:r w:rsidR="005D336A" w:rsidRPr="007400D0">
                          <w:rPr>
                            <w:rFonts w:ascii="Intel Clear" w:eastAsia="Times New Roman" w:hAnsi="Intel Clear" w:cs="Intel Clear"/>
                            <w:sz w:val="20"/>
                            <w:szCs w:val="20"/>
                          </w:rPr>
                          <w:t xml:space="preserve">ersonal information </w:t>
                        </w:r>
                        <w:r w:rsidR="005D336A">
                          <w:rPr>
                            <w:rFonts w:ascii="Intel Clear" w:eastAsia="Times New Roman" w:hAnsi="Intel Clear" w:cs="Intel Clear"/>
                            <w:sz w:val="20"/>
                            <w:szCs w:val="20"/>
                          </w:rPr>
                          <w:t xml:space="preserve">from </w:t>
                        </w:r>
                        <w:r w:rsidR="005D336A" w:rsidRPr="007400D0">
                          <w:rPr>
                            <w:rFonts w:ascii="Intel Clear" w:eastAsia="Times New Roman" w:hAnsi="Intel Clear" w:cs="Intel Clear"/>
                            <w:sz w:val="20"/>
                            <w:szCs w:val="20"/>
                          </w:rPr>
                          <w:t>the EEA that is transferred to entity outside the EEA</w:t>
                        </w:r>
                        <w:r w:rsidR="005D336A">
                          <w:rPr>
                            <w:rFonts w:ascii="Intel Clear" w:eastAsia="Times New Roman" w:hAnsi="Intel Clear" w:cs="Intel Clear"/>
                            <w:sz w:val="20"/>
                            <w:szCs w:val="20"/>
                          </w:rPr>
                          <w:t xml:space="preserve"> (e.g. </w:t>
                        </w:r>
                        <w:r w:rsidR="005D336A" w:rsidRPr="004479DD">
                          <w:rPr>
                            <w:rFonts w:ascii="Intel Clear" w:eastAsia="Times New Roman" w:hAnsi="Intel Clear" w:cs="Intel Clear"/>
                            <w:sz w:val="20"/>
                            <w:szCs w:val="20"/>
                          </w:rPr>
                          <w:t>to Intel Corporation, Santa Clara, California (USA)</w:t>
                        </w:r>
                        <w:r w:rsidR="005D336A">
                          <w:rPr>
                            <w:rFonts w:ascii="Intel Clear" w:eastAsia="Times New Roman" w:hAnsi="Intel Clear" w:cs="Intel Clear"/>
                            <w:sz w:val="20"/>
                            <w:szCs w:val="20"/>
                          </w:rPr>
                          <w:t>)</w:t>
                        </w:r>
                        <w:r w:rsidR="005D336A" w:rsidRPr="007400D0">
                          <w:rPr>
                            <w:rFonts w:ascii="Intel Clear" w:eastAsia="Times New Roman" w:hAnsi="Intel Clear" w:cs="Intel Clear"/>
                            <w:sz w:val="20"/>
                            <w:szCs w:val="20"/>
                          </w:rPr>
                          <w:t xml:space="preserve"> that does not have an “adequate level of protection” as determined by the European Commission, </w:t>
                        </w:r>
                        <w:r w:rsidR="007F0564">
                          <w:rPr>
                            <w:rFonts w:ascii="Intel Clear" w:eastAsia="Times New Roman" w:hAnsi="Intel Clear" w:cs="Intel Clear"/>
                            <w:sz w:val="20"/>
                            <w:szCs w:val="20"/>
                          </w:rPr>
                          <w:t>Mobileye</w:t>
                        </w:r>
                        <w:r w:rsidR="005D336A" w:rsidRPr="007400D0">
                          <w:rPr>
                            <w:rFonts w:ascii="Intel Clear" w:eastAsia="Times New Roman" w:hAnsi="Intel Clear" w:cs="Intel Clear"/>
                            <w:sz w:val="20"/>
                            <w:szCs w:val="20"/>
                          </w:rPr>
                          <w:t xml:space="preserve"> rel</w:t>
                        </w:r>
                        <w:r w:rsidR="00AE7F8C">
                          <w:rPr>
                            <w:rFonts w:ascii="Intel Clear" w:eastAsia="Times New Roman" w:hAnsi="Intel Clear" w:cs="Intel Clear"/>
                            <w:sz w:val="20"/>
                            <w:szCs w:val="20"/>
                          </w:rPr>
                          <w:t>ies</w:t>
                        </w:r>
                        <w:r w:rsidR="005D336A" w:rsidRPr="007400D0">
                          <w:rPr>
                            <w:rFonts w:ascii="Intel Clear" w:eastAsia="Times New Roman" w:hAnsi="Intel Clear" w:cs="Intel Clear"/>
                            <w:sz w:val="20"/>
                            <w:szCs w:val="20"/>
                          </w:rPr>
                          <w:t xml:space="preserve"> on lawful </w:t>
                        </w:r>
                        <w:r w:rsidR="00AE7F8C">
                          <w:rPr>
                            <w:rFonts w:ascii="Intel Clear" w:eastAsia="Times New Roman" w:hAnsi="Intel Clear" w:cs="Intel Clear"/>
                            <w:sz w:val="20"/>
                            <w:szCs w:val="20"/>
                          </w:rPr>
                          <w:t xml:space="preserve">adequate </w:t>
                        </w:r>
                        <w:r w:rsidR="005D336A" w:rsidRPr="007400D0">
                          <w:rPr>
                            <w:rFonts w:ascii="Intel Clear" w:eastAsia="Times New Roman" w:hAnsi="Intel Clear" w:cs="Intel Clear"/>
                            <w:sz w:val="20"/>
                            <w:szCs w:val="20"/>
                          </w:rPr>
                          <w:t>measures, such as contracts that include the EU</w:t>
                        </w:r>
                        <w:r w:rsidR="005D336A">
                          <w:rPr>
                            <w:rFonts w:ascii="Intel Clear" w:eastAsia="Times New Roman" w:hAnsi="Intel Clear" w:cs="Intel Clear"/>
                            <w:sz w:val="20"/>
                            <w:szCs w:val="20"/>
                          </w:rPr>
                          <w:t xml:space="preserve"> standard contractual clauses; y</w:t>
                        </w:r>
                        <w:r w:rsidR="005D336A" w:rsidRPr="007400D0">
                          <w:rPr>
                            <w:rFonts w:ascii="Intel Clear" w:eastAsia="Times New Roman" w:hAnsi="Intel Clear" w:cs="Intel Clear"/>
                            <w:sz w:val="20"/>
                            <w:szCs w:val="20"/>
                          </w:rPr>
                          <w:t xml:space="preserve">ou can review the </w:t>
                        </w:r>
                        <w:r w:rsidR="005D336A">
                          <w:rPr>
                            <w:rFonts w:ascii="Intel Clear" w:eastAsia="Times New Roman" w:hAnsi="Intel Clear" w:cs="Intel Clear"/>
                            <w:sz w:val="20"/>
                            <w:szCs w:val="20"/>
                          </w:rPr>
                          <w:t>clauses here.</w:t>
                        </w:r>
                        <w:r w:rsidR="005D336A" w:rsidRPr="00B00968">
                          <w:rPr>
                            <w:rFonts w:ascii="Intel Clear" w:eastAsia="Times New Roman" w:hAnsi="Intel Clear" w:cs="Intel Clear"/>
                            <w:bCs/>
                            <w:sz w:val="20"/>
                            <w:szCs w:val="20"/>
                          </w:rPr>
                          <w:t xml:space="preserve"> </w:t>
                        </w:r>
                      </w:p>
                      <w:p w14:paraId="3AB9CAC8" w14:textId="43E13A61" w:rsidR="005D336A" w:rsidRPr="006A7BDB" w:rsidRDefault="00EB6EAD" w:rsidP="00D150CB">
                        <w:pPr>
                          <w:spacing w:before="100" w:beforeAutospacing="1" w:after="225" w:line="285" w:lineRule="atLeast"/>
                          <w:rPr>
                            <w:rFonts w:ascii="Intel Clear" w:eastAsia="Times New Roman" w:hAnsi="Intel Clear" w:cs="Intel Clear"/>
                            <w:b/>
                            <w:sz w:val="20"/>
                            <w:szCs w:val="20"/>
                          </w:rPr>
                        </w:pPr>
                        <w:r>
                          <w:rPr>
                            <w:rFonts w:ascii="Intel Clear" w:eastAsia="Times New Roman" w:hAnsi="Intel Clear" w:cs="Intel Clear"/>
                            <w:b/>
                            <w:sz w:val="20"/>
                            <w:szCs w:val="20"/>
                          </w:rPr>
                          <w:t xml:space="preserve">2. </w:t>
                        </w:r>
                        <w:r w:rsidR="005D336A">
                          <w:rPr>
                            <w:rFonts w:ascii="Intel Clear" w:eastAsia="Times New Roman" w:hAnsi="Intel Clear" w:cs="Intel Clear"/>
                            <w:b/>
                            <w:sz w:val="20"/>
                            <w:szCs w:val="20"/>
                          </w:rPr>
                          <w:t xml:space="preserve">Data </w:t>
                        </w:r>
                        <w:r w:rsidR="005D336A" w:rsidRPr="006A7BDB">
                          <w:rPr>
                            <w:rFonts w:ascii="Intel Clear" w:eastAsia="Times New Roman" w:hAnsi="Intel Clear" w:cs="Intel Clear"/>
                            <w:b/>
                            <w:sz w:val="20"/>
                            <w:szCs w:val="20"/>
                          </w:rPr>
                          <w:t>Protection Rights</w:t>
                        </w:r>
                        <w:r w:rsidR="005D336A">
                          <w:rPr>
                            <w:rFonts w:ascii="Intel Clear" w:eastAsia="Times New Roman" w:hAnsi="Intel Clear" w:cs="Intel Clear"/>
                            <w:b/>
                            <w:sz w:val="20"/>
                            <w:szCs w:val="20"/>
                          </w:rPr>
                          <w:t xml:space="preserve"> </w:t>
                        </w:r>
                      </w:p>
                      <w:p w14:paraId="04A537DF" w14:textId="77777777" w:rsidR="005D336A" w:rsidRDefault="005D336A" w:rsidP="005D336A">
                        <w:pPr>
                          <w:suppressAutoHyphens/>
                          <w:adjustRightInd w:val="0"/>
                          <w:snapToGrid w:val="0"/>
                          <w:spacing w:before="240" w:after="120" w:line="285" w:lineRule="atLeast"/>
                          <w:rPr>
                            <w:rFonts w:ascii="Intel Clear" w:eastAsia="Times New Roman" w:hAnsi="Intel Clear" w:cs="Intel Clear"/>
                            <w:sz w:val="20"/>
                            <w:szCs w:val="20"/>
                          </w:rPr>
                        </w:pPr>
                        <w:r w:rsidRPr="00197FDB">
                          <w:rPr>
                            <w:rFonts w:ascii="Intel Clear" w:eastAsia="Times New Roman" w:hAnsi="Intel Clear" w:cs="Intel Clear"/>
                            <w:sz w:val="20"/>
                            <w:szCs w:val="20"/>
                          </w:rPr>
                          <w:t xml:space="preserve">You can request </w:t>
                        </w:r>
                        <w:r>
                          <w:rPr>
                            <w:rFonts w:ascii="Intel Clear" w:eastAsia="Times New Roman" w:hAnsi="Intel Clear" w:cs="Intel Clear"/>
                            <w:sz w:val="20"/>
                            <w:szCs w:val="20"/>
                          </w:rPr>
                          <w:t>access to the data we store about you</w:t>
                        </w:r>
                        <w:r w:rsidRPr="00197FDB">
                          <w:rPr>
                            <w:rFonts w:ascii="Intel Clear" w:eastAsia="Times New Roman" w:hAnsi="Intel Clear" w:cs="Intel Clear"/>
                            <w:sz w:val="20"/>
                            <w:szCs w:val="20"/>
                          </w:rPr>
                          <w:t xml:space="preserve"> and receive the data provided by you in a common and machine-readable format. Furthermore, in justified cases, you may also request the deletion, correction or limitation of the processing of your data. </w:t>
                        </w:r>
                        <w:r w:rsidRPr="000642B8">
                          <w:rPr>
                            <w:rFonts w:ascii="Intel Clear" w:eastAsia="Times New Roman" w:hAnsi="Intel Clear" w:cs="Intel Clear"/>
                            <w:sz w:val="20"/>
                            <w:szCs w:val="20"/>
                          </w:rPr>
                          <w:t>Where we obtained your consent, you can withdraw that consent at any time with future effect.</w:t>
                        </w:r>
                      </w:p>
                      <w:p w14:paraId="515D17FD" w14:textId="64692476" w:rsidR="005D336A" w:rsidRPr="000E4E0D" w:rsidRDefault="00EB6EAD" w:rsidP="00D150CB">
                        <w:pPr>
                          <w:suppressAutoHyphens/>
                          <w:adjustRightInd w:val="0"/>
                          <w:snapToGrid w:val="0"/>
                          <w:spacing w:before="240" w:after="120" w:line="285" w:lineRule="atLeast"/>
                          <w:rPr>
                            <w:rFonts w:ascii="Intel Clear" w:eastAsia="Times New Roman" w:hAnsi="Intel Clear" w:cs="Intel Clear"/>
                            <w:b/>
                            <w:sz w:val="20"/>
                            <w:szCs w:val="20"/>
                          </w:rPr>
                        </w:pPr>
                        <w:r>
                          <w:rPr>
                            <w:rFonts w:ascii="Intel Clear" w:eastAsia="Times New Roman" w:hAnsi="Intel Clear" w:cs="Intel Clear"/>
                            <w:b/>
                            <w:sz w:val="20"/>
                            <w:szCs w:val="20"/>
                          </w:rPr>
                          <w:t xml:space="preserve">3. </w:t>
                        </w:r>
                        <w:r w:rsidR="005D336A" w:rsidRPr="000E4E0D">
                          <w:rPr>
                            <w:rFonts w:ascii="Intel Clear" w:eastAsia="Times New Roman" w:hAnsi="Intel Clear" w:cs="Intel Clear"/>
                            <w:b/>
                            <w:sz w:val="20"/>
                            <w:szCs w:val="20"/>
                          </w:rPr>
                          <w:t>Right to object</w:t>
                        </w:r>
                      </w:p>
                      <w:p w14:paraId="7B6E24AA" w14:textId="6508B7E6" w:rsidR="005D336A" w:rsidRPr="008F326D" w:rsidRDefault="005D336A" w:rsidP="005D336A">
                        <w:pPr>
                          <w:suppressAutoHyphens/>
                          <w:adjustRightInd w:val="0"/>
                          <w:snapToGrid w:val="0"/>
                          <w:spacing w:before="240" w:after="120" w:line="285" w:lineRule="atLeast"/>
                          <w:rPr>
                            <w:rFonts w:ascii="Intel Clear" w:eastAsia="Times New Roman" w:hAnsi="Intel Clear" w:cs="Intel Clear"/>
                            <w:sz w:val="20"/>
                            <w:szCs w:val="20"/>
                          </w:rPr>
                        </w:pPr>
                        <w:r>
                          <w:rPr>
                            <w:rFonts w:ascii="Intel Clear" w:eastAsia="Times New Roman" w:hAnsi="Intel Clear" w:cs="Intel Clear"/>
                            <w:sz w:val="20"/>
                            <w:szCs w:val="20"/>
                          </w:rPr>
                          <w:t xml:space="preserve">Where processing is based on </w:t>
                        </w:r>
                        <w:r w:rsidR="007F0564">
                          <w:rPr>
                            <w:rFonts w:ascii="Intel Clear" w:eastAsia="Times New Roman" w:hAnsi="Intel Clear" w:cs="Intel Clear"/>
                            <w:sz w:val="20"/>
                            <w:szCs w:val="20"/>
                          </w:rPr>
                          <w:t>Mobileye</w:t>
                        </w:r>
                        <w:r>
                          <w:rPr>
                            <w:rFonts w:ascii="Intel Clear" w:eastAsia="Times New Roman" w:hAnsi="Intel Clear" w:cs="Intel Clear"/>
                            <w:sz w:val="20"/>
                            <w:szCs w:val="20"/>
                          </w:rPr>
                          <w:t xml:space="preserve">'s legitimate interest, you can </w:t>
                        </w:r>
                        <w:r w:rsidRPr="000E4E0D">
                          <w:rPr>
                            <w:rFonts w:ascii="Intel Clear" w:eastAsia="Times New Roman" w:hAnsi="Intel Clear" w:cs="Intel Clear"/>
                            <w:sz w:val="20"/>
                            <w:szCs w:val="20"/>
                          </w:rPr>
                          <w:t>object to such processing</w:t>
                        </w:r>
                        <w:r>
                          <w:rPr>
                            <w:rFonts w:ascii="Intel Clear" w:eastAsia="Times New Roman" w:hAnsi="Intel Clear" w:cs="Intel Clear"/>
                            <w:b/>
                            <w:sz w:val="20"/>
                            <w:szCs w:val="20"/>
                          </w:rPr>
                          <w:t xml:space="preserve"> </w:t>
                        </w:r>
                        <w:r w:rsidRPr="000E4E0D">
                          <w:rPr>
                            <w:rFonts w:ascii="Intel Clear" w:eastAsia="Times New Roman" w:hAnsi="Intel Clear" w:cs="Intel Clear"/>
                            <w:sz w:val="20"/>
                            <w:szCs w:val="20"/>
                          </w:rPr>
                          <w:t>unless our legitimate grounds prevail.</w:t>
                        </w:r>
                        <w:r>
                          <w:rPr>
                            <w:rFonts w:ascii="Intel Clear" w:eastAsia="Times New Roman" w:hAnsi="Intel Clear" w:cs="Intel Clear"/>
                            <w:sz w:val="20"/>
                            <w:szCs w:val="20"/>
                          </w:rPr>
                          <w:t xml:space="preserve"> </w:t>
                        </w:r>
                      </w:p>
                      <w:p w14:paraId="4B819334" w14:textId="1507B9A1" w:rsidR="005D336A" w:rsidRPr="000E4E0D" w:rsidRDefault="00EB6EAD" w:rsidP="00D150CB">
                        <w:pPr>
                          <w:suppressAutoHyphens/>
                          <w:adjustRightInd w:val="0"/>
                          <w:snapToGrid w:val="0"/>
                          <w:spacing w:before="240" w:after="120" w:line="285" w:lineRule="atLeast"/>
                          <w:rPr>
                            <w:rFonts w:ascii="Intel Clear" w:eastAsia="Times New Roman" w:hAnsi="Intel Clear" w:cs="Intel Clear"/>
                            <w:b/>
                            <w:sz w:val="20"/>
                            <w:szCs w:val="20"/>
                          </w:rPr>
                        </w:pPr>
                        <w:r>
                          <w:rPr>
                            <w:rFonts w:ascii="Intel Clear" w:eastAsia="Times New Roman" w:hAnsi="Intel Clear" w:cs="Intel Clear"/>
                            <w:b/>
                            <w:sz w:val="20"/>
                            <w:szCs w:val="20"/>
                          </w:rPr>
                          <w:t xml:space="preserve">4. </w:t>
                        </w:r>
                        <w:r w:rsidR="005D336A" w:rsidRPr="000E4E0D">
                          <w:rPr>
                            <w:rFonts w:ascii="Intel Clear" w:eastAsia="Times New Roman" w:hAnsi="Intel Clear" w:cs="Intel Clear"/>
                            <w:b/>
                            <w:sz w:val="20"/>
                            <w:szCs w:val="20"/>
                          </w:rPr>
                          <w:t>Contact</w:t>
                        </w:r>
                      </w:p>
                      <w:p w14:paraId="55C3A2D6" w14:textId="50B1C8EB" w:rsidR="005D336A" w:rsidRPr="00676B1F" w:rsidRDefault="005D336A" w:rsidP="00606003">
                        <w:pPr>
                          <w:spacing w:before="100" w:beforeAutospacing="1" w:after="225" w:line="285" w:lineRule="atLeast"/>
                          <w:rPr>
                            <w:rFonts w:ascii="Intel Clear" w:eastAsia="Times New Roman" w:hAnsi="Intel Clear" w:cs="Intel Clear"/>
                            <w:sz w:val="20"/>
                            <w:szCs w:val="20"/>
                          </w:rPr>
                        </w:pPr>
                        <w:r>
                          <w:rPr>
                            <w:rFonts w:ascii="Intel Clear" w:eastAsia="Times New Roman" w:hAnsi="Intel Clear" w:cs="Intel Clear"/>
                            <w:sz w:val="20"/>
                            <w:szCs w:val="20"/>
                          </w:rPr>
                          <w:t xml:space="preserve">In order to exercise your rights, </w:t>
                        </w:r>
                        <w:r w:rsidRPr="00550B94">
                          <w:rPr>
                            <w:rFonts w:ascii="Intel Clear" w:eastAsia="Times New Roman" w:hAnsi="Intel Clear" w:cs="Intel Clear"/>
                            <w:bCs/>
                            <w:sz w:val="20"/>
                            <w:szCs w:val="20"/>
                          </w:rPr>
                          <w:t xml:space="preserve">please contact our </w:t>
                        </w:r>
                        <w:r w:rsidR="00606003">
                          <w:rPr>
                            <w:rFonts w:ascii="Intel Clear" w:eastAsia="Times New Roman" w:hAnsi="Intel Clear" w:cs="Intel Clear"/>
                            <w:bCs/>
                            <w:sz w:val="20"/>
                            <w:szCs w:val="20"/>
                          </w:rPr>
                          <w:t xml:space="preserve">European </w:t>
                        </w:r>
                        <w:r w:rsidRPr="00550B94">
                          <w:rPr>
                            <w:rFonts w:ascii="Intel Clear" w:eastAsia="Times New Roman" w:hAnsi="Intel Clear" w:cs="Intel Clear"/>
                            <w:bCs/>
                            <w:sz w:val="20"/>
                            <w:szCs w:val="20"/>
                          </w:rPr>
                          <w:t>data protection officer</w:t>
                        </w:r>
                        <w:r>
                          <w:rPr>
                            <w:rFonts w:ascii="Intel Clear" w:eastAsia="Times New Roman" w:hAnsi="Intel Clear" w:cs="Intel Clear"/>
                            <w:bCs/>
                            <w:sz w:val="20"/>
                            <w:szCs w:val="20"/>
                          </w:rPr>
                          <w:t xml:space="preserve">: </w:t>
                        </w:r>
                        <w:r w:rsidRPr="00550B94">
                          <w:rPr>
                            <w:rFonts w:ascii="Intel Clear" w:eastAsia="Times New Roman" w:hAnsi="Intel Clear" w:cs="Intel Clear"/>
                            <w:bCs/>
                            <w:sz w:val="20"/>
                            <w:szCs w:val="20"/>
                          </w:rPr>
                          <w:t>[…]</w:t>
                        </w:r>
                        <w:r>
                          <w:rPr>
                            <w:rFonts w:ascii="Intel Clear" w:eastAsia="Times New Roman" w:hAnsi="Intel Clear" w:cs="Intel Clear"/>
                            <w:bCs/>
                            <w:sz w:val="20"/>
                            <w:szCs w:val="20"/>
                          </w:rPr>
                          <w:t>.In addition</w:t>
                        </w:r>
                        <w:r w:rsidRPr="008F326D">
                          <w:rPr>
                            <w:rFonts w:ascii="Intel Clear" w:eastAsia="Times New Roman" w:hAnsi="Intel Clear" w:cs="Intel Clear"/>
                            <w:sz w:val="20"/>
                            <w:szCs w:val="20"/>
                          </w:rPr>
                          <w:t xml:space="preserve">, </w:t>
                        </w:r>
                        <w:r>
                          <w:rPr>
                            <w:rFonts w:ascii="Intel Clear" w:eastAsia="Times New Roman" w:hAnsi="Intel Clear" w:cs="Intel Clear"/>
                            <w:sz w:val="20"/>
                            <w:szCs w:val="20"/>
                          </w:rPr>
                          <w:t xml:space="preserve">you can contact the competent </w:t>
                        </w:r>
                        <w:r w:rsidRPr="008F326D">
                          <w:rPr>
                            <w:rFonts w:ascii="Intel Clear" w:eastAsia="Times New Roman" w:hAnsi="Intel Clear" w:cs="Intel Clear"/>
                            <w:sz w:val="20"/>
                            <w:szCs w:val="20"/>
                          </w:rPr>
                          <w:t>data protection authority</w:t>
                        </w:r>
                        <w:r>
                          <w:rPr>
                            <w:rFonts w:ascii="Intel Clear" w:eastAsia="Times New Roman" w:hAnsi="Intel Clear" w:cs="Intel Clear"/>
                            <w:sz w:val="20"/>
                            <w:szCs w:val="20"/>
                          </w:rPr>
                          <w:t xml:space="preserve"> (especially where you live or where the </w:t>
                        </w:r>
                        <w:r w:rsidR="007F0564">
                          <w:rPr>
                            <w:rFonts w:ascii="Intel Clear" w:eastAsia="Times New Roman" w:hAnsi="Intel Clear" w:cs="Intel Clear"/>
                            <w:sz w:val="20"/>
                            <w:szCs w:val="20"/>
                          </w:rPr>
                          <w:t>Mobileye</w:t>
                        </w:r>
                        <w:r>
                          <w:rPr>
                            <w:rFonts w:ascii="Intel Clear" w:eastAsia="Times New Roman" w:hAnsi="Intel Clear" w:cs="Intel Clear"/>
                            <w:sz w:val="20"/>
                            <w:szCs w:val="20"/>
                          </w:rPr>
                          <w:t xml:space="preserve"> entity is established)</w:t>
                        </w:r>
                        <w:r w:rsidRPr="008F326D">
                          <w:rPr>
                            <w:rFonts w:ascii="Intel Clear" w:eastAsia="Times New Roman" w:hAnsi="Intel Clear" w:cs="Intel Clear"/>
                            <w:sz w:val="20"/>
                            <w:szCs w:val="20"/>
                          </w:rPr>
                          <w:t>.</w:t>
                        </w:r>
                      </w:p>
                    </w:tc>
                  </w:tr>
                </w:tbl>
                <w:p w14:paraId="4B5F1636" w14:textId="77777777" w:rsidR="00E579D7" w:rsidRPr="00676B1F" w:rsidRDefault="00E579D7" w:rsidP="00EE4750">
                  <w:pPr>
                    <w:spacing w:after="225" w:line="285" w:lineRule="atLeast"/>
                    <w:rPr>
                      <w:rFonts w:ascii="Intel Clear" w:eastAsia="Times New Roman" w:hAnsi="Intel Clear" w:cs="Intel Clear"/>
                      <w:sz w:val="20"/>
                      <w:szCs w:val="20"/>
                    </w:rPr>
                  </w:pPr>
                </w:p>
              </w:tc>
            </w:tr>
          </w:tbl>
          <w:p w14:paraId="57ED729B" w14:textId="77777777" w:rsidR="00E579D7" w:rsidRPr="00676B1F" w:rsidRDefault="00E579D7" w:rsidP="00EE4750">
            <w:pPr>
              <w:spacing w:after="0" w:line="240" w:lineRule="auto"/>
              <w:rPr>
                <w:rFonts w:ascii="Times New Roman" w:eastAsia="Times New Roman" w:hAnsi="Times New Roman" w:cs="Times New Roman"/>
                <w:sz w:val="24"/>
                <w:szCs w:val="24"/>
              </w:rPr>
            </w:pPr>
          </w:p>
        </w:tc>
      </w:tr>
    </w:tbl>
    <w:p w14:paraId="39DB2F66" w14:textId="77777777" w:rsidR="00E579D7" w:rsidRPr="00676B1F" w:rsidRDefault="00E579D7"/>
    <w:sectPr w:rsidR="00E579D7" w:rsidRPr="00676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l Clear">
    <w:altName w:val="Arial"/>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0694"/>
    <w:multiLevelType w:val="hybridMultilevel"/>
    <w:tmpl w:val="A4968258"/>
    <w:lvl w:ilvl="0" w:tplc="D9C02DFC">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C371C52"/>
    <w:multiLevelType w:val="hybridMultilevel"/>
    <w:tmpl w:val="EA86A00E"/>
    <w:lvl w:ilvl="0" w:tplc="1E4212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55273C"/>
    <w:multiLevelType w:val="hybridMultilevel"/>
    <w:tmpl w:val="FFEED3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167EC8"/>
    <w:multiLevelType w:val="hybridMultilevel"/>
    <w:tmpl w:val="2DE4E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4A27B5"/>
    <w:multiLevelType w:val="hybridMultilevel"/>
    <w:tmpl w:val="0A4A0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B37787"/>
    <w:multiLevelType w:val="hybridMultilevel"/>
    <w:tmpl w:val="8EFE2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F2796D"/>
    <w:multiLevelType w:val="hybridMultilevel"/>
    <w:tmpl w:val="60F400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F1"/>
    <w:rsid w:val="0006531D"/>
    <w:rsid w:val="00074755"/>
    <w:rsid w:val="00143E9E"/>
    <w:rsid w:val="00144A17"/>
    <w:rsid w:val="002544FD"/>
    <w:rsid w:val="00275ACA"/>
    <w:rsid w:val="0029734E"/>
    <w:rsid w:val="002A669E"/>
    <w:rsid w:val="002C35C8"/>
    <w:rsid w:val="003067DD"/>
    <w:rsid w:val="00362F6D"/>
    <w:rsid w:val="003A5A78"/>
    <w:rsid w:val="003A704E"/>
    <w:rsid w:val="003C64EB"/>
    <w:rsid w:val="003D16EC"/>
    <w:rsid w:val="003F64F0"/>
    <w:rsid w:val="00405AA6"/>
    <w:rsid w:val="00410810"/>
    <w:rsid w:val="00426C9A"/>
    <w:rsid w:val="00432431"/>
    <w:rsid w:val="004528AD"/>
    <w:rsid w:val="00457056"/>
    <w:rsid w:val="004903A4"/>
    <w:rsid w:val="00496B3F"/>
    <w:rsid w:val="004B4AE7"/>
    <w:rsid w:val="004C7DFB"/>
    <w:rsid w:val="004D1D50"/>
    <w:rsid w:val="004F32D9"/>
    <w:rsid w:val="004F7F50"/>
    <w:rsid w:val="0052565E"/>
    <w:rsid w:val="00550B94"/>
    <w:rsid w:val="00570539"/>
    <w:rsid w:val="005C1A4F"/>
    <w:rsid w:val="005D336A"/>
    <w:rsid w:val="00606003"/>
    <w:rsid w:val="006115B2"/>
    <w:rsid w:val="0063209E"/>
    <w:rsid w:val="006753C6"/>
    <w:rsid w:val="00676B1F"/>
    <w:rsid w:val="006775AA"/>
    <w:rsid w:val="006A2BC7"/>
    <w:rsid w:val="006A7BDB"/>
    <w:rsid w:val="006E5696"/>
    <w:rsid w:val="007138A9"/>
    <w:rsid w:val="007754BC"/>
    <w:rsid w:val="007852F4"/>
    <w:rsid w:val="007975CC"/>
    <w:rsid w:val="007C4435"/>
    <w:rsid w:val="007F0564"/>
    <w:rsid w:val="00834132"/>
    <w:rsid w:val="00844DC9"/>
    <w:rsid w:val="00844EB0"/>
    <w:rsid w:val="0085669A"/>
    <w:rsid w:val="00871868"/>
    <w:rsid w:val="008D07B8"/>
    <w:rsid w:val="009045C4"/>
    <w:rsid w:val="00921C91"/>
    <w:rsid w:val="0096759F"/>
    <w:rsid w:val="009A25F8"/>
    <w:rsid w:val="00A32AE4"/>
    <w:rsid w:val="00A4632E"/>
    <w:rsid w:val="00A52CE3"/>
    <w:rsid w:val="00A85117"/>
    <w:rsid w:val="00AD71BE"/>
    <w:rsid w:val="00AE7F8C"/>
    <w:rsid w:val="00B21459"/>
    <w:rsid w:val="00B665B8"/>
    <w:rsid w:val="00BB6CF8"/>
    <w:rsid w:val="00BD4F88"/>
    <w:rsid w:val="00BF5473"/>
    <w:rsid w:val="00C17D06"/>
    <w:rsid w:val="00C3543D"/>
    <w:rsid w:val="00C41589"/>
    <w:rsid w:val="00C608DC"/>
    <w:rsid w:val="00C9505A"/>
    <w:rsid w:val="00C956B0"/>
    <w:rsid w:val="00CA001C"/>
    <w:rsid w:val="00CE6766"/>
    <w:rsid w:val="00D0432E"/>
    <w:rsid w:val="00D049C6"/>
    <w:rsid w:val="00D137F1"/>
    <w:rsid w:val="00D150CB"/>
    <w:rsid w:val="00D5055C"/>
    <w:rsid w:val="00D5762F"/>
    <w:rsid w:val="00D73833"/>
    <w:rsid w:val="00D87F09"/>
    <w:rsid w:val="00DE40F1"/>
    <w:rsid w:val="00DF5C0F"/>
    <w:rsid w:val="00E571DF"/>
    <w:rsid w:val="00E579D7"/>
    <w:rsid w:val="00E60BBC"/>
    <w:rsid w:val="00E97B75"/>
    <w:rsid w:val="00EA06F6"/>
    <w:rsid w:val="00EB6EAD"/>
    <w:rsid w:val="00ED76C2"/>
    <w:rsid w:val="00EE4750"/>
    <w:rsid w:val="00F20221"/>
    <w:rsid w:val="00F22B23"/>
    <w:rsid w:val="00F468F8"/>
    <w:rsid w:val="00F50000"/>
    <w:rsid w:val="00F72BC8"/>
    <w:rsid w:val="00F76452"/>
    <w:rsid w:val="00F944BC"/>
    <w:rsid w:val="00FA004F"/>
    <w:rsid w:val="00FD2919"/>
    <w:rsid w:val="00FD516D"/>
    <w:rsid w:val="00FF2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4A3E"/>
  <w15:chartTrackingRefBased/>
  <w15:docId w15:val="{19E138B5-26F6-44DD-B792-A6CEB77B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40F1"/>
    <w:rPr>
      <w:sz w:val="16"/>
      <w:szCs w:val="16"/>
    </w:rPr>
  </w:style>
  <w:style w:type="paragraph" w:styleId="CommentText">
    <w:name w:val="annotation text"/>
    <w:basedOn w:val="Normal"/>
    <w:link w:val="CommentTextChar"/>
    <w:uiPriority w:val="99"/>
    <w:semiHidden/>
    <w:unhideWhenUsed/>
    <w:rsid w:val="00DE40F1"/>
    <w:pPr>
      <w:spacing w:line="240" w:lineRule="auto"/>
    </w:pPr>
    <w:rPr>
      <w:sz w:val="20"/>
      <w:szCs w:val="20"/>
    </w:rPr>
  </w:style>
  <w:style w:type="character" w:customStyle="1" w:styleId="CommentTextChar">
    <w:name w:val="Comment Text Char"/>
    <w:basedOn w:val="DefaultParagraphFont"/>
    <w:link w:val="CommentText"/>
    <w:uiPriority w:val="99"/>
    <w:semiHidden/>
    <w:rsid w:val="00DE40F1"/>
    <w:rPr>
      <w:sz w:val="20"/>
      <w:szCs w:val="20"/>
    </w:rPr>
  </w:style>
  <w:style w:type="paragraph" w:styleId="CommentSubject">
    <w:name w:val="annotation subject"/>
    <w:basedOn w:val="CommentText"/>
    <w:next w:val="CommentText"/>
    <w:link w:val="CommentSubjectChar"/>
    <w:uiPriority w:val="99"/>
    <w:semiHidden/>
    <w:unhideWhenUsed/>
    <w:rsid w:val="00DE40F1"/>
    <w:rPr>
      <w:b/>
      <w:bCs/>
    </w:rPr>
  </w:style>
  <w:style w:type="character" w:customStyle="1" w:styleId="CommentSubjectChar">
    <w:name w:val="Comment Subject Char"/>
    <w:basedOn w:val="CommentTextChar"/>
    <w:link w:val="CommentSubject"/>
    <w:uiPriority w:val="99"/>
    <w:semiHidden/>
    <w:rsid w:val="00DE40F1"/>
    <w:rPr>
      <w:b/>
      <w:bCs/>
      <w:sz w:val="20"/>
      <w:szCs w:val="20"/>
    </w:rPr>
  </w:style>
  <w:style w:type="paragraph" w:styleId="BalloonText">
    <w:name w:val="Balloon Text"/>
    <w:basedOn w:val="Normal"/>
    <w:link w:val="BalloonTextChar"/>
    <w:uiPriority w:val="99"/>
    <w:semiHidden/>
    <w:unhideWhenUsed/>
    <w:rsid w:val="00DE4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0F1"/>
    <w:rPr>
      <w:rFonts w:ascii="Segoe UI" w:hAnsi="Segoe UI" w:cs="Segoe UI"/>
      <w:sz w:val="18"/>
      <w:szCs w:val="18"/>
    </w:rPr>
  </w:style>
  <w:style w:type="paragraph" w:styleId="ListParagraph">
    <w:name w:val="List Paragraph"/>
    <w:basedOn w:val="Normal"/>
    <w:uiPriority w:val="34"/>
    <w:qFormat/>
    <w:rsid w:val="00676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430991">
      <w:bodyDiv w:val="1"/>
      <w:marLeft w:val="0"/>
      <w:marRight w:val="0"/>
      <w:marTop w:val="0"/>
      <w:marBottom w:val="0"/>
      <w:divBdr>
        <w:top w:val="none" w:sz="0" w:space="0" w:color="auto"/>
        <w:left w:val="none" w:sz="0" w:space="0" w:color="auto"/>
        <w:bottom w:val="none" w:sz="0" w:space="0" w:color="auto"/>
        <w:right w:val="none" w:sz="0" w:space="0" w:color="auto"/>
      </w:divBdr>
      <w:divsChild>
        <w:div w:id="2133597819">
          <w:marLeft w:val="0"/>
          <w:marRight w:val="0"/>
          <w:marTop w:val="0"/>
          <w:marBottom w:val="0"/>
          <w:divBdr>
            <w:top w:val="none" w:sz="0" w:space="0" w:color="auto"/>
            <w:left w:val="none" w:sz="0" w:space="0" w:color="auto"/>
            <w:bottom w:val="none" w:sz="0" w:space="0" w:color="auto"/>
            <w:right w:val="none" w:sz="0" w:space="0" w:color="auto"/>
          </w:divBdr>
          <w:divsChild>
            <w:div w:id="1822113502">
              <w:marLeft w:val="0"/>
              <w:marRight w:val="0"/>
              <w:marTop w:val="0"/>
              <w:marBottom w:val="0"/>
              <w:divBdr>
                <w:top w:val="none" w:sz="0" w:space="0" w:color="auto"/>
                <w:left w:val="none" w:sz="0" w:space="0" w:color="auto"/>
                <w:bottom w:val="none" w:sz="0" w:space="0" w:color="auto"/>
                <w:right w:val="none" w:sz="0" w:space="0" w:color="auto"/>
              </w:divBdr>
              <w:divsChild>
                <w:div w:id="461963794">
                  <w:marLeft w:val="0"/>
                  <w:marRight w:val="315"/>
                  <w:marTop w:val="0"/>
                  <w:marBottom w:val="0"/>
                  <w:divBdr>
                    <w:top w:val="single" w:sz="6" w:space="0" w:color="E5E5E5"/>
                    <w:left w:val="single" w:sz="6" w:space="0" w:color="E5E5E5"/>
                    <w:bottom w:val="single" w:sz="6" w:space="0" w:color="E5E5E5"/>
                    <w:right w:val="single" w:sz="6" w:space="0" w:color="E5E5E5"/>
                  </w:divBdr>
                  <w:divsChild>
                    <w:div w:id="1716394605">
                      <w:marLeft w:val="0"/>
                      <w:marRight w:val="0"/>
                      <w:marTop w:val="0"/>
                      <w:marBottom w:val="150"/>
                      <w:divBdr>
                        <w:top w:val="none" w:sz="0" w:space="0" w:color="auto"/>
                        <w:left w:val="none" w:sz="0" w:space="0" w:color="auto"/>
                        <w:bottom w:val="none" w:sz="0" w:space="0" w:color="auto"/>
                        <w:right w:val="none" w:sz="0" w:space="0" w:color="auto"/>
                      </w:divBdr>
                      <w:divsChild>
                        <w:div w:id="506212141">
                          <w:marLeft w:val="0"/>
                          <w:marRight w:val="0"/>
                          <w:marTop w:val="0"/>
                          <w:marBottom w:val="0"/>
                          <w:divBdr>
                            <w:top w:val="none" w:sz="0" w:space="0" w:color="auto"/>
                            <w:left w:val="none" w:sz="0" w:space="0" w:color="auto"/>
                            <w:bottom w:val="none" w:sz="0" w:space="0" w:color="auto"/>
                            <w:right w:val="none" w:sz="0" w:space="0" w:color="auto"/>
                          </w:divBdr>
                          <w:divsChild>
                            <w:div w:id="1777942857">
                              <w:marLeft w:val="0"/>
                              <w:marRight w:val="0"/>
                              <w:marTop w:val="0"/>
                              <w:marBottom w:val="0"/>
                              <w:divBdr>
                                <w:top w:val="none" w:sz="0" w:space="0" w:color="auto"/>
                                <w:left w:val="none" w:sz="0" w:space="0" w:color="auto"/>
                                <w:bottom w:val="none" w:sz="0" w:space="0" w:color="auto"/>
                                <w:right w:val="none" w:sz="0" w:space="0" w:color="auto"/>
                              </w:divBdr>
                              <w:divsChild>
                                <w:div w:id="3395085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5438759">
                      <w:marLeft w:val="0"/>
                      <w:marRight w:val="0"/>
                      <w:marTop w:val="0"/>
                      <w:marBottom w:val="0"/>
                      <w:divBdr>
                        <w:top w:val="none" w:sz="0" w:space="0" w:color="auto"/>
                        <w:left w:val="none" w:sz="0" w:space="0" w:color="auto"/>
                        <w:bottom w:val="none" w:sz="0" w:space="0" w:color="auto"/>
                        <w:right w:val="none" w:sz="0" w:space="0" w:color="auto"/>
                      </w:divBdr>
                      <w:divsChild>
                        <w:div w:id="1603679693">
                          <w:marLeft w:val="0"/>
                          <w:marRight w:val="0"/>
                          <w:marTop w:val="0"/>
                          <w:marBottom w:val="0"/>
                          <w:divBdr>
                            <w:top w:val="none" w:sz="0" w:space="0" w:color="auto"/>
                            <w:left w:val="none" w:sz="0" w:space="0" w:color="auto"/>
                            <w:bottom w:val="none" w:sz="0" w:space="0" w:color="auto"/>
                            <w:right w:val="none" w:sz="0" w:space="0" w:color="auto"/>
                          </w:divBdr>
                          <w:divsChild>
                            <w:div w:id="14068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00017">
                      <w:marLeft w:val="0"/>
                      <w:marRight w:val="0"/>
                      <w:marTop w:val="0"/>
                      <w:marBottom w:val="0"/>
                      <w:divBdr>
                        <w:top w:val="none" w:sz="0" w:space="0" w:color="auto"/>
                        <w:left w:val="none" w:sz="0" w:space="0" w:color="auto"/>
                        <w:bottom w:val="none" w:sz="0" w:space="0" w:color="auto"/>
                        <w:right w:val="none" w:sz="0" w:space="0" w:color="auto"/>
                      </w:divBdr>
                      <w:divsChild>
                        <w:div w:id="1127043841">
                          <w:marLeft w:val="0"/>
                          <w:marRight w:val="0"/>
                          <w:marTop w:val="0"/>
                          <w:marBottom w:val="0"/>
                          <w:divBdr>
                            <w:top w:val="none" w:sz="0" w:space="0" w:color="auto"/>
                            <w:left w:val="none" w:sz="0" w:space="0" w:color="auto"/>
                            <w:bottom w:val="none" w:sz="0" w:space="0" w:color="auto"/>
                            <w:right w:val="none" w:sz="0" w:space="0" w:color="auto"/>
                          </w:divBdr>
                          <w:divsChild>
                            <w:div w:id="124741200">
                              <w:marLeft w:val="0"/>
                              <w:marRight w:val="0"/>
                              <w:marTop w:val="0"/>
                              <w:marBottom w:val="0"/>
                              <w:divBdr>
                                <w:top w:val="none" w:sz="0" w:space="0" w:color="auto"/>
                                <w:left w:val="none" w:sz="0" w:space="0" w:color="auto"/>
                                <w:bottom w:val="none" w:sz="0" w:space="0" w:color="auto"/>
                                <w:right w:val="none" w:sz="0" w:space="0" w:color="auto"/>
                              </w:divBdr>
                              <w:divsChild>
                                <w:div w:id="271088581">
                                  <w:marLeft w:val="0"/>
                                  <w:marRight w:val="0"/>
                                  <w:marTop w:val="0"/>
                                  <w:marBottom w:val="0"/>
                                  <w:divBdr>
                                    <w:top w:val="none" w:sz="0" w:space="0" w:color="auto"/>
                                    <w:left w:val="none" w:sz="0" w:space="0" w:color="auto"/>
                                    <w:bottom w:val="none" w:sz="0" w:space="0" w:color="auto"/>
                                    <w:right w:val="none" w:sz="0" w:space="0" w:color="auto"/>
                                  </w:divBdr>
                                  <w:divsChild>
                                    <w:div w:id="951790762">
                                      <w:marLeft w:val="0"/>
                                      <w:marRight w:val="0"/>
                                      <w:marTop w:val="0"/>
                                      <w:marBottom w:val="0"/>
                                      <w:divBdr>
                                        <w:top w:val="none" w:sz="0" w:space="0" w:color="auto"/>
                                        <w:left w:val="none" w:sz="0" w:space="0" w:color="auto"/>
                                        <w:bottom w:val="none" w:sz="0" w:space="0" w:color="auto"/>
                                        <w:right w:val="none" w:sz="0" w:space="0" w:color="auto"/>
                                      </w:divBdr>
                                      <w:divsChild>
                                        <w:div w:id="11151032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6538</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Intel Corporation</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 Claire</dc:creator>
  <cp:keywords>CTPClassification=CTP_NT</cp:keywords>
  <dc:description/>
  <cp:lastModifiedBy>Rinat Kriheli</cp:lastModifiedBy>
  <cp:revision>3</cp:revision>
  <cp:lastPrinted>2018-05-15T13:51:00Z</cp:lastPrinted>
  <dcterms:created xsi:type="dcterms:W3CDTF">2018-05-22T22:58:00Z</dcterms:created>
  <dcterms:modified xsi:type="dcterms:W3CDTF">2018-05-22T22:58:00Z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679881b6-94f2-40f6-8d7c-14c5d532bc18</vt:lpwstr>
  </property>
  <property fmtid="{D5CDD505-2E9C-101B-9397-08002B2CF9AE}" pid="3" name="CTP_TimeStamp">
    <vt:lpwstr>2018-05-08 10:40:38Z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NewReviewCycle">
    <vt:lpwstr/>
  </property>
  <property fmtid="{D5CDD505-2E9C-101B-9397-08002B2CF9AE}" pid="8" name="CTPClassification">
    <vt:lpwstr>CTP_NT</vt:lpwstr>
  </property>
</Properties>
</file>