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1" w:rsidRPr="0023144B" w:rsidRDefault="00063D41" w:rsidP="0023144B">
      <w:pPr>
        <w:pStyle w:val="FootnoteText"/>
        <w:bidi w:val="0"/>
        <w:ind w:left="720"/>
        <w:rPr>
          <w:rFonts w:asciiTheme="majorBidi" w:hAnsiTheme="majorBidi" w:cstheme="majorBidi"/>
          <w:smallCaps/>
          <w:sz w:val="32"/>
          <w:szCs w:val="32"/>
        </w:rPr>
      </w:pPr>
      <w:bookmarkStart w:id="0" w:name="_Toc442001805"/>
      <w:bookmarkStart w:id="1" w:name="_Toc462855572"/>
      <w:bookmarkStart w:id="2" w:name="_Toc465182333"/>
      <w:bookmarkStart w:id="3" w:name="_Toc442001807"/>
      <w:bookmarkStart w:id="4" w:name="_Toc462855574"/>
      <w:bookmarkStart w:id="5" w:name="_Toc465182335"/>
      <w:bookmarkStart w:id="6" w:name="_Toc442001766"/>
      <w:bookmarkStart w:id="7" w:name="_Toc462855551"/>
      <w:bookmarkStart w:id="8" w:name="_Toc465182312"/>
      <w:bookmarkStart w:id="9" w:name="_Toc442001767"/>
      <w:bookmarkStart w:id="10" w:name="_Toc462855553"/>
      <w:bookmarkStart w:id="11" w:name="_Toc465182314"/>
      <w:bookmarkStart w:id="12" w:name="_Toc442001781"/>
      <w:bookmarkStart w:id="13" w:name="_Toc462855556"/>
      <w:bookmarkStart w:id="14" w:name="_Toc465182317"/>
      <w:bookmarkStart w:id="15" w:name="_Toc462855558"/>
      <w:bookmarkStart w:id="16" w:name="_Toc465182319"/>
      <w:bookmarkStart w:id="17" w:name="_Toc442001760"/>
      <w:bookmarkStart w:id="18" w:name="_Toc462855526"/>
      <w:bookmarkStart w:id="19" w:name="_Toc465182287"/>
      <w:r w:rsidRPr="0023144B">
        <w:rPr>
          <w:rFonts w:asciiTheme="majorBidi" w:hAnsiTheme="majorBidi" w:cstheme="majorBidi"/>
          <w:smallCaps/>
          <w:sz w:val="32"/>
          <w:szCs w:val="32"/>
        </w:rPr>
        <w:t>Affirmative Action and Adequate Representation</w:t>
      </w:r>
      <w:bookmarkStart w:id="20" w:name="_GoBack"/>
      <w:bookmarkEnd w:id="20"/>
    </w:p>
    <w:p w:rsidR="0023144B" w:rsidRDefault="0023144B" w:rsidP="00037E2B">
      <w:pPr>
        <w:spacing w:after="0" w:line="360" w:lineRule="auto"/>
        <w:jc w:val="both"/>
        <w:rPr>
          <w:rFonts w:ascii="Times New Roman" w:eastAsia="Calibri" w:hAnsi="Times New Roman" w:cs="David"/>
          <w:sz w:val="24"/>
          <w:szCs w:val="24"/>
          <w:rtl/>
        </w:rPr>
      </w:pPr>
    </w:p>
    <w:p w:rsidR="00CA7263" w:rsidRDefault="00037E2B" w:rsidP="00037E2B">
      <w:pPr>
        <w:spacing w:after="0" w:line="36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כתיבה זו נעשית</w:t>
      </w:r>
      <w:r w:rsidR="00CA7263" w:rsidRPr="00CA7263">
        <w:rPr>
          <w:rFonts w:ascii="Times New Roman" w:eastAsia="Calibri" w:hAnsi="Times New Roman" w:cs="David"/>
          <w:sz w:val="24"/>
          <w:szCs w:val="24"/>
          <w:rtl/>
        </w:rPr>
        <w:t xml:space="preserve"> מתוך אמונה בפוטנציאל של השירות הציבורי לשמור על הליך מינוי מקצועי, נקי מפניות </w:t>
      </w:r>
      <w:r w:rsidR="00CA7263" w:rsidRPr="00CA7263">
        <w:rPr>
          <w:rFonts w:ascii="Times New Roman" w:eastAsia="Calibri" w:hAnsi="Times New Roman" w:cs="David" w:hint="cs"/>
          <w:sz w:val="24"/>
          <w:szCs w:val="24"/>
          <w:rtl/>
        </w:rPr>
        <w:t>ו</w:t>
      </w:r>
      <w:r w:rsidR="00CA7263" w:rsidRPr="00CA7263">
        <w:rPr>
          <w:rFonts w:ascii="Times New Roman" w:eastAsia="Calibri" w:hAnsi="Times New Roman" w:cs="David"/>
          <w:sz w:val="24"/>
          <w:szCs w:val="24"/>
          <w:rtl/>
        </w:rPr>
        <w:t>שקוף</w:t>
      </w:r>
      <w:r w:rsidR="00CA7263" w:rsidRPr="00CA7263">
        <w:rPr>
          <w:rFonts w:ascii="Times New Roman" w:eastAsia="Calibri" w:hAnsi="Times New Roman" w:cs="David" w:hint="cs"/>
          <w:sz w:val="24"/>
          <w:szCs w:val="24"/>
          <w:rtl/>
        </w:rPr>
        <w:t>,</w:t>
      </w:r>
      <w:r w:rsidR="00CA7263" w:rsidRPr="00CA7263">
        <w:rPr>
          <w:rFonts w:ascii="Times New Roman" w:eastAsia="Calibri" w:hAnsi="Times New Roman" w:cs="David"/>
          <w:sz w:val="24"/>
          <w:szCs w:val="24"/>
          <w:rtl/>
        </w:rPr>
        <w:t xml:space="preserve"> ולפעול </w:t>
      </w:r>
      <w:r w:rsidR="00CA7263" w:rsidRPr="00CA7263">
        <w:rPr>
          <w:rFonts w:ascii="Times New Roman" w:eastAsia="Calibri" w:hAnsi="Times New Roman" w:cs="David" w:hint="cs"/>
          <w:sz w:val="24"/>
          <w:szCs w:val="24"/>
          <w:rtl/>
        </w:rPr>
        <w:t>ל</w:t>
      </w:r>
      <w:r w:rsidR="00CA7263" w:rsidRPr="00CA7263">
        <w:rPr>
          <w:rFonts w:ascii="Times New Roman" w:eastAsia="Calibri" w:hAnsi="Times New Roman" w:cs="David"/>
          <w:sz w:val="24"/>
          <w:szCs w:val="24"/>
          <w:rtl/>
        </w:rPr>
        <w:t>צמצום הפגיעה באוכלוסיות</w:t>
      </w:r>
      <w:r>
        <w:rPr>
          <w:rFonts w:ascii="Times New Roman" w:eastAsia="Calibri" w:hAnsi="Times New Roman" w:cs="David" w:hint="cs"/>
          <w:sz w:val="24"/>
          <w:szCs w:val="24"/>
          <w:rtl/>
        </w:rPr>
        <w:t xml:space="preserve"> הנמצאות בתת ייצוג</w:t>
      </w:r>
      <w:r w:rsidR="00CA7263" w:rsidRPr="00CA7263">
        <w:rPr>
          <w:rFonts w:ascii="Times New Roman" w:eastAsia="Calibri" w:hAnsi="Times New Roman" w:cs="David"/>
          <w:sz w:val="24"/>
          <w:szCs w:val="24"/>
          <w:rtl/>
        </w:rPr>
        <w:t xml:space="preserve">, </w:t>
      </w:r>
      <w:r w:rsidR="00CA7263" w:rsidRPr="00CA7263">
        <w:rPr>
          <w:rFonts w:ascii="Times New Roman" w:eastAsia="Calibri" w:hAnsi="Times New Roman" w:cs="David" w:hint="cs"/>
          <w:sz w:val="24"/>
          <w:szCs w:val="24"/>
          <w:rtl/>
        </w:rPr>
        <w:t>ל</w:t>
      </w:r>
      <w:r w:rsidR="00CA7263" w:rsidRPr="00CA7263">
        <w:rPr>
          <w:rFonts w:ascii="Times New Roman" w:eastAsia="Calibri" w:hAnsi="Times New Roman" w:cs="David"/>
          <w:sz w:val="24"/>
          <w:szCs w:val="24"/>
          <w:rtl/>
        </w:rPr>
        <w:t xml:space="preserve">שילובן </w:t>
      </w:r>
      <w:r w:rsidR="00CA7263" w:rsidRPr="00CA7263">
        <w:rPr>
          <w:rFonts w:ascii="Times New Roman" w:eastAsia="Calibri" w:hAnsi="Times New Roman" w:cs="David" w:hint="cs"/>
          <w:sz w:val="24"/>
          <w:szCs w:val="24"/>
          <w:rtl/>
        </w:rPr>
        <w:t xml:space="preserve">בשוק העבודה </w:t>
      </w:r>
      <w:r w:rsidR="00CA7263" w:rsidRPr="00CA7263">
        <w:rPr>
          <w:rFonts w:ascii="Times New Roman" w:eastAsia="Calibri" w:hAnsi="Times New Roman" w:cs="David"/>
          <w:sz w:val="24"/>
          <w:szCs w:val="24"/>
          <w:rtl/>
        </w:rPr>
        <w:t>ו</w:t>
      </w:r>
      <w:r w:rsidR="00CA7263" w:rsidRPr="00CA7263">
        <w:rPr>
          <w:rFonts w:ascii="Times New Roman" w:eastAsia="Calibri" w:hAnsi="Times New Roman" w:cs="David" w:hint="cs"/>
          <w:sz w:val="24"/>
          <w:szCs w:val="24"/>
          <w:rtl/>
        </w:rPr>
        <w:t>ל</w:t>
      </w:r>
      <w:r w:rsidR="00CA7263" w:rsidRPr="00CA7263">
        <w:rPr>
          <w:rFonts w:ascii="Times New Roman" w:eastAsia="Calibri" w:hAnsi="Times New Roman" w:cs="David"/>
          <w:sz w:val="24"/>
          <w:szCs w:val="24"/>
          <w:rtl/>
        </w:rPr>
        <w:t>יצירת גיוון תעסוקתי.</w:t>
      </w:r>
      <w:r>
        <w:rPr>
          <w:rFonts w:ascii="Times New Roman" w:eastAsia="Calibri" w:hAnsi="Times New Roman" w:cs="David" w:hint="cs"/>
          <w:sz w:val="24"/>
          <w:szCs w:val="24"/>
          <w:rtl/>
        </w:rPr>
        <w:t xml:space="preserve"> </w:t>
      </w:r>
      <w:r w:rsidRPr="00037E2B">
        <w:rPr>
          <w:rFonts w:ascii="Times New Roman" w:eastAsia="Calibri" w:hAnsi="Times New Roman" w:cs="David"/>
          <w:sz w:val="24"/>
          <w:szCs w:val="24"/>
          <w:rtl/>
        </w:rPr>
        <w:t>טענ</w:t>
      </w:r>
      <w:r>
        <w:rPr>
          <w:rFonts w:ascii="Times New Roman" w:eastAsia="Calibri" w:hAnsi="Times New Roman" w:cs="David" w:hint="cs"/>
          <w:sz w:val="24"/>
          <w:szCs w:val="24"/>
          <w:rtl/>
        </w:rPr>
        <w:t>תי</w:t>
      </w:r>
      <w:r w:rsidRPr="00037E2B">
        <w:rPr>
          <w:rFonts w:ascii="Times New Roman" w:eastAsia="Calibri" w:hAnsi="Times New Roman" w:cs="David"/>
          <w:sz w:val="24"/>
          <w:szCs w:val="24"/>
          <w:rtl/>
        </w:rPr>
        <w:t xml:space="preserve"> </w:t>
      </w:r>
      <w:r>
        <w:rPr>
          <w:rFonts w:ascii="Times New Roman" w:eastAsia="Calibri" w:hAnsi="Times New Roman" w:cs="David" w:hint="cs"/>
          <w:sz w:val="24"/>
          <w:szCs w:val="24"/>
          <w:rtl/>
        </w:rPr>
        <w:t>הבסיסית</w:t>
      </w:r>
      <w:r w:rsidRPr="00037E2B">
        <w:rPr>
          <w:rFonts w:ascii="Times New Roman" w:eastAsia="Calibri" w:hAnsi="Times New Roman" w:cs="David"/>
          <w:sz w:val="24"/>
          <w:szCs w:val="24"/>
          <w:rtl/>
        </w:rPr>
        <w:t xml:space="preserve"> היא שמרנית, </w:t>
      </w:r>
      <w:r w:rsidRPr="00037E2B">
        <w:rPr>
          <w:rFonts w:ascii="Times New Roman" w:eastAsia="Calibri" w:hAnsi="Times New Roman" w:cs="David" w:hint="cs"/>
          <w:sz w:val="24"/>
          <w:szCs w:val="24"/>
          <w:rtl/>
        </w:rPr>
        <w:t>ו</w:t>
      </w:r>
      <w:r w:rsidRPr="00037E2B">
        <w:rPr>
          <w:rFonts w:ascii="Times New Roman" w:eastAsia="Calibri" w:hAnsi="Times New Roman" w:cs="David"/>
          <w:sz w:val="24"/>
          <w:szCs w:val="24"/>
          <w:rtl/>
        </w:rPr>
        <w:t xml:space="preserve">לפיה השירות הציבורי צריך להתנהל באופן </w:t>
      </w:r>
      <w:r w:rsidRPr="00037E2B">
        <w:rPr>
          <w:rFonts w:ascii="Times New Roman" w:eastAsia="Calibri" w:hAnsi="Times New Roman" w:cs="David" w:hint="cs"/>
          <w:sz w:val="24"/>
          <w:szCs w:val="24"/>
          <w:rtl/>
        </w:rPr>
        <w:t xml:space="preserve">שמקדם </w:t>
      </w:r>
      <w:r w:rsidRPr="00037E2B">
        <w:rPr>
          <w:rFonts w:ascii="Times New Roman" w:eastAsia="Calibri" w:hAnsi="Times New Roman" w:cs="David"/>
          <w:sz w:val="24"/>
          <w:szCs w:val="24"/>
          <w:rtl/>
        </w:rPr>
        <w:t>התנהגויות חברתיות בשוק העבודה</w:t>
      </w:r>
      <w:r w:rsidRPr="00037E2B">
        <w:rPr>
          <w:rFonts w:ascii="Times New Roman" w:eastAsia="Calibri" w:hAnsi="Times New Roman" w:cs="David" w:hint="cs"/>
          <w:sz w:val="24"/>
          <w:szCs w:val="24"/>
          <w:rtl/>
        </w:rPr>
        <w:t>,</w:t>
      </w:r>
      <w:r w:rsidRPr="00037E2B">
        <w:rPr>
          <w:rFonts w:ascii="Times New Roman" w:eastAsia="Calibri" w:hAnsi="Times New Roman" w:cs="David"/>
          <w:sz w:val="24"/>
          <w:szCs w:val="24"/>
          <w:rtl/>
        </w:rPr>
        <w:t xml:space="preserve"> ולהוביל את השוק הפרטי בהיבטים אלה.</w:t>
      </w:r>
      <w:r>
        <w:rPr>
          <w:rFonts w:ascii="Times New Roman" w:eastAsia="Calibri" w:hAnsi="Times New Roman" w:cs="David" w:hint="cs"/>
          <w:sz w:val="24"/>
          <w:szCs w:val="24"/>
          <w:rtl/>
        </w:rPr>
        <w:t xml:space="preserve"> </w:t>
      </w:r>
      <w:r w:rsidRPr="00037E2B">
        <w:rPr>
          <w:rFonts w:ascii="Times New Roman" w:eastAsia="Calibri" w:hAnsi="Times New Roman" w:cs="David"/>
          <w:sz w:val="24"/>
          <w:szCs w:val="24"/>
          <w:rtl/>
        </w:rPr>
        <w:t>על</w:t>
      </w:r>
      <w:r w:rsidRPr="00037E2B">
        <w:rPr>
          <w:rFonts w:ascii="Times New Roman" w:eastAsia="Calibri" w:hAnsi="Times New Roman" w:cs="David" w:hint="cs"/>
          <w:sz w:val="24"/>
          <w:szCs w:val="24"/>
          <w:rtl/>
        </w:rPr>
        <w:t>־</w:t>
      </w:r>
      <w:r w:rsidRPr="00037E2B">
        <w:rPr>
          <w:rFonts w:ascii="Times New Roman" w:eastAsia="Calibri" w:hAnsi="Times New Roman" w:cs="David"/>
          <w:sz w:val="24"/>
          <w:szCs w:val="24"/>
          <w:rtl/>
        </w:rPr>
        <w:t>כן ההשערה היא שת</w:t>
      </w:r>
      <w:r w:rsidRPr="00037E2B">
        <w:rPr>
          <w:rFonts w:ascii="Times New Roman" w:eastAsia="Calibri" w:hAnsi="Times New Roman" w:cs="David" w:hint="cs"/>
          <w:sz w:val="24"/>
          <w:szCs w:val="24"/>
          <w:rtl/>
        </w:rPr>
        <w:t>ו</w:t>
      </w:r>
      <w:r w:rsidRPr="00037E2B">
        <w:rPr>
          <w:rFonts w:ascii="Times New Roman" w:eastAsia="Calibri" w:hAnsi="Times New Roman" w:cs="David"/>
          <w:sz w:val="24"/>
          <w:szCs w:val="24"/>
          <w:rtl/>
        </w:rPr>
        <w:t xml:space="preserve">כניות של העדפה מתקנת הן חיוניות כדי לבסס שינוי בשוק התעסוקה וגם </w:t>
      </w:r>
      <w:r w:rsidRPr="00037E2B">
        <w:rPr>
          <w:rFonts w:ascii="Times New Roman" w:eastAsia="Calibri" w:hAnsi="Times New Roman" w:cs="David" w:hint="cs"/>
          <w:sz w:val="24"/>
          <w:szCs w:val="24"/>
          <w:rtl/>
        </w:rPr>
        <w:t>לעניין</w:t>
      </w:r>
      <w:r w:rsidRPr="00037E2B">
        <w:rPr>
          <w:rFonts w:ascii="Times New Roman" w:eastAsia="Calibri" w:hAnsi="Times New Roman" w:cs="David"/>
          <w:sz w:val="24"/>
          <w:szCs w:val="24"/>
          <w:rtl/>
        </w:rPr>
        <w:t xml:space="preserve"> גיוון בתעסוקה</w:t>
      </w:r>
      <w:r>
        <w:rPr>
          <w:rFonts w:ascii="Times New Roman" w:eastAsia="Calibri" w:hAnsi="Times New Roman" w:cs="David" w:hint="cs"/>
          <w:sz w:val="24"/>
          <w:szCs w:val="24"/>
          <w:rtl/>
        </w:rPr>
        <w:t>, ו</w:t>
      </w:r>
      <w:r w:rsidRPr="00037E2B">
        <w:rPr>
          <w:rFonts w:ascii="Times New Roman" w:eastAsia="Calibri" w:hAnsi="Times New Roman" w:cs="David" w:hint="cs"/>
          <w:sz w:val="24"/>
          <w:szCs w:val="24"/>
          <w:rtl/>
        </w:rPr>
        <w:t>בה</w:t>
      </w:r>
      <w:r w:rsidRPr="00037E2B">
        <w:rPr>
          <w:rFonts w:ascii="Times New Roman" w:eastAsia="Calibri" w:hAnsi="Times New Roman" w:cs="David"/>
          <w:sz w:val="24"/>
          <w:szCs w:val="24"/>
          <w:rtl/>
        </w:rPr>
        <w:t xml:space="preserve">עדר חובה ברורה ויעדים לקליטת עובדים הנמנים עם קבוצות </w:t>
      </w:r>
      <w:r w:rsidRPr="00037E2B">
        <w:rPr>
          <w:rFonts w:ascii="Times New Roman" w:eastAsia="Calibri" w:hAnsi="Times New Roman" w:cs="David" w:hint="cs"/>
          <w:sz w:val="24"/>
          <w:szCs w:val="24"/>
          <w:rtl/>
        </w:rPr>
        <w:t xml:space="preserve">המצויות </w:t>
      </w:r>
      <w:r w:rsidRPr="00037E2B">
        <w:rPr>
          <w:rFonts w:ascii="Times New Roman" w:eastAsia="Calibri" w:hAnsi="Times New Roman" w:cs="David"/>
          <w:sz w:val="24"/>
          <w:szCs w:val="24"/>
          <w:rtl/>
        </w:rPr>
        <w:t>בתת</w:t>
      </w:r>
      <w:r w:rsidRPr="00037E2B">
        <w:rPr>
          <w:rFonts w:ascii="Times New Roman" w:eastAsia="Calibri" w:hAnsi="Times New Roman" w:cs="David" w:hint="cs"/>
          <w:sz w:val="24"/>
          <w:szCs w:val="24"/>
          <w:rtl/>
        </w:rPr>
        <w:t>־</w:t>
      </w:r>
      <w:r w:rsidRPr="00037E2B">
        <w:rPr>
          <w:rFonts w:ascii="Times New Roman" w:eastAsia="Calibri" w:hAnsi="Times New Roman" w:cs="David"/>
          <w:sz w:val="24"/>
          <w:szCs w:val="24"/>
          <w:rtl/>
        </w:rPr>
        <w:t xml:space="preserve">ייצוג, סביר </w:t>
      </w:r>
      <w:r w:rsidRPr="00037E2B">
        <w:rPr>
          <w:rFonts w:ascii="Times New Roman" w:eastAsia="Calibri" w:hAnsi="Times New Roman" w:cs="David" w:hint="cs"/>
          <w:sz w:val="24"/>
          <w:szCs w:val="24"/>
          <w:rtl/>
        </w:rPr>
        <w:t>ש</w:t>
      </w:r>
      <w:r w:rsidRPr="00037E2B">
        <w:rPr>
          <w:rFonts w:ascii="Times New Roman" w:eastAsia="Calibri" w:hAnsi="Times New Roman" w:cs="David"/>
          <w:sz w:val="24"/>
          <w:szCs w:val="24"/>
          <w:rtl/>
        </w:rPr>
        <w:t>לא נראה שינוי משמעותי בדפוסי ההעסקה.</w:t>
      </w:r>
    </w:p>
    <w:p w:rsidR="00037E2B" w:rsidRPr="00CA7263" w:rsidRDefault="00037E2B" w:rsidP="00037E2B">
      <w:pPr>
        <w:spacing w:after="0" w:line="360" w:lineRule="auto"/>
        <w:jc w:val="both"/>
        <w:rPr>
          <w:rFonts w:ascii="Times New Roman" w:eastAsia="Calibri" w:hAnsi="Times New Roman" w:cs="David" w:hint="cs"/>
          <w:sz w:val="24"/>
          <w:szCs w:val="24"/>
          <w:rtl/>
        </w:rPr>
      </w:pPr>
    </w:p>
    <w:p w:rsidR="00CA7263" w:rsidRPr="0023144B" w:rsidRDefault="00CA7263" w:rsidP="0023144B">
      <w:pPr>
        <w:pStyle w:val="ListParagraph"/>
        <w:numPr>
          <w:ilvl w:val="0"/>
          <w:numId w:val="23"/>
        </w:numPr>
        <w:bidi w:val="0"/>
        <w:spacing w:line="360" w:lineRule="auto"/>
        <w:rPr>
          <w:rFonts w:asciiTheme="majorBidi" w:eastAsia="Times New Roman" w:hAnsiTheme="majorBidi" w:cstheme="majorBidi"/>
          <w:b/>
          <w:bCs/>
          <w:sz w:val="24"/>
          <w:szCs w:val="24"/>
          <w:lang w:eastAsia="he-IL"/>
        </w:rPr>
      </w:pPr>
      <w:r w:rsidRPr="0023144B">
        <w:rPr>
          <w:rFonts w:asciiTheme="majorBidi" w:eastAsia="Times New Roman" w:hAnsiTheme="majorBidi" w:cstheme="majorBidi"/>
          <w:b/>
          <w:bCs/>
          <w:sz w:val="24"/>
          <w:szCs w:val="24"/>
          <w:lang w:eastAsia="he-IL"/>
        </w:rPr>
        <w:t>Civil Service Development and Human Capital Potential Extraction</w:t>
      </w:r>
      <w:r w:rsidRPr="0023144B">
        <w:rPr>
          <w:rFonts w:asciiTheme="majorBidi" w:eastAsia="Times New Roman" w:hAnsiTheme="majorBidi" w:cstheme="majorBidi"/>
          <w:b/>
          <w:bCs/>
          <w:sz w:val="24"/>
          <w:szCs w:val="24"/>
          <w:rtl/>
          <w:lang w:eastAsia="he-IL"/>
        </w:rPr>
        <w:t xml:space="preserve"> </w:t>
      </w:r>
    </w:p>
    <w:bookmarkEnd w:id="17"/>
    <w:bookmarkEnd w:id="18"/>
    <w:bookmarkEnd w:id="19"/>
    <w:p w:rsidR="00984894" w:rsidRDefault="005601E9" w:rsidP="00DD0488">
      <w:pPr>
        <w:spacing w:after="0" w:line="360" w:lineRule="auto"/>
        <w:jc w:val="both"/>
        <w:rPr>
          <w:rFonts w:ascii="Times New Roman" w:eastAsia="Times New Roman" w:hAnsi="Times New Roman" w:cs="David"/>
          <w:sz w:val="24"/>
          <w:szCs w:val="24"/>
          <w:rtl/>
          <w:lang w:eastAsia="he-IL"/>
        </w:rPr>
      </w:pPr>
      <w:r w:rsidRPr="005601E9">
        <w:rPr>
          <w:rFonts w:ascii="Times New Roman" w:eastAsia="Calibri" w:hAnsi="Times New Roman" w:cs="David"/>
          <w:sz w:val="24"/>
          <w:szCs w:val="24"/>
          <w:rtl/>
        </w:rPr>
        <w:t>דוקטרינת ההעדפה המתקנת ראשיתה בתנועות ציבוריות שקמו בארצות</w:t>
      </w:r>
      <w:r w:rsidRPr="005601E9">
        <w:rPr>
          <w:rFonts w:ascii="Times New Roman" w:eastAsia="Calibri" w:hAnsi="Times New Roman" w:cs="David" w:hint="cs"/>
          <w:sz w:val="24"/>
          <w:szCs w:val="24"/>
          <w:rtl/>
        </w:rPr>
        <w:t>־</w:t>
      </w:r>
      <w:r w:rsidRPr="005601E9">
        <w:rPr>
          <w:rFonts w:ascii="Times New Roman" w:eastAsia="Calibri" w:hAnsi="Times New Roman" w:cs="David"/>
          <w:sz w:val="24"/>
          <w:szCs w:val="24"/>
          <w:rtl/>
        </w:rPr>
        <w:t xml:space="preserve">הברית באמצע שנות הארבעים </w:t>
      </w:r>
      <w:r w:rsidRPr="005601E9">
        <w:rPr>
          <w:rFonts w:ascii="Times New Roman" w:eastAsia="Calibri" w:hAnsi="Times New Roman" w:cs="David" w:hint="cs"/>
          <w:sz w:val="24"/>
          <w:szCs w:val="24"/>
          <w:rtl/>
        </w:rPr>
        <w:t xml:space="preserve">של המאה העשרים </w:t>
      </w:r>
      <w:r w:rsidRPr="005601E9">
        <w:rPr>
          <w:rFonts w:ascii="Times New Roman" w:eastAsia="Calibri" w:hAnsi="Times New Roman" w:cs="David"/>
          <w:sz w:val="24"/>
          <w:szCs w:val="24"/>
          <w:rtl/>
        </w:rPr>
        <w:t>ואשר שמו להן למטרה לבער מן החברה האמריקאית נגעים של אפליה ודעות קדומות, לרוב על רקע גזעי ומוצא אתני.</w:t>
      </w:r>
      <w:r w:rsidR="00AF0834">
        <w:rPr>
          <w:rStyle w:val="FootnoteReference"/>
          <w:rFonts w:ascii="Times New Roman" w:eastAsia="Calibri" w:hAnsi="Times New Roman" w:cs="David"/>
          <w:sz w:val="24"/>
          <w:szCs w:val="24"/>
          <w:rtl/>
        </w:rPr>
        <w:footnoteReference w:id="1"/>
      </w:r>
      <w:r w:rsidR="00E9627E">
        <w:rPr>
          <w:rFonts w:ascii="Times New Roman" w:eastAsia="Calibri" w:hAnsi="Times New Roman" w:cs="David" w:hint="cs"/>
          <w:sz w:val="24"/>
          <w:szCs w:val="24"/>
          <w:rtl/>
        </w:rPr>
        <w:t xml:space="preserve"> </w:t>
      </w:r>
      <w:r w:rsidR="00984894">
        <w:rPr>
          <w:rFonts w:ascii="Times New Roman" w:eastAsia="Calibri" w:hAnsi="Times New Roman" w:cs="David" w:hint="cs"/>
          <w:sz w:val="24"/>
          <w:szCs w:val="24"/>
          <w:rtl/>
        </w:rPr>
        <w:t>קלייטון וקרוסבי שעמדו בהרחבה על המעבר ממניעת אפלייה להעדפה מתקנת, עמדו על האלמנט הפסיבי שבדיני אפלייה, המבוססת על מדיניות של תגובה שאינה מצריכה התערבות יזומה, כנדרש בהעדפה מתקנת.</w:t>
      </w:r>
      <w:r w:rsidR="00984894">
        <w:rPr>
          <w:rStyle w:val="FootnoteReference"/>
          <w:rFonts w:ascii="Times New Roman" w:eastAsia="Calibri" w:hAnsi="Times New Roman" w:cs="David"/>
          <w:sz w:val="24"/>
          <w:szCs w:val="24"/>
          <w:rtl/>
        </w:rPr>
        <w:footnoteReference w:id="2"/>
      </w:r>
      <w:r w:rsidR="00984894">
        <w:rPr>
          <w:rFonts w:ascii="Times New Roman" w:eastAsia="Times New Roman" w:hAnsi="Times New Roman" w:cs="David" w:hint="cs"/>
          <w:sz w:val="24"/>
          <w:szCs w:val="24"/>
          <w:rtl/>
          <w:lang w:eastAsia="he-IL"/>
        </w:rPr>
        <w:t xml:space="preserve"> וכי דיני האפליה מניחים הוגנות בעוד שהעדפה מתקנת מניחה שאנו חיים בעולם תעסוקתי לא הוגן</w:t>
      </w:r>
      <w:r w:rsidR="007158A8">
        <w:rPr>
          <w:rFonts w:ascii="Times New Roman" w:eastAsia="Times New Roman" w:hAnsi="Times New Roman" w:cs="David" w:hint="cs"/>
          <w:sz w:val="24"/>
          <w:szCs w:val="24"/>
          <w:rtl/>
          <w:lang w:eastAsia="he-IL"/>
        </w:rPr>
        <w:t xml:space="preserve"> שיצרו ריבוד חברתי כלכלי בהינתן פרקטיקות מפלות. </w:t>
      </w:r>
    </w:p>
    <w:p w:rsidR="005601E9" w:rsidRPr="005601E9" w:rsidRDefault="005601E9" w:rsidP="0023144B">
      <w:pPr>
        <w:spacing w:after="0" w:line="360" w:lineRule="auto"/>
        <w:jc w:val="both"/>
        <w:rPr>
          <w:rFonts w:ascii="Times New Roman" w:eastAsia="Times New Roman" w:hAnsi="Times New Roman" w:cs="David"/>
          <w:sz w:val="24"/>
          <w:szCs w:val="24"/>
          <w:rtl/>
          <w:lang w:eastAsia="he-IL"/>
        </w:rPr>
      </w:pPr>
      <w:r w:rsidRPr="005601E9">
        <w:rPr>
          <w:rFonts w:ascii="Times New Roman" w:eastAsia="Times New Roman" w:hAnsi="Times New Roman" w:cs="David"/>
          <w:sz w:val="24"/>
          <w:szCs w:val="24"/>
          <w:rtl/>
          <w:lang w:eastAsia="he-IL"/>
        </w:rPr>
        <w:t xml:space="preserve">העיקרון </w:t>
      </w:r>
      <w:r w:rsidRPr="005601E9">
        <w:rPr>
          <w:rFonts w:ascii="Times New Roman" w:eastAsia="Times New Roman" w:hAnsi="Times New Roman" w:cs="David" w:hint="cs"/>
          <w:sz w:val="24"/>
          <w:szCs w:val="24"/>
          <w:rtl/>
          <w:lang w:eastAsia="he-IL"/>
        </w:rPr>
        <w:t>ש</w:t>
      </w:r>
      <w:r w:rsidRPr="005601E9">
        <w:rPr>
          <w:rFonts w:ascii="Times New Roman" w:eastAsia="Times New Roman" w:hAnsi="Times New Roman" w:cs="David"/>
          <w:sz w:val="24"/>
          <w:szCs w:val="24"/>
          <w:rtl/>
          <w:lang w:eastAsia="he-IL"/>
        </w:rPr>
        <w:t xml:space="preserve">לפיו כולם שווים </w:t>
      </w:r>
      <w:r w:rsidRPr="005601E9">
        <w:rPr>
          <w:rFonts w:ascii="Times New Roman" w:eastAsia="Times New Roman" w:hAnsi="Times New Roman" w:cs="David" w:hint="cs"/>
          <w:sz w:val="24"/>
          <w:szCs w:val="24"/>
          <w:rtl/>
          <w:lang w:eastAsia="he-IL"/>
        </w:rPr>
        <w:t>ל</w:t>
      </w:r>
      <w:r w:rsidRPr="005601E9">
        <w:rPr>
          <w:rFonts w:ascii="Times New Roman" w:eastAsia="Times New Roman" w:hAnsi="Times New Roman" w:cs="David"/>
          <w:sz w:val="24"/>
          <w:szCs w:val="24"/>
          <w:rtl/>
          <w:lang w:eastAsia="he-IL"/>
        </w:rPr>
        <w:t>פני החוק הוא אבן</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יסוד בבניין שלטון החוק, ומהותו התייחסות שווה </w:t>
      </w:r>
      <w:r w:rsidRPr="005601E9">
        <w:rPr>
          <w:rFonts w:ascii="Times New Roman" w:eastAsia="Times New Roman" w:hAnsi="Times New Roman" w:cs="David" w:hint="cs"/>
          <w:sz w:val="24"/>
          <w:szCs w:val="24"/>
          <w:rtl/>
          <w:lang w:eastAsia="he-IL"/>
        </w:rPr>
        <w:t xml:space="preserve">לכל </w:t>
      </w:r>
      <w:r w:rsidRPr="005601E9">
        <w:rPr>
          <w:rFonts w:ascii="Times New Roman" w:eastAsia="Times New Roman" w:hAnsi="Times New Roman" w:cs="David"/>
          <w:sz w:val="24"/>
          <w:szCs w:val="24"/>
          <w:rtl/>
          <w:lang w:eastAsia="he-IL"/>
        </w:rPr>
        <w:t xml:space="preserve">אדם באשר הוא אדם, </w:t>
      </w:r>
      <w:r w:rsidRPr="005601E9">
        <w:rPr>
          <w:rFonts w:ascii="Times New Roman" w:eastAsia="Times New Roman" w:hAnsi="Times New Roman" w:cs="David" w:hint="cs"/>
          <w:sz w:val="24"/>
          <w:szCs w:val="24"/>
          <w:rtl/>
          <w:lang w:eastAsia="he-IL"/>
        </w:rPr>
        <w:t>מ</w:t>
      </w:r>
      <w:r w:rsidRPr="005601E9">
        <w:rPr>
          <w:rFonts w:ascii="Times New Roman" w:eastAsia="Times New Roman" w:hAnsi="Times New Roman" w:cs="David"/>
          <w:sz w:val="24"/>
          <w:szCs w:val="24"/>
          <w:rtl/>
          <w:lang w:eastAsia="he-IL"/>
        </w:rPr>
        <w:t>בל</w:t>
      </w:r>
      <w:r w:rsidRPr="005601E9">
        <w:rPr>
          <w:rFonts w:ascii="Times New Roman" w:eastAsia="Times New Roman" w:hAnsi="Times New Roman" w:cs="David" w:hint="cs"/>
          <w:sz w:val="24"/>
          <w:szCs w:val="24"/>
          <w:rtl/>
          <w:lang w:eastAsia="he-IL"/>
        </w:rPr>
        <w:t>י</w:t>
      </w:r>
      <w:r w:rsidRPr="005601E9">
        <w:rPr>
          <w:rFonts w:ascii="Times New Roman" w:eastAsia="Times New Roman" w:hAnsi="Times New Roman" w:cs="David"/>
          <w:sz w:val="24"/>
          <w:szCs w:val="24"/>
          <w:rtl/>
          <w:lang w:eastAsia="he-IL"/>
        </w:rPr>
        <w:t xml:space="preserve"> לייחס חשיבות למאפיינים שונים של</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כגון מעמד</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xml:space="preserve"> החברתי, ייחוס</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xml:space="preserve"> המשפחתי, מינ</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גיל</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דת</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שפת</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צבע עור</w:t>
      </w:r>
      <w:r w:rsidRPr="005601E9">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 xml:space="preserve"> וכדומה. אך למעשה, ברור </w:t>
      </w:r>
      <w:r w:rsidRPr="005601E9">
        <w:rPr>
          <w:rFonts w:ascii="Times New Roman" w:eastAsia="Times New Roman" w:hAnsi="Times New Roman" w:cs="David" w:hint="cs"/>
          <w:sz w:val="24"/>
          <w:szCs w:val="24"/>
          <w:rtl/>
          <w:lang w:eastAsia="he-IL"/>
        </w:rPr>
        <w:t xml:space="preserve">באופן </w:t>
      </w:r>
      <w:r w:rsidRPr="005601E9">
        <w:rPr>
          <w:rFonts w:ascii="Times New Roman" w:eastAsia="Times New Roman" w:hAnsi="Times New Roman" w:cs="David"/>
          <w:sz w:val="24"/>
          <w:szCs w:val="24"/>
          <w:rtl/>
          <w:lang w:eastAsia="he-IL"/>
        </w:rPr>
        <w:t>אינטואיטיבי שאת הביטוי "הכ</w:t>
      </w:r>
      <w:r w:rsidRPr="005601E9">
        <w:rPr>
          <w:rFonts w:ascii="Times New Roman" w:eastAsia="Times New Roman" w:hAnsi="Times New Roman" w:cs="David" w:hint="cs"/>
          <w:sz w:val="24"/>
          <w:szCs w:val="24"/>
          <w:rtl/>
          <w:lang w:eastAsia="he-IL"/>
        </w:rPr>
        <w:t>ל</w:t>
      </w:r>
      <w:r w:rsidRPr="005601E9">
        <w:rPr>
          <w:rFonts w:ascii="Times New Roman" w:eastAsia="Times New Roman" w:hAnsi="Times New Roman" w:cs="David"/>
          <w:sz w:val="24"/>
          <w:szCs w:val="24"/>
          <w:rtl/>
          <w:lang w:eastAsia="he-IL"/>
        </w:rPr>
        <w:t xml:space="preserve"> שווים </w:t>
      </w:r>
      <w:r w:rsidRPr="005601E9">
        <w:rPr>
          <w:rFonts w:ascii="Times New Roman" w:eastAsia="Times New Roman" w:hAnsi="Times New Roman" w:cs="David" w:hint="cs"/>
          <w:sz w:val="24"/>
          <w:szCs w:val="24"/>
          <w:rtl/>
          <w:lang w:eastAsia="he-IL"/>
        </w:rPr>
        <w:t>ל</w:t>
      </w:r>
      <w:r w:rsidRPr="005601E9">
        <w:rPr>
          <w:rFonts w:ascii="Times New Roman" w:eastAsia="Times New Roman" w:hAnsi="Times New Roman" w:cs="David"/>
          <w:sz w:val="24"/>
          <w:szCs w:val="24"/>
          <w:rtl/>
          <w:lang w:eastAsia="he-IL"/>
        </w:rPr>
        <w:t xml:space="preserve">פני החוק" אין לפרש כפשוטו </w:t>
      </w:r>
      <w:r w:rsidR="0023144B">
        <w:rPr>
          <w:rFonts w:ascii="Times New Roman" w:eastAsia="Times New Roman" w:hAnsi="Times New Roman" w:cs="David" w:hint="cs"/>
          <w:sz w:val="24"/>
          <w:szCs w:val="24"/>
          <w:rtl/>
          <w:lang w:eastAsia="he-IL"/>
        </w:rPr>
        <w:t>ו</w:t>
      </w:r>
      <w:r w:rsidRPr="005601E9">
        <w:rPr>
          <w:rFonts w:ascii="Times New Roman" w:eastAsia="Times New Roman" w:hAnsi="Times New Roman" w:cs="David"/>
          <w:sz w:val="24"/>
          <w:szCs w:val="24"/>
          <w:rtl/>
          <w:lang w:eastAsia="he-IL"/>
        </w:rPr>
        <w:t>יש להבחין בין שתי משמעויות שונות של שוויון</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האחת </w:t>
      </w:r>
      <w:r w:rsidRPr="005601E9">
        <w:rPr>
          <w:rFonts w:ascii="Times New Roman" w:eastAsia="Times New Roman" w:hAnsi="Times New Roman" w:cs="David" w:hint="cs"/>
          <w:sz w:val="24"/>
          <w:szCs w:val="24"/>
          <w:rtl/>
          <w:lang w:eastAsia="he-IL"/>
        </w:rPr>
        <w:t xml:space="preserve">היא </w:t>
      </w:r>
      <w:r w:rsidRPr="005601E9">
        <w:rPr>
          <w:rFonts w:ascii="Times New Roman" w:eastAsia="Times New Roman" w:hAnsi="Times New Roman" w:cs="David"/>
          <w:sz w:val="24"/>
          <w:szCs w:val="24"/>
          <w:rtl/>
          <w:lang w:eastAsia="he-IL"/>
        </w:rPr>
        <w:t>משמעות פורמלית</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הפעלת הדין 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lang w:eastAsia="he-IL"/>
        </w:rPr>
        <w:t>ידי בתי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lang w:eastAsia="he-IL"/>
        </w:rPr>
        <w:t>המשפט ללא משוא</w:t>
      </w:r>
      <w:r w:rsidRPr="005601E9">
        <w:rPr>
          <w:rFonts w:ascii="Times New Roman" w:eastAsia="Calibri" w:hAnsi="Times New Roman" w:cs="David" w:hint="cs"/>
          <w:sz w:val="24"/>
          <w:szCs w:val="24"/>
          <w:rtl/>
        </w:rPr>
        <w:t>־</w:t>
      </w:r>
      <w:r w:rsidRPr="005601E9">
        <w:rPr>
          <w:rFonts w:ascii="Times New Roman" w:eastAsia="Times New Roman" w:hAnsi="Times New Roman" w:cs="David"/>
          <w:sz w:val="24"/>
          <w:szCs w:val="24"/>
          <w:rtl/>
          <w:lang w:eastAsia="he-IL"/>
        </w:rPr>
        <w:t xml:space="preserve">פנים וללא </w:t>
      </w:r>
      <w:r w:rsidRPr="005601E9">
        <w:rPr>
          <w:rFonts w:ascii="Times New Roman" w:eastAsia="Times New Roman" w:hAnsi="Times New Roman" w:cs="David" w:hint="cs"/>
          <w:sz w:val="24"/>
          <w:szCs w:val="24"/>
          <w:rtl/>
          <w:lang w:eastAsia="he-IL"/>
        </w:rPr>
        <w:t>ה</w:t>
      </w:r>
      <w:r w:rsidRPr="005601E9">
        <w:rPr>
          <w:rFonts w:ascii="Times New Roman" w:eastAsia="Times New Roman" w:hAnsi="Times New Roman" w:cs="David"/>
          <w:sz w:val="24"/>
          <w:szCs w:val="24"/>
          <w:rtl/>
          <w:lang w:eastAsia="he-IL"/>
        </w:rPr>
        <w:t>בחנה בין המתדיינים.</w:t>
      </w:r>
      <w:r w:rsidR="0023144B">
        <w:rPr>
          <w:rFonts w:ascii="Times New Roman" w:eastAsia="Times New Roman" w:hAnsi="Times New Roman" w:cs="David" w:hint="cs"/>
          <w:sz w:val="24"/>
          <w:szCs w:val="24"/>
          <w:rtl/>
          <w:lang w:eastAsia="he-IL"/>
        </w:rPr>
        <w:t xml:space="preserve"> </w:t>
      </w:r>
      <w:r w:rsidRPr="005601E9">
        <w:rPr>
          <w:rFonts w:ascii="Times New Roman" w:eastAsia="Times New Roman" w:hAnsi="Times New Roman" w:cs="David" w:hint="cs"/>
          <w:sz w:val="24"/>
          <w:szCs w:val="24"/>
          <w:rtl/>
          <w:lang w:eastAsia="he-IL"/>
        </w:rPr>
        <w:t>ה</w:t>
      </w:r>
      <w:r w:rsidRPr="005601E9">
        <w:rPr>
          <w:rFonts w:ascii="Times New Roman" w:eastAsia="Times New Roman" w:hAnsi="Times New Roman" w:cs="David"/>
          <w:sz w:val="24"/>
          <w:szCs w:val="24"/>
          <w:rtl/>
          <w:lang w:eastAsia="he-IL"/>
        </w:rPr>
        <w:t xml:space="preserve">משמעות </w:t>
      </w:r>
      <w:r w:rsidRPr="005601E9">
        <w:rPr>
          <w:rFonts w:ascii="Times New Roman" w:eastAsia="Times New Roman" w:hAnsi="Times New Roman" w:cs="David" w:hint="cs"/>
          <w:sz w:val="24"/>
          <w:szCs w:val="24"/>
          <w:rtl/>
          <w:lang w:eastAsia="he-IL"/>
        </w:rPr>
        <w:t xml:space="preserve">האחרת היא </w:t>
      </w:r>
      <w:r w:rsidRPr="005601E9">
        <w:rPr>
          <w:rFonts w:ascii="Times New Roman" w:eastAsia="Times New Roman" w:hAnsi="Times New Roman" w:cs="David"/>
          <w:sz w:val="24"/>
          <w:szCs w:val="24"/>
          <w:rtl/>
          <w:lang w:eastAsia="he-IL"/>
        </w:rPr>
        <w:t xml:space="preserve">מהותית </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בדיקת הדין עצמו</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ולא דרך הפעלתו</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זוהי בדיקה תוכנית מהותית. כך, פירושו האמ</w:t>
      </w:r>
      <w:r w:rsidRPr="005601E9">
        <w:rPr>
          <w:rFonts w:ascii="Times New Roman" w:eastAsia="Times New Roman" w:hAnsi="Times New Roman" w:cs="David" w:hint="cs"/>
          <w:sz w:val="24"/>
          <w:szCs w:val="24"/>
          <w:rtl/>
          <w:lang w:eastAsia="he-IL"/>
        </w:rPr>
        <w:t>י</w:t>
      </w:r>
      <w:r w:rsidRPr="005601E9">
        <w:rPr>
          <w:rFonts w:ascii="Times New Roman" w:eastAsia="Times New Roman" w:hAnsi="Times New Roman" w:cs="David"/>
          <w:sz w:val="24"/>
          <w:szCs w:val="24"/>
          <w:rtl/>
          <w:lang w:eastAsia="he-IL"/>
        </w:rPr>
        <w:t xml:space="preserve">תי של עקרון השוויון אינו שוויון מכני או אריתמטי. לדברי </w:t>
      </w:r>
      <w:r w:rsidRPr="005601E9">
        <w:rPr>
          <w:rFonts w:ascii="Times New Roman" w:eastAsia="Times New Roman" w:hAnsi="Times New Roman" w:cs="David" w:hint="cs"/>
          <w:sz w:val="24"/>
          <w:szCs w:val="24"/>
          <w:rtl/>
          <w:lang w:eastAsia="he-IL"/>
        </w:rPr>
        <w:t xml:space="preserve">פרופ' </w:t>
      </w:r>
      <w:r w:rsidRPr="005601E9">
        <w:rPr>
          <w:rFonts w:ascii="Times New Roman" w:eastAsia="Times New Roman" w:hAnsi="Times New Roman" w:cs="David"/>
          <w:sz w:val="24"/>
          <w:szCs w:val="24"/>
          <w:rtl/>
          <w:lang w:eastAsia="he-IL"/>
        </w:rPr>
        <w:t>ברק</w:t>
      </w:r>
      <w:r>
        <w:rPr>
          <w:rFonts w:ascii="Times New Roman" w:eastAsia="Times New Roman" w:hAnsi="Times New Roman" w:cs="David" w:hint="cs"/>
          <w:sz w:val="24"/>
          <w:szCs w:val="24"/>
          <w:rtl/>
          <w:lang w:eastAsia="he-IL"/>
        </w:rPr>
        <w:t>, נשיא בית המשפט העליון בישראל</w:t>
      </w:r>
      <w:r w:rsidRPr="005601E9">
        <w:rPr>
          <w:rFonts w:ascii="Times New Roman" w:eastAsia="Times New Roman" w:hAnsi="Times New Roman" w:cs="David"/>
          <w:sz w:val="24"/>
          <w:szCs w:val="24"/>
          <w:rtl/>
          <w:lang w:eastAsia="he-IL"/>
        </w:rPr>
        <w:t>:</w:t>
      </w:r>
    </w:p>
    <w:p w:rsidR="005601E9" w:rsidRPr="005601E9" w:rsidRDefault="005601E9" w:rsidP="005601E9">
      <w:pPr>
        <w:widowControl w:val="0"/>
        <w:spacing w:before="120" w:after="120" w:line="360" w:lineRule="auto"/>
        <w:ind w:left="567" w:right="567"/>
        <w:contextualSpacing/>
        <w:jc w:val="both"/>
        <w:rPr>
          <w:rFonts w:ascii="Times New Roman" w:eastAsia="Times New Roman" w:hAnsi="Times New Roman" w:cs="David" w:hint="cs"/>
          <w:sz w:val="24"/>
          <w:szCs w:val="24"/>
          <w:rtl/>
          <w:lang w:eastAsia="he-IL"/>
        </w:rPr>
      </w:pPr>
      <w:r w:rsidRPr="005601E9">
        <w:rPr>
          <w:rFonts w:ascii="Times New Roman" w:eastAsia="Times New Roman" w:hAnsi="Times New Roman" w:cs="David"/>
          <w:sz w:val="24"/>
          <w:szCs w:val="24"/>
          <w:rtl/>
          <w:lang w:eastAsia="he-IL"/>
        </w:rPr>
        <w:t xml:space="preserve">"שוויון אינו מושג פורמלי. זהו מושג מהותי, אשר הגינות, צדק ומוסר משמשים בו בערבוביה. אין עיקרון 'טהור' של שוויון. אין להפריד הפרדה גמורה בין שוויון לבין צדק ומוסר. שוויון הוא תרכובת </w:t>
      </w:r>
      <w:r w:rsidRPr="005601E9">
        <w:rPr>
          <w:rFonts w:ascii="Times New Roman" w:eastAsia="Times New Roman" w:hAnsi="Times New Roman" w:cs="David" w:hint="cs"/>
          <w:sz w:val="24"/>
          <w:szCs w:val="24"/>
          <w:rtl/>
          <w:lang w:eastAsia="he-IL"/>
        </w:rPr>
        <w:t xml:space="preserve">בין </w:t>
      </w:r>
      <w:r w:rsidRPr="005601E9">
        <w:rPr>
          <w:rFonts w:ascii="Times New Roman" w:eastAsia="Times New Roman" w:hAnsi="Times New Roman" w:cs="David"/>
          <w:sz w:val="24"/>
          <w:szCs w:val="24"/>
          <w:rtl/>
          <w:lang w:eastAsia="he-IL"/>
        </w:rPr>
        <w:t>כל אלה</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w:t>
      </w:r>
      <w:bookmarkStart w:id="21" w:name="_Ref512438222"/>
      <w:r w:rsidRPr="005601E9">
        <w:rPr>
          <w:rFonts w:ascii="Times New Roman" w:eastAsia="Times New Roman" w:hAnsi="Times New Roman" w:cs="David"/>
          <w:sz w:val="24"/>
          <w:szCs w:val="24"/>
          <w:vertAlign w:val="superscript"/>
          <w:rtl/>
          <w:lang w:eastAsia="he-IL"/>
        </w:rPr>
        <w:footnoteReference w:id="3"/>
      </w:r>
      <w:bookmarkEnd w:id="21"/>
    </w:p>
    <w:p w:rsidR="0023144B" w:rsidRDefault="0023144B" w:rsidP="00E9627E">
      <w:pPr>
        <w:spacing w:after="0" w:line="360" w:lineRule="auto"/>
        <w:jc w:val="both"/>
        <w:rPr>
          <w:rFonts w:ascii="Times New Roman" w:eastAsia="Calibri" w:hAnsi="Times New Roman" w:cs="David"/>
          <w:sz w:val="24"/>
          <w:szCs w:val="24"/>
          <w:rtl/>
        </w:rPr>
      </w:pPr>
    </w:p>
    <w:p w:rsidR="00D1421C" w:rsidRPr="00D1421C" w:rsidRDefault="0023144B" w:rsidP="00DD0488">
      <w:pPr>
        <w:spacing w:after="0" w:line="360" w:lineRule="auto"/>
        <w:jc w:val="both"/>
        <w:rPr>
          <w:rFonts w:ascii="Times New Roman" w:eastAsia="Times New Roman" w:hAnsi="Times New Roman" w:cs="David"/>
          <w:sz w:val="24"/>
          <w:szCs w:val="24"/>
          <w:rtl/>
          <w:lang w:eastAsia="he-IL"/>
        </w:rPr>
      </w:pPr>
      <w:r w:rsidRPr="005601E9">
        <w:rPr>
          <w:rFonts w:ascii="Times New Roman" w:eastAsia="Times New Roman" w:hAnsi="Times New Roman" w:cs="David"/>
          <w:sz w:val="24"/>
          <w:szCs w:val="24"/>
          <w:rtl/>
          <w:lang w:eastAsia="he-IL"/>
        </w:rPr>
        <w:lastRenderedPageBreak/>
        <w:t xml:space="preserve">עקרון השוויון </w:t>
      </w:r>
      <w:r w:rsidRPr="005601E9">
        <w:rPr>
          <w:rFonts w:ascii="Times New Roman" w:eastAsia="Times New Roman" w:hAnsi="Times New Roman" w:cs="David" w:hint="cs"/>
          <w:sz w:val="24"/>
          <w:szCs w:val="24"/>
          <w:rtl/>
          <w:lang w:eastAsia="he-IL"/>
        </w:rPr>
        <w:t xml:space="preserve">– </w:t>
      </w:r>
      <w:r w:rsidRPr="005601E9">
        <w:rPr>
          <w:rFonts w:ascii="Times New Roman" w:eastAsia="Times New Roman" w:hAnsi="Times New Roman" w:cs="David"/>
          <w:sz w:val="24"/>
          <w:szCs w:val="24"/>
          <w:rtl/>
          <w:lang w:eastAsia="he-IL"/>
        </w:rPr>
        <w:t>שהוכר כ</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עיקרון מן הראשונים </w:t>
      </w:r>
      <w:r w:rsidRPr="005601E9">
        <w:rPr>
          <w:rFonts w:ascii="Times New Roman" w:eastAsia="Times New Roman" w:hAnsi="Times New Roman" w:cs="David" w:hint="cs"/>
          <w:sz w:val="24"/>
          <w:szCs w:val="24"/>
          <w:rtl/>
          <w:lang w:eastAsia="he-IL"/>
        </w:rPr>
        <w:t>במלכות",</w:t>
      </w:r>
      <w:r w:rsidRPr="005601E9">
        <w:rPr>
          <w:rFonts w:ascii="Times New Roman" w:eastAsia="Times New Roman" w:hAnsi="Times New Roman" w:cs="David"/>
          <w:sz w:val="24"/>
          <w:szCs w:val="24"/>
          <w:rtl/>
          <w:lang w:eastAsia="he-IL"/>
        </w:rPr>
        <w:t xml:space="preserve"> </w:t>
      </w:r>
      <w:r w:rsidRPr="005601E9">
        <w:rPr>
          <w:rFonts w:ascii="Times New Roman" w:eastAsia="Times New Roman" w:hAnsi="Times New Roman" w:cs="David" w:hint="cs"/>
          <w:sz w:val="24"/>
          <w:szCs w:val="24"/>
          <w:rtl/>
          <w:lang w:eastAsia="he-IL"/>
        </w:rPr>
        <w:t>אשר "</w:t>
      </w:r>
      <w:r w:rsidRPr="005601E9">
        <w:rPr>
          <w:rFonts w:ascii="Times New Roman" w:eastAsia="Times New Roman" w:hAnsi="Times New Roman" w:cs="David"/>
          <w:sz w:val="24"/>
          <w:szCs w:val="24"/>
          <w:rtl/>
          <w:lang w:eastAsia="he-IL"/>
        </w:rPr>
        <w:t xml:space="preserve">עולה ומחלחל בכל </w:t>
      </w:r>
      <w:r w:rsidRPr="005601E9">
        <w:rPr>
          <w:rFonts w:ascii="Times New Roman" w:eastAsia="Times New Roman" w:hAnsi="Times New Roman" w:cs="David" w:hint="cs"/>
          <w:sz w:val="24"/>
          <w:szCs w:val="24"/>
          <w:rtl/>
          <w:lang w:eastAsia="he-IL"/>
        </w:rPr>
        <w:t xml:space="preserve">צמח מצמחי </w:t>
      </w:r>
      <w:r w:rsidRPr="005601E9">
        <w:rPr>
          <w:rFonts w:ascii="Times New Roman" w:eastAsia="Times New Roman" w:hAnsi="Times New Roman" w:cs="David"/>
          <w:sz w:val="24"/>
          <w:szCs w:val="24"/>
          <w:rtl/>
          <w:lang w:eastAsia="he-IL"/>
        </w:rPr>
        <w:t>המשפט</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w:t>
      </w:r>
      <w:r w:rsidRPr="005601E9">
        <w:rPr>
          <w:rFonts w:ascii="Times New Roman" w:eastAsia="Times New Roman" w:hAnsi="Times New Roman" w:cs="David" w:hint="cs"/>
          <w:sz w:val="24"/>
          <w:szCs w:val="24"/>
          <w:rtl/>
          <w:lang w:eastAsia="he-IL"/>
        </w:rPr>
        <w:t xml:space="preserve">– </w:t>
      </w:r>
      <w:r>
        <w:rPr>
          <w:rFonts w:ascii="Times New Roman" w:eastAsia="Times New Roman" w:hAnsi="Times New Roman" w:cs="David" w:hint="cs"/>
          <w:sz w:val="24"/>
          <w:szCs w:val="24"/>
          <w:rtl/>
          <w:lang w:eastAsia="he-IL"/>
        </w:rPr>
        <w:t xml:space="preserve">צריך ליטול </w:t>
      </w:r>
      <w:r w:rsidRPr="005601E9">
        <w:rPr>
          <w:rFonts w:ascii="Times New Roman" w:eastAsia="Times New Roman" w:hAnsi="Times New Roman" w:cs="David"/>
          <w:sz w:val="24"/>
          <w:szCs w:val="24"/>
          <w:rtl/>
          <w:lang w:eastAsia="he-IL"/>
        </w:rPr>
        <w:t>חלק בדנ"א של שיטת המשפט בכלל</w:t>
      </w:r>
      <w:r w:rsidRPr="005601E9">
        <w:rPr>
          <w:rFonts w:ascii="Times New Roman" w:eastAsia="Times New Roman" w:hAnsi="Times New Roman" w:cs="David" w:hint="cs"/>
          <w:sz w:val="24"/>
          <w:szCs w:val="24"/>
          <w:rtl/>
          <w:lang w:eastAsia="he-IL"/>
        </w:rPr>
        <w:t>ותה</w:t>
      </w:r>
      <w:r w:rsidRPr="005601E9">
        <w:rPr>
          <w:rFonts w:ascii="Times New Roman" w:eastAsia="Times New Roman" w:hAnsi="Times New Roman" w:cs="David"/>
          <w:sz w:val="24"/>
          <w:szCs w:val="24"/>
          <w:rtl/>
          <w:lang w:eastAsia="he-IL"/>
        </w:rPr>
        <w:t xml:space="preserve"> ובדיני המכרזים בפרט.</w:t>
      </w:r>
      <w:r w:rsidRPr="005601E9">
        <w:rPr>
          <w:rFonts w:ascii="Times New Roman" w:eastAsia="Times New Roman" w:hAnsi="Times New Roman" w:cs="David"/>
          <w:sz w:val="24"/>
          <w:szCs w:val="24"/>
          <w:vertAlign w:val="superscript"/>
          <w:rtl/>
        </w:rPr>
        <w:footnoteReference w:id="4"/>
      </w:r>
      <w:r>
        <w:rPr>
          <w:rFonts w:ascii="Times New Roman" w:eastAsia="Calibri" w:hAnsi="Times New Roman" w:cs="David" w:hint="cs"/>
          <w:sz w:val="24"/>
          <w:szCs w:val="24"/>
          <w:rtl/>
        </w:rPr>
        <w:t xml:space="preserve"> </w:t>
      </w:r>
      <w:r w:rsidR="00E9627E">
        <w:rPr>
          <w:rFonts w:ascii="Times New Roman" w:eastAsia="Calibri" w:hAnsi="Times New Roman" w:cs="David" w:hint="cs"/>
          <w:sz w:val="24"/>
          <w:szCs w:val="24"/>
          <w:rtl/>
        </w:rPr>
        <w:t>תפיסת ההעדפה המתקנת הינה תולדה של ההכרה בעובדה שעקרון השוויון הפורמלי נכשל בהשגת השוויון הלכה למעשה.</w:t>
      </w:r>
      <w:r w:rsidR="00E9627E">
        <w:rPr>
          <w:rStyle w:val="FootnoteReference"/>
          <w:rFonts w:ascii="Times New Roman" w:eastAsia="Calibri" w:hAnsi="Times New Roman" w:cs="David"/>
          <w:sz w:val="24"/>
          <w:szCs w:val="24"/>
          <w:rtl/>
        </w:rPr>
        <w:footnoteReference w:id="5"/>
      </w:r>
      <w:r>
        <w:rPr>
          <w:rFonts w:ascii="Times New Roman" w:eastAsia="Times New Roman" w:hAnsi="Times New Roman" w:cs="David" w:hint="cs"/>
          <w:sz w:val="24"/>
          <w:szCs w:val="24"/>
          <w:rtl/>
          <w:lang w:eastAsia="he-IL"/>
        </w:rPr>
        <w:t xml:space="preserve"> שכן, </w:t>
      </w:r>
      <w:r w:rsidR="005601E9" w:rsidRPr="005601E9">
        <w:rPr>
          <w:rFonts w:ascii="Times New Roman" w:eastAsia="Times New Roman" w:hAnsi="Times New Roman" w:cs="David" w:hint="cs"/>
          <w:sz w:val="24"/>
          <w:szCs w:val="24"/>
          <w:rtl/>
          <w:lang w:eastAsia="he-IL"/>
        </w:rPr>
        <w:t>מכיוון ש</w:t>
      </w:r>
      <w:r w:rsidR="005601E9" w:rsidRPr="005601E9">
        <w:rPr>
          <w:rFonts w:ascii="Times New Roman" w:eastAsia="Times New Roman" w:hAnsi="Times New Roman" w:cs="David"/>
          <w:sz w:val="24"/>
          <w:szCs w:val="24"/>
          <w:rtl/>
          <w:lang w:eastAsia="he-IL"/>
        </w:rPr>
        <w:t xml:space="preserve">העיקרון </w:t>
      </w:r>
      <w:r w:rsidR="005601E9" w:rsidRPr="005601E9">
        <w:rPr>
          <w:rFonts w:ascii="Times New Roman" w:eastAsia="Times New Roman" w:hAnsi="Times New Roman" w:cs="David" w:hint="cs"/>
          <w:sz w:val="24"/>
          <w:szCs w:val="24"/>
          <w:rtl/>
          <w:lang w:eastAsia="he-IL"/>
        </w:rPr>
        <w:t>אינו מוחלט</w:t>
      </w:r>
      <w:r w:rsidR="005601E9" w:rsidRPr="005601E9">
        <w:rPr>
          <w:rFonts w:ascii="Times New Roman" w:eastAsia="Times New Roman" w:hAnsi="Times New Roman" w:cs="David"/>
          <w:sz w:val="24"/>
          <w:szCs w:val="24"/>
          <w:rtl/>
          <w:lang w:eastAsia="he-IL"/>
        </w:rPr>
        <w:t xml:space="preserve">, ניתן לפגוע בזכות של יחיד או </w:t>
      </w:r>
      <w:r w:rsidR="005601E9" w:rsidRPr="005601E9">
        <w:rPr>
          <w:rFonts w:ascii="Times New Roman" w:eastAsia="Times New Roman" w:hAnsi="Times New Roman" w:cs="David" w:hint="cs"/>
          <w:sz w:val="24"/>
          <w:szCs w:val="24"/>
          <w:rtl/>
          <w:lang w:eastAsia="he-IL"/>
        </w:rPr>
        <w:t xml:space="preserve">של </w:t>
      </w:r>
      <w:r w:rsidR="005601E9" w:rsidRPr="005601E9">
        <w:rPr>
          <w:rFonts w:ascii="Times New Roman" w:eastAsia="Times New Roman" w:hAnsi="Times New Roman" w:cs="David"/>
          <w:sz w:val="24"/>
          <w:szCs w:val="24"/>
          <w:rtl/>
          <w:lang w:eastAsia="he-IL"/>
        </w:rPr>
        <w:t xml:space="preserve">קבוצה לשוויון. כל מינוי מוטה שפוגע בזכות התחרות של הפרט </w:t>
      </w:r>
      <w:r w:rsidR="005601E9" w:rsidRPr="005601E9">
        <w:rPr>
          <w:rFonts w:ascii="Times New Roman" w:eastAsia="Times New Roman" w:hAnsi="Times New Roman" w:cs="David" w:hint="cs"/>
          <w:sz w:val="24"/>
          <w:szCs w:val="24"/>
          <w:rtl/>
          <w:lang w:eastAsia="he-IL"/>
        </w:rPr>
        <w:t>ב</w:t>
      </w:r>
      <w:r w:rsidR="005601E9" w:rsidRPr="005601E9">
        <w:rPr>
          <w:rFonts w:ascii="Times New Roman" w:eastAsia="Times New Roman" w:hAnsi="Times New Roman" w:cs="David"/>
          <w:sz w:val="24"/>
          <w:szCs w:val="24"/>
          <w:rtl/>
          <w:lang w:eastAsia="he-IL"/>
        </w:rPr>
        <w:t>התמודד</w:t>
      </w:r>
      <w:r w:rsidR="005601E9" w:rsidRPr="005601E9">
        <w:rPr>
          <w:rFonts w:ascii="Times New Roman" w:eastAsia="Times New Roman" w:hAnsi="Times New Roman" w:cs="David" w:hint="cs"/>
          <w:sz w:val="24"/>
          <w:szCs w:val="24"/>
          <w:rtl/>
          <w:lang w:eastAsia="he-IL"/>
        </w:rPr>
        <w:t>ות</w:t>
      </w:r>
      <w:r w:rsidR="005601E9" w:rsidRPr="005601E9">
        <w:rPr>
          <w:rFonts w:ascii="Times New Roman" w:eastAsia="Times New Roman" w:hAnsi="Times New Roman" w:cs="David"/>
          <w:sz w:val="24"/>
          <w:szCs w:val="24"/>
          <w:rtl/>
          <w:lang w:eastAsia="he-IL"/>
        </w:rPr>
        <w:t xml:space="preserve"> על משרה פלונית </w:t>
      </w:r>
      <w:r w:rsidR="005601E9" w:rsidRPr="005601E9">
        <w:rPr>
          <w:rFonts w:ascii="Times New Roman" w:eastAsia="Times New Roman" w:hAnsi="Times New Roman" w:cs="David" w:hint="cs"/>
          <w:sz w:val="24"/>
          <w:szCs w:val="24"/>
          <w:rtl/>
          <w:lang w:eastAsia="he-IL"/>
        </w:rPr>
        <w:t xml:space="preserve">– </w:t>
      </w:r>
      <w:r w:rsidR="005601E9" w:rsidRPr="005601E9">
        <w:rPr>
          <w:rFonts w:ascii="Times New Roman" w:eastAsia="Times New Roman" w:hAnsi="Times New Roman" w:cs="David"/>
          <w:sz w:val="24"/>
          <w:szCs w:val="24"/>
          <w:rtl/>
          <w:lang w:eastAsia="he-IL"/>
        </w:rPr>
        <w:t xml:space="preserve">פוגע בשוויון. המונח "מינוי מוטה" </w:t>
      </w:r>
      <w:r w:rsidR="005601E9" w:rsidRPr="005601E9">
        <w:rPr>
          <w:rFonts w:ascii="Times New Roman" w:eastAsia="Times New Roman" w:hAnsi="Times New Roman" w:cs="David" w:hint="cs"/>
          <w:sz w:val="24"/>
          <w:szCs w:val="24"/>
          <w:rtl/>
          <w:lang w:eastAsia="he-IL"/>
        </w:rPr>
        <w:t xml:space="preserve">מקבץ בגדרו </w:t>
      </w:r>
      <w:r w:rsidR="005601E9" w:rsidRPr="005601E9">
        <w:rPr>
          <w:rFonts w:ascii="Times New Roman" w:eastAsia="Times New Roman" w:hAnsi="Times New Roman" w:cs="David"/>
          <w:sz w:val="24"/>
          <w:szCs w:val="24"/>
          <w:rtl/>
          <w:lang w:eastAsia="he-IL"/>
        </w:rPr>
        <w:t xml:space="preserve">כמה סוגים שונים של מינויים מוטים, החל </w:t>
      </w:r>
      <w:r w:rsidR="005601E9" w:rsidRPr="005601E9">
        <w:rPr>
          <w:rFonts w:ascii="Times New Roman" w:eastAsia="Times New Roman" w:hAnsi="Times New Roman" w:cs="David" w:hint="cs"/>
          <w:sz w:val="24"/>
          <w:szCs w:val="24"/>
          <w:rtl/>
          <w:lang w:eastAsia="he-IL"/>
        </w:rPr>
        <w:t>ב</w:t>
      </w:r>
      <w:r w:rsidR="005601E9" w:rsidRPr="005601E9">
        <w:rPr>
          <w:rFonts w:ascii="Times New Roman" w:eastAsia="Times New Roman" w:hAnsi="Times New Roman" w:cs="David"/>
          <w:sz w:val="24"/>
          <w:szCs w:val="24"/>
          <w:rtl/>
          <w:lang w:eastAsia="he-IL"/>
        </w:rPr>
        <w:t xml:space="preserve">מינוי </w:t>
      </w:r>
      <w:r w:rsidR="005601E9" w:rsidRPr="005601E9">
        <w:rPr>
          <w:rFonts w:ascii="Times New Roman" w:eastAsia="Times New Roman" w:hAnsi="Times New Roman" w:cs="David" w:hint="cs"/>
          <w:sz w:val="24"/>
          <w:szCs w:val="24"/>
          <w:rtl/>
          <w:lang w:eastAsia="he-IL"/>
        </w:rPr>
        <w:t xml:space="preserve">על בסיס </w:t>
      </w:r>
      <w:r w:rsidR="005601E9" w:rsidRPr="005601E9">
        <w:rPr>
          <w:rFonts w:ascii="Times New Roman" w:eastAsia="Times New Roman" w:hAnsi="Times New Roman" w:cs="David"/>
          <w:sz w:val="24"/>
          <w:szCs w:val="24"/>
          <w:rtl/>
          <w:lang w:eastAsia="he-IL"/>
        </w:rPr>
        <w:t xml:space="preserve">שיוך מפלגתי, </w:t>
      </w:r>
      <w:r w:rsidR="005601E9" w:rsidRPr="005601E9">
        <w:rPr>
          <w:rFonts w:ascii="Times New Roman" w:eastAsia="Times New Roman" w:hAnsi="Times New Roman" w:cs="David" w:hint="cs"/>
          <w:sz w:val="24"/>
          <w:szCs w:val="24"/>
          <w:rtl/>
          <w:lang w:eastAsia="he-IL"/>
        </w:rPr>
        <w:t>המשך ב</w:t>
      </w:r>
      <w:r w:rsidR="005601E9" w:rsidRPr="005601E9">
        <w:rPr>
          <w:rFonts w:ascii="Times New Roman" w:eastAsia="Times New Roman" w:hAnsi="Times New Roman" w:cs="David"/>
          <w:sz w:val="24"/>
          <w:szCs w:val="24"/>
          <w:rtl/>
          <w:lang w:eastAsia="he-IL"/>
        </w:rPr>
        <w:t>מינוי על רקע עניין אישי ועוד</w:t>
      </w:r>
      <w:r w:rsidR="005601E9">
        <w:rPr>
          <w:rFonts w:ascii="Times New Roman" w:eastAsia="Times New Roman" w:hAnsi="Times New Roman" w:cs="David" w:hint="cs"/>
          <w:sz w:val="24"/>
          <w:szCs w:val="24"/>
          <w:rtl/>
          <w:lang w:eastAsia="he-IL"/>
        </w:rPr>
        <w:t xml:space="preserve">, כולם, מינויים שאינם מתבצעים בהתאם לכללי המריטוקרטיה. </w:t>
      </w:r>
      <w:bookmarkStart w:id="22" w:name="_Toc442001806"/>
      <w:r w:rsidR="00D1421C">
        <w:rPr>
          <w:rFonts w:ascii="Times New Roman" w:eastAsia="Times New Roman" w:hAnsi="Times New Roman" w:cs="David" w:hint="cs"/>
          <w:sz w:val="24"/>
          <w:szCs w:val="24"/>
          <w:rtl/>
          <w:lang w:eastAsia="he-IL"/>
        </w:rPr>
        <w:t xml:space="preserve">המבוססים על </w:t>
      </w:r>
      <w:r w:rsidR="00D1421C">
        <w:rPr>
          <w:rFonts w:ascii="Times New Roman" w:eastAsia="Times New Roman" w:hAnsi="Times New Roman" w:cs="David"/>
          <w:sz w:val="24"/>
          <w:szCs w:val="24"/>
          <w:rtl/>
          <w:lang w:eastAsia="he-IL"/>
        </w:rPr>
        <w:t>כישורים בלבד</w:t>
      </w:r>
      <w:r w:rsidR="00D1421C">
        <w:rPr>
          <w:rFonts w:ascii="Times New Roman" w:eastAsia="Times New Roman" w:hAnsi="Times New Roman" w:cs="David" w:hint="cs"/>
          <w:sz w:val="24"/>
          <w:szCs w:val="24"/>
          <w:rtl/>
          <w:lang w:eastAsia="he-IL"/>
        </w:rPr>
        <w:t>. בשנת 1958 חזה</w:t>
      </w:r>
      <w:r w:rsidR="00D1421C" w:rsidRPr="00D1421C">
        <w:rPr>
          <w:rFonts w:ascii="Times New Roman" w:eastAsia="Times New Roman" w:hAnsi="Times New Roman" w:cs="David"/>
          <w:sz w:val="24"/>
          <w:szCs w:val="24"/>
          <w:rtl/>
          <w:lang w:eastAsia="he-IL"/>
        </w:rPr>
        <w:t xml:space="preserve"> מיכאל יאנג, כי </w:t>
      </w:r>
      <w:r w:rsidR="00D1421C" w:rsidRPr="00D1421C">
        <w:rPr>
          <w:rFonts w:ascii="Times New Roman" w:eastAsia="Times New Roman" w:hAnsi="Times New Roman" w:cs="David" w:hint="eastAsia"/>
          <w:sz w:val="24"/>
          <w:szCs w:val="24"/>
          <w:rtl/>
          <w:lang w:eastAsia="he-IL"/>
        </w:rPr>
        <w:t>ב</w:t>
      </w:r>
      <w:r w:rsidR="00D1421C" w:rsidRPr="00D1421C">
        <w:rPr>
          <w:rFonts w:ascii="Times New Roman" w:eastAsia="Times New Roman" w:hAnsi="Times New Roman" w:cs="David"/>
          <w:sz w:val="24"/>
          <w:szCs w:val="24"/>
          <w:rtl/>
          <w:lang w:eastAsia="he-IL"/>
        </w:rPr>
        <w:t>שיטה עתידנית</w:t>
      </w:r>
      <w:r w:rsidR="00D1421C" w:rsidRPr="00D1421C">
        <w:rPr>
          <w:rFonts w:ascii="Times New Roman" w:eastAsia="Times New Roman" w:hAnsi="Times New Roman" w:cs="David" w:hint="cs"/>
          <w:sz w:val="24"/>
          <w:szCs w:val="24"/>
          <w:rtl/>
          <w:lang w:eastAsia="he-IL"/>
        </w:rPr>
        <w:t>,</w:t>
      </w:r>
      <w:r w:rsidR="00D1421C" w:rsidRPr="00D1421C">
        <w:rPr>
          <w:rFonts w:ascii="Times New Roman" w:eastAsia="Times New Roman" w:hAnsi="Times New Roman" w:cs="David"/>
          <w:sz w:val="24"/>
          <w:szCs w:val="24"/>
          <w:rtl/>
          <w:lang w:eastAsia="he-IL"/>
        </w:rPr>
        <w:t xml:space="preserve"> הקידום ייקבע על פי מנת משכל ומאמצים בלבד </w:t>
      </w:r>
      <w:r w:rsidR="00D1421C" w:rsidRPr="00D1421C">
        <w:rPr>
          <w:rFonts w:ascii="Times New Roman" w:eastAsia="Times New Roman" w:hAnsi="Times New Roman" w:cs="David" w:hint="eastAsia"/>
          <w:sz w:val="24"/>
          <w:szCs w:val="24"/>
          <w:rtl/>
          <w:lang w:eastAsia="he-IL"/>
        </w:rPr>
        <w:t>והיא</w:t>
      </w:r>
      <w:r w:rsidR="00D1421C" w:rsidRPr="00D1421C">
        <w:rPr>
          <w:rFonts w:ascii="Times New Roman" w:eastAsia="Times New Roman" w:hAnsi="Times New Roman" w:cs="David"/>
          <w:sz w:val="24"/>
          <w:szCs w:val="24"/>
          <w:rtl/>
          <w:lang w:eastAsia="he-IL"/>
        </w:rPr>
        <w:t xml:space="preserve"> </w:t>
      </w:r>
      <w:r w:rsidR="00D1421C" w:rsidRPr="00D1421C">
        <w:rPr>
          <w:rFonts w:ascii="Times New Roman" w:eastAsia="Times New Roman" w:hAnsi="Times New Roman" w:cs="David" w:hint="eastAsia"/>
          <w:sz w:val="24"/>
          <w:szCs w:val="24"/>
          <w:rtl/>
          <w:lang w:eastAsia="he-IL"/>
        </w:rPr>
        <w:t>זו</w:t>
      </w:r>
      <w:r w:rsidR="00D1421C" w:rsidRPr="00D1421C">
        <w:rPr>
          <w:rFonts w:ascii="Times New Roman" w:eastAsia="Times New Roman" w:hAnsi="Times New Roman" w:cs="David"/>
          <w:sz w:val="24"/>
          <w:szCs w:val="24"/>
          <w:rtl/>
          <w:lang w:eastAsia="he-IL"/>
        </w:rPr>
        <w:t xml:space="preserve"> </w:t>
      </w:r>
      <w:r w:rsidR="00D1421C" w:rsidRPr="00D1421C">
        <w:rPr>
          <w:rFonts w:ascii="Times New Roman" w:eastAsia="Times New Roman" w:hAnsi="Times New Roman" w:cs="David" w:hint="eastAsia"/>
          <w:sz w:val="24"/>
          <w:szCs w:val="24"/>
          <w:rtl/>
          <w:lang w:eastAsia="he-IL"/>
        </w:rPr>
        <w:t>ש</w:t>
      </w:r>
      <w:r w:rsidR="00D1421C" w:rsidRPr="00D1421C">
        <w:rPr>
          <w:rFonts w:ascii="Times New Roman" w:eastAsia="Times New Roman" w:hAnsi="Times New Roman" w:cs="David"/>
          <w:sz w:val="24"/>
          <w:szCs w:val="24"/>
          <w:rtl/>
          <w:lang w:eastAsia="he-IL"/>
        </w:rPr>
        <w:t>תביא בסופו של דבר למהפכה חברתית שבה יתקוממו ההמונים נגד האליטות הנהנות מן השיטה.</w:t>
      </w:r>
      <w:r w:rsidR="00D1421C" w:rsidRPr="00D1421C">
        <w:rPr>
          <w:rFonts w:ascii="Times New Roman" w:eastAsia="Times New Roman" w:hAnsi="Times New Roman" w:cs="David"/>
          <w:sz w:val="24"/>
          <w:szCs w:val="24"/>
          <w:vertAlign w:val="superscript"/>
          <w:lang w:eastAsia="he-IL"/>
        </w:rPr>
        <w:footnoteReference w:id="6"/>
      </w:r>
      <w:r w:rsidR="00D1421C" w:rsidRPr="00D1421C">
        <w:rPr>
          <w:rFonts w:ascii="Times New Roman" w:eastAsia="Times New Roman" w:hAnsi="Times New Roman" w:cs="David"/>
          <w:sz w:val="24"/>
          <w:szCs w:val="24"/>
          <w:rtl/>
          <w:lang w:eastAsia="he-IL"/>
        </w:rPr>
        <w:t xml:space="preserve"> </w:t>
      </w:r>
    </w:p>
    <w:bookmarkEnd w:id="22"/>
    <w:p w:rsidR="00D1421C" w:rsidRDefault="00D1421C" w:rsidP="0023144B">
      <w:pPr>
        <w:spacing w:after="0" w:line="360" w:lineRule="auto"/>
        <w:jc w:val="both"/>
        <w:rPr>
          <w:rFonts w:ascii="Times New Roman" w:eastAsia="Times New Roman" w:hAnsi="Times New Roman" w:cs="David"/>
          <w:sz w:val="24"/>
          <w:szCs w:val="24"/>
          <w:rtl/>
          <w:lang w:eastAsia="he-IL"/>
        </w:rPr>
      </w:pPr>
    </w:p>
    <w:p w:rsidR="005601E9" w:rsidRPr="005601E9" w:rsidRDefault="005601E9" w:rsidP="00DD0488">
      <w:pPr>
        <w:spacing w:after="0" w:line="360" w:lineRule="auto"/>
        <w:jc w:val="both"/>
        <w:rPr>
          <w:rFonts w:ascii="Times New Roman" w:eastAsia="Times New Roman" w:hAnsi="Times New Roman" w:cs="David"/>
          <w:sz w:val="24"/>
          <w:szCs w:val="24"/>
          <w:rtl/>
        </w:rPr>
      </w:pPr>
      <w:r w:rsidRPr="005601E9">
        <w:rPr>
          <w:rFonts w:ascii="Times New Roman" w:eastAsia="Times New Roman" w:hAnsi="Times New Roman" w:cs="David"/>
          <w:sz w:val="24"/>
          <w:szCs w:val="24"/>
          <w:rtl/>
          <w:lang w:eastAsia="he-IL"/>
        </w:rPr>
        <w:t xml:space="preserve">הפגיעה </w:t>
      </w:r>
      <w:r>
        <w:rPr>
          <w:rFonts w:ascii="Times New Roman" w:eastAsia="Times New Roman" w:hAnsi="Times New Roman" w:cs="David" w:hint="cs"/>
          <w:sz w:val="24"/>
          <w:szCs w:val="24"/>
          <w:rtl/>
          <w:lang w:eastAsia="he-IL"/>
        </w:rPr>
        <w:t xml:space="preserve">במקרים אלה </w:t>
      </w:r>
      <w:r w:rsidRPr="005601E9">
        <w:rPr>
          <w:rFonts w:ascii="Times New Roman" w:eastAsia="Times New Roman" w:hAnsi="Times New Roman" w:cs="David"/>
          <w:sz w:val="24"/>
          <w:szCs w:val="24"/>
          <w:rtl/>
          <w:lang w:eastAsia="he-IL"/>
        </w:rPr>
        <w:t>היא כפולה</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הן פגיעה עקרונית בעקרון השוויון והן פגיעה מכו</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ונת בקבוצות </w:t>
      </w:r>
      <w:r w:rsidRPr="005601E9">
        <w:rPr>
          <w:rFonts w:ascii="Times New Roman" w:eastAsia="Times New Roman" w:hAnsi="Times New Roman" w:cs="David" w:hint="cs"/>
          <w:sz w:val="24"/>
          <w:szCs w:val="24"/>
          <w:rtl/>
          <w:lang w:eastAsia="he-IL"/>
        </w:rPr>
        <w:t xml:space="preserve">המצויות </w:t>
      </w:r>
      <w:r w:rsidRPr="005601E9">
        <w:rPr>
          <w:rFonts w:ascii="Times New Roman" w:eastAsia="Times New Roman" w:hAnsi="Times New Roman" w:cs="David"/>
          <w:sz w:val="24"/>
          <w:szCs w:val="24"/>
          <w:rtl/>
          <w:lang w:eastAsia="he-IL"/>
        </w:rPr>
        <w:t>בתת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lang w:eastAsia="he-IL"/>
        </w:rPr>
        <w:t>ייצוג</w:t>
      </w:r>
      <w:r w:rsidRPr="005601E9">
        <w:rPr>
          <w:rFonts w:ascii="Times New Roman" w:eastAsia="Times New Roman" w:hAnsi="Times New Roman" w:cs="David" w:hint="cs"/>
          <w:sz w:val="24"/>
          <w:szCs w:val="24"/>
          <w:rtl/>
          <w:lang w:eastAsia="he-IL"/>
        </w:rPr>
        <w:t>,</w:t>
      </w:r>
      <w:r w:rsidRPr="005601E9">
        <w:rPr>
          <w:rFonts w:ascii="Times New Roman" w:eastAsia="Times New Roman" w:hAnsi="Times New Roman" w:cs="David"/>
          <w:sz w:val="24"/>
          <w:szCs w:val="24"/>
          <w:rtl/>
          <w:lang w:eastAsia="he-IL"/>
        </w:rPr>
        <w:t xml:space="preserve"> ש</w:t>
      </w:r>
      <w:r w:rsidRPr="005601E9">
        <w:rPr>
          <w:rFonts w:ascii="Times New Roman" w:eastAsia="Times New Roman" w:hAnsi="Times New Roman" w:cs="David" w:hint="cs"/>
          <w:sz w:val="24"/>
          <w:szCs w:val="24"/>
          <w:rtl/>
          <w:lang w:eastAsia="he-IL"/>
        </w:rPr>
        <w:t xml:space="preserve">כן </w:t>
      </w:r>
      <w:r w:rsidRPr="005601E9">
        <w:rPr>
          <w:rFonts w:ascii="Times New Roman" w:eastAsia="Times New Roman" w:hAnsi="Times New Roman" w:cs="David"/>
          <w:sz w:val="24"/>
          <w:szCs w:val="24"/>
          <w:rtl/>
          <w:lang w:eastAsia="he-IL"/>
        </w:rPr>
        <w:t xml:space="preserve">המינוי המוטה משמעותו מינוי מתוך קבוצת הרוב. </w:t>
      </w:r>
      <w:r w:rsidRPr="005601E9">
        <w:rPr>
          <w:rFonts w:ascii="Times New Roman" w:eastAsia="Times New Roman" w:hAnsi="Times New Roman" w:cs="David"/>
          <w:sz w:val="24"/>
          <w:szCs w:val="24"/>
          <w:rtl/>
        </w:rPr>
        <w:t xml:space="preserve">אך </w:t>
      </w:r>
      <w:r w:rsidR="00DD0488">
        <w:rPr>
          <w:rFonts w:ascii="Times New Roman" w:eastAsia="Times New Roman" w:hAnsi="Times New Roman" w:cs="David" w:hint="cs"/>
          <w:sz w:val="24"/>
          <w:szCs w:val="24"/>
          <w:rtl/>
        </w:rPr>
        <w:t>חשיבותו של</w:t>
      </w:r>
      <w:r w:rsidRPr="005601E9">
        <w:rPr>
          <w:rFonts w:ascii="Times New Roman" w:eastAsia="Times New Roman" w:hAnsi="Times New Roman" w:cs="David"/>
          <w:sz w:val="24"/>
          <w:szCs w:val="24"/>
          <w:rtl/>
        </w:rPr>
        <w:t xml:space="preserve"> עיקרון </w:t>
      </w:r>
      <w:r w:rsidR="00DD0488">
        <w:rPr>
          <w:rFonts w:ascii="Times New Roman" w:eastAsia="Times New Roman" w:hAnsi="Times New Roman" w:cs="David" w:hint="cs"/>
          <w:sz w:val="24"/>
          <w:szCs w:val="24"/>
          <w:rtl/>
        </w:rPr>
        <w:t>ההעדפה מתקנת</w:t>
      </w:r>
      <w:r w:rsidRPr="005601E9">
        <w:rPr>
          <w:rFonts w:ascii="Times New Roman" w:eastAsia="Times New Roman" w:hAnsi="Times New Roman" w:cs="David"/>
          <w:sz w:val="24"/>
          <w:szCs w:val="24"/>
          <w:rtl/>
        </w:rPr>
        <w:t xml:space="preserve"> </w:t>
      </w:r>
      <w:r w:rsidR="00DD0488">
        <w:rPr>
          <w:rFonts w:ascii="Times New Roman" w:eastAsia="Times New Roman" w:hAnsi="Times New Roman" w:cs="David" w:hint="cs"/>
          <w:sz w:val="24"/>
          <w:szCs w:val="24"/>
          <w:rtl/>
        </w:rPr>
        <w:t xml:space="preserve">עולה מהתבססותו </w:t>
      </w:r>
      <w:r w:rsidRPr="005601E9">
        <w:rPr>
          <w:rFonts w:ascii="Times New Roman" w:eastAsia="Times New Roman" w:hAnsi="Times New Roman" w:cs="David"/>
          <w:sz w:val="24"/>
          <w:szCs w:val="24"/>
          <w:rtl/>
        </w:rPr>
        <w:t>על הדרך שבה מפרשים את עקרונות השוויון והצדק.</w:t>
      </w:r>
      <w:r w:rsidRPr="005601E9">
        <w:rPr>
          <w:rFonts w:ascii="Times New Roman" w:eastAsia="Times New Roman" w:hAnsi="Times New Roman" w:cs="David"/>
          <w:sz w:val="24"/>
          <w:szCs w:val="24"/>
          <w:vertAlign w:val="superscript"/>
          <w:rtl/>
        </w:rPr>
        <w:footnoteReference w:id="7"/>
      </w:r>
      <w:r w:rsidRPr="005601E9">
        <w:rPr>
          <w:rFonts w:ascii="Times New Roman" w:eastAsia="Times New Roman" w:hAnsi="Times New Roman" w:cs="David"/>
          <w:sz w:val="24"/>
          <w:szCs w:val="24"/>
          <w:rtl/>
        </w:rPr>
        <w:t xml:space="preserve"> התומכים בת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כניות של העדפה מתקנת </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המתנגדים </w:t>
      </w:r>
      <w:r w:rsidRPr="005601E9">
        <w:rPr>
          <w:rFonts w:ascii="Times New Roman" w:eastAsia="Times New Roman" w:hAnsi="Times New Roman" w:cs="David" w:hint="cs"/>
          <w:sz w:val="24"/>
          <w:szCs w:val="24"/>
          <w:rtl/>
        </w:rPr>
        <w:t xml:space="preserve">להן </w:t>
      </w:r>
      <w:r w:rsidRPr="005601E9">
        <w:rPr>
          <w:rFonts w:ascii="Times New Roman" w:eastAsia="Times New Roman" w:hAnsi="Times New Roman" w:cs="David"/>
          <w:sz w:val="24"/>
          <w:szCs w:val="24"/>
          <w:rtl/>
        </w:rPr>
        <w:t>חלוקים ביניהם ב</w:t>
      </w:r>
      <w:r w:rsidRPr="005601E9">
        <w:rPr>
          <w:rFonts w:ascii="Times New Roman" w:eastAsia="Times New Roman" w:hAnsi="Times New Roman" w:cs="David" w:hint="cs"/>
          <w:sz w:val="24"/>
          <w:szCs w:val="24"/>
          <w:rtl/>
        </w:rPr>
        <w:t>נוגע ל</w:t>
      </w:r>
      <w:r w:rsidRPr="005601E9">
        <w:rPr>
          <w:rFonts w:ascii="Times New Roman" w:eastAsia="Times New Roman" w:hAnsi="Times New Roman" w:cs="David"/>
          <w:sz w:val="24"/>
          <w:szCs w:val="24"/>
          <w:rtl/>
        </w:rPr>
        <w:t>פרשנות</w:t>
      </w:r>
      <w:r w:rsidRPr="005601E9">
        <w:rPr>
          <w:rFonts w:ascii="Times New Roman" w:eastAsia="Times New Roman" w:hAnsi="Times New Roman" w:cs="David" w:hint="cs"/>
          <w:sz w:val="24"/>
          <w:szCs w:val="24"/>
          <w:rtl/>
        </w:rPr>
        <w:t>ו של</w:t>
      </w:r>
      <w:r w:rsidRPr="005601E9">
        <w:rPr>
          <w:rFonts w:ascii="Times New Roman" w:eastAsia="Times New Roman" w:hAnsi="Times New Roman" w:cs="David"/>
          <w:sz w:val="24"/>
          <w:szCs w:val="24"/>
          <w:rtl/>
        </w:rPr>
        <w:t xml:space="preserve"> המונח </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עקרון השוויון</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 xml:space="preserve">זה הפורמלי </w:t>
      </w:r>
      <w:r w:rsidRPr="005601E9">
        <w:rPr>
          <w:rFonts w:ascii="Times New Roman" w:eastAsia="Times New Roman" w:hAnsi="Times New Roman" w:cs="David" w:hint="cs"/>
          <w:sz w:val="24"/>
          <w:szCs w:val="24"/>
          <w:rtl/>
        </w:rPr>
        <w:t xml:space="preserve">לעומת </w:t>
      </w:r>
      <w:r w:rsidRPr="005601E9">
        <w:rPr>
          <w:rFonts w:ascii="Times New Roman" w:eastAsia="Times New Roman" w:hAnsi="Times New Roman" w:cs="David"/>
          <w:sz w:val="24"/>
          <w:szCs w:val="24"/>
          <w:rtl/>
        </w:rPr>
        <w:t>זה המהותי.</w:t>
      </w:r>
      <w:bookmarkStart w:id="23" w:name="_Ref508639453"/>
      <w:r w:rsidRPr="005601E9">
        <w:rPr>
          <w:rFonts w:ascii="Times New Roman" w:eastAsia="Times New Roman" w:hAnsi="Times New Roman" w:cs="David"/>
          <w:sz w:val="24"/>
          <w:szCs w:val="24"/>
          <w:vertAlign w:val="superscript"/>
          <w:rtl/>
        </w:rPr>
        <w:footnoteReference w:id="8"/>
      </w:r>
      <w:bookmarkEnd w:id="23"/>
      <w:r w:rsidR="0023144B">
        <w:rPr>
          <w:rFonts w:ascii="Times New Roman" w:eastAsia="Times New Roman" w:hAnsi="Times New Roman" w:cs="David" w:hint="cs"/>
          <w:sz w:val="24"/>
          <w:szCs w:val="24"/>
          <w:rtl/>
        </w:rPr>
        <w:t xml:space="preserve"> </w:t>
      </w:r>
    </w:p>
    <w:p w:rsidR="005601E9" w:rsidRPr="005601E9" w:rsidRDefault="005601E9" w:rsidP="005601E9">
      <w:pPr>
        <w:spacing w:after="0" w:line="360" w:lineRule="auto"/>
        <w:ind w:firstLine="284"/>
        <w:jc w:val="both"/>
        <w:rPr>
          <w:rFonts w:ascii="Times New Roman" w:eastAsia="Times New Roman" w:hAnsi="Times New Roman" w:cs="David"/>
          <w:sz w:val="24"/>
          <w:szCs w:val="24"/>
          <w:rtl/>
        </w:rPr>
      </w:pPr>
      <w:r w:rsidRPr="005601E9">
        <w:rPr>
          <w:rFonts w:ascii="Times New Roman" w:eastAsia="Times New Roman" w:hAnsi="Times New Roman" w:cs="David"/>
          <w:sz w:val="24"/>
          <w:szCs w:val="24"/>
          <w:rtl/>
        </w:rPr>
        <w:t xml:space="preserve">השוויון הפורמלי הוא מדד השוויון האישי המושג כאשר לכל פרט באוכלוסייה ניתנת הזדמנות שווה לקדם את רצונותיו ושאיפותיו האישיות מבלי שאחרים יחסמו את דרכו. </w:t>
      </w:r>
      <w:r w:rsidRPr="005601E9">
        <w:rPr>
          <w:rFonts w:ascii="Times New Roman" w:eastAsia="Times New Roman" w:hAnsi="Times New Roman" w:cs="David" w:hint="cs"/>
          <w:sz w:val="24"/>
          <w:szCs w:val="24"/>
          <w:rtl/>
        </w:rPr>
        <w:t xml:space="preserve">במובנו הפורמלי </w:t>
      </w:r>
      <w:r w:rsidRPr="005601E9">
        <w:rPr>
          <w:rFonts w:ascii="Times New Roman" w:eastAsia="Times New Roman" w:hAnsi="Times New Roman" w:cs="David"/>
          <w:sz w:val="24"/>
          <w:szCs w:val="24"/>
          <w:rtl/>
        </w:rPr>
        <w:t xml:space="preserve">על המדינה להתייחס </w:t>
      </w:r>
      <w:r w:rsidRPr="005601E9">
        <w:rPr>
          <w:rFonts w:ascii="Times New Roman" w:eastAsia="Times New Roman" w:hAnsi="Times New Roman" w:cs="David" w:hint="cs"/>
          <w:sz w:val="24"/>
          <w:szCs w:val="24"/>
          <w:rtl/>
        </w:rPr>
        <w:t xml:space="preserve">לשוויון כאל </w:t>
      </w:r>
      <w:r w:rsidRPr="005601E9">
        <w:rPr>
          <w:rFonts w:ascii="Times New Roman" w:eastAsia="Times New Roman" w:hAnsi="Times New Roman" w:cs="David"/>
          <w:sz w:val="24"/>
          <w:szCs w:val="24"/>
          <w:rtl/>
        </w:rPr>
        <w:t>זכות או חירות שלילית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המורה לאחרים לסגת ממתחם הפרט. אולם הצורך בת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כניות להעדפה מתקנת עולה </w:t>
      </w:r>
      <w:r w:rsidRPr="005601E9">
        <w:rPr>
          <w:rFonts w:ascii="Times New Roman" w:eastAsia="Times New Roman" w:hAnsi="Times New Roman" w:cs="David" w:hint="cs"/>
          <w:sz w:val="24"/>
          <w:szCs w:val="24"/>
          <w:rtl/>
        </w:rPr>
        <w:t>ל</w:t>
      </w:r>
      <w:r w:rsidRPr="005601E9">
        <w:rPr>
          <w:rFonts w:ascii="Times New Roman" w:eastAsia="Times New Roman" w:hAnsi="Times New Roman" w:cs="David"/>
          <w:sz w:val="24"/>
          <w:szCs w:val="24"/>
          <w:rtl/>
        </w:rPr>
        <w:t xml:space="preserve">נוכח נקודת המוצא שקיימות קבוצות באוכלוסייה </w:t>
      </w:r>
      <w:r w:rsidRPr="005601E9">
        <w:rPr>
          <w:rFonts w:ascii="Times New Roman" w:eastAsia="Times New Roman" w:hAnsi="Times New Roman" w:cs="David" w:hint="cs"/>
          <w:sz w:val="24"/>
          <w:szCs w:val="24"/>
          <w:rtl/>
        </w:rPr>
        <w:t>א</w:t>
      </w:r>
      <w:r w:rsidRPr="005601E9">
        <w:rPr>
          <w:rFonts w:ascii="Times New Roman" w:eastAsia="Times New Roman" w:hAnsi="Times New Roman" w:cs="David"/>
          <w:sz w:val="24"/>
          <w:szCs w:val="24"/>
          <w:rtl/>
        </w:rPr>
        <w:t>ש</w:t>
      </w:r>
      <w:r w:rsidRPr="005601E9">
        <w:rPr>
          <w:rFonts w:ascii="Times New Roman" w:eastAsia="Times New Roman" w:hAnsi="Times New Roman" w:cs="David" w:hint="cs"/>
          <w:sz w:val="24"/>
          <w:szCs w:val="24"/>
          <w:rtl/>
        </w:rPr>
        <w:t xml:space="preserve">ר </w:t>
      </w:r>
      <w:r w:rsidRPr="005601E9">
        <w:rPr>
          <w:rFonts w:ascii="Times New Roman" w:eastAsia="Times New Roman" w:hAnsi="Times New Roman" w:cs="David"/>
          <w:sz w:val="24"/>
          <w:szCs w:val="24"/>
          <w:rtl/>
        </w:rPr>
        <w:t>במרוצת חייהן נתקלו בחסמים ועל</w:t>
      </w:r>
      <w:r w:rsidRPr="005601E9">
        <w:rPr>
          <w:rFonts w:ascii="Times New Roman" w:eastAsia="Calibri" w:hAnsi="Times New Roman" w:cs="David" w:hint="cs"/>
          <w:sz w:val="24"/>
          <w:szCs w:val="24"/>
          <w:rtl/>
        </w:rPr>
        <w:t>־</w:t>
      </w:r>
      <w:r w:rsidRPr="005601E9">
        <w:rPr>
          <w:rFonts w:ascii="Times New Roman" w:eastAsia="Times New Roman" w:hAnsi="Times New Roman" w:cs="David"/>
          <w:sz w:val="24"/>
          <w:szCs w:val="24"/>
          <w:rtl/>
        </w:rPr>
        <w:t>כן נקודת הפתיחה שלהן בהתמודדות על משרה פלונית</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 xml:space="preserve">נמוכה יותר. לפיכך קיים קושי באימוץ השוויון הפורמלי בהיבט של העדפה מתקנת. הצורך בהעדפה מתקנת </w:t>
      </w:r>
      <w:r w:rsidRPr="005601E9">
        <w:rPr>
          <w:rFonts w:ascii="Times New Roman" w:eastAsia="Times New Roman" w:hAnsi="Times New Roman" w:cs="David" w:hint="cs"/>
          <w:sz w:val="24"/>
          <w:szCs w:val="24"/>
          <w:rtl/>
        </w:rPr>
        <w:t xml:space="preserve">משמיע </w:t>
      </w:r>
      <w:r w:rsidRPr="005601E9">
        <w:rPr>
          <w:rFonts w:ascii="Times New Roman" w:eastAsia="Times New Roman" w:hAnsi="Times New Roman" w:cs="David"/>
          <w:sz w:val="24"/>
          <w:szCs w:val="24"/>
          <w:rtl/>
        </w:rPr>
        <w:t>זכות או חירות חיובית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כלומר, מתן קידום או העדפה לאוכלוסיות מסוימות כדי לצמצם את </w:t>
      </w:r>
      <w:r w:rsidRPr="005601E9">
        <w:rPr>
          <w:rFonts w:ascii="Times New Roman" w:eastAsia="Times New Roman" w:hAnsi="Times New Roman" w:cs="David" w:hint="cs"/>
          <w:sz w:val="24"/>
          <w:szCs w:val="24"/>
          <w:rtl/>
        </w:rPr>
        <w:t xml:space="preserve">הפערים בין </w:t>
      </w:r>
      <w:r w:rsidRPr="005601E9">
        <w:rPr>
          <w:rFonts w:ascii="Times New Roman" w:eastAsia="Times New Roman" w:hAnsi="Times New Roman" w:cs="David"/>
          <w:sz w:val="24"/>
          <w:szCs w:val="24"/>
          <w:rtl/>
        </w:rPr>
        <w:t>נקוד</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ת הפתיחה השונ</w:t>
      </w:r>
      <w:r w:rsidRPr="005601E9">
        <w:rPr>
          <w:rFonts w:ascii="Times New Roman" w:eastAsia="Times New Roman" w:hAnsi="Times New Roman" w:cs="David" w:hint="cs"/>
          <w:sz w:val="24"/>
          <w:szCs w:val="24"/>
          <w:rtl/>
        </w:rPr>
        <w:t>ות</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 xml:space="preserve">למתן </w:t>
      </w:r>
      <w:r w:rsidRPr="005601E9">
        <w:rPr>
          <w:rFonts w:ascii="Times New Roman" w:eastAsia="Times New Roman" w:hAnsi="Times New Roman" w:cs="David"/>
          <w:sz w:val="24"/>
          <w:szCs w:val="24"/>
          <w:rtl/>
        </w:rPr>
        <w:t xml:space="preserve">העדפה לקבוצה מסוימת </w:t>
      </w:r>
      <w:r w:rsidRPr="005601E9">
        <w:rPr>
          <w:rFonts w:ascii="Times New Roman" w:eastAsia="Times New Roman" w:hAnsi="Times New Roman" w:cs="David" w:hint="cs"/>
          <w:sz w:val="24"/>
          <w:szCs w:val="24"/>
          <w:rtl/>
        </w:rPr>
        <w:t xml:space="preserve">תתלווה </w:t>
      </w:r>
      <w:r w:rsidRPr="005601E9">
        <w:rPr>
          <w:rFonts w:ascii="Times New Roman" w:eastAsia="Times New Roman" w:hAnsi="Times New Roman" w:cs="David"/>
          <w:sz w:val="24"/>
          <w:szCs w:val="24"/>
          <w:rtl/>
        </w:rPr>
        <w:t>תמיד פגיעה בזכותו של אחר, לרוב זה שאינו משתייך לקבוצת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w:t>
      </w:r>
      <w:r w:rsidRPr="005601E9">
        <w:rPr>
          <w:rFonts w:ascii="Times New Roman" w:eastAsia="Times New Roman" w:hAnsi="Times New Roman" w:cs="David" w:hint="cs"/>
          <w:sz w:val="24"/>
          <w:szCs w:val="24"/>
          <w:rtl/>
        </w:rPr>
        <w:t>מטרה</w:t>
      </w:r>
      <w:r w:rsidRPr="005601E9">
        <w:rPr>
          <w:rFonts w:ascii="Times New Roman" w:eastAsia="Times New Roman" w:hAnsi="Times New Roman" w:cs="David"/>
          <w:sz w:val="24"/>
          <w:szCs w:val="24"/>
          <w:rtl/>
        </w:rPr>
        <w:t>.</w:t>
      </w:r>
      <w:bookmarkStart w:id="24" w:name="_Ref175052476"/>
      <w:r w:rsidRPr="005601E9">
        <w:rPr>
          <w:rFonts w:ascii="Times New Roman" w:eastAsia="Times New Roman" w:hAnsi="Times New Roman" w:cs="David"/>
          <w:sz w:val="24"/>
          <w:szCs w:val="24"/>
          <w:vertAlign w:val="superscript"/>
          <w:rtl/>
        </w:rPr>
        <w:footnoteReference w:id="9"/>
      </w:r>
      <w:bookmarkEnd w:id="24"/>
      <w:r w:rsidRPr="005601E9">
        <w:rPr>
          <w:rFonts w:ascii="Times New Roman" w:eastAsia="Times New Roman" w:hAnsi="Times New Roman" w:cs="David"/>
          <w:sz w:val="24"/>
          <w:szCs w:val="24"/>
          <w:rtl/>
        </w:rPr>
        <w:t xml:space="preserve"> קושי נוסף הוא בהיבט הכוללני, הקיבוצי, של הפעלת ההעדפה המתקנת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אנו קובעים מראש מי הן אותן קבוצות מופלות שלגביהן נחיל העדפה מתקנת, ולוקים בהנחה בסיסית מוטעית שלפיה כל חברי הקבוצה </w:t>
      </w:r>
      <w:r w:rsidRPr="005601E9">
        <w:rPr>
          <w:rFonts w:ascii="Times New Roman" w:eastAsia="Times New Roman" w:hAnsi="Times New Roman" w:cs="David" w:hint="cs"/>
          <w:sz w:val="24"/>
          <w:szCs w:val="24"/>
          <w:rtl/>
        </w:rPr>
        <w:t xml:space="preserve">הופלו </w:t>
      </w:r>
      <w:r w:rsidRPr="005601E9">
        <w:rPr>
          <w:rFonts w:ascii="Times New Roman" w:eastAsia="Times New Roman" w:hAnsi="Times New Roman" w:cs="David"/>
          <w:sz w:val="24"/>
          <w:szCs w:val="24"/>
          <w:rtl/>
        </w:rPr>
        <w:t xml:space="preserve">בעבר. לדעת </w:t>
      </w:r>
      <w:r w:rsidRPr="005601E9">
        <w:rPr>
          <w:rFonts w:ascii="Times New Roman" w:eastAsia="Times New Roman" w:hAnsi="Times New Roman" w:cs="David"/>
          <w:sz w:val="24"/>
          <w:szCs w:val="24"/>
          <w:rtl/>
        </w:rPr>
        <w:lastRenderedPageBreak/>
        <w:t>תומכי השוויון הפורמלי, העדפה מתקנת תהיה מוצדקת רק מקום שהפרט הוכיח אפליה אישית וישירה כלפיו.</w:t>
      </w:r>
      <w:bookmarkStart w:id="25" w:name="_Ref508639439"/>
      <w:r w:rsidRPr="005601E9">
        <w:rPr>
          <w:rFonts w:ascii="Times New Roman" w:eastAsia="Times New Roman" w:hAnsi="Times New Roman" w:cs="David"/>
          <w:sz w:val="24"/>
          <w:szCs w:val="24"/>
          <w:vertAlign w:val="superscript"/>
          <w:rtl/>
        </w:rPr>
        <w:footnoteReference w:id="10"/>
      </w:r>
      <w:bookmarkEnd w:id="25"/>
    </w:p>
    <w:p w:rsidR="005601E9" w:rsidRPr="005601E9" w:rsidRDefault="005601E9" w:rsidP="00D1421C">
      <w:pPr>
        <w:spacing w:after="0" w:line="360" w:lineRule="auto"/>
        <w:ind w:firstLine="284"/>
        <w:jc w:val="both"/>
        <w:rPr>
          <w:rFonts w:ascii="Times New Roman" w:eastAsia="Times New Roman" w:hAnsi="Times New Roman" w:cs="David"/>
          <w:sz w:val="24"/>
          <w:szCs w:val="24"/>
          <w:rtl/>
        </w:rPr>
      </w:pPr>
      <w:r w:rsidRPr="005601E9">
        <w:rPr>
          <w:rFonts w:ascii="Times New Roman" w:eastAsia="Times New Roman" w:hAnsi="Times New Roman" w:cs="David"/>
          <w:sz w:val="24"/>
          <w:szCs w:val="24"/>
          <w:rtl/>
        </w:rPr>
        <w:t>להבדיל מהשוויון הפורמלי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שמבקש להחיל תהליך מסוים, שוויוני, המתבסס על מידת המאמץ האישי ש</w:t>
      </w:r>
      <w:r w:rsidRPr="005601E9">
        <w:rPr>
          <w:rFonts w:ascii="Times New Roman" w:eastAsia="Times New Roman" w:hAnsi="Times New Roman" w:cs="David" w:hint="cs"/>
          <w:sz w:val="24"/>
          <w:szCs w:val="24"/>
          <w:rtl/>
        </w:rPr>
        <w:t xml:space="preserve">הפרט </w:t>
      </w:r>
      <w:r w:rsidRPr="005601E9">
        <w:rPr>
          <w:rFonts w:ascii="Times New Roman" w:eastAsia="Times New Roman" w:hAnsi="Times New Roman" w:cs="David"/>
          <w:sz w:val="24"/>
          <w:szCs w:val="24"/>
          <w:rtl/>
        </w:rPr>
        <w:t>משקיע, השוויון המהותי מבקש להשיג שוויון בתוצאות.</w:t>
      </w:r>
      <w:r w:rsidRPr="005601E9">
        <w:rPr>
          <w:rFonts w:ascii="Times New Roman" w:eastAsia="Times New Roman" w:hAnsi="Times New Roman" w:cs="David"/>
          <w:sz w:val="24"/>
          <w:szCs w:val="24"/>
          <w:vertAlign w:val="superscript"/>
          <w:rtl/>
        </w:rPr>
        <w:footnoteReference w:id="11"/>
      </w:r>
      <w:r w:rsidRPr="005601E9">
        <w:rPr>
          <w:rFonts w:ascii="Times New Roman" w:eastAsia="Times New Roman" w:hAnsi="Times New Roman" w:cs="David"/>
          <w:sz w:val="24"/>
          <w:szCs w:val="24"/>
          <w:rtl/>
        </w:rPr>
        <w:t xml:space="preserve"> גישה זו, </w:t>
      </w:r>
      <w:r w:rsidRPr="005601E9">
        <w:rPr>
          <w:rFonts w:ascii="Times New Roman" w:eastAsia="Times New Roman" w:hAnsi="Times New Roman" w:cs="David" w:hint="cs"/>
          <w:sz w:val="24"/>
          <w:szCs w:val="24"/>
          <w:rtl/>
        </w:rPr>
        <w:t xml:space="preserve">אשר </w:t>
      </w:r>
      <w:r w:rsidRPr="005601E9">
        <w:rPr>
          <w:rFonts w:ascii="Times New Roman" w:eastAsia="Times New Roman" w:hAnsi="Times New Roman" w:cs="David"/>
          <w:sz w:val="24"/>
          <w:szCs w:val="24"/>
          <w:rtl/>
        </w:rPr>
        <w:t>מאמצת את עקרון השוויון כזכות חיובית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 xml:space="preserve">ובהתאם לכך </w:t>
      </w:r>
      <w:r w:rsidRPr="005601E9">
        <w:rPr>
          <w:rFonts w:ascii="Times New Roman" w:eastAsia="Times New Roman" w:hAnsi="Times New Roman" w:cs="David"/>
          <w:sz w:val="24"/>
          <w:szCs w:val="24"/>
          <w:rtl/>
        </w:rPr>
        <w:t>מבקשת מהמדינה לנקוט אמצעים לתיקון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השוויון הפוגע בסיכויי</w:t>
      </w:r>
      <w:r w:rsidRPr="005601E9">
        <w:rPr>
          <w:rFonts w:ascii="Times New Roman" w:eastAsia="Times New Roman" w:hAnsi="Times New Roman" w:cs="David" w:hint="cs"/>
          <w:sz w:val="24"/>
          <w:szCs w:val="24"/>
          <w:rtl/>
        </w:rPr>
        <w:t>הן של</w:t>
      </w:r>
      <w:r w:rsidRPr="005601E9">
        <w:rPr>
          <w:rFonts w:ascii="Times New Roman" w:eastAsia="Times New Roman" w:hAnsi="Times New Roman" w:cs="David"/>
          <w:sz w:val="24"/>
          <w:szCs w:val="24"/>
          <w:rtl/>
        </w:rPr>
        <w:t xml:space="preserve"> קבוצות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w:t>
      </w:r>
      <w:r w:rsidRPr="005601E9">
        <w:rPr>
          <w:rFonts w:ascii="Times New Roman" w:eastAsia="Times New Roman" w:hAnsi="Times New Roman" w:cs="David" w:hint="cs"/>
          <w:sz w:val="24"/>
          <w:szCs w:val="24"/>
          <w:rtl/>
        </w:rPr>
        <w:t>מטרה</w:t>
      </w:r>
      <w:r w:rsidRPr="005601E9">
        <w:rPr>
          <w:rFonts w:ascii="Times New Roman" w:eastAsia="Times New Roman" w:hAnsi="Times New Roman" w:cs="David"/>
          <w:sz w:val="24"/>
          <w:szCs w:val="24"/>
          <w:rtl/>
        </w:rPr>
        <w:t xml:space="preserve"> לשוויון בקבלה לשירות המדינה, היא המכונה </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העדפה מתקנת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w:t>
      </w:r>
      <w:r w:rsidRPr="005601E9">
        <w:rPr>
          <w:rFonts w:ascii="Times New Roman" w:eastAsia="Times New Roman" w:hAnsi="Times New Roman" w:cs="David"/>
          <w:sz w:val="24"/>
          <w:szCs w:val="24"/>
          <w:vertAlign w:val="superscript"/>
          <w:rtl/>
        </w:rPr>
        <w:footnoteReference w:id="12"/>
      </w:r>
      <w:r w:rsidRPr="005601E9">
        <w:rPr>
          <w:rFonts w:ascii="Times New Roman" w:eastAsia="Times New Roman" w:hAnsi="Times New Roman" w:cs="David"/>
          <w:sz w:val="24"/>
          <w:szCs w:val="24"/>
          <w:rtl/>
        </w:rPr>
        <w:t xml:space="preserve"> לצד מונחי שוויון, ההצדקה לת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כנית העדפה מתקנת מתבססת גם על מונחי צדק. 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כנית ההעדפה המתקנת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כחלק משוויון הזדמנויות, מכירה בשוני שבין אוכלוסיות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המטרה </w:t>
      </w:r>
      <w:r w:rsidRPr="005601E9">
        <w:rPr>
          <w:rFonts w:ascii="Times New Roman" w:eastAsia="Times New Roman" w:hAnsi="Times New Roman" w:cs="David" w:hint="cs"/>
          <w:sz w:val="24"/>
          <w:szCs w:val="24"/>
          <w:rtl/>
        </w:rPr>
        <w:t>ל</w:t>
      </w:r>
      <w:r w:rsidRPr="005601E9">
        <w:rPr>
          <w:rFonts w:ascii="Times New Roman" w:eastAsia="Times New Roman" w:hAnsi="Times New Roman" w:cs="David"/>
          <w:sz w:val="24"/>
          <w:szCs w:val="24"/>
          <w:rtl/>
        </w:rPr>
        <w:t>בין אל</w:t>
      </w:r>
      <w:r w:rsidRPr="005601E9">
        <w:rPr>
          <w:rFonts w:ascii="Times New Roman" w:eastAsia="Times New Roman" w:hAnsi="Times New Roman" w:cs="David" w:hint="cs"/>
          <w:sz w:val="24"/>
          <w:szCs w:val="24"/>
          <w:rtl/>
        </w:rPr>
        <w:t>ה</w:t>
      </w:r>
      <w:r w:rsidRPr="005601E9">
        <w:rPr>
          <w:rFonts w:ascii="Times New Roman" w:eastAsia="Times New Roman" w:hAnsi="Times New Roman" w:cs="David"/>
          <w:sz w:val="24"/>
          <w:szCs w:val="24"/>
          <w:rtl/>
        </w:rPr>
        <w:t xml:space="preserve"> שאינן נמנות עם אוכלוסיות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המטרה, ומפעילה עיקרון של צדק מתקן או מפצה</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על בסיסו ניתנת עדיפות לאוכלוסיית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המטרה לשם תיקון האפליה ההיסטורית </w:t>
      </w:r>
      <w:r w:rsidRPr="005601E9">
        <w:rPr>
          <w:rFonts w:ascii="Times New Roman" w:eastAsia="Times New Roman" w:hAnsi="Times New Roman" w:cs="David" w:hint="cs"/>
          <w:sz w:val="24"/>
          <w:szCs w:val="24"/>
          <w:rtl/>
        </w:rPr>
        <w:t xml:space="preserve">שנהגה </w:t>
      </w:r>
      <w:r w:rsidRPr="005601E9">
        <w:rPr>
          <w:rFonts w:ascii="Times New Roman" w:eastAsia="Times New Roman" w:hAnsi="Times New Roman" w:cs="David"/>
          <w:sz w:val="24"/>
          <w:szCs w:val="24"/>
          <w:rtl/>
        </w:rPr>
        <w:t>כלפיה.</w:t>
      </w:r>
      <w:bookmarkStart w:id="26" w:name="_Ref508871192"/>
      <w:r w:rsidRPr="005601E9">
        <w:rPr>
          <w:rFonts w:ascii="Times New Roman" w:eastAsia="Times New Roman" w:hAnsi="Times New Roman" w:cs="David"/>
          <w:sz w:val="24"/>
          <w:szCs w:val="24"/>
          <w:vertAlign w:val="superscript"/>
          <w:rtl/>
        </w:rPr>
        <w:footnoteReference w:id="13"/>
      </w:r>
      <w:bookmarkEnd w:id="26"/>
      <w:r w:rsidRPr="005601E9">
        <w:rPr>
          <w:rFonts w:ascii="Times New Roman" w:eastAsia="Times New Roman" w:hAnsi="Times New Roman" w:cs="David"/>
          <w:sz w:val="24"/>
          <w:szCs w:val="24"/>
          <w:rtl/>
        </w:rPr>
        <w:t xml:space="preserve"> במוקד הדיון 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אודות העדפה מתקנת עומדים </w:t>
      </w:r>
      <w:r w:rsidRPr="005601E9">
        <w:rPr>
          <w:rFonts w:ascii="Times New Roman" w:eastAsia="Times New Roman" w:hAnsi="Times New Roman" w:cs="David" w:hint="cs"/>
          <w:sz w:val="24"/>
          <w:szCs w:val="24"/>
          <w:rtl/>
        </w:rPr>
        <w:t>הנ</w:t>
      </w:r>
      <w:r w:rsidRPr="005601E9">
        <w:rPr>
          <w:rFonts w:ascii="Times New Roman" w:eastAsia="Times New Roman" w:hAnsi="Times New Roman" w:cs="David"/>
          <w:sz w:val="24"/>
          <w:szCs w:val="24"/>
          <w:rtl/>
        </w:rPr>
        <w:t>סיונות להצדיק מדיניות ששואפת לסייע למי שאינו יכול לממש בפועל את החירויות והזכויות המובטחות לו 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פי חוק, ולמנוע הדרה חברתית בפועל של קבוצות אוכלוסייה. מושג ההעדפה המתקנת מבוסס על ההנחה שקיימת אפליה החודרת לכל תחומי החיים</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והוא מציע דרך לנטרולה תוך העברת הנטל אל קבוצת הרוב לנמק את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קבלתו של המועמד למשרה המשתייך ל</w:t>
      </w:r>
      <w:r w:rsidRPr="005601E9">
        <w:rPr>
          <w:rFonts w:ascii="Times New Roman" w:eastAsia="Times New Roman" w:hAnsi="Times New Roman" w:cs="David" w:hint="cs"/>
          <w:sz w:val="24"/>
          <w:szCs w:val="24"/>
          <w:rtl/>
        </w:rPr>
        <w:t>אחת מ</w:t>
      </w:r>
      <w:r w:rsidRPr="005601E9">
        <w:rPr>
          <w:rFonts w:ascii="Times New Roman" w:eastAsia="Times New Roman" w:hAnsi="Times New Roman" w:cs="David"/>
          <w:sz w:val="24"/>
          <w:szCs w:val="24"/>
          <w:rtl/>
        </w:rPr>
        <w:t>קבוצ</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המטרה בנימוקים אובייקטיביים של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התאמה, ובכך</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להגדיל את</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שיעור</w:t>
      </w:r>
      <w:r w:rsidRPr="005601E9">
        <w:rPr>
          <w:rFonts w:ascii="Times New Roman" w:eastAsia="Times New Roman" w:hAnsi="Times New Roman" w:cs="David" w:hint="cs"/>
          <w:sz w:val="24"/>
          <w:szCs w:val="24"/>
          <w:rtl/>
        </w:rPr>
        <w:t xml:space="preserve"> ייצוגן של אותן </w:t>
      </w:r>
      <w:r w:rsidRPr="005601E9">
        <w:rPr>
          <w:rFonts w:ascii="Times New Roman" w:eastAsia="Times New Roman" w:hAnsi="Times New Roman" w:cs="David"/>
          <w:sz w:val="24"/>
          <w:szCs w:val="24"/>
          <w:rtl/>
        </w:rPr>
        <w:t>קבוצות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מטרה בשירות המדינה</w:t>
      </w:r>
      <w:bookmarkStart w:id="27" w:name="_Ref508883622"/>
      <w:r>
        <w:rPr>
          <w:rFonts w:ascii="Times New Roman" w:eastAsia="Times New Roman" w:hAnsi="Times New Roman" w:cs="David" w:hint="cs"/>
          <w:sz w:val="24"/>
          <w:szCs w:val="24"/>
          <w:rtl/>
        </w:rPr>
        <w:t>.</w:t>
      </w:r>
      <w:bookmarkEnd w:id="27"/>
      <w:r w:rsidRPr="005601E9">
        <w:rPr>
          <w:rFonts w:ascii="Times New Roman" w:eastAsia="Times New Roman" w:hAnsi="Times New Roman" w:cs="David"/>
          <w:sz w:val="24"/>
          <w:szCs w:val="24"/>
          <w:rtl/>
        </w:rPr>
        <w:t xml:space="preserve"> </w:t>
      </w:r>
    </w:p>
    <w:p w:rsidR="005601E9" w:rsidRPr="005601E9" w:rsidRDefault="005601E9" w:rsidP="005601E9">
      <w:pPr>
        <w:spacing w:after="0" w:line="360" w:lineRule="auto"/>
        <w:ind w:firstLine="284"/>
        <w:jc w:val="both"/>
        <w:rPr>
          <w:rFonts w:ascii="Times New Roman" w:eastAsia="Times New Roman" w:hAnsi="Times New Roman" w:cs="David"/>
          <w:sz w:val="24"/>
          <w:szCs w:val="24"/>
          <w:rtl/>
        </w:rPr>
      </w:pPr>
      <w:r w:rsidRPr="005601E9">
        <w:rPr>
          <w:rFonts w:ascii="Times New Roman" w:eastAsia="Times New Roman" w:hAnsi="Times New Roman" w:cs="David"/>
          <w:sz w:val="24"/>
          <w:szCs w:val="24"/>
          <w:rtl/>
        </w:rPr>
        <w:t xml:space="preserve"> מלבד הצדק המתקן, יש צידוקים </w:t>
      </w:r>
      <w:r w:rsidRPr="005601E9">
        <w:rPr>
          <w:rFonts w:ascii="Times New Roman" w:eastAsia="Times New Roman" w:hAnsi="Times New Roman" w:cs="David" w:hint="cs"/>
          <w:sz w:val="24"/>
          <w:szCs w:val="24"/>
          <w:rtl/>
        </w:rPr>
        <w:t xml:space="preserve">נוספים </w:t>
      </w:r>
      <w:r w:rsidRPr="005601E9">
        <w:rPr>
          <w:rFonts w:ascii="Times New Roman" w:eastAsia="Times New Roman" w:hAnsi="Times New Roman" w:cs="David"/>
          <w:sz w:val="24"/>
          <w:szCs w:val="24"/>
          <w:rtl/>
        </w:rPr>
        <w:t xml:space="preserve">להפעלת הפעלה מתקנת </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צדק תועלתני וצדק מחלק.</w:t>
      </w:r>
      <w:bookmarkStart w:id="28" w:name="_Ref508884284"/>
      <w:r w:rsidRPr="005601E9">
        <w:rPr>
          <w:rFonts w:ascii="Times New Roman" w:eastAsia="Times New Roman" w:hAnsi="Times New Roman" w:cs="David"/>
          <w:sz w:val="24"/>
          <w:szCs w:val="24"/>
          <w:vertAlign w:val="superscript"/>
          <w:rtl/>
        </w:rPr>
        <w:footnoteReference w:id="14"/>
      </w:r>
      <w:bookmarkEnd w:id="28"/>
      <w:r w:rsidRPr="005601E9">
        <w:rPr>
          <w:rFonts w:ascii="Times New Roman" w:eastAsia="Times New Roman" w:hAnsi="Times New Roman" w:cs="David"/>
          <w:sz w:val="24"/>
          <w:szCs w:val="24"/>
          <w:rtl/>
        </w:rPr>
        <w:t xml:space="preserve"> הראשון מביט על התועלת המצרפית של החברה</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ומניח כי התועלת </w:t>
      </w:r>
      <w:r w:rsidRPr="005601E9">
        <w:rPr>
          <w:rFonts w:ascii="Times New Roman" w:eastAsia="Times New Roman" w:hAnsi="Times New Roman" w:cs="David" w:hint="cs"/>
          <w:sz w:val="24"/>
          <w:szCs w:val="24"/>
          <w:rtl/>
        </w:rPr>
        <w:t>מ</w:t>
      </w:r>
      <w:r w:rsidRPr="005601E9">
        <w:rPr>
          <w:rFonts w:ascii="Times New Roman" w:eastAsia="Times New Roman" w:hAnsi="Times New Roman" w:cs="David"/>
          <w:sz w:val="24"/>
          <w:szCs w:val="24"/>
          <w:rtl/>
        </w:rPr>
        <w:t>החלת 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כנית להעדפה מתקנת גבוהה מההשקעה או </w:t>
      </w:r>
      <w:r w:rsidRPr="005601E9">
        <w:rPr>
          <w:rFonts w:ascii="Times New Roman" w:eastAsia="Times New Roman" w:hAnsi="Times New Roman" w:cs="David" w:hint="cs"/>
          <w:sz w:val="24"/>
          <w:szCs w:val="24"/>
          <w:rtl/>
        </w:rPr>
        <w:t>מ</w:t>
      </w:r>
      <w:r w:rsidRPr="005601E9">
        <w:rPr>
          <w:rFonts w:ascii="Times New Roman" w:eastAsia="Times New Roman" w:hAnsi="Times New Roman" w:cs="David"/>
          <w:sz w:val="24"/>
          <w:szCs w:val="24"/>
          <w:rtl/>
        </w:rPr>
        <w:t xml:space="preserve">המחיר </w:t>
      </w:r>
      <w:r w:rsidRPr="005601E9">
        <w:rPr>
          <w:rFonts w:ascii="Times New Roman" w:eastAsia="Times New Roman" w:hAnsi="Times New Roman" w:cs="David" w:hint="cs"/>
          <w:sz w:val="24"/>
          <w:szCs w:val="24"/>
          <w:rtl/>
        </w:rPr>
        <w:t>הנדרשים לשם יישומה מ</w:t>
      </w:r>
      <w:r w:rsidRPr="005601E9">
        <w:rPr>
          <w:rFonts w:ascii="Times New Roman" w:eastAsia="Times New Roman" w:hAnsi="Times New Roman" w:cs="David"/>
          <w:sz w:val="24"/>
          <w:szCs w:val="24"/>
          <w:rtl/>
        </w:rPr>
        <w:t>החברה ו</w:t>
      </w:r>
      <w:r w:rsidRPr="005601E9">
        <w:rPr>
          <w:rFonts w:ascii="Times New Roman" w:eastAsia="Times New Roman" w:hAnsi="Times New Roman" w:cs="David" w:hint="cs"/>
          <w:sz w:val="24"/>
          <w:szCs w:val="24"/>
          <w:rtl/>
        </w:rPr>
        <w:t xml:space="preserve">מן </w:t>
      </w:r>
      <w:r w:rsidRPr="005601E9">
        <w:rPr>
          <w:rFonts w:ascii="Times New Roman" w:eastAsia="Times New Roman" w:hAnsi="Times New Roman" w:cs="David"/>
          <w:sz w:val="24"/>
          <w:szCs w:val="24"/>
          <w:rtl/>
        </w:rPr>
        <w:t xml:space="preserve">הפרטים שבה. התומכים בצדק תועלתני טוענים כי רק בדרך זו נוכל לשכנע את המתנגדים; רק בהיבט המצרפי נוכל לשכנע את הפרטים המשלמים </w:t>
      </w:r>
      <w:r w:rsidRPr="005601E9">
        <w:rPr>
          <w:rFonts w:ascii="Times New Roman" w:eastAsia="Times New Roman" w:hAnsi="Times New Roman" w:cs="David" w:hint="cs"/>
          <w:sz w:val="24"/>
          <w:szCs w:val="24"/>
          <w:rtl/>
        </w:rPr>
        <w:t xml:space="preserve">את </w:t>
      </w:r>
      <w:r w:rsidRPr="005601E9">
        <w:rPr>
          <w:rFonts w:ascii="Times New Roman" w:eastAsia="Times New Roman" w:hAnsi="Times New Roman" w:cs="David"/>
          <w:sz w:val="24"/>
          <w:szCs w:val="24"/>
          <w:rtl/>
        </w:rPr>
        <w:t>מחיר</w:t>
      </w:r>
      <w:r w:rsidRPr="005601E9">
        <w:rPr>
          <w:rFonts w:ascii="Times New Roman" w:eastAsia="Times New Roman" w:hAnsi="Times New Roman" w:cs="David" w:hint="cs"/>
          <w:sz w:val="24"/>
          <w:szCs w:val="24"/>
          <w:rtl/>
        </w:rPr>
        <w:t>ה של ההעדפה המתקנת שהיא אכן ראויה</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 xml:space="preserve">הצידוק </w:t>
      </w:r>
      <w:r w:rsidRPr="005601E9">
        <w:rPr>
          <w:rFonts w:ascii="Times New Roman" w:eastAsia="Times New Roman" w:hAnsi="Times New Roman" w:cs="David"/>
          <w:sz w:val="24"/>
          <w:szCs w:val="24"/>
          <w:rtl/>
        </w:rPr>
        <w:t xml:space="preserve">השני </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 xml:space="preserve">הצדק המחלק או הצדק החברתי </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מניח כי החברה מחויבת לחלק את משאביה באופן צודק</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וכי הצורך בהעדפה מתקנת עולה מקום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 xml:space="preserve">פרטים </w:t>
      </w:r>
      <w:r w:rsidRPr="005601E9">
        <w:rPr>
          <w:rFonts w:ascii="Times New Roman" w:eastAsia="Times New Roman" w:hAnsi="Times New Roman" w:cs="David" w:hint="cs"/>
          <w:sz w:val="24"/>
          <w:szCs w:val="24"/>
          <w:rtl/>
        </w:rPr>
        <w:t xml:space="preserve">שונים </w:t>
      </w:r>
      <w:r w:rsidRPr="005601E9">
        <w:rPr>
          <w:rFonts w:ascii="Times New Roman" w:eastAsia="Times New Roman" w:hAnsi="Times New Roman" w:cs="David"/>
          <w:sz w:val="24"/>
          <w:szCs w:val="24"/>
          <w:rtl/>
        </w:rPr>
        <w:t>נהנים מנתח</w:t>
      </w:r>
      <w:r w:rsidRPr="005601E9">
        <w:rPr>
          <w:rFonts w:ascii="Times New Roman" w:eastAsia="Times New Roman" w:hAnsi="Times New Roman" w:cs="David" w:hint="cs"/>
          <w:sz w:val="24"/>
          <w:szCs w:val="24"/>
          <w:rtl/>
        </w:rPr>
        <w:t>ים</w:t>
      </w:r>
      <w:r w:rsidRPr="005601E9">
        <w:rPr>
          <w:rFonts w:ascii="Times New Roman" w:eastAsia="Times New Roman" w:hAnsi="Times New Roman" w:cs="David"/>
          <w:sz w:val="24"/>
          <w:szCs w:val="24"/>
          <w:rtl/>
        </w:rPr>
        <w:t xml:space="preserve"> שונ</w:t>
      </w:r>
      <w:r w:rsidRPr="005601E9">
        <w:rPr>
          <w:rFonts w:ascii="Times New Roman" w:eastAsia="Times New Roman" w:hAnsi="Times New Roman" w:cs="David" w:hint="cs"/>
          <w:sz w:val="24"/>
          <w:szCs w:val="24"/>
          <w:rtl/>
        </w:rPr>
        <w:t>ים</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מן ה</w:t>
      </w:r>
      <w:r w:rsidRPr="005601E9">
        <w:rPr>
          <w:rFonts w:ascii="Times New Roman" w:eastAsia="Times New Roman" w:hAnsi="Times New Roman" w:cs="David"/>
          <w:sz w:val="24"/>
          <w:szCs w:val="24"/>
          <w:rtl/>
        </w:rPr>
        <w:t>עוגה החברתית המצרפית. הצדק המחלק קובע את הצורך בת</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כנית העדפה מתקנת לפי תוצאות </w:t>
      </w:r>
      <w:r w:rsidRPr="005601E9">
        <w:rPr>
          <w:rFonts w:ascii="Times New Roman" w:eastAsia="Times New Roman" w:hAnsi="Times New Roman" w:cs="David" w:hint="cs"/>
          <w:sz w:val="24"/>
          <w:szCs w:val="24"/>
          <w:rtl/>
        </w:rPr>
        <w:t>ה</w:t>
      </w:r>
      <w:r w:rsidRPr="005601E9">
        <w:rPr>
          <w:rFonts w:ascii="Times New Roman" w:eastAsia="Times New Roman" w:hAnsi="Times New Roman" w:cs="David"/>
          <w:sz w:val="24"/>
          <w:szCs w:val="24"/>
          <w:rtl/>
        </w:rPr>
        <w:t>שילוב</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ולרוב קובע יעדים ומכסות כדי לחלק את העוגה באופן שונה.</w:t>
      </w:r>
      <w:r w:rsidRPr="005601E9">
        <w:rPr>
          <w:rFonts w:ascii="Times New Roman" w:eastAsia="Times New Roman" w:hAnsi="Times New Roman" w:cs="David"/>
          <w:sz w:val="24"/>
          <w:szCs w:val="24"/>
          <w:vertAlign w:val="superscript"/>
          <w:rtl/>
        </w:rPr>
        <w:footnoteReference w:id="15"/>
      </w:r>
    </w:p>
    <w:p w:rsidR="00984894" w:rsidRPr="005601E9" w:rsidRDefault="005601E9" w:rsidP="00984894">
      <w:pPr>
        <w:spacing w:after="0" w:line="360" w:lineRule="auto"/>
        <w:ind w:firstLine="284"/>
        <w:jc w:val="both"/>
        <w:rPr>
          <w:rFonts w:ascii="Times New Roman" w:eastAsia="Times New Roman" w:hAnsi="Times New Roman" w:cs="David"/>
          <w:sz w:val="24"/>
          <w:szCs w:val="24"/>
          <w:rtl/>
        </w:rPr>
      </w:pPr>
      <w:r w:rsidRPr="005601E9">
        <w:rPr>
          <w:rFonts w:ascii="Times New Roman" w:eastAsia="Times New Roman" w:hAnsi="Times New Roman" w:cs="David"/>
          <w:sz w:val="24"/>
          <w:szCs w:val="24"/>
          <w:rtl/>
        </w:rPr>
        <w:t xml:space="preserve">הטיעון הרולסיאני </w:t>
      </w:r>
      <w:r w:rsidRPr="005601E9">
        <w:rPr>
          <w:rFonts w:ascii="Times New Roman" w:eastAsia="Times New Roman" w:hAnsi="Times New Roman" w:cs="David" w:hint="cs"/>
          <w:sz w:val="24"/>
          <w:szCs w:val="24"/>
          <w:rtl/>
        </w:rPr>
        <w:t xml:space="preserve">בנוגע </w:t>
      </w:r>
      <w:r w:rsidRPr="005601E9">
        <w:rPr>
          <w:rFonts w:ascii="Times New Roman" w:eastAsia="Times New Roman" w:hAnsi="Times New Roman" w:cs="David"/>
          <w:sz w:val="24"/>
          <w:szCs w:val="24"/>
          <w:rtl/>
        </w:rPr>
        <w:t>למושגי הצדק והשוויון מורכב מרבדים שונים ומחבר בין שני המושגים, אך בעוד מושג הצדק מוגדר באופן גרעיני וענייני, הקודם לשוויון, מושג השוויון מצומצם ומותאם לתפיסת הצדק. מבלי להיכנס לעומקו של הדיון המשפטי</w:t>
      </w:r>
      <w:r w:rsidRPr="005601E9">
        <w:rPr>
          <w:rFonts w:ascii="Times New Roman" w:eastAsia="Times New Roman" w:hAnsi="Times New Roman" w:cs="David" w:hint="cs"/>
          <w:sz w:val="24"/>
          <w:szCs w:val="24"/>
          <w:rtl/>
        </w:rPr>
        <w:t>־הפילוסופי</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רולס</w:t>
      </w:r>
      <w:r w:rsidRPr="005601E9">
        <w:rPr>
          <w:rFonts w:ascii="Times New Roman" w:eastAsia="Times New Roman" w:hAnsi="Times New Roman" w:cs="David" w:hint="cs"/>
          <w:sz w:val="24"/>
          <w:szCs w:val="24"/>
          <w:rtl/>
        </w:rPr>
        <w:t xml:space="preserve"> מציע</w:t>
      </w:r>
      <w:r w:rsidRPr="005601E9">
        <w:rPr>
          <w:rFonts w:ascii="Times New Roman" w:eastAsia="Times New Roman" w:hAnsi="Times New Roman" w:cs="David"/>
          <w:sz w:val="24"/>
          <w:szCs w:val="24"/>
          <w:rtl/>
        </w:rPr>
        <w:t xml:space="preserve">, אבקש לעמוד על </w:t>
      </w:r>
      <w:r w:rsidRPr="005601E9">
        <w:rPr>
          <w:rFonts w:ascii="Times New Roman" w:eastAsia="Times New Roman" w:hAnsi="Times New Roman" w:cs="David" w:hint="cs"/>
          <w:sz w:val="24"/>
          <w:szCs w:val="24"/>
          <w:rtl/>
        </w:rPr>
        <w:t>ה</w:t>
      </w:r>
      <w:r w:rsidRPr="005601E9">
        <w:rPr>
          <w:rFonts w:ascii="Times New Roman" w:eastAsia="Times New Roman" w:hAnsi="Times New Roman" w:cs="David"/>
          <w:sz w:val="24"/>
          <w:szCs w:val="24"/>
          <w:rtl/>
        </w:rPr>
        <w:t xml:space="preserve">בחנות מסוימות העולות מכתביו. תפיסתו של </w:t>
      </w:r>
      <w:r w:rsidRPr="005601E9">
        <w:rPr>
          <w:rFonts w:ascii="Times New Roman" w:eastAsia="Times New Roman" w:hAnsi="Times New Roman" w:cs="David" w:hint="cs"/>
          <w:sz w:val="24"/>
          <w:szCs w:val="24"/>
          <w:rtl/>
        </w:rPr>
        <w:t>רולס בנוגע ל</w:t>
      </w:r>
      <w:r w:rsidRPr="005601E9">
        <w:rPr>
          <w:rFonts w:ascii="Times New Roman" w:eastAsia="Times New Roman" w:hAnsi="Times New Roman" w:cs="David"/>
          <w:sz w:val="24"/>
          <w:szCs w:val="24"/>
          <w:rtl/>
        </w:rPr>
        <w:t xml:space="preserve">מושג הצדק היא תפיסה פוליטית </w:t>
      </w:r>
      <w:r w:rsidRPr="005601E9">
        <w:rPr>
          <w:rFonts w:ascii="Times New Roman" w:eastAsia="Times New Roman" w:hAnsi="Times New Roman" w:cs="David"/>
          <w:sz w:val="24"/>
          <w:szCs w:val="24"/>
          <w:rtl/>
        </w:rPr>
        <w:lastRenderedPageBreak/>
        <w:t xml:space="preserve">המתייחסת לאופן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בו מוסדות או נהלים חברתיים יכולים להגדיר עמדות או משרות.</w:t>
      </w:r>
      <w:r w:rsidRPr="005601E9">
        <w:rPr>
          <w:rFonts w:ascii="Times New Roman" w:eastAsia="Times New Roman" w:hAnsi="Times New Roman" w:cs="David"/>
          <w:sz w:val="24"/>
          <w:szCs w:val="24"/>
          <w:vertAlign w:val="superscript"/>
          <w:rtl/>
        </w:rPr>
        <w:footnoteReference w:id="16"/>
      </w:r>
      <w:r w:rsidRPr="005601E9">
        <w:rPr>
          <w:rFonts w:ascii="Times New Roman" w:eastAsia="Times New Roman" w:hAnsi="Times New Roman" w:cs="David"/>
          <w:sz w:val="24"/>
          <w:szCs w:val="24"/>
          <w:rtl/>
        </w:rPr>
        <w:t xml:space="preserve"> מדיניות </w:t>
      </w:r>
      <w:r w:rsidRPr="005601E9">
        <w:rPr>
          <w:rFonts w:ascii="Times New Roman" w:eastAsia="Times New Roman" w:hAnsi="Times New Roman" w:cs="David" w:hint="cs"/>
          <w:sz w:val="24"/>
          <w:szCs w:val="24"/>
          <w:rtl/>
        </w:rPr>
        <w:t xml:space="preserve">של </w:t>
      </w:r>
      <w:r w:rsidRPr="005601E9">
        <w:rPr>
          <w:rFonts w:ascii="Times New Roman" w:eastAsia="Times New Roman" w:hAnsi="Times New Roman" w:cs="David"/>
          <w:sz w:val="24"/>
          <w:szCs w:val="24"/>
          <w:rtl/>
        </w:rPr>
        <w:t>העדפה מתקנת (</w:t>
      </w:r>
      <w:r w:rsidRPr="005601E9">
        <w:rPr>
          <w:rFonts w:ascii="Times New Roman" w:eastAsia="Times New Roman" w:hAnsi="Times New Roman" w:cs="David"/>
          <w:sz w:val="24"/>
          <w:szCs w:val="24"/>
        </w:rPr>
        <w:t>affirmative action</w:t>
      </w:r>
      <w:r w:rsidRPr="005601E9">
        <w:rPr>
          <w:rFonts w:ascii="Times New Roman" w:eastAsia="Times New Roman" w:hAnsi="Times New Roman" w:cs="David"/>
          <w:sz w:val="24"/>
          <w:szCs w:val="24"/>
          <w:rtl/>
        </w:rPr>
        <w:t>) מנסה להתמודד עם בעיית החלוקה הצודקת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ומקדמת עקרונות של צדק חלוקתי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היא נגזרת מעקרון השוויון</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ומטרתה להתוות מדיניות משפטית שעל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פיה יהיה </w:t>
      </w:r>
      <w:r w:rsidRPr="005601E9">
        <w:rPr>
          <w:rFonts w:ascii="Times New Roman" w:eastAsia="Times New Roman" w:hAnsi="Times New Roman" w:cs="David" w:hint="cs"/>
          <w:sz w:val="24"/>
          <w:szCs w:val="24"/>
          <w:rtl/>
        </w:rPr>
        <w:t xml:space="preserve">אפשר </w:t>
      </w:r>
      <w:r w:rsidRPr="005601E9">
        <w:rPr>
          <w:rFonts w:ascii="Times New Roman" w:eastAsia="Times New Roman" w:hAnsi="Times New Roman" w:cs="David"/>
          <w:sz w:val="24"/>
          <w:szCs w:val="24"/>
          <w:rtl/>
        </w:rPr>
        <w:t>להגשים את עקרון השוויון כנורמה חברתית תוצאתית – צדק כהוגנו</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ת.</w:t>
      </w:r>
      <w:bookmarkStart w:id="29" w:name="_Ref508889616"/>
      <w:r w:rsidRPr="005601E9">
        <w:rPr>
          <w:rFonts w:ascii="Times New Roman" w:eastAsia="Times New Roman" w:hAnsi="Times New Roman" w:cs="David"/>
          <w:sz w:val="24"/>
          <w:szCs w:val="24"/>
          <w:vertAlign w:val="superscript"/>
          <w:rtl/>
        </w:rPr>
        <w:footnoteReference w:id="17"/>
      </w:r>
      <w:bookmarkEnd w:id="29"/>
      <w:r w:rsidRPr="005601E9">
        <w:rPr>
          <w:rFonts w:ascii="Times New Roman" w:eastAsia="Times New Roman" w:hAnsi="Times New Roman" w:cs="David"/>
          <w:sz w:val="24"/>
          <w:szCs w:val="24"/>
          <w:rtl/>
        </w:rPr>
        <w:t xml:space="preserve"> מדיניות זו מצדיקה את עליונות</w:t>
      </w:r>
      <w:r w:rsidRPr="005601E9">
        <w:rPr>
          <w:rFonts w:ascii="Times New Roman" w:eastAsia="Times New Roman" w:hAnsi="Times New Roman" w:cs="David" w:hint="cs"/>
          <w:sz w:val="24"/>
          <w:szCs w:val="24"/>
          <w:rtl/>
        </w:rPr>
        <w:t>ו של</w:t>
      </w:r>
      <w:r w:rsidRPr="005601E9">
        <w:rPr>
          <w:rFonts w:ascii="Times New Roman" w:eastAsia="Times New Roman" w:hAnsi="Times New Roman" w:cs="David"/>
          <w:sz w:val="24"/>
          <w:szCs w:val="24"/>
          <w:rtl/>
        </w:rPr>
        <w:t xml:space="preserve"> עקרון השוויון על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השוויון בנוגע לחלוקה של עמדות ומשרות. קדימות זו של עקרון השוויון </w:t>
      </w:r>
      <w:r w:rsidRPr="005601E9">
        <w:rPr>
          <w:rFonts w:ascii="Times New Roman" w:eastAsia="Times New Roman" w:hAnsi="Times New Roman" w:cs="David" w:hint="cs"/>
          <w:sz w:val="24"/>
          <w:szCs w:val="24"/>
          <w:rtl/>
        </w:rPr>
        <w:t xml:space="preserve">מיועדת </w:t>
      </w:r>
      <w:r w:rsidRPr="005601E9">
        <w:rPr>
          <w:rFonts w:ascii="Times New Roman" w:eastAsia="Times New Roman" w:hAnsi="Times New Roman" w:cs="David"/>
          <w:sz w:val="24"/>
          <w:szCs w:val="24"/>
          <w:rtl/>
        </w:rPr>
        <w:t>להבטיח את החירות הפוליטית כחלק מחירויות האזרח הבסיסיות.</w:t>
      </w:r>
      <w:bookmarkStart w:id="30" w:name="_Ref508888478"/>
      <w:r w:rsidRPr="005601E9">
        <w:rPr>
          <w:rFonts w:ascii="Times New Roman" w:eastAsia="Times New Roman" w:hAnsi="Times New Roman" w:cs="David"/>
          <w:sz w:val="24"/>
          <w:szCs w:val="24"/>
          <w:vertAlign w:val="superscript"/>
          <w:rtl/>
        </w:rPr>
        <w:footnoteReference w:id="18"/>
      </w:r>
      <w:bookmarkEnd w:id="30"/>
      <w:r w:rsidRPr="005601E9">
        <w:rPr>
          <w:rFonts w:ascii="Times New Roman" w:eastAsia="Times New Roman" w:hAnsi="Times New Roman" w:cs="David"/>
          <w:sz w:val="24"/>
          <w:szCs w:val="24"/>
          <w:rtl/>
        </w:rPr>
        <w:t xml:space="preserve"> האפשרות להעדיף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שוויון במקרים עקרוניים</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כדי לקדם שוויון הזדמנויות הוגן בקבלה למשרות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קיימת </w:t>
      </w:r>
      <w:r w:rsidRPr="005601E9">
        <w:rPr>
          <w:rFonts w:ascii="Times New Roman" w:eastAsia="Times New Roman" w:hAnsi="Times New Roman" w:cs="David" w:hint="cs"/>
          <w:sz w:val="24"/>
          <w:szCs w:val="24"/>
          <w:rtl/>
        </w:rPr>
        <w:t xml:space="preserve">רק </w:t>
      </w:r>
      <w:r w:rsidRPr="005601E9">
        <w:rPr>
          <w:rFonts w:ascii="Times New Roman" w:eastAsia="Times New Roman" w:hAnsi="Times New Roman" w:cs="David"/>
          <w:sz w:val="24"/>
          <w:szCs w:val="24"/>
          <w:rtl/>
        </w:rPr>
        <w:t>כדי לווסת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שוויון ולתקן השפעות חברתיות מתמשכות. באופן זה חלוקת העוגה חשובה לנו יותר מאשר יעילות חלוק</w:t>
      </w:r>
      <w:r w:rsidRPr="005601E9">
        <w:rPr>
          <w:rFonts w:ascii="Times New Roman" w:eastAsia="Times New Roman" w:hAnsi="Times New Roman" w:cs="David" w:hint="cs"/>
          <w:sz w:val="24"/>
          <w:szCs w:val="24"/>
          <w:rtl/>
        </w:rPr>
        <w:t>ת</w:t>
      </w:r>
      <w:r w:rsidRPr="005601E9">
        <w:rPr>
          <w:rFonts w:ascii="Times New Roman" w:eastAsia="Times New Roman" w:hAnsi="Times New Roman" w:cs="David"/>
          <w:sz w:val="24"/>
          <w:szCs w:val="24"/>
          <w:rtl/>
        </w:rPr>
        <w:t>ה.</w:t>
      </w:r>
      <w:r w:rsidRPr="005601E9">
        <w:rPr>
          <w:rFonts w:ascii="Times New Roman" w:eastAsia="Times New Roman" w:hAnsi="Times New Roman" w:cs="David"/>
          <w:sz w:val="24"/>
          <w:szCs w:val="24"/>
          <w:vertAlign w:val="superscript"/>
          <w:rtl/>
        </w:rPr>
        <w:footnoteReference w:id="19"/>
      </w:r>
      <w:r w:rsidRPr="005601E9">
        <w:rPr>
          <w:rFonts w:ascii="Times New Roman" w:eastAsia="Times New Roman" w:hAnsi="Times New Roman" w:cs="David"/>
          <w:sz w:val="24"/>
          <w:szCs w:val="24"/>
          <w:rtl/>
        </w:rPr>
        <w:t xml:space="preserve"> מאחורי </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מסך הבערות</w:t>
      </w:r>
      <w:r w:rsidRPr="005601E9">
        <w:rPr>
          <w:rFonts w:ascii="Times New Roman" w:eastAsia="Times New Roman" w:hAnsi="Times New Roman" w:cs="David" w:hint="cs"/>
          <w:sz w:val="24"/>
          <w:szCs w:val="24"/>
          <w:rtl/>
        </w:rPr>
        <w:t>" (</w:t>
      </w:r>
      <w:r w:rsidRPr="005601E9">
        <w:rPr>
          <w:rFonts w:ascii="Times New Roman" w:eastAsia="Times New Roman" w:hAnsi="Times New Roman" w:cs="David"/>
          <w:sz w:val="24"/>
          <w:szCs w:val="24"/>
        </w:rPr>
        <w:t>veil of ignorance</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טוען רולס, יבחרו הצדדים בשני עקרונות לחלוקת </w:t>
      </w:r>
      <w:r w:rsidRPr="005601E9">
        <w:rPr>
          <w:rFonts w:ascii="Times New Roman" w:eastAsia="Times New Roman" w:hAnsi="Times New Roman" w:cs="David" w:hint="cs"/>
          <w:sz w:val="24"/>
          <w:szCs w:val="24"/>
          <w:rtl/>
        </w:rPr>
        <w:t>הטובין הראשוניים (</w:t>
      </w:r>
      <w:r w:rsidRPr="005601E9">
        <w:rPr>
          <w:rFonts w:ascii="Times New Roman" w:eastAsia="Times New Roman" w:hAnsi="Times New Roman" w:cs="David"/>
          <w:sz w:val="24"/>
          <w:szCs w:val="24"/>
        </w:rPr>
        <w:t>primary goods</w:t>
      </w:r>
      <w:r w:rsidRPr="005601E9">
        <w:rPr>
          <w:rFonts w:ascii="Times New Roman" w:eastAsia="Times New Roman" w:hAnsi="Times New Roman" w:cs="David" w:hint="cs"/>
          <w:sz w:val="24"/>
          <w:szCs w:val="24"/>
          <w:rtl/>
        </w:rPr>
        <w:t>):</w:t>
      </w:r>
      <w:bookmarkStart w:id="31" w:name="_Ref508889663"/>
      <w:r w:rsidRPr="005601E9">
        <w:rPr>
          <w:rFonts w:ascii="Times New Roman" w:eastAsia="Times New Roman" w:hAnsi="Times New Roman" w:cs="David"/>
          <w:sz w:val="24"/>
          <w:szCs w:val="24"/>
          <w:vertAlign w:val="superscript"/>
          <w:rtl/>
        </w:rPr>
        <w:footnoteReference w:id="20"/>
      </w:r>
      <w:bookmarkEnd w:id="31"/>
      <w:r w:rsidRPr="005601E9">
        <w:rPr>
          <w:rFonts w:ascii="Times New Roman" w:eastAsia="Times New Roman" w:hAnsi="Times New Roman" w:cs="David"/>
          <w:sz w:val="24"/>
          <w:szCs w:val="24"/>
          <w:rtl/>
        </w:rPr>
        <w:t xml:space="preserve"> העיקרון הראשון והעליון הוא עקרון החירות </w:t>
      </w:r>
      <w:r w:rsidRPr="005601E9">
        <w:rPr>
          <w:rFonts w:ascii="Times New Roman" w:eastAsia="Times New Roman" w:hAnsi="Times New Roman" w:cs="David" w:hint="cs"/>
          <w:sz w:val="24"/>
          <w:szCs w:val="24"/>
          <w:rtl/>
        </w:rPr>
        <w:t xml:space="preserve">– </w:t>
      </w:r>
      <w:r w:rsidRPr="005601E9">
        <w:rPr>
          <w:rFonts w:ascii="Times New Roman" w:eastAsia="Times New Roman" w:hAnsi="Times New Roman" w:cs="David"/>
          <w:sz w:val="24"/>
          <w:szCs w:val="24"/>
          <w:rtl/>
        </w:rPr>
        <w:t>לכל אדם יש זכות לתבוע לעצמו מערכת של חירויות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יסוד שוות שיאפשרו לו לפתח את חוש הצדק ואת תפיסות הטוב שלו</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העיקרון השני, הכפוף לעיקרון הראשון, הוא עקרון שוויון ההזדמנויות,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פי</w:t>
      </w:r>
      <w:r w:rsidRPr="005601E9">
        <w:rPr>
          <w:rFonts w:ascii="Times New Roman" w:eastAsia="Times New Roman" w:hAnsi="Times New Roman" w:cs="David" w:hint="cs"/>
          <w:sz w:val="24"/>
          <w:szCs w:val="24"/>
          <w:rtl/>
        </w:rPr>
        <w:t>ו</w:t>
      </w:r>
      <w:r w:rsidRPr="005601E9">
        <w:rPr>
          <w:rFonts w:ascii="Times New Roman" w:eastAsia="Times New Roman" w:hAnsi="Times New Roman" w:cs="David"/>
          <w:sz w:val="24"/>
          <w:szCs w:val="24"/>
          <w:rtl/>
        </w:rPr>
        <w:t xml:space="preserve"> תפקידים ומשרות של המגזר הציבורי </w:t>
      </w:r>
      <w:r w:rsidRPr="005601E9">
        <w:rPr>
          <w:rFonts w:ascii="Times New Roman" w:eastAsia="Times New Roman" w:hAnsi="Times New Roman" w:cs="David" w:hint="cs"/>
          <w:sz w:val="24"/>
          <w:szCs w:val="24"/>
          <w:rtl/>
        </w:rPr>
        <w:t xml:space="preserve">צריכים להיות </w:t>
      </w:r>
      <w:r w:rsidRPr="005601E9">
        <w:rPr>
          <w:rFonts w:ascii="Times New Roman" w:eastAsia="Times New Roman" w:hAnsi="Times New Roman" w:cs="David"/>
          <w:sz w:val="24"/>
          <w:szCs w:val="24"/>
          <w:rtl/>
        </w:rPr>
        <w:t xml:space="preserve">פתוחים </w:t>
      </w:r>
      <w:r w:rsidRPr="005601E9">
        <w:rPr>
          <w:rFonts w:ascii="Times New Roman" w:eastAsia="Times New Roman" w:hAnsi="Times New Roman" w:cs="David" w:hint="cs"/>
          <w:sz w:val="24"/>
          <w:szCs w:val="24"/>
          <w:rtl/>
        </w:rPr>
        <w:t>ל</w:t>
      </w:r>
      <w:r w:rsidRPr="005601E9">
        <w:rPr>
          <w:rFonts w:ascii="Times New Roman" w:eastAsia="Times New Roman" w:hAnsi="Times New Roman" w:cs="David"/>
          <w:sz w:val="24"/>
          <w:szCs w:val="24"/>
          <w:rtl/>
        </w:rPr>
        <w:t>פני כולם בשוויון הזדמנויות הוגן</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ואם יש אי</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שוויון, הוא צריך לפעול לטובת אלה שמצבם גרוע יותר. </w:t>
      </w:r>
      <w:r w:rsidRPr="005601E9">
        <w:rPr>
          <w:rFonts w:ascii="Times New Roman" w:eastAsia="Times New Roman" w:hAnsi="Times New Roman" w:cs="David" w:hint="cs"/>
          <w:sz w:val="24"/>
          <w:szCs w:val="24"/>
          <w:rtl/>
        </w:rPr>
        <w:t>ע</w:t>
      </w:r>
      <w:r w:rsidRPr="005601E9">
        <w:rPr>
          <w:rFonts w:ascii="Times New Roman" w:eastAsia="Times New Roman" w:hAnsi="Times New Roman" w:cs="David"/>
          <w:sz w:val="24"/>
          <w:szCs w:val="24"/>
          <w:rtl/>
        </w:rPr>
        <w:t xml:space="preserve">קרון </w:t>
      </w:r>
      <w:r w:rsidRPr="005601E9">
        <w:rPr>
          <w:rFonts w:ascii="Times New Roman" w:eastAsia="Times New Roman" w:hAnsi="Times New Roman" w:cs="David" w:hint="cs"/>
          <w:sz w:val="24"/>
          <w:szCs w:val="24"/>
          <w:rtl/>
        </w:rPr>
        <w:t xml:space="preserve">שוויון ההזדמנויות </w:t>
      </w:r>
      <w:r w:rsidRPr="005601E9">
        <w:rPr>
          <w:rFonts w:ascii="Times New Roman" w:eastAsia="Times New Roman" w:hAnsi="Times New Roman" w:cs="David"/>
          <w:sz w:val="24"/>
          <w:szCs w:val="24"/>
          <w:rtl/>
        </w:rPr>
        <w:t>עוסק בצורך של החקיקה להגשים אינטרסים כלליים</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ולא רק אינטרסים פרטיים של המחוקק עצמו או של הקבוצה </w:t>
      </w:r>
      <w:r w:rsidRPr="005601E9">
        <w:rPr>
          <w:rFonts w:ascii="Times New Roman" w:eastAsia="Times New Roman" w:hAnsi="Times New Roman" w:cs="David" w:hint="cs"/>
          <w:sz w:val="24"/>
          <w:szCs w:val="24"/>
          <w:rtl/>
        </w:rPr>
        <w:t>ש</w:t>
      </w:r>
      <w:r w:rsidRPr="005601E9">
        <w:rPr>
          <w:rFonts w:ascii="Times New Roman" w:eastAsia="Times New Roman" w:hAnsi="Times New Roman" w:cs="David"/>
          <w:sz w:val="24"/>
          <w:szCs w:val="24"/>
          <w:rtl/>
        </w:rPr>
        <w:t>ממנה הוא בא. התנאים ההוגנים לשיתוף</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פעולה חברתי יושגו, לטענת</w:t>
      </w:r>
      <w:r w:rsidRPr="005601E9">
        <w:rPr>
          <w:rFonts w:ascii="Times New Roman" w:eastAsia="Times New Roman" w:hAnsi="Times New Roman" w:cs="David" w:hint="cs"/>
          <w:sz w:val="24"/>
          <w:szCs w:val="24"/>
          <w:rtl/>
        </w:rPr>
        <w:t xml:space="preserve"> ר</w:t>
      </w:r>
      <w:r w:rsidRPr="005601E9">
        <w:rPr>
          <w:rFonts w:ascii="Times New Roman" w:eastAsia="Times New Roman" w:hAnsi="Times New Roman" w:cs="David"/>
          <w:sz w:val="24"/>
          <w:szCs w:val="24"/>
          <w:rtl/>
        </w:rPr>
        <w:t>ו</w:t>
      </w:r>
      <w:r w:rsidRPr="005601E9">
        <w:rPr>
          <w:rFonts w:ascii="Times New Roman" w:eastAsia="Times New Roman" w:hAnsi="Times New Roman" w:cs="David" w:hint="cs"/>
          <w:sz w:val="24"/>
          <w:szCs w:val="24"/>
          <w:rtl/>
        </w:rPr>
        <w:t>לס</w:t>
      </w:r>
      <w:r w:rsidRPr="005601E9">
        <w:rPr>
          <w:rFonts w:ascii="Times New Roman" w:eastAsia="Times New Roman" w:hAnsi="Times New Roman" w:cs="David"/>
          <w:sz w:val="24"/>
          <w:szCs w:val="24"/>
          <w:rtl/>
        </w:rPr>
        <w:t xml:space="preserve">, אם נתייחס </w:t>
      </w:r>
      <w:r w:rsidRPr="005601E9">
        <w:rPr>
          <w:rFonts w:ascii="Times New Roman" w:eastAsia="Times New Roman" w:hAnsi="Times New Roman" w:cs="David" w:hint="cs"/>
          <w:sz w:val="24"/>
          <w:szCs w:val="24"/>
          <w:rtl/>
        </w:rPr>
        <w:t>ל</w:t>
      </w:r>
      <w:r w:rsidRPr="005601E9">
        <w:rPr>
          <w:rFonts w:ascii="Times New Roman" w:eastAsia="Times New Roman" w:hAnsi="Times New Roman" w:cs="David"/>
          <w:sz w:val="24"/>
          <w:szCs w:val="24"/>
          <w:rtl/>
        </w:rPr>
        <w:t xml:space="preserve">כל הפרטים בחברה </w:t>
      </w:r>
      <w:r w:rsidRPr="005601E9">
        <w:rPr>
          <w:rFonts w:ascii="Times New Roman" w:eastAsia="Times New Roman" w:hAnsi="Times New Roman" w:cs="David" w:hint="cs"/>
          <w:sz w:val="24"/>
          <w:szCs w:val="24"/>
          <w:rtl/>
        </w:rPr>
        <w:t xml:space="preserve">כאל </w:t>
      </w:r>
      <w:r w:rsidRPr="005601E9">
        <w:rPr>
          <w:rFonts w:ascii="Times New Roman" w:eastAsia="Times New Roman" w:hAnsi="Times New Roman" w:cs="David"/>
          <w:sz w:val="24"/>
          <w:szCs w:val="24"/>
          <w:rtl/>
        </w:rPr>
        <w:t xml:space="preserve">חופשיים ושווים, </w:t>
      </w:r>
      <w:r w:rsidRPr="005601E9">
        <w:rPr>
          <w:rFonts w:ascii="Times New Roman" w:eastAsia="Times New Roman" w:hAnsi="Times New Roman" w:cs="David" w:hint="cs"/>
          <w:sz w:val="24"/>
          <w:szCs w:val="24"/>
          <w:rtl/>
        </w:rPr>
        <w:t>ולא נ</w:t>
      </w:r>
      <w:r w:rsidRPr="005601E9">
        <w:rPr>
          <w:rFonts w:ascii="Times New Roman" w:eastAsia="Times New Roman" w:hAnsi="Times New Roman" w:cs="David"/>
          <w:sz w:val="24"/>
          <w:szCs w:val="24"/>
          <w:rtl/>
        </w:rPr>
        <w:t>אפשר לצד מסוים לנצל יתרון לא</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הוגן או נסיבות חברתיות וטבעיות לטובתו. רולס סבר </w:t>
      </w:r>
      <w:r w:rsidRPr="005601E9">
        <w:rPr>
          <w:rFonts w:ascii="Times New Roman" w:eastAsia="Times New Roman" w:hAnsi="Times New Roman" w:cs="David" w:hint="cs"/>
          <w:sz w:val="24"/>
          <w:szCs w:val="24"/>
          <w:rtl/>
        </w:rPr>
        <w:t xml:space="preserve">כי </w:t>
      </w:r>
      <w:r w:rsidRPr="005601E9">
        <w:rPr>
          <w:rFonts w:ascii="Times New Roman" w:eastAsia="Times New Roman" w:hAnsi="Times New Roman" w:cs="David"/>
          <w:sz w:val="24"/>
          <w:szCs w:val="24"/>
          <w:rtl/>
        </w:rPr>
        <w:t xml:space="preserve">מאחורי </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מסך הבערות</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יבחרו האנשים </w:t>
      </w:r>
      <w:r w:rsidRPr="005601E9">
        <w:rPr>
          <w:rFonts w:ascii="Times New Roman" w:eastAsia="Times New Roman" w:hAnsi="Times New Roman" w:cs="David" w:hint="cs"/>
          <w:sz w:val="24"/>
          <w:szCs w:val="24"/>
          <w:rtl/>
        </w:rPr>
        <w:t xml:space="preserve">לא </w:t>
      </w:r>
      <w:r w:rsidRPr="005601E9">
        <w:rPr>
          <w:rFonts w:ascii="Times New Roman" w:eastAsia="Times New Roman" w:hAnsi="Times New Roman" w:cs="David"/>
          <w:sz w:val="24"/>
          <w:szCs w:val="24"/>
          <w:rtl/>
        </w:rPr>
        <w:t>בחלוקה שוויונית לגמרי של העושר</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אלא בחלוקה צודקת שתאפשר שוויון הזדמנויות הוגן. הפער יהיה מוצדק</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על</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פי רולס</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כאשר הוא </w:t>
      </w:r>
      <w:r w:rsidRPr="005601E9">
        <w:rPr>
          <w:rFonts w:ascii="Times New Roman" w:eastAsia="Times New Roman" w:hAnsi="Times New Roman" w:cs="David" w:hint="cs"/>
          <w:sz w:val="24"/>
          <w:szCs w:val="24"/>
          <w:rtl/>
        </w:rPr>
        <w:t>י</w:t>
      </w:r>
      <w:r w:rsidRPr="005601E9">
        <w:rPr>
          <w:rFonts w:ascii="Times New Roman" w:eastAsia="Times New Roman" w:hAnsi="Times New Roman" w:cs="David"/>
          <w:sz w:val="24"/>
          <w:szCs w:val="24"/>
          <w:rtl/>
        </w:rPr>
        <w:t xml:space="preserve">יטיב עם אלה שבתחתית הסולם החברתי; זהו כלי עבודה שאמור להבהיר לקובע המדיניות כי עליו לעשות את המיטב </w:t>
      </w:r>
      <w:r w:rsidRPr="005601E9">
        <w:rPr>
          <w:rFonts w:ascii="Times New Roman" w:eastAsia="Times New Roman" w:hAnsi="Times New Roman" w:cs="David" w:hint="cs"/>
          <w:sz w:val="24"/>
          <w:szCs w:val="24"/>
          <w:rtl/>
        </w:rPr>
        <w:t xml:space="preserve">למען </w:t>
      </w:r>
      <w:r w:rsidRPr="005601E9">
        <w:rPr>
          <w:rFonts w:ascii="Times New Roman" w:eastAsia="Times New Roman" w:hAnsi="Times New Roman" w:cs="David"/>
          <w:sz w:val="24"/>
          <w:szCs w:val="24"/>
          <w:rtl/>
        </w:rPr>
        <w:t>הציבור כולו</w:t>
      </w:r>
      <w:r w:rsidRPr="005601E9">
        <w:rPr>
          <w:rFonts w:ascii="Times New Roman" w:eastAsia="Times New Roman" w:hAnsi="Times New Roman" w:cs="David" w:hint="cs"/>
          <w:sz w:val="24"/>
          <w:szCs w:val="24"/>
          <w:rtl/>
        </w:rPr>
        <w:t>,</w:t>
      </w:r>
      <w:r w:rsidRPr="005601E9">
        <w:rPr>
          <w:rFonts w:ascii="Times New Roman" w:eastAsia="Times New Roman" w:hAnsi="Times New Roman" w:cs="David"/>
          <w:sz w:val="24"/>
          <w:szCs w:val="24"/>
          <w:rtl/>
        </w:rPr>
        <w:t xml:space="preserve"> תוך היצמדות לעקרונות של צדק.</w:t>
      </w:r>
      <w:bookmarkStart w:id="32" w:name="_Ref512423144"/>
      <w:r w:rsidRPr="005601E9">
        <w:rPr>
          <w:rFonts w:ascii="Times New Roman" w:eastAsia="Times New Roman" w:hAnsi="Times New Roman" w:cs="David"/>
          <w:sz w:val="24"/>
          <w:szCs w:val="24"/>
          <w:vertAlign w:val="superscript"/>
          <w:rtl/>
        </w:rPr>
        <w:footnoteReference w:id="21"/>
      </w:r>
      <w:bookmarkEnd w:id="32"/>
      <w:r w:rsidR="00984894">
        <w:rPr>
          <w:rFonts w:ascii="Times New Roman" w:eastAsia="Times New Roman" w:hAnsi="Times New Roman" w:cs="David" w:hint="cs"/>
          <w:sz w:val="24"/>
          <w:szCs w:val="24"/>
          <w:rtl/>
        </w:rPr>
        <w:t xml:space="preserve"> אולם קיים דיון בסיסי יותר שמתבונן על ההעדפה המתקנת מזווית מורכבת יותר. השאלה בדיון זה מכוונת לגיוון תעסוקתי, והיא, מהי מחויבותה ויכולתה של המדינה ליצור ולשמור על שוויון וגיוון סביר, אשר ימנע מראש פערים בלתי סבירים שקשה יהיה לגשר עליהם.</w:t>
      </w:r>
    </w:p>
    <w:p w:rsidR="005601E9" w:rsidRDefault="005601E9" w:rsidP="005601E9">
      <w:pPr>
        <w:tabs>
          <w:tab w:val="left" w:pos="440"/>
          <w:tab w:val="right" w:leader="dot" w:pos="8296"/>
        </w:tabs>
        <w:bidi w:val="0"/>
        <w:spacing w:after="100" w:line="259" w:lineRule="auto"/>
        <w:contextualSpacing/>
        <w:jc w:val="both"/>
        <w:rPr>
          <w:rFonts w:ascii="Times New Roman" w:eastAsia="Times New Roman" w:hAnsi="Times New Roman" w:cs="David"/>
          <w:sz w:val="28"/>
          <w:szCs w:val="28"/>
          <w:lang w:eastAsia="he-IL"/>
        </w:rPr>
      </w:pPr>
    </w:p>
    <w:p w:rsidR="00063D41" w:rsidRDefault="00063D41" w:rsidP="00731A70">
      <w:pPr>
        <w:spacing w:after="0" w:line="360" w:lineRule="auto"/>
        <w:ind w:firstLine="360"/>
        <w:jc w:val="both"/>
        <w:rPr>
          <w:rFonts w:ascii="Times New Roman" w:eastAsia="Times New Roman" w:hAnsi="Times New Roman" w:cs="David"/>
          <w:szCs w:val="24"/>
          <w:rtl/>
          <w:lang w:eastAsia="he-IL"/>
        </w:rPr>
      </w:pPr>
    </w:p>
    <w:p w:rsidR="002A41F7" w:rsidRPr="0023144B" w:rsidRDefault="002A41F7" w:rsidP="0023144B">
      <w:pPr>
        <w:pStyle w:val="ListParagraph"/>
        <w:numPr>
          <w:ilvl w:val="0"/>
          <w:numId w:val="23"/>
        </w:numPr>
        <w:bidi w:val="0"/>
        <w:spacing w:line="360" w:lineRule="auto"/>
        <w:rPr>
          <w:rFonts w:asciiTheme="majorBidi" w:eastAsia="Times New Roman" w:hAnsiTheme="majorBidi" w:cstheme="majorBidi"/>
          <w:b/>
          <w:bCs/>
          <w:sz w:val="24"/>
          <w:szCs w:val="24"/>
          <w:rtl/>
          <w:lang w:eastAsia="he-IL"/>
        </w:rPr>
      </w:pPr>
      <w:r w:rsidRPr="0023144B">
        <w:rPr>
          <w:rFonts w:asciiTheme="majorBidi" w:eastAsia="Times New Roman" w:hAnsiTheme="majorBidi" w:cstheme="majorBidi"/>
          <w:b/>
          <w:bCs/>
          <w:sz w:val="24"/>
          <w:szCs w:val="24"/>
          <w:lang w:eastAsia="he-IL"/>
        </w:rPr>
        <w:t>Diversity Management</w:t>
      </w:r>
      <w:r w:rsidRPr="0023144B">
        <w:rPr>
          <w:rFonts w:asciiTheme="majorBidi" w:eastAsia="Times New Roman" w:hAnsiTheme="majorBidi" w:cstheme="majorBidi" w:hint="cs"/>
          <w:b/>
          <w:bCs/>
          <w:sz w:val="24"/>
          <w:szCs w:val="24"/>
          <w:rtl/>
          <w:lang w:eastAsia="he-IL"/>
        </w:rPr>
        <w:t xml:space="preserve"> </w:t>
      </w:r>
    </w:p>
    <w:p w:rsidR="002A41F7" w:rsidRDefault="002A41F7" w:rsidP="002A41F7">
      <w:pPr>
        <w:spacing w:after="0" w:line="360" w:lineRule="auto"/>
        <w:jc w:val="both"/>
        <w:rPr>
          <w:rFonts w:ascii="Times New Roman" w:eastAsia="Times New Roman" w:hAnsi="Times New Roman" w:cs="David" w:hint="cs"/>
          <w:szCs w:val="24"/>
          <w:rtl/>
          <w:lang w:eastAsia="he-IL"/>
        </w:rPr>
      </w:pPr>
    </w:p>
    <w:p w:rsidR="00CA7263" w:rsidRPr="00CA7263" w:rsidRDefault="00CA7263" w:rsidP="00D1421C">
      <w:pPr>
        <w:spacing w:line="360" w:lineRule="auto"/>
        <w:jc w:val="both"/>
        <w:rPr>
          <w:rFonts w:eastAsia="Times New Roman" w:cs="David" w:hint="cs"/>
          <w:sz w:val="24"/>
          <w:szCs w:val="24"/>
          <w:rtl/>
          <w:lang w:eastAsia="he-IL"/>
        </w:rPr>
      </w:pPr>
      <w:r w:rsidRPr="00CA7263">
        <w:rPr>
          <w:rFonts w:eastAsia="Times New Roman" w:cs="David"/>
          <w:sz w:val="24"/>
          <w:szCs w:val="24"/>
          <w:rtl/>
          <w:lang w:eastAsia="he-IL"/>
        </w:rPr>
        <w:lastRenderedPageBreak/>
        <w:t xml:space="preserve">בעשורים האחרונים </w:t>
      </w:r>
      <w:r w:rsidRPr="00CA7263">
        <w:rPr>
          <w:rFonts w:eastAsia="Times New Roman" w:cs="David" w:hint="cs"/>
          <w:sz w:val="24"/>
          <w:szCs w:val="24"/>
          <w:rtl/>
          <w:lang w:eastAsia="he-IL"/>
        </w:rPr>
        <w:t xml:space="preserve">ניכרת </w:t>
      </w:r>
      <w:r w:rsidRPr="00CA7263">
        <w:rPr>
          <w:rFonts w:eastAsia="Times New Roman" w:cs="David"/>
          <w:sz w:val="24"/>
          <w:szCs w:val="24"/>
          <w:rtl/>
          <w:lang w:eastAsia="he-IL"/>
        </w:rPr>
        <w:t>עלייה במחקר בנושא של ניהול שונו</w:t>
      </w:r>
      <w:r w:rsidRPr="00CA7263">
        <w:rPr>
          <w:rFonts w:eastAsia="Times New Roman" w:cs="David" w:hint="cs"/>
          <w:sz w:val="24"/>
          <w:szCs w:val="24"/>
          <w:rtl/>
          <w:lang w:eastAsia="he-IL"/>
        </w:rPr>
        <w:t>ּ</w:t>
      </w:r>
      <w:r w:rsidRPr="00CA7263">
        <w:rPr>
          <w:rFonts w:eastAsia="Times New Roman" w:cs="David"/>
          <w:sz w:val="24"/>
          <w:szCs w:val="24"/>
          <w:rtl/>
          <w:lang w:eastAsia="he-IL"/>
        </w:rPr>
        <w:t xml:space="preserve">ת בארגונים </w:t>
      </w:r>
      <w:r w:rsidRPr="00D1421C">
        <w:rPr>
          <w:rFonts w:ascii="Times New Roman" w:eastAsia="Times New Roman" w:hAnsi="Times New Roman" w:cs="David" w:hint="cs"/>
          <w:sz w:val="24"/>
          <w:szCs w:val="24"/>
          <w:rtl/>
        </w:rPr>
        <w:t>(</w:t>
      </w:r>
      <w:r w:rsidRPr="00D1421C">
        <w:rPr>
          <w:rFonts w:ascii="Times New Roman" w:eastAsia="Times New Roman" w:hAnsi="Times New Roman" w:cs="David"/>
          <w:sz w:val="24"/>
          <w:szCs w:val="24"/>
        </w:rPr>
        <w:t>diversity management</w:t>
      </w:r>
      <w:r w:rsidRPr="00CA7263">
        <w:rPr>
          <w:rFonts w:eastAsia="Times New Roman" w:cs="David" w:hint="cs"/>
          <w:sz w:val="24"/>
          <w:szCs w:val="24"/>
          <w:rtl/>
          <w:lang w:eastAsia="he-IL"/>
        </w:rPr>
        <w:t>)</w:t>
      </w:r>
      <w:r w:rsidRPr="00CA7263">
        <w:rPr>
          <w:rFonts w:eastAsia="Times New Roman" w:cs="David"/>
          <w:sz w:val="24"/>
          <w:szCs w:val="24"/>
          <w:rtl/>
          <w:lang w:eastAsia="he-IL"/>
        </w:rPr>
        <w:t xml:space="preserve"> והצורך בגיוון ו</w:t>
      </w:r>
      <w:r w:rsidRPr="00CA7263">
        <w:rPr>
          <w:rFonts w:eastAsia="Times New Roman" w:cs="David" w:hint="cs"/>
          <w:sz w:val="24"/>
          <w:szCs w:val="24"/>
          <w:rtl/>
          <w:lang w:eastAsia="he-IL"/>
        </w:rPr>
        <w:t>ב</w:t>
      </w:r>
      <w:r w:rsidRPr="00CA7263">
        <w:rPr>
          <w:rFonts w:eastAsia="Times New Roman" w:cs="David"/>
          <w:sz w:val="24"/>
          <w:szCs w:val="24"/>
          <w:rtl/>
          <w:lang w:eastAsia="he-IL"/>
        </w:rPr>
        <w:t>הכלה</w:t>
      </w:r>
      <w:r w:rsidRPr="00CA7263">
        <w:rPr>
          <w:rFonts w:eastAsia="Times New Roman" w:cs="David" w:hint="cs"/>
          <w:sz w:val="24"/>
          <w:szCs w:val="24"/>
          <w:rtl/>
          <w:lang w:eastAsia="he-IL"/>
        </w:rPr>
        <w:t>,</w:t>
      </w:r>
      <w:r w:rsidRPr="00CA7263">
        <w:rPr>
          <w:rStyle w:val="FootnoteReference"/>
          <w:rFonts w:cs="David"/>
          <w:sz w:val="24"/>
          <w:szCs w:val="24"/>
          <w:rtl/>
        </w:rPr>
        <w:footnoteReference w:id="22"/>
      </w:r>
      <w:r w:rsidRPr="00CA7263">
        <w:rPr>
          <w:rFonts w:eastAsia="Times New Roman" w:cs="David"/>
          <w:sz w:val="24"/>
          <w:szCs w:val="24"/>
          <w:rtl/>
          <w:lang w:eastAsia="he-IL"/>
        </w:rPr>
        <w:t xml:space="preserve"> בין היתר בשל הפוטנציאל שיש לגיוון ו</w:t>
      </w:r>
      <w:r w:rsidRPr="00CA7263">
        <w:rPr>
          <w:rFonts w:eastAsia="Times New Roman" w:cs="David" w:hint="cs"/>
          <w:sz w:val="24"/>
          <w:szCs w:val="24"/>
          <w:rtl/>
          <w:lang w:eastAsia="he-IL"/>
        </w:rPr>
        <w:t>ל</w:t>
      </w:r>
      <w:r w:rsidRPr="00CA7263">
        <w:rPr>
          <w:rFonts w:eastAsia="Times New Roman" w:cs="David"/>
          <w:sz w:val="24"/>
          <w:szCs w:val="24"/>
          <w:rtl/>
          <w:lang w:eastAsia="he-IL"/>
        </w:rPr>
        <w:t xml:space="preserve">הכלה </w:t>
      </w:r>
      <w:r w:rsidRPr="00CA7263">
        <w:rPr>
          <w:rFonts w:eastAsia="Times New Roman" w:cs="David" w:hint="cs"/>
          <w:sz w:val="24"/>
          <w:szCs w:val="24"/>
          <w:rtl/>
          <w:lang w:eastAsia="he-IL"/>
        </w:rPr>
        <w:t xml:space="preserve">מבחינת </w:t>
      </w:r>
      <w:r w:rsidRPr="00CA7263">
        <w:rPr>
          <w:rFonts w:eastAsia="Times New Roman" w:cs="David"/>
          <w:sz w:val="24"/>
          <w:szCs w:val="24"/>
          <w:rtl/>
          <w:lang w:eastAsia="he-IL"/>
        </w:rPr>
        <w:t>שוק העבודה,</w:t>
      </w:r>
      <w:r w:rsidRPr="00CA7263">
        <w:rPr>
          <w:rStyle w:val="FootnoteReference"/>
          <w:rFonts w:cs="David"/>
          <w:sz w:val="24"/>
          <w:szCs w:val="24"/>
          <w:rtl/>
        </w:rPr>
        <w:footnoteReference w:id="23"/>
      </w:r>
      <w:r w:rsidRPr="00CA7263">
        <w:rPr>
          <w:rFonts w:eastAsia="Times New Roman" w:cs="David"/>
          <w:sz w:val="24"/>
          <w:szCs w:val="24"/>
          <w:rtl/>
          <w:lang w:eastAsia="he-IL"/>
        </w:rPr>
        <w:t xml:space="preserve"> בניגוד לגישות ישנות יותר</w:t>
      </w:r>
      <w:r w:rsidRPr="00CA7263">
        <w:rPr>
          <w:rFonts w:eastAsia="Times New Roman" w:cs="David" w:hint="cs"/>
          <w:sz w:val="24"/>
          <w:szCs w:val="24"/>
          <w:rtl/>
          <w:lang w:eastAsia="he-IL"/>
        </w:rPr>
        <w:t>,</w:t>
      </w:r>
      <w:r w:rsidRPr="00CA7263">
        <w:rPr>
          <w:rFonts w:eastAsia="Times New Roman" w:cs="David"/>
          <w:sz w:val="24"/>
          <w:szCs w:val="24"/>
          <w:rtl/>
          <w:lang w:eastAsia="he-IL"/>
        </w:rPr>
        <w:t xml:space="preserve"> המבוססות על ת</w:t>
      </w:r>
      <w:r w:rsidRPr="00CA7263">
        <w:rPr>
          <w:rFonts w:eastAsia="Times New Roman" w:cs="David" w:hint="cs"/>
          <w:sz w:val="24"/>
          <w:szCs w:val="24"/>
          <w:rtl/>
          <w:lang w:eastAsia="he-IL"/>
        </w:rPr>
        <w:t>י</w:t>
      </w:r>
      <w:r w:rsidRPr="00CA7263">
        <w:rPr>
          <w:rFonts w:eastAsia="Times New Roman" w:cs="David"/>
          <w:sz w:val="24"/>
          <w:szCs w:val="24"/>
          <w:rtl/>
          <w:lang w:eastAsia="he-IL"/>
        </w:rPr>
        <w:t>אוריית הזהות החברתית</w:t>
      </w:r>
      <w:r w:rsidRPr="00CA7263">
        <w:rPr>
          <w:rFonts w:eastAsia="Times New Roman" w:cs="David" w:hint="cs"/>
          <w:sz w:val="24"/>
          <w:szCs w:val="24"/>
          <w:rtl/>
          <w:lang w:eastAsia="he-IL"/>
        </w:rPr>
        <w:t>,</w:t>
      </w:r>
      <w:r w:rsidRPr="00CA7263">
        <w:rPr>
          <w:rFonts w:eastAsia="Times New Roman" w:cs="David"/>
          <w:sz w:val="24"/>
          <w:szCs w:val="24"/>
          <w:rtl/>
          <w:lang w:eastAsia="he-IL"/>
        </w:rPr>
        <w:t xml:space="preserve"> המניחה כי אנשים נוטים לשתף פעולה טוב יותר עם אנשים הדומים </w:t>
      </w:r>
      <w:r w:rsidRPr="00CA7263">
        <w:rPr>
          <w:rFonts w:eastAsia="Times New Roman" w:cs="David" w:hint="cs"/>
          <w:sz w:val="24"/>
          <w:szCs w:val="24"/>
          <w:rtl/>
          <w:lang w:eastAsia="he-IL"/>
        </w:rPr>
        <w:t xml:space="preserve">להם </w:t>
      </w:r>
      <w:r w:rsidRPr="00CA7263">
        <w:rPr>
          <w:rFonts w:eastAsia="Times New Roman" w:cs="David"/>
          <w:sz w:val="24"/>
          <w:szCs w:val="24"/>
          <w:rtl/>
          <w:lang w:eastAsia="he-IL"/>
        </w:rPr>
        <w:t>ו</w:t>
      </w:r>
      <w:r w:rsidRPr="00CA7263">
        <w:rPr>
          <w:rFonts w:eastAsia="Times New Roman" w:cs="David" w:hint="cs"/>
          <w:sz w:val="24"/>
          <w:szCs w:val="24"/>
          <w:rtl/>
          <w:lang w:eastAsia="he-IL"/>
        </w:rPr>
        <w:t>מ</w:t>
      </w:r>
      <w:r w:rsidRPr="00CA7263">
        <w:rPr>
          <w:rFonts w:eastAsia="Times New Roman" w:cs="David"/>
          <w:sz w:val="24"/>
          <w:szCs w:val="24"/>
          <w:rtl/>
          <w:lang w:eastAsia="he-IL"/>
        </w:rPr>
        <w:t>ש</w:t>
      </w:r>
      <w:r w:rsidRPr="00CA7263">
        <w:rPr>
          <w:rFonts w:eastAsia="Times New Roman" w:cs="David" w:hint="cs"/>
          <w:sz w:val="24"/>
          <w:szCs w:val="24"/>
          <w:rtl/>
          <w:lang w:eastAsia="he-IL"/>
        </w:rPr>
        <w:t>ת</w:t>
      </w:r>
      <w:r w:rsidRPr="00CA7263">
        <w:rPr>
          <w:rFonts w:eastAsia="Times New Roman" w:cs="David"/>
          <w:sz w:val="24"/>
          <w:szCs w:val="24"/>
          <w:rtl/>
          <w:lang w:eastAsia="he-IL"/>
        </w:rPr>
        <w:t>ייכים לקבוצתם החברתית</w:t>
      </w:r>
      <w:r w:rsidRPr="00CA7263">
        <w:rPr>
          <w:rFonts w:eastAsia="Times New Roman" w:cs="David" w:hint="cs"/>
          <w:sz w:val="24"/>
          <w:szCs w:val="24"/>
          <w:rtl/>
          <w:lang w:eastAsia="he-IL"/>
        </w:rPr>
        <w:t>,</w:t>
      </w:r>
      <w:r w:rsidRPr="00CA7263">
        <w:rPr>
          <w:rFonts w:eastAsia="Times New Roman" w:cs="David"/>
          <w:sz w:val="24"/>
          <w:szCs w:val="24"/>
          <w:rtl/>
          <w:lang w:eastAsia="he-IL"/>
        </w:rPr>
        <w:t xml:space="preserve"> ועל</w:t>
      </w:r>
      <w:r w:rsidRPr="00CA7263">
        <w:rPr>
          <w:rFonts w:eastAsia="Calibri" w:cs="David" w:hint="cs"/>
          <w:sz w:val="24"/>
          <w:szCs w:val="24"/>
          <w:rtl/>
        </w:rPr>
        <w:t>־</w:t>
      </w:r>
      <w:r w:rsidRPr="00CA7263">
        <w:rPr>
          <w:rFonts w:eastAsia="Times New Roman" w:cs="David"/>
          <w:sz w:val="24"/>
          <w:szCs w:val="24"/>
          <w:rtl/>
          <w:lang w:eastAsia="he-IL"/>
        </w:rPr>
        <w:t xml:space="preserve">כן תהליך של גיוון </w:t>
      </w:r>
      <w:r w:rsidRPr="00CA7263">
        <w:rPr>
          <w:rFonts w:eastAsia="Times New Roman" w:cs="David" w:hint="cs"/>
          <w:sz w:val="24"/>
          <w:szCs w:val="24"/>
          <w:rtl/>
          <w:lang w:eastAsia="he-IL"/>
        </w:rPr>
        <w:t xml:space="preserve">לא </w:t>
      </w:r>
      <w:r w:rsidRPr="00CA7263">
        <w:rPr>
          <w:rFonts w:eastAsia="Times New Roman" w:cs="David"/>
          <w:sz w:val="24"/>
          <w:szCs w:val="24"/>
          <w:rtl/>
          <w:lang w:eastAsia="he-IL"/>
        </w:rPr>
        <w:t xml:space="preserve">יהיה </w:t>
      </w:r>
      <w:r w:rsidRPr="00CA7263">
        <w:rPr>
          <w:rFonts w:eastAsia="Times New Roman" w:cs="David" w:hint="cs"/>
          <w:sz w:val="24"/>
          <w:szCs w:val="24"/>
          <w:rtl/>
          <w:lang w:eastAsia="he-IL"/>
        </w:rPr>
        <w:t xml:space="preserve">כה </w:t>
      </w:r>
      <w:r w:rsidRPr="00CA7263">
        <w:rPr>
          <w:rFonts w:eastAsia="Times New Roman" w:cs="David"/>
          <w:sz w:val="24"/>
          <w:szCs w:val="24"/>
          <w:rtl/>
          <w:lang w:eastAsia="he-IL"/>
        </w:rPr>
        <w:t>מוצלח.</w:t>
      </w:r>
      <w:r w:rsidRPr="00CA7263">
        <w:rPr>
          <w:rStyle w:val="FootnoteReference"/>
          <w:rFonts w:cs="David"/>
          <w:sz w:val="24"/>
          <w:szCs w:val="24"/>
          <w:rtl/>
        </w:rPr>
        <w:footnoteReference w:id="24"/>
      </w:r>
      <w:r w:rsidRPr="00CA7263">
        <w:rPr>
          <w:rFonts w:eastAsia="Times New Roman" w:cs="David"/>
          <w:sz w:val="24"/>
          <w:szCs w:val="24"/>
          <w:rtl/>
          <w:lang w:eastAsia="he-IL"/>
        </w:rPr>
        <w:t xml:space="preserve"> גישה זו לגיוון בהון האנושי היא הבסיס לקיומה של ת</w:t>
      </w:r>
      <w:r w:rsidRPr="00CA7263">
        <w:rPr>
          <w:rFonts w:eastAsia="Times New Roman" w:cs="David" w:hint="cs"/>
          <w:sz w:val="24"/>
          <w:szCs w:val="24"/>
          <w:rtl/>
          <w:lang w:eastAsia="he-IL"/>
        </w:rPr>
        <w:t>ו</w:t>
      </w:r>
      <w:r w:rsidRPr="00CA7263">
        <w:rPr>
          <w:rFonts w:eastAsia="Times New Roman" w:cs="David"/>
          <w:sz w:val="24"/>
          <w:szCs w:val="24"/>
          <w:rtl/>
          <w:lang w:eastAsia="he-IL"/>
        </w:rPr>
        <w:t xml:space="preserve">כנית </w:t>
      </w:r>
      <w:r w:rsidRPr="00CA7263">
        <w:rPr>
          <w:rFonts w:eastAsia="Times New Roman" w:cs="David" w:hint="cs"/>
          <w:sz w:val="24"/>
          <w:szCs w:val="24"/>
          <w:rtl/>
          <w:lang w:eastAsia="he-IL"/>
        </w:rPr>
        <w:t>ה</w:t>
      </w:r>
      <w:r w:rsidRPr="00CA7263">
        <w:rPr>
          <w:rFonts w:eastAsia="Times New Roman" w:cs="David"/>
          <w:sz w:val="24"/>
          <w:szCs w:val="24"/>
          <w:rtl/>
          <w:lang w:eastAsia="he-IL"/>
        </w:rPr>
        <w:t xml:space="preserve">העדפה </w:t>
      </w:r>
      <w:r w:rsidRPr="00CA7263">
        <w:rPr>
          <w:rFonts w:eastAsia="Times New Roman" w:cs="David" w:hint="cs"/>
          <w:sz w:val="24"/>
          <w:szCs w:val="24"/>
          <w:rtl/>
          <w:lang w:eastAsia="he-IL"/>
        </w:rPr>
        <w:t>ה</w:t>
      </w:r>
      <w:r w:rsidRPr="00CA7263">
        <w:rPr>
          <w:rFonts w:eastAsia="Times New Roman" w:cs="David"/>
          <w:sz w:val="24"/>
          <w:szCs w:val="24"/>
          <w:rtl/>
          <w:lang w:eastAsia="he-IL"/>
        </w:rPr>
        <w:t>מתקנת.</w:t>
      </w:r>
    </w:p>
    <w:p w:rsidR="00731A70" w:rsidRDefault="00731A70" w:rsidP="002A41F7">
      <w:pPr>
        <w:spacing w:after="0" w:line="360" w:lineRule="auto"/>
        <w:jc w:val="both"/>
        <w:rPr>
          <w:rFonts w:ascii="Times New Roman" w:eastAsia="Times New Roman" w:hAnsi="Times New Roman" w:cs="David"/>
          <w:b/>
          <w:bCs/>
          <w:szCs w:val="28"/>
          <w:rtl/>
          <w:lang w:eastAsia="he-IL"/>
        </w:rPr>
      </w:pPr>
      <w:r w:rsidRPr="002A41F7">
        <w:rPr>
          <w:rFonts w:ascii="Times New Roman" w:eastAsia="Times New Roman" w:hAnsi="Times New Roman" w:cs="David" w:hint="eastAsia"/>
          <w:szCs w:val="24"/>
          <w:rtl/>
          <w:lang w:eastAsia="he-IL"/>
        </w:rPr>
        <w:t>התפיסה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הבסיסית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העדפה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מתקנת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היא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שוויון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הזדמנויות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cs"/>
          <w:szCs w:val="24"/>
          <w:rtl/>
          <w:lang w:eastAsia="he-IL"/>
        </w:rPr>
        <w:t>אין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מדובר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בהכרח</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בשוויון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תוצאה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העיסוק</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בצדק</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כהגינות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טומן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יחס</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שווה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כחלק</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מעקרון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הפיצוי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מניח</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כולם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אותו</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הדבר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כדי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ליישר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עוולות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חברתיות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הפתרון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נמצא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במהות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צדק</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אמתי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המבוסס</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צורך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ולא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הגינות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וייתכן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שיש</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צורך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לבסס</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תכנית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העדפה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מתקנת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צורך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אישי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ולא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קבוצתי</w:t>
      </w:r>
      <w:r w:rsidR="002A41F7">
        <w:rPr>
          <w:rFonts w:ascii="Times New Roman" w:eastAsia="Times New Roman" w:hAnsi="Times New Roman" w:cs="David" w:hint="cs"/>
          <w:szCs w:val="24"/>
          <w:rtl/>
          <w:lang w:eastAsia="he-IL"/>
        </w:rPr>
        <w:t>.</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המודל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העכשווי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מונע</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מרצון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לתקן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ולא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מרצון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למנוע</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החמצה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אנשים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מצוינים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תרומתם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יכולה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להיות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רבה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ייעשה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מאמץ</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לאפשר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שילובם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המוצלח</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התנגשות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ערכי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המריט</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תכנית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העדפה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מתקנת</w:t>
      </w:r>
      <w:r w:rsidRPr="002A41F7">
        <w:rPr>
          <w:rFonts w:ascii="Times New Roman" w:eastAsia="Times New Roman" w:hAnsi="Times New Roman" w:cs="David"/>
          <w:szCs w:val="24"/>
          <w:rtl/>
          <w:lang w:eastAsia="he-IL"/>
        </w:rPr>
        <w:t xml:space="preserve"> מעולם </w:t>
      </w:r>
      <w:r w:rsidRPr="002A41F7">
        <w:rPr>
          <w:rFonts w:ascii="Times New Roman" w:eastAsia="Times New Roman" w:hAnsi="Times New Roman" w:cs="David" w:hint="eastAsia"/>
          <w:szCs w:val="24"/>
          <w:rtl/>
          <w:lang w:eastAsia="he-IL"/>
        </w:rPr>
        <w:t>לא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נבחנ</w:t>
      </w:r>
      <w:r w:rsidRPr="002A41F7">
        <w:rPr>
          <w:rFonts w:ascii="Times New Roman" w:eastAsia="Times New Roman" w:hAnsi="Times New Roman" w:cs="David" w:hint="cs"/>
          <w:szCs w:val="24"/>
          <w:rtl/>
          <w:lang w:eastAsia="he-IL"/>
        </w:rPr>
        <w:t>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לעומק</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בין</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היתר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משום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שמודל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ההעדפה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המתקנת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נתפס</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כמדיניות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זמנית</w:t>
      </w:r>
      <w:r w:rsidRPr="002A41F7">
        <w:rPr>
          <w:rFonts w:ascii="Times New Roman" w:eastAsia="Times New Roman" w:hAnsi="Times New Roman" w:cs="David"/>
          <w:szCs w:val="24"/>
          <w:rtl/>
          <w:lang w:eastAsia="he-IL"/>
        </w:rPr>
        <w:t>.</w:t>
      </w:r>
      <w:r w:rsidRPr="002A41F7">
        <w:rPr>
          <w:rFonts w:ascii="Times New Roman" w:eastAsia="Times New Roman" w:hAnsi="Times New Roman" w:cs="David"/>
          <w:szCs w:val="24"/>
          <w:vertAlign w:val="superscript"/>
          <w:rtl/>
          <w:lang w:eastAsia="he-IL"/>
        </w:rPr>
        <w:footnoteReference w:id="25"/>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פרשת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ובר</w:t>
      </w:r>
      <w:r w:rsidRPr="002A41F7">
        <w:rPr>
          <w:rFonts w:ascii="Times New Roman" w:eastAsia="Times New Roman" w:hAnsi="Times New Roman" w:cs="David"/>
          <w:szCs w:val="24"/>
          <w:vertAlign w:val="superscript"/>
          <w:rtl/>
          <w:lang w:eastAsia="he-IL"/>
        </w:rPr>
        <w:footnoteReference w:id="26"/>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בארצות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הברית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הגדירה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תכנית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ההעדפה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המתקנת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חלוצת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המודל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כצעד</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זמני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המאפשר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העדפת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קבוצה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אחת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cs"/>
          <w:szCs w:val="24"/>
          <w:rtl/>
          <w:lang w:eastAsia="he-IL"/>
        </w:rPr>
        <w:t>פני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ר</w:t>
      </w:r>
      <w:r w:rsidRPr="002A41F7">
        <w:rPr>
          <w:rFonts w:ascii="Times New Roman" w:eastAsia="Times New Roman" w:hAnsi="Times New Roman" w:cs="David" w:hint="cs"/>
          <w:szCs w:val="24"/>
          <w:rtl/>
          <w:lang w:eastAsia="he-IL"/>
        </w:rPr>
        <w:t>ע</w:t>
      </w:r>
      <w:r w:rsidRPr="002A41F7">
        <w:rPr>
          <w:rFonts w:ascii="Times New Roman" w:eastAsia="Times New Roman" w:hAnsi="Times New Roman" w:cs="David" w:hint="eastAsia"/>
          <w:szCs w:val="24"/>
          <w:rtl/>
          <w:lang w:eastAsia="he-IL"/>
        </w:rPr>
        <w:t>ותה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עד</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אשר</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תיטמע</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האוכלוסייה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ותוכיח</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את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עצמה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ובכך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לא</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יהיה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עוד</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צורך</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בפתרונות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לאפליה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בתעסוקה</w:t>
      </w:r>
      <w:r w:rsidRPr="002A41F7">
        <w:rPr>
          <w:rFonts w:ascii="Times New Roman" w:eastAsia="Times New Roman" w:hAnsi="Times New Roman" w:cs="David"/>
          <w:szCs w:val="24"/>
          <w:rtl/>
          <w:lang w:eastAsia="he-IL"/>
        </w:rPr>
        <w:t>.</w:t>
      </w:r>
    </w:p>
    <w:bookmarkEnd w:id="6"/>
    <w:bookmarkEnd w:id="7"/>
    <w:bookmarkEnd w:id="8"/>
    <w:p w:rsidR="00731A70" w:rsidRDefault="00731A70" w:rsidP="00731A70">
      <w:pPr>
        <w:spacing w:after="0" w:line="360" w:lineRule="auto"/>
        <w:jc w:val="both"/>
        <w:rPr>
          <w:rFonts w:ascii="Times New Roman" w:eastAsia="Times New Roman" w:hAnsi="Times New Roman" w:cs="David"/>
          <w:szCs w:val="24"/>
          <w:rtl/>
          <w:lang w:eastAsia="he-IL"/>
        </w:rPr>
      </w:pPr>
    </w:p>
    <w:p w:rsidR="00731A70" w:rsidRPr="00122AE9" w:rsidRDefault="00731A70" w:rsidP="00D1421C">
      <w:pPr>
        <w:spacing w:after="0" w:line="360" w:lineRule="auto"/>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המודל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הקיים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מתייחס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למדידת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גיוון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בלבד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הנמדד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שיעור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העובדים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המשתייכים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לקבוצות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מוגדרות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מראש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שאינו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מחייב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מדיניות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שילוב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לרוחב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המשרות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ולאורך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w:t>
      </w:r>
      <w:r w:rsidRPr="00122AE9">
        <w:rPr>
          <w:rFonts w:ascii="Times New Roman" w:eastAsia="Times New Roman" w:hAnsi="Times New Roman" w:cs="David"/>
          <w:szCs w:val="24"/>
          <w:rtl/>
          <w:lang w:eastAsia="he-IL"/>
        </w:rPr>
        <w:t xml:space="preserve"> </w:t>
      </w:r>
      <w:r w:rsidR="002A41F7">
        <w:rPr>
          <w:rFonts w:ascii="Times New Roman" w:eastAsia="Times New Roman" w:hAnsi="Times New Roman" w:cs="David" w:hint="cs"/>
          <w:szCs w:val="24"/>
          <w:rtl/>
          <w:lang w:eastAsia="he-IL"/>
        </w:rPr>
        <w:t>רמות התפקיד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מבקש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אלמנט</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הגיוון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להכליל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ולאפשר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כניסה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למערכת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לקבוצות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פחות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שותפות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בעבר</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lang w:eastAsia="he-IL"/>
        </w:rPr>
        <w:footnoteReference w:id="27"/>
      </w:r>
      <w:r w:rsidR="00D1421C">
        <w:rPr>
          <w:rFonts w:ascii="Times New Roman" w:eastAsia="Times New Roman" w:hAnsi="Times New Roman" w:cs="David" w:hint="cs"/>
          <w:szCs w:val="24"/>
          <w:rtl/>
          <w:lang w:eastAsia="he-IL"/>
        </w:rPr>
        <w:t xml:space="preserve"> אך </w:t>
      </w:r>
      <w:r w:rsidRPr="00122AE9">
        <w:rPr>
          <w:rFonts w:ascii="Times New Roman" w:eastAsia="Times New Roman" w:hAnsi="Times New Roman" w:cs="David" w:hint="eastAsia"/>
          <w:szCs w:val="24"/>
          <w:rtl/>
          <w:lang w:eastAsia="he-IL"/>
        </w:rPr>
        <w:t>מתן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הולם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קביעת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מכסות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צריכ</w:t>
      </w:r>
      <w:r w:rsidRPr="00122AE9">
        <w:rPr>
          <w:rFonts w:ascii="Times New Roman" w:eastAsia="Times New Roman" w:hAnsi="Times New Roman" w:cs="David" w:hint="cs"/>
          <w:szCs w:val="24"/>
          <w:rtl/>
          <w:lang w:eastAsia="he-IL"/>
        </w:rPr>
        <w:t>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ביטוי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מקומות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העבודה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חלקם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באוכלוסייה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השפעה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האוכלוסייה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בשוק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העבודה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איננ</w:t>
      </w:r>
      <w:r w:rsidRPr="00122AE9">
        <w:rPr>
          <w:rFonts w:ascii="Times New Roman" w:eastAsia="Times New Roman" w:hAnsi="Times New Roman" w:cs="David" w:hint="cs"/>
          <w:szCs w:val="24"/>
          <w:rtl/>
          <w:lang w:eastAsia="he-IL"/>
        </w:rPr>
        <w:t>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מספיק</w:t>
      </w:r>
      <w:r w:rsidRPr="00122AE9">
        <w:rPr>
          <w:rFonts w:ascii="Times New Roman" w:eastAsia="Times New Roman" w:hAnsi="Times New Roman" w:cs="David" w:hint="cs"/>
          <w:szCs w:val="24"/>
          <w:rtl/>
          <w:lang w:eastAsia="he-IL"/>
        </w:rPr>
        <w:t>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לחסל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הריכוז</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המקופחת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בעיסוקים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השונים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בתוך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העבודה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ובעיקר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במקצועות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w:t>
      </w:r>
      <w:r w:rsidRPr="00122AE9">
        <w:rPr>
          <w:rFonts w:ascii="Times New Roman" w:eastAsia="Times New Roman" w:hAnsi="Times New Roman" w:cs="David" w:hint="cs"/>
          <w:szCs w:val="24"/>
          <w:rtl/>
          <w:lang w:eastAsia="he-IL"/>
        </w:rPr>
        <w:t>ב</w:t>
      </w:r>
      <w:r w:rsidRPr="00122AE9">
        <w:rPr>
          <w:rFonts w:ascii="Times New Roman" w:eastAsia="Times New Roman" w:hAnsi="Times New Roman" w:cs="David" w:hint="eastAsia"/>
          <w:szCs w:val="24"/>
          <w:rtl/>
          <w:lang w:eastAsia="he-IL"/>
        </w:rPr>
        <w:t>דירוגים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שבהם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במיוחד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כמובן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cs"/>
          <w:szCs w:val="24"/>
          <w:rtl/>
          <w:lang w:eastAsia="he-IL"/>
        </w:rPr>
        <w:t>ש</w:t>
      </w:r>
      <w:r w:rsidRPr="00122AE9">
        <w:rPr>
          <w:rFonts w:ascii="Times New Roman" w:eastAsia="Times New Roman" w:hAnsi="Times New Roman" w:cs="David" w:hint="eastAsia"/>
          <w:szCs w:val="24"/>
          <w:rtl/>
          <w:lang w:eastAsia="he-IL"/>
        </w:rPr>
        <w:t>בשלב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הראשון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מודל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ניתן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לדעת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בוודאות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היכן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במיוחד</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והנחת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היסוד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שהייצוג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מקום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ואין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טעם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לעודד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שילוב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מוכוון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נדמה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שעברנו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השלב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הזה</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נכון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להיום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חייב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שירות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המדינה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לקבוע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יעדים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מקצוע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ולפי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lastRenderedPageBreak/>
        <w:t>דירוג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מעבר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משיח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ממד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כמותי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לממד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כמותי</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hint="eastAsia"/>
          <w:szCs w:val="24"/>
          <w:rtl/>
          <w:lang w:eastAsia="he-IL"/>
        </w:rPr>
        <w:t>איכותי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בשלב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מתקדם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עוד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יותר</w:t>
      </w:r>
      <w:r w:rsidRPr="00122AE9">
        <w:rPr>
          <w:rFonts w:ascii="Times New Roman" w:eastAsia="Times New Roman" w:hAnsi="Times New Roman" w:cs="David"/>
          <w:szCs w:val="24"/>
          <w:rtl/>
          <w:lang w:eastAsia="he-IL"/>
        </w:rPr>
        <w:t xml:space="preserve"> </w:t>
      </w:r>
      <w:r w:rsidR="002A41F7">
        <w:rPr>
          <w:rFonts w:ascii="Times New Roman" w:eastAsia="Times New Roman" w:hAnsi="Times New Roman" w:cs="David" w:hint="cs"/>
          <w:szCs w:val="24"/>
          <w:rtl/>
          <w:lang w:eastAsia="he-IL"/>
        </w:rPr>
        <w:t>יש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לטפל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חלוקה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גאוגרפית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מדידת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שיעור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באותם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אזורים</w:t>
      </w:r>
      <w:r w:rsidRPr="00122AE9">
        <w:rPr>
          <w:rFonts w:ascii="Times New Roman" w:eastAsia="Times New Roman" w:hAnsi="Times New Roman" w:cs="David"/>
          <w:szCs w:val="24"/>
          <w:rtl/>
          <w:lang w:eastAsia="he-IL"/>
        </w:rPr>
        <w:t>.</w:t>
      </w:r>
    </w:p>
    <w:bookmarkEnd w:id="9"/>
    <w:bookmarkEnd w:id="10"/>
    <w:bookmarkEnd w:id="11"/>
    <w:p w:rsidR="006C25AA" w:rsidRDefault="006C25AA" w:rsidP="002C4EFD">
      <w:pPr>
        <w:spacing w:after="0" w:line="360" w:lineRule="auto"/>
        <w:jc w:val="both"/>
        <w:rPr>
          <w:rFonts w:ascii="Times New Roman" w:eastAsia="Times New Roman" w:hAnsi="Times New Roman" w:cs="David"/>
          <w:sz w:val="24"/>
          <w:szCs w:val="24"/>
          <w:rtl/>
          <w:lang w:eastAsia="he-IL"/>
        </w:rPr>
      </w:pPr>
    </w:p>
    <w:p w:rsidR="00731A70" w:rsidRPr="00637EF2" w:rsidRDefault="002C4EFD" w:rsidP="00D1421C">
      <w:pPr>
        <w:spacing w:after="0" w:line="360" w:lineRule="auto"/>
        <w:jc w:val="both"/>
        <w:rPr>
          <w:rFonts w:ascii="Times New Roman" w:eastAsia="Times New Roman" w:hAnsi="Times New Roman" w:cs="David"/>
          <w:color w:val="FF0000"/>
          <w:szCs w:val="24"/>
          <w:rtl/>
        </w:rPr>
      </w:pPr>
      <w:r w:rsidRPr="00FE576E">
        <w:rPr>
          <w:rFonts w:ascii="Times New Roman" w:eastAsia="Times New Roman" w:hAnsi="Times New Roman" w:cs="David" w:hint="cs"/>
          <w:sz w:val="24"/>
          <w:szCs w:val="24"/>
          <w:rtl/>
          <w:lang w:eastAsia="he-IL"/>
        </w:rPr>
        <w:t>ה</w:t>
      </w:r>
      <w:r w:rsidRPr="00FE576E">
        <w:rPr>
          <w:rFonts w:ascii="Times New Roman" w:eastAsia="Times New Roman" w:hAnsi="Times New Roman" w:cs="David"/>
          <w:sz w:val="24"/>
          <w:szCs w:val="24"/>
          <w:rtl/>
          <w:lang w:eastAsia="he-IL"/>
        </w:rPr>
        <w:t xml:space="preserve">העדפה </w:t>
      </w:r>
      <w:r w:rsidRPr="00FE576E">
        <w:rPr>
          <w:rFonts w:ascii="Times New Roman" w:eastAsia="Times New Roman" w:hAnsi="Times New Roman" w:cs="David" w:hint="cs"/>
          <w:sz w:val="24"/>
          <w:szCs w:val="24"/>
          <w:rtl/>
          <w:lang w:eastAsia="he-IL"/>
        </w:rPr>
        <w:t>ה</w:t>
      </w:r>
      <w:r w:rsidRPr="00FE576E">
        <w:rPr>
          <w:rFonts w:ascii="Times New Roman" w:eastAsia="Times New Roman" w:hAnsi="Times New Roman" w:cs="David"/>
          <w:sz w:val="24"/>
          <w:szCs w:val="24"/>
          <w:rtl/>
          <w:lang w:eastAsia="he-IL"/>
        </w:rPr>
        <w:t>מתקנת כבר עברה כברת</w:t>
      </w:r>
      <w:r w:rsidRPr="00FE576E">
        <w:rPr>
          <w:rFonts w:ascii="Times New Roman" w:eastAsia="Times New Roman" w:hAnsi="Times New Roman" w:cs="David" w:hint="cs"/>
          <w:sz w:val="24"/>
          <w:szCs w:val="24"/>
          <w:rtl/>
          <w:lang w:eastAsia="he-IL"/>
        </w:rPr>
        <w:t>־</w:t>
      </w:r>
      <w:r w:rsidRPr="00FE576E">
        <w:rPr>
          <w:rFonts w:ascii="Times New Roman" w:eastAsia="Times New Roman" w:hAnsi="Times New Roman" w:cs="David"/>
          <w:sz w:val="24"/>
          <w:szCs w:val="24"/>
          <w:rtl/>
          <w:lang w:eastAsia="he-IL"/>
        </w:rPr>
        <w:t>דרך מסוימת</w:t>
      </w:r>
      <w:r w:rsidRPr="00FE576E">
        <w:rPr>
          <w:rFonts w:ascii="Times New Roman" w:eastAsia="Times New Roman" w:hAnsi="Times New Roman" w:cs="David" w:hint="cs"/>
          <w:sz w:val="24"/>
          <w:szCs w:val="24"/>
          <w:rtl/>
          <w:lang w:eastAsia="he-IL"/>
        </w:rPr>
        <w:t>,</w:t>
      </w:r>
      <w:r w:rsidRPr="00FE576E">
        <w:rPr>
          <w:rFonts w:ascii="Times New Roman" w:eastAsia="Times New Roman" w:hAnsi="Times New Roman" w:cs="David"/>
          <w:sz w:val="24"/>
          <w:szCs w:val="24"/>
          <w:rtl/>
          <w:lang w:eastAsia="he-IL"/>
        </w:rPr>
        <w:t xml:space="preserve"> </w:t>
      </w:r>
      <w:r w:rsidRPr="00FE576E">
        <w:rPr>
          <w:rFonts w:ascii="Times New Roman" w:eastAsia="Times New Roman" w:hAnsi="Times New Roman" w:cs="David" w:hint="cs"/>
          <w:sz w:val="24"/>
          <w:szCs w:val="24"/>
          <w:rtl/>
          <w:lang w:eastAsia="he-IL"/>
        </w:rPr>
        <w:t xml:space="preserve">ויש </w:t>
      </w:r>
      <w:r w:rsidRPr="00FE576E">
        <w:rPr>
          <w:rFonts w:ascii="Times New Roman" w:eastAsia="Times New Roman" w:hAnsi="Times New Roman" w:cs="David"/>
          <w:sz w:val="24"/>
          <w:szCs w:val="24"/>
          <w:rtl/>
          <w:lang w:eastAsia="he-IL"/>
        </w:rPr>
        <w:t xml:space="preserve">מקום לבחון </w:t>
      </w:r>
      <w:r w:rsidRPr="00FE576E">
        <w:rPr>
          <w:rFonts w:ascii="Times New Roman" w:eastAsia="Times New Roman" w:hAnsi="Times New Roman" w:cs="David" w:hint="cs"/>
          <w:sz w:val="24"/>
          <w:szCs w:val="24"/>
          <w:rtl/>
          <w:lang w:eastAsia="he-IL"/>
        </w:rPr>
        <w:t xml:space="preserve">את מצבן של </w:t>
      </w:r>
      <w:r w:rsidRPr="00FE576E">
        <w:rPr>
          <w:rFonts w:ascii="Times New Roman" w:eastAsia="Times New Roman" w:hAnsi="Times New Roman" w:cs="David"/>
          <w:sz w:val="24"/>
          <w:szCs w:val="24"/>
          <w:rtl/>
          <w:lang w:eastAsia="he-IL"/>
        </w:rPr>
        <w:t xml:space="preserve">קבוצות חדשות, </w:t>
      </w:r>
      <w:r w:rsidRPr="00FE576E">
        <w:rPr>
          <w:rFonts w:ascii="Times New Roman" w:eastAsia="Times New Roman" w:hAnsi="Times New Roman" w:cs="David" w:hint="cs"/>
          <w:sz w:val="24"/>
          <w:szCs w:val="24"/>
          <w:rtl/>
          <w:lang w:eastAsia="he-IL"/>
        </w:rPr>
        <w:t xml:space="preserve">אולי </w:t>
      </w:r>
      <w:r w:rsidRPr="00FE576E">
        <w:rPr>
          <w:rFonts w:ascii="Times New Roman" w:eastAsia="Times New Roman" w:hAnsi="Times New Roman" w:cs="David"/>
          <w:sz w:val="24"/>
          <w:szCs w:val="24"/>
          <w:rtl/>
          <w:lang w:eastAsia="he-IL"/>
        </w:rPr>
        <w:t xml:space="preserve">אף שוליות, </w:t>
      </w:r>
      <w:r w:rsidRPr="00FE576E">
        <w:rPr>
          <w:rFonts w:ascii="Times New Roman" w:eastAsia="Times New Roman" w:hAnsi="Times New Roman" w:cs="David" w:hint="cs"/>
          <w:sz w:val="24"/>
          <w:szCs w:val="24"/>
          <w:rtl/>
          <w:lang w:eastAsia="he-IL"/>
        </w:rPr>
        <w:t>ב</w:t>
      </w:r>
      <w:r w:rsidRPr="00FE576E">
        <w:rPr>
          <w:rFonts w:ascii="Times New Roman" w:eastAsia="Times New Roman" w:hAnsi="Times New Roman" w:cs="David"/>
          <w:sz w:val="24"/>
          <w:szCs w:val="24"/>
          <w:rtl/>
          <w:lang w:eastAsia="he-IL"/>
        </w:rPr>
        <w:t>כוח העבודה, תוך שיקוף הדמוגרפיה המשתנה בחברה.</w:t>
      </w:r>
      <w:r w:rsidRPr="00FE576E">
        <w:rPr>
          <w:rFonts w:ascii="Times New Roman" w:eastAsia="Times New Roman" w:hAnsi="Times New Roman" w:cs="David"/>
          <w:sz w:val="24"/>
          <w:szCs w:val="24"/>
          <w:vertAlign w:val="superscript"/>
          <w:rtl/>
          <w:lang w:eastAsia="he-IL"/>
        </w:rPr>
        <w:footnoteReference w:id="28"/>
      </w:r>
      <w:r w:rsidRPr="00FE576E">
        <w:rPr>
          <w:rFonts w:ascii="Times New Roman" w:eastAsia="Times New Roman" w:hAnsi="Times New Roman" w:cs="David"/>
          <w:sz w:val="24"/>
          <w:szCs w:val="24"/>
          <w:vertAlign w:val="superscript"/>
          <w:rtl/>
          <w:lang w:eastAsia="he-IL"/>
        </w:rPr>
        <w:t xml:space="preserve"> </w:t>
      </w:r>
      <w:r w:rsidRPr="00FE576E">
        <w:rPr>
          <w:rFonts w:ascii="Times New Roman" w:eastAsia="Times New Roman" w:hAnsi="Times New Roman" w:cs="David"/>
          <w:sz w:val="24"/>
          <w:szCs w:val="24"/>
          <w:rtl/>
          <w:lang w:eastAsia="he-IL"/>
        </w:rPr>
        <w:t xml:space="preserve">מעבר לתיקון עוולות וטיעוני צדק, ניתן להצדיק </w:t>
      </w:r>
      <w:r w:rsidRPr="00FE576E">
        <w:rPr>
          <w:rFonts w:ascii="Times New Roman" w:eastAsia="Times New Roman" w:hAnsi="Times New Roman" w:cs="David" w:hint="cs"/>
          <w:sz w:val="24"/>
          <w:szCs w:val="24"/>
          <w:rtl/>
          <w:lang w:eastAsia="he-IL"/>
        </w:rPr>
        <w:t xml:space="preserve">העדפה מתקנת של </w:t>
      </w:r>
      <w:r w:rsidRPr="00FE576E">
        <w:rPr>
          <w:rFonts w:ascii="Times New Roman" w:eastAsia="Times New Roman" w:hAnsi="Times New Roman" w:cs="David"/>
          <w:sz w:val="24"/>
          <w:szCs w:val="24"/>
          <w:rtl/>
          <w:lang w:eastAsia="he-IL"/>
        </w:rPr>
        <w:t>קבוצות חדשות על</w:t>
      </w:r>
      <w:r w:rsidRPr="00FE576E">
        <w:rPr>
          <w:rFonts w:ascii="Times New Roman" w:eastAsia="Times New Roman" w:hAnsi="Times New Roman" w:cs="David" w:hint="cs"/>
          <w:sz w:val="24"/>
          <w:szCs w:val="24"/>
          <w:rtl/>
          <w:lang w:eastAsia="he-IL"/>
        </w:rPr>
        <w:t>־</w:t>
      </w:r>
      <w:r w:rsidRPr="00FE576E">
        <w:rPr>
          <w:rFonts w:ascii="Times New Roman" w:eastAsia="Times New Roman" w:hAnsi="Times New Roman" w:cs="David"/>
          <w:sz w:val="24"/>
          <w:szCs w:val="24"/>
          <w:rtl/>
          <w:lang w:eastAsia="he-IL"/>
        </w:rPr>
        <w:t xml:space="preserve">ידי </w:t>
      </w:r>
      <w:r w:rsidRPr="00FE576E">
        <w:rPr>
          <w:rFonts w:ascii="Times New Roman" w:eastAsia="Times New Roman" w:hAnsi="Times New Roman" w:cs="David" w:hint="cs"/>
          <w:sz w:val="24"/>
          <w:szCs w:val="24"/>
          <w:rtl/>
          <w:lang w:eastAsia="he-IL"/>
        </w:rPr>
        <w:t xml:space="preserve">רכיב </w:t>
      </w:r>
      <w:r w:rsidRPr="00FE576E">
        <w:rPr>
          <w:rFonts w:ascii="Times New Roman" w:eastAsia="Times New Roman" w:hAnsi="Times New Roman" w:cs="David"/>
          <w:sz w:val="24"/>
          <w:szCs w:val="24"/>
          <w:rtl/>
          <w:lang w:eastAsia="he-IL"/>
        </w:rPr>
        <w:t>הגיוון</w:t>
      </w:r>
      <w:r w:rsidRPr="00FE576E">
        <w:rPr>
          <w:rFonts w:ascii="Times New Roman" w:eastAsia="Times New Roman" w:hAnsi="Times New Roman" w:cs="David" w:hint="cs"/>
          <w:sz w:val="24"/>
          <w:szCs w:val="24"/>
          <w:rtl/>
          <w:lang w:eastAsia="he-IL"/>
        </w:rPr>
        <w:t>,</w:t>
      </w:r>
      <w:r w:rsidRPr="00FE576E">
        <w:rPr>
          <w:rFonts w:ascii="Times New Roman" w:eastAsia="Times New Roman" w:hAnsi="Times New Roman" w:cs="David"/>
          <w:sz w:val="24"/>
          <w:szCs w:val="24"/>
          <w:rtl/>
          <w:lang w:eastAsia="he-IL"/>
        </w:rPr>
        <w:t xml:space="preserve"> אשר בין היתר ייטיב עם האזרחים </w:t>
      </w:r>
      <w:r w:rsidRPr="00FE576E">
        <w:rPr>
          <w:rFonts w:ascii="Times New Roman" w:eastAsia="Times New Roman" w:hAnsi="Times New Roman" w:cs="David" w:hint="cs"/>
          <w:sz w:val="24"/>
          <w:szCs w:val="24"/>
          <w:rtl/>
          <w:lang w:eastAsia="he-IL"/>
        </w:rPr>
        <w:t>ש</w:t>
      </w:r>
      <w:r w:rsidRPr="00FE576E">
        <w:rPr>
          <w:rFonts w:ascii="Times New Roman" w:eastAsia="Times New Roman" w:hAnsi="Times New Roman" w:cs="David"/>
          <w:sz w:val="24"/>
          <w:szCs w:val="24"/>
          <w:rtl/>
          <w:lang w:eastAsia="he-IL"/>
        </w:rPr>
        <w:t xml:space="preserve">שירות המדינה בא לשרת. </w:t>
      </w:r>
      <w:bookmarkEnd w:id="0"/>
      <w:bookmarkEnd w:id="1"/>
      <w:bookmarkEnd w:id="2"/>
      <w:bookmarkEnd w:id="12"/>
      <w:bookmarkEnd w:id="13"/>
      <w:bookmarkEnd w:id="14"/>
      <w:bookmarkEnd w:id="15"/>
      <w:bookmarkEnd w:id="16"/>
      <w:r w:rsidR="00731A70" w:rsidRPr="00122AE9">
        <w:rPr>
          <w:rFonts w:ascii="Times New Roman" w:eastAsia="Times New Roman" w:hAnsi="Times New Roman" w:cs="David" w:hint="eastAsia"/>
          <w:szCs w:val="24"/>
          <w:rtl/>
        </w:rPr>
        <w:t>מדיניות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הקבלה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מבוססת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כישורים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והישגים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מעלה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חשש</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בדבר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היותה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בעלת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יכולת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חיזוי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השתלבות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והתמדה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וטענות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בדבר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אפליה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מובנית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בהערכה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זו</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כלפי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אוכלוסיות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מסוימות</w:t>
      </w:r>
      <w:r w:rsidR="00731A70" w:rsidRPr="00122AE9">
        <w:rPr>
          <w:rFonts w:ascii="Times New Roman" w:eastAsia="Times New Roman" w:hAnsi="Times New Roman" w:cs="David"/>
          <w:szCs w:val="24"/>
          <w:rtl/>
        </w:rPr>
        <w:t>.</w:t>
      </w:r>
      <w:r w:rsidR="00731A70" w:rsidRPr="00122AE9">
        <w:rPr>
          <w:rFonts w:ascii="Times New Roman" w:eastAsia="Times New Roman" w:hAnsi="Times New Roman" w:cs="David"/>
          <w:szCs w:val="24"/>
          <w:vertAlign w:val="superscript"/>
          <w:rtl/>
        </w:rPr>
        <w:footnoteReference w:id="29"/>
      </w:r>
      <w:r w:rsidR="00731A70" w:rsidRPr="00122AE9">
        <w:rPr>
          <w:rFonts w:ascii="Times New Roman" w:eastAsia="Times New Roman" w:hAnsi="Times New Roman" w:cs="David"/>
          <w:szCs w:val="24"/>
          <w:rtl/>
        </w:rPr>
        <w:t xml:space="preserve"> מעבר לקשיים הקיימים בעיבוד ו</w:t>
      </w:r>
      <w:r w:rsidR="00731A70" w:rsidRPr="00122AE9">
        <w:rPr>
          <w:rFonts w:ascii="Times New Roman" w:eastAsia="Times New Roman" w:hAnsi="Times New Roman" w:cs="David" w:hint="cs"/>
          <w:szCs w:val="24"/>
          <w:rtl/>
        </w:rPr>
        <w:t>ב</w:t>
      </w:r>
      <w:r w:rsidR="00731A70" w:rsidRPr="00122AE9">
        <w:rPr>
          <w:rFonts w:ascii="Times New Roman" w:eastAsia="Times New Roman" w:hAnsi="Times New Roman" w:cs="David"/>
          <w:szCs w:val="24"/>
          <w:rtl/>
        </w:rPr>
        <w:t xml:space="preserve">שימוש בהערכות על בסיס כישורים באופן רוחבי בדיני מכרזים לעובדים בשירות המדינה, יש מקום לדון באופן ביקורתי בהערכות של מריט. </w:t>
      </w:r>
      <w:r w:rsidR="00731A70" w:rsidRPr="00122AE9">
        <w:rPr>
          <w:rFonts w:ascii="Times New Roman" w:eastAsia="Times New Roman" w:hAnsi="Times New Roman" w:cs="David" w:hint="eastAsia"/>
          <w:szCs w:val="24"/>
          <w:rtl/>
        </w:rPr>
        <w:t>בחינת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הערכות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מריט</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בהקשר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העדפה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מתקנת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צריכה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להביא</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בחשבון</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הערכות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עובד</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בשלב</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השכירה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המבוססת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בין</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היתר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כישורים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המושפעים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מאלמנטים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טרום-שוק</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והשכלה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בעיקר</w:t>
      </w:r>
      <w:r w:rsidR="00731A70" w:rsidRPr="00122AE9">
        <w:rPr>
          <w:rFonts w:ascii="Times New Roman" w:eastAsia="Times New Roman" w:hAnsi="Times New Roman" w:cs="David" w:hint="cs"/>
          <w:szCs w:val="24"/>
          <w:rtl/>
        </w:rPr>
        <w:t>,</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עלול</w:t>
      </w:r>
      <w:r w:rsidR="00731A70" w:rsidRPr="00122AE9">
        <w:rPr>
          <w:rFonts w:ascii="Times New Roman" w:eastAsia="Times New Roman" w:hAnsi="Times New Roman" w:cs="David" w:hint="cs"/>
          <w:szCs w:val="24"/>
          <w:rtl/>
        </w:rPr>
        <w:t>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להשפיע</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יכולת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אוכלוסיית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המטרה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להתחרות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משרות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הכשיר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ביותר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זו</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השאלה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כאשר</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אנו</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נמצאים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בהערכת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סגולות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וכישורים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פתרונות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העדפה</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מתקנת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מבקשים</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בצדק</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או</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שלא</w:t>
      </w:r>
      <w:r w:rsidR="00731A70" w:rsidRPr="00122AE9">
        <w:rPr>
          <w:rFonts w:ascii="Times New Roman" w:eastAsia="Times New Roman" w:hAnsi="Times New Roman" w:cs="David" w:hint="cs"/>
          <w:szCs w:val="24"/>
          <w:rtl/>
        </w:rPr>
        <w:t xml:space="preserve"> בצדק</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לסגת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ממנגנון</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המריט</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כפי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שהוא</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נתפס</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על</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ידי</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קבוצת</w:t>
      </w:r>
      <w:r w:rsidR="00731A70" w:rsidRPr="00122AE9">
        <w:rPr>
          <w:rFonts w:ascii="Times New Roman" w:eastAsia="Times New Roman" w:hAnsi="Times New Roman" w:cs="David"/>
          <w:szCs w:val="24"/>
          <w:rtl/>
        </w:rPr>
        <w:t xml:space="preserve"> </w:t>
      </w:r>
      <w:r w:rsidR="00731A70" w:rsidRPr="00122AE9">
        <w:rPr>
          <w:rFonts w:ascii="Times New Roman" w:eastAsia="Times New Roman" w:hAnsi="Times New Roman" w:cs="David" w:hint="eastAsia"/>
          <w:szCs w:val="24"/>
          <w:rtl/>
        </w:rPr>
        <w:t>הרוב</w:t>
      </w:r>
      <w:r w:rsidR="00731A70" w:rsidRPr="00122AE9">
        <w:rPr>
          <w:rFonts w:ascii="Times New Roman" w:eastAsia="Times New Roman" w:hAnsi="Times New Roman" w:cs="David" w:hint="cs"/>
          <w:szCs w:val="24"/>
          <w:rtl/>
        </w:rPr>
        <w:t>.</w:t>
      </w:r>
      <w:r w:rsidR="00731A70" w:rsidRPr="00122AE9">
        <w:rPr>
          <w:rFonts w:ascii="Times New Roman" w:eastAsia="Times New Roman" w:hAnsi="Times New Roman" w:cs="David"/>
          <w:szCs w:val="24"/>
          <w:rtl/>
        </w:rPr>
        <w:t xml:space="preserve"> </w:t>
      </w:r>
    </w:p>
    <w:p w:rsidR="00D1421C" w:rsidRDefault="00D1421C" w:rsidP="00637EF2">
      <w:pPr>
        <w:spacing w:after="0" w:line="360" w:lineRule="auto"/>
        <w:ind w:firstLine="720"/>
        <w:jc w:val="both"/>
        <w:rPr>
          <w:rFonts w:ascii="Times New Roman" w:eastAsia="Times New Roman" w:hAnsi="Times New Roman" w:cs="David"/>
          <w:szCs w:val="24"/>
          <w:rtl/>
          <w:lang w:eastAsia="he-IL"/>
        </w:rPr>
      </w:pPr>
    </w:p>
    <w:p w:rsidR="00731A70" w:rsidRDefault="00731A70" w:rsidP="00637EF2">
      <w:pPr>
        <w:spacing w:after="0" w:line="360" w:lineRule="auto"/>
        <w:ind w:firstLine="720"/>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הרעיון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המרכזי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בשוויון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הוא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הקפדה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היעדר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משוא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פנים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וחלוקה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אחידה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רעיון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זה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איננו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מבטיח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בהכרח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חלוקה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צודקת</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0"/>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זוהי</w:t>
      </w:r>
      <w:r w:rsidRPr="00122AE9">
        <w:rPr>
          <w:rFonts w:ascii="Times New Roman" w:eastAsia="Times New Roman" w:hAnsi="Times New Roman" w:cs="David"/>
          <w:szCs w:val="24"/>
          <w:rtl/>
          <w:lang w:eastAsia="he-IL"/>
        </w:rPr>
        <w:t xml:space="preserve"> הטענה הרשמית כנגד הערכת מריט וקביעת תנאי סף באופן אחיד לכל האוכלוסייה, שכן לא כל האוכלוסייה שווה. השוויון האריסטוטלי לעומת השוויון המהותי, מציג דרישות לעניין כלל החלוקה עצמו ודורש התאמה</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יחס שווה לשווים ויחס שונה לשונים, כאשר האבחנות הן רלוונטיות לחלוקה.</w:t>
      </w:r>
      <w:r w:rsidRPr="00122AE9">
        <w:rPr>
          <w:rFonts w:ascii="Times New Roman" w:eastAsia="Times New Roman" w:hAnsi="Times New Roman" w:cs="David"/>
          <w:szCs w:val="24"/>
          <w:vertAlign w:val="superscript"/>
          <w:rtl/>
          <w:lang w:eastAsia="he-IL"/>
        </w:rPr>
        <w:footnoteReference w:id="31"/>
      </w:r>
      <w:r w:rsidRPr="00122AE9">
        <w:rPr>
          <w:rFonts w:ascii="Times New Roman" w:eastAsia="Times New Roman" w:hAnsi="Times New Roman" w:cs="David"/>
          <w:szCs w:val="24"/>
          <w:rtl/>
          <w:lang w:eastAsia="he-IL"/>
        </w:rPr>
        <w:t xml:space="preserve"> רעיון אריסטוטלי זה עשוי להצדיק קיומם של מכרזים ייעודיים או אפילו את קיומם של תנאי סף שונים במכרזים אלה. אולם </w:t>
      </w:r>
      <w:r w:rsidRPr="00122AE9">
        <w:rPr>
          <w:rFonts w:ascii="Times New Roman" w:eastAsia="Times New Roman" w:hAnsi="Times New Roman" w:cs="David" w:hint="cs"/>
          <w:szCs w:val="24"/>
          <w:rtl/>
          <w:lang w:eastAsia="he-IL"/>
        </w:rPr>
        <w:t>הדרך</w:t>
      </w:r>
      <w:r w:rsidRPr="00122AE9">
        <w:rPr>
          <w:rFonts w:ascii="Times New Roman" w:eastAsia="Times New Roman" w:hAnsi="Times New Roman" w:cs="David"/>
          <w:szCs w:val="24"/>
          <w:rtl/>
          <w:lang w:eastAsia="he-IL"/>
        </w:rPr>
        <w:t xml:space="preserve"> להצדיקם ברמה הרוחבית יותר, בהתייחס לפגיעה האפשרית בסטראוטיפים או אף במתן 'הנחות' למי שמשתייך לקבוצת היעד אך </w:t>
      </w:r>
      <w:r w:rsidRPr="00122AE9">
        <w:rPr>
          <w:rFonts w:ascii="Times New Roman" w:eastAsia="Times New Roman" w:hAnsi="Times New Roman" w:cs="David" w:hint="cs"/>
          <w:szCs w:val="24"/>
          <w:rtl/>
          <w:lang w:eastAsia="he-IL"/>
        </w:rPr>
        <w:t>אינו</w:t>
      </w:r>
      <w:r w:rsidRPr="00122AE9">
        <w:rPr>
          <w:rFonts w:ascii="Times New Roman" w:eastAsia="Times New Roman" w:hAnsi="Times New Roman" w:cs="David"/>
          <w:szCs w:val="24"/>
          <w:rtl/>
          <w:lang w:eastAsia="he-IL"/>
        </w:rPr>
        <w:t xml:space="preserve"> סובל מהשתייכותו אליה, היא קביעת אמצעי ניבוי לעניין אומדן היכולת הקבוצתית והיכולת האישית של המועמד. ייתכן כי לא די לנו בהשתייכותו של פלוני </w:t>
      </w:r>
      <w:r w:rsidR="00637EF2">
        <w:rPr>
          <w:rFonts w:ascii="Times New Roman" w:eastAsia="Times New Roman" w:hAnsi="Times New Roman" w:cs="David" w:hint="cs"/>
          <w:szCs w:val="24"/>
          <w:rtl/>
          <w:lang w:eastAsia="he-IL"/>
        </w:rPr>
        <w:t>לקבוצה מסוימת</w:t>
      </w:r>
      <w:r w:rsidRPr="00122AE9">
        <w:rPr>
          <w:rFonts w:ascii="Times New Roman" w:eastAsia="Times New Roman" w:hAnsi="Times New Roman" w:cs="David"/>
          <w:szCs w:val="24"/>
          <w:rtl/>
          <w:lang w:eastAsia="he-IL"/>
        </w:rPr>
        <w:t xml:space="preserve"> כדי לקבוע שהוא זכאי להעדפה מתקנת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ייתכן שיש לעמוד על הבחנות </w:t>
      </w:r>
      <w:r w:rsidR="00637EF2">
        <w:rPr>
          <w:rFonts w:ascii="Times New Roman" w:eastAsia="Times New Roman" w:hAnsi="Times New Roman" w:cs="David" w:hint="cs"/>
          <w:szCs w:val="24"/>
          <w:rtl/>
          <w:lang w:eastAsia="he-IL"/>
        </w:rPr>
        <w:t xml:space="preserve"> בתוך ה</w:t>
      </w:r>
      <w:r w:rsidRPr="00122AE9">
        <w:rPr>
          <w:rFonts w:ascii="Times New Roman" w:eastAsia="Times New Roman" w:hAnsi="Times New Roman" w:cs="David"/>
          <w:szCs w:val="24"/>
          <w:rtl/>
          <w:lang w:eastAsia="he-IL"/>
        </w:rPr>
        <w:t>אוכלוסיי</w:t>
      </w:r>
      <w:r w:rsidR="00637EF2">
        <w:rPr>
          <w:rFonts w:ascii="Times New Roman" w:eastAsia="Times New Roman" w:hAnsi="Times New Roman" w:cs="David" w:hint="cs"/>
          <w:szCs w:val="24"/>
          <w:rtl/>
          <w:lang w:eastAsia="he-IL"/>
        </w:rPr>
        <w:t>ה</w:t>
      </w:r>
      <w:r w:rsidRPr="00122AE9">
        <w:rPr>
          <w:rFonts w:ascii="Times New Roman" w:eastAsia="Times New Roman" w:hAnsi="Times New Roman" w:cs="David"/>
          <w:szCs w:val="24"/>
          <w:rtl/>
          <w:lang w:eastAsia="he-IL"/>
        </w:rPr>
        <w:t xml:space="preserve"> שיכולות לנבא </w:t>
      </w:r>
      <w:r w:rsidRPr="00122AE9">
        <w:rPr>
          <w:rFonts w:ascii="Times New Roman" w:eastAsia="Times New Roman" w:hAnsi="Times New Roman" w:cs="David" w:hint="cs"/>
          <w:szCs w:val="24"/>
          <w:rtl/>
          <w:lang w:eastAsia="he-IL"/>
        </w:rPr>
        <w:t>תת-ייצוג</w:t>
      </w:r>
      <w:r w:rsidRPr="00122AE9">
        <w:rPr>
          <w:rFonts w:ascii="Times New Roman" w:eastAsia="Times New Roman" w:hAnsi="Times New Roman" w:cs="David"/>
          <w:szCs w:val="24"/>
          <w:rtl/>
          <w:lang w:eastAsia="he-IL"/>
        </w:rPr>
        <w:t xml:space="preserve">. עם זאת, הרעיון כי השתייכותו של אדם לקבוצה מסוימת מצריכה גם בדיקה פרטנית, </w:t>
      </w:r>
      <w:r w:rsidRPr="00122AE9">
        <w:rPr>
          <w:rFonts w:ascii="Times New Roman" w:eastAsia="Times New Roman" w:hAnsi="Times New Roman" w:cs="David" w:hint="eastAsia"/>
          <w:szCs w:val="24"/>
          <w:rtl/>
          <w:lang w:eastAsia="he-IL"/>
        </w:rPr>
        <w:t>מטילה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עלויות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כלכליות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00637EF2">
        <w:rPr>
          <w:rFonts w:ascii="Times New Roman" w:eastAsia="Times New Roman" w:hAnsi="Times New Roman" w:cs="David" w:hint="cs"/>
          <w:szCs w:val="24"/>
          <w:rtl/>
          <w:lang w:eastAsia="he-IL"/>
        </w:rPr>
        <w:t>הליך המינוי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אבחנות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כלליות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אלה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שעלולות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לפגוע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בפרט</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גוזרות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עליו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השתייכות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קבוצתית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סטראוטיפית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קולקטיבית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ואף</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שרירותית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שאיננה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עומדת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מאפייניו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האישיים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הקשיים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בשוויון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האריסטוטלי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מקובל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לקדם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ערכי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בסיס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השוויון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המהותי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המציע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שוויון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ביכולות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המצדיק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התאמות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vertAlign w:val="superscript"/>
          <w:rtl/>
          <w:lang w:eastAsia="he-IL"/>
        </w:rPr>
        <w:footnoteReference w:id="32"/>
      </w:r>
      <w:r w:rsidRPr="00122AE9">
        <w:rPr>
          <w:rFonts w:ascii="Times New Roman" w:eastAsia="Times New Roman" w:hAnsi="Times New Roman" w:cs="David"/>
          <w:szCs w:val="24"/>
          <w:rtl/>
          <w:lang w:eastAsia="he-IL"/>
        </w:rPr>
        <w:t xml:space="preserve"> </w:t>
      </w:r>
    </w:p>
    <w:p w:rsidR="00637EF2" w:rsidRPr="00122AE9" w:rsidRDefault="00637EF2" w:rsidP="00637EF2">
      <w:pPr>
        <w:spacing w:after="0" w:line="360" w:lineRule="auto"/>
        <w:ind w:firstLine="720"/>
        <w:jc w:val="both"/>
        <w:rPr>
          <w:rFonts w:ascii="Times New Roman" w:eastAsia="Times New Roman" w:hAnsi="Times New Roman" w:cs="David"/>
          <w:szCs w:val="24"/>
          <w:rtl/>
          <w:lang w:eastAsia="he-IL"/>
        </w:rPr>
      </w:pPr>
    </w:p>
    <w:p w:rsidR="007158A8" w:rsidRDefault="007158A8" w:rsidP="007158A8">
      <w:pPr>
        <w:spacing w:after="0" w:line="360" w:lineRule="auto"/>
        <w:ind w:firstLine="720"/>
        <w:jc w:val="both"/>
        <w:rPr>
          <w:rFonts w:ascii="Times New Roman" w:eastAsia="Times New Roman" w:hAnsi="Times New Roman" w:cs="David"/>
          <w:szCs w:val="24"/>
          <w:rtl/>
        </w:rPr>
      </w:pPr>
      <w:r>
        <w:rPr>
          <w:rFonts w:ascii="Times New Roman" w:eastAsia="Times New Roman" w:hAnsi="Times New Roman" w:cs="David" w:hint="cs"/>
          <w:szCs w:val="24"/>
          <w:rtl/>
        </w:rPr>
        <w:lastRenderedPageBreak/>
        <w:t>דיון בגיוון בתעסוקה, בין שילוב לבין סגרגציה, עומד במסגרת הדיון על בחינת יתרונותיה וחסרונותיה של ההעדפה המתקנת. למרות עליונותן של הטענות התומכות בהעדפה המתקנת, לחלק מהטענות השוללות אותה קיים משקל וראוי להתייחס אליו.</w:t>
      </w:r>
      <w:r w:rsidR="00A956A7">
        <w:rPr>
          <w:rFonts w:ascii="Times New Roman" w:eastAsia="Times New Roman" w:hAnsi="Times New Roman" w:cs="David" w:hint="cs"/>
          <w:szCs w:val="24"/>
          <w:rtl/>
        </w:rPr>
        <w:t xml:space="preserve"> המחלוקות הן תולדה של תפיסות קוטביות באשר לפרשנות של עקרון השוויון או למשמעותו של המושג צדק.</w:t>
      </w:r>
    </w:p>
    <w:p w:rsidR="00CA7263" w:rsidRDefault="00CA7263" w:rsidP="00731A70">
      <w:pPr>
        <w:spacing w:after="0" w:line="360" w:lineRule="auto"/>
        <w:ind w:firstLine="720"/>
        <w:jc w:val="both"/>
        <w:rPr>
          <w:rFonts w:ascii="Times New Roman" w:eastAsia="Times New Roman" w:hAnsi="Times New Roman" w:cs="David"/>
          <w:szCs w:val="24"/>
          <w:rtl/>
        </w:rPr>
      </w:pPr>
    </w:p>
    <w:p w:rsidR="00CA7263" w:rsidRPr="005601E9" w:rsidRDefault="00CA7263" w:rsidP="00D1421C">
      <w:pPr>
        <w:pStyle w:val="ListParagraph"/>
        <w:numPr>
          <w:ilvl w:val="0"/>
          <w:numId w:val="23"/>
        </w:numPr>
        <w:bidi w:val="0"/>
        <w:spacing w:line="360" w:lineRule="auto"/>
        <w:rPr>
          <w:rFonts w:asciiTheme="majorBidi" w:eastAsia="Times New Roman" w:hAnsiTheme="majorBidi" w:cstheme="majorBidi"/>
          <w:b/>
          <w:bCs/>
          <w:sz w:val="24"/>
          <w:szCs w:val="24"/>
          <w:lang w:eastAsia="he-IL"/>
        </w:rPr>
      </w:pPr>
      <w:r w:rsidRPr="005601E9">
        <w:rPr>
          <w:rFonts w:asciiTheme="majorBidi" w:eastAsia="Times New Roman" w:hAnsiTheme="majorBidi" w:cstheme="majorBidi"/>
          <w:b/>
          <w:bCs/>
          <w:sz w:val="24"/>
          <w:szCs w:val="24"/>
          <w:lang w:eastAsia="he-IL"/>
        </w:rPr>
        <w:t>Arguments for and Against Affirmative Action Policies</w:t>
      </w:r>
    </w:p>
    <w:p w:rsidR="00CA7263" w:rsidRPr="00122AE9" w:rsidRDefault="00CA7263" w:rsidP="007158A8">
      <w:pPr>
        <w:spacing w:after="0" w:line="360" w:lineRule="auto"/>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תכניות</w:t>
      </w:r>
      <w:r w:rsidRPr="00122AE9">
        <w:rPr>
          <w:rFonts w:ascii="Times New Roman" w:eastAsia="Times New Roman" w:hAnsi="Times New Roman" w:cs="David"/>
          <w:szCs w:val="24"/>
          <w:rtl/>
          <w:lang w:eastAsia="he-IL"/>
        </w:rPr>
        <w:t xml:space="preserve"> להעדפה מתקנת </w:t>
      </w:r>
      <w:r w:rsidRPr="00122AE9">
        <w:rPr>
          <w:rFonts w:ascii="Times New Roman" w:eastAsia="Times New Roman" w:hAnsi="Times New Roman" w:cs="David" w:hint="cs"/>
          <w:szCs w:val="24"/>
          <w:rtl/>
          <w:lang w:eastAsia="he-IL"/>
        </w:rPr>
        <w:t>הן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קרקע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פורייה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לדילמות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מוסריות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ולדעות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במחלוקת</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3"/>
      </w:r>
      <w:r w:rsidRPr="00122AE9">
        <w:rPr>
          <w:rFonts w:ascii="Times New Roman" w:eastAsia="Times New Roman" w:hAnsi="Times New Roman" w:cs="David"/>
          <w:szCs w:val="24"/>
          <w:rtl/>
          <w:lang w:eastAsia="he-IL"/>
        </w:rPr>
        <w:t xml:space="preserve"> </w:t>
      </w:r>
      <w:r w:rsidR="007158A8">
        <w:rPr>
          <w:rFonts w:ascii="Times New Roman" w:eastAsia="Times New Roman" w:hAnsi="Times New Roman" w:cs="David" w:hint="cs"/>
          <w:szCs w:val="24"/>
          <w:rtl/>
        </w:rPr>
        <w:t>וספרות המחקר מכילה טיעונים רבין בעד העדפה מתקנת העומדים כנגד נימוקי השוללים.</w:t>
      </w:r>
      <w:r w:rsidR="007158A8">
        <w:rPr>
          <w:rStyle w:val="FootnoteReference"/>
          <w:rFonts w:ascii="Times New Roman" w:eastAsia="Times New Roman" w:hAnsi="Times New Roman" w:cs="David"/>
          <w:szCs w:val="24"/>
          <w:rtl/>
        </w:rPr>
        <w:footnoteReference w:id="34"/>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הו</w:t>
      </w:r>
      <w:r w:rsidRPr="00122AE9">
        <w:rPr>
          <w:rFonts w:ascii="Times New Roman" w:eastAsia="Times New Roman" w:hAnsi="Times New Roman" w:cs="David" w:hint="cs"/>
          <w:szCs w:val="24"/>
          <w:rtl/>
        </w:rPr>
        <w:t>ו</w:t>
      </w:r>
      <w:r w:rsidRPr="00122AE9">
        <w:rPr>
          <w:rFonts w:ascii="Times New Roman" w:eastAsia="Times New Roman" w:hAnsi="Times New Roman" w:cs="David" w:hint="eastAsia"/>
          <w:szCs w:val="24"/>
          <w:rtl/>
        </w:rPr>
        <w:t>יכוח</w:t>
      </w:r>
      <w:r w:rsidRPr="00122AE9">
        <w:rPr>
          <w:rFonts w:ascii="Times New Roman" w:eastAsia="Times New Roman" w:hAnsi="Times New Roman" w:cs="David" w:hint="cs"/>
          <w:szCs w:val="24"/>
          <w:rtl/>
        </w:rPr>
        <w:t>,</w:t>
      </w:r>
      <w:r w:rsidRPr="00122AE9">
        <w:rPr>
          <w:rFonts w:ascii="Times New Roman" w:eastAsia="Times New Roman" w:hAnsi="Times New Roman" w:cs="David"/>
          <w:szCs w:val="24"/>
          <w:rtl/>
        </w:rPr>
        <w:t xml:space="preserve"> ל</w:t>
      </w:r>
      <w:r w:rsidRPr="00122AE9">
        <w:rPr>
          <w:rFonts w:ascii="Times New Roman" w:eastAsia="Times New Roman" w:hAnsi="Times New Roman" w:cs="David" w:hint="eastAsia"/>
          <w:szCs w:val="24"/>
          <w:rtl/>
        </w:rPr>
        <w:t>דעתי</w:t>
      </w:r>
      <w:r w:rsidRPr="00122AE9">
        <w:rPr>
          <w:rFonts w:ascii="Times New Roman" w:eastAsia="Times New Roman" w:hAnsi="Times New Roman" w:cs="David" w:hint="cs"/>
          <w:szCs w:val="24"/>
          <w:rtl/>
        </w:rPr>
        <w:t>,</w:t>
      </w:r>
      <w:r w:rsidRPr="00122AE9">
        <w:rPr>
          <w:rFonts w:ascii="Times New Roman" w:eastAsia="Times New Roman" w:hAnsi="Times New Roman" w:cs="David"/>
          <w:szCs w:val="24"/>
          <w:rtl/>
        </w:rPr>
        <w:t xml:space="preserve"> צריך להתמקד בתוכן ה</w:t>
      </w:r>
      <w:r w:rsidRPr="00122AE9">
        <w:rPr>
          <w:rFonts w:ascii="Times New Roman" w:eastAsia="Times New Roman" w:hAnsi="Times New Roman" w:cs="David" w:hint="eastAsia"/>
          <w:szCs w:val="24"/>
          <w:rtl/>
        </w:rPr>
        <w:t>תכנית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בבחירת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התכנית</w:t>
      </w:r>
      <w:r w:rsidRPr="00122AE9">
        <w:rPr>
          <w:rFonts w:ascii="Times New Roman" w:eastAsia="Times New Roman" w:hAnsi="Times New Roman" w:cs="David"/>
          <w:szCs w:val="24"/>
          <w:rtl/>
        </w:rPr>
        <w:t xml:space="preserve"> המתאימה ו</w:t>
      </w:r>
      <w:r w:rsidRPr="00122AE9">
        <w:rPr>
          <w:rFonts w:ascii="Times New Roman" w:eastAsia="Times New Roman" w:hAnsi="Times New Roman" w:cs="David" w:hint="cs"/>
          <w:szCs w:val="24"/>
          <w:rtl/>
        </w:rPr>
        <w:t>ב</w:t>
      </w:r>
      <w:r w:rsidRPr="00122AE9">
        <w:rPr>
          <w:rFonts w:ascii="Times New Roman" w:eastAsia="Times New Roman" w:hAnsi="Times New Roman" w:cs="David" w:hint="eastAsia"/>
          <w:szCs w:val="24"/>
          <w:rtl/>
        </w:rPr>
        <w:t>דרכי</w:t>
      </w:r>
      <w:r w:rsidRPr="00122AE9">
        <w:rPr>
          <w:rFonts w:ascii="Times New Roman" w:eastAsia="Times New Roman" w:hAnsi="Times New Roman" w:cs="David"/>
          <w:szCs w:val="24"/>
          <w:rtl/>
        </w:rPr>
        <w:t xml:space="preserve"> יישומה. </w:t>
      </w:r>
      <w:r w:rsidRPr="00122AE9">
        <w:rPr>
          <w:rFonts w:ascii="Times New Roman" w:eastAsia="Times New Roman" w:hAnsi="Times New Roman" w:cs="David" w:hint="eastAsia"/>
          <w:szCs w:val="24"/>
          <w:rtl/>
        </w:rPr>
        <w:t>בחרתי</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להביא</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סקירה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קצרה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של</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טיעונים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בעד</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ונגד</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מדיניות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של</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העדפה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מתקנת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כדי</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לאפשר</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עמידה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על</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חלק</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מהבעיות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שנטמעו</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אשר</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אין</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בהן</w:t>
      </w:r>
      <w:r w:rsidRPr="00122AE9">
        <w:rPr>
          <w:rFonts w:ascii="Times New Roman" w:eastAsia="Times New Roman" w:hAnsi="Times New Roman" w:cs="David" w:hint="cs"/>
          <w:szCs w:val="24"/>
          <w:rtl/>
        </w:rPr>
        <w:t>,</w:t>
      </w:r>
      <w:r w:rsidRPr="00122AE9">
        <w:rPr>
          <w:rFonts w:ascii="Times New Roman" w:eastAsia="Times New Roman" w:hAnsi="Times New Roman" w:cs="David"/>
          <w:szCs w:val="24"/>
          <w:rtl/>
        </w:rPr>
        <w:t xml:space="preserve"> לדעתי</w:t>
      </w:r>
      <w:r w:rsidRPr="00122AE9">
        <w:rPr>
          <w:rFonts w:ascii="Times New Roman" w:eastAsia="Times New Roman" w:hAnsi="Times New Roman" w:cs="David" w:hint="cs"/>
          <w:szCs w:val="24"/>
          <w:rtl/>
        </w:rPr>
        <w:t>,</w:t>
      </w:r>
      <w:r w:rsidRPr="00122AE9">
        <w:rPr>
          <w:rFonts w:ascii="Times New Roman" w:eastAsia="Times New Roman" w:hAnsi="Times New Roman" w:cs="David"/>
          <w:szCs w:val="24"/>
          <w:rtl/>
        </w:rPr>
        <w:t xml:space="preserve"> כדי לפסול את המדיניות אלא כדי לאפשר בחי</w:t>
      </w:r>
      <w:r w:rsidRPr="00122AE9">
        <w:rPr>
          <w:rFonts w:ascii="Times New Roman" w:eastAsia="Times New Roman" w:hAnsi="Times New Roman" w:cs="David" w:hint="eastAsia"/>
          <w:szCs w:val="24"/>
          <w:rtl/>
        </w:rPr>
        <w:t>נה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ושינוי</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באופן</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שיוביל</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למימוש</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תכניות</w:t>
      </w:r>
      <w:r w:rsidRPr="00122AE9">
        <w:rPr>
          <w:rFonts w:ascii="Times New Roman" w:eastAsia="Times New Roman" w:hAnsi="Times New Roman" w:cs="David"/>
          <w:szCs w:val="24"/>
          <w:rtl/>
        </w:rPr>
        <w:t xml:space="preserve"> טובות יותר. </w:t>
      </w:r>
      <w:r w:rsidRPr="00122AE9">
        <w:rPr>
          <w:rFonts w:ascii="Times New Roman" w:eastAsia="Times New Roman" w:hAnsi="Times New Roman" w:cs="David" w:hint="eastAsia"/>
          <w:szCs w:val="24"/>
          <w:rtl/>
          <w:lang w:eastAsia="he-IL"/>
        </w:rPr>
        <w:t>אחת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הבעיות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המרכזיות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יישום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תכנית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ההתנגדות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והעמדות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השליליות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להיתקל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בעיקר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מכיוונה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קבוצת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הרוב</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5"/>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החיונית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להצלחת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התכנית</w:t>
      </w:r>
      <w:r w:rsidRPr="00122AE9">
        <w:rPr>
          <w:rFonts w:ascii="Times New Roman" w:eastAsia="Times New Roman" w:hAnsi="Times New Roman" w:cs="David"/>
          <w:szCs w:val="24"/>
          <w:rtl/>
          <w:lang w:eastAsia="he-IL"/>
        </w:rPr>
        <w:t>, שכן לא ניתן לכפות אכיפת הוראות החוק</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מקרה</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יישום הוראות החוק הנוגעות להעדפה מתקנת תמיד ייעש</w:t>
      </w:r>
      <w:r w:rsidRPr="00122AE9">
        <w:rPr>
          <w:rFonts w:ascii="Times New Roman" w:eastAsia="Times New Roman" w:hAnsi="Times New Roman" w:cs="David" w:hint="cs"/>
          <w:szCs w:val="24"/>
          <w:rtl/>
          <w:lang w:eastAsia="he-IL"/>
        </w:rPr>
        <w:t>ה</w:t>
      </w:r>
      <w:r w:rsidRPr="00122AE9">
        <w:rPr>
          <w:rFonts w:ascii="Times New Roman" w:eastAsia="Times New Roman" w:hAnsi="Times New Roman" w:cs="David"/>
          <w:szCs w:val="24"/>
          <w:rtl/>
          <w:lang w:eastAsia="he-IL"/>
        </w:rPr>
        <w:t xml:space="preserve"> על ידי בני אדם הנמנים עם קבוצת הרוב, תחת מערך </w:t>
      </w:r>
      <w:r w:rsidRPr="00122AE9">
        <w:rPr>
          <w:rFonts w:ascii="Times New Roman" w:eastAsia="Times New Roman" w:hAnsi="Times New Roman" w:cs="David" w:hint="eastAsia"/>
          <w:szCs w:val="24"/>
          <w:rtl/>
          <w:lang w:eastAsia="he-IL"/>
        </w:rPr>
        <w:t>מורכב</w:t>
      </w:r>
      <w:r w:rsidRPr="00122AE9">
        <w:rPr>
          <w:rFonts w:ascii="Times New Roman" w:eastAsia="Times New Roman" w:hAnsi="Times New Roman" w:cs="David"/>
          <w:szCs w:val="24"/>
          <w:rtl/>
          <w:lang w:eastAsia="he-IL"/>
        </w:rPr>
        <w:t xml:space="preserve"> של </w:t>
      </w:r>
      <w:r w:rsidRPr="00122AE9">
        <w:rPr>
          <w:rFonts w:ascii="Times New Roman" w:eastAsia="Times New Roman" w:hAnsi="Times New Roman" w:cs="David" w:hint="eastAsia"/>
          <w:szCs w:val="24"/>
          <w:rtl/>
          <w:lang w:eastAsia="he-IL"/>
        </w:rPr>
        <w:t>קבלת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החלטות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המושפע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מהטיות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ועמדות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שונות</w:t>
      </w:r>
      <w:r w:rsidRPr="00122AE9">
        <w:rPr>
          <w:rFonts w:ascii="Times New Roman" w:eastAsia="Times New Roman" w:hAnsi="Times New Roman" w:cs="David"/>
          <w:szCs w:val="24"/>
          <w:rtl/>
          <w:lang w:eastAsia="he-IL"/>
        </w:rPr>
        <w:t xml:space="preserve">, חלקן באופן בלתי מודע. </w:t>
      </w:r>
      <w:r>
        <w:rPr>
          <w:rFonts w:ascii="Times New Roman" w:eastAsia="Times New Roman" w:hAnsi="Times New Roman" w:cs="David" w:hint="cs"/>
          <w:szCs w:val="24"/>
          <w:rtl/>
          <w:lang w:eastAsia="he-IL"/>
        </w:rPr>
        <w:t>בעוד ש</w:t>
      </w:r>
      <w:r w:rsidRPr="002A41F7">
        <w:rPr>
          <w:rFonts w:ascii="Times New Roman" w:eastAsia="Times New Roman" w:hAnsi="Times New Roman" w:cs="David" w:hint="eastAsia"/>
          <w:szCs w:val="24"/>
          <w:rtl/>
          <w:lang w:eastAsia="he-IL"/>
        </w:rPr>
        <w:t>הספרות</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מעניקה</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של</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טיעונים</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בעד</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ונגד</w:t>
      </w:r>
      <w:r w:rsidRPr="002A41F7">
        <w:rPr>
          <w:rFonts w:ascii="Times New Roman" w:eastAsia="Times New Roman" w:hAnsi="Times New Roman" w:cs="David" w:hint="cs"/>
          <w:szCs w:val="24"/>
          <w:rtl/>
          <w:lang w:eastAsia="he-IL"/>
        </w:rPr>
        <w:t>;</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בחרתי</w:t>
      </w:r>
      <w:r w:rsidRPr="002A41F7">
        <w:rPr>
          <w:rFonts w:ascii="Times New Roman" w:eastAsia="Times New Roman" w:hAnsi="Times New Roman" w:cs="David"/>
          <w:szCs w:val="24"/>
          <w:rtl/>
          <w:lang w:eastAsia="he-IL"/>
        </w:rPr>
        <w:t xml:space="preserve"> </w:t>
      </w:r>
      <w:r w:rsidRPr="002A41F7">
        <w:rPr>
          <w:rFonts w:ascii="Times New Roman" w:eastAsia="Times New Roman" w:hAnsi="Times New Roman" w:cs="David" w:hint="eastAsia"/>
          <w:szCs w:val="24"/>
          <w:rtl/>
          <w:lang w:eastAsia="he-IL"/>
        </w:rPr>
        <w:t>להתמקד</w:t>
      </w:r>
      <w:r w:rsidRPr="002A41F7">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w:t>
      </w:r>
      <w:r w:rsidRPr="00122AE9">
        <w:rPr>
          <w:rFonts w:ascii="Times New Roman" w:eastAsia="Times New Roman" w:hAnsi="Times New Roman" w:cs="David" w:hint="cs"/>
          <w:szCs w:val="24"/>
          <w:rtl/>
          <w:lang w:eastAsia="he-IL"/>
        </w:rPr>
        <w:t>כמה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מוקדי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ביקורת</w:t>
      </w:r>
      <w:r w:rsidRPr="00122AE9">
        <w:rPr>
          <w:rFonts w:ascii="Times New Roman" w:eastAsia="Times New Roman" w:hAnsi="Times New Roman" w:cs="David"/>
          <w:szCs w:val="24"/>
          <w:rtl/>
          <w:lang w:eastAsia="he-IL"/>
        </w:rPr>
        <w:t xml:space="preserve"> </w:t>
      </w:r>
      <w:r>
        <w:rPr>
          <w:rFonts w:ascii="Times New Roman" w:eastAsia="Times New Roman" w:hAnsi="Times New Roman" w:cs="David" w:hint="cs"/>
          <w:szCs w:val="24"/>
          <w:rtl/>
          <w:lang w:eastAsia="he-IL"/>
        </w:rPr>
        <w:t xml:space="preserve">עיקריים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p>
    <w:p w:rsidR="00CA7263" w:rsidRPr="00122AE9" w:rsidRDefault="00CA7263" w:rsidP="00CA7263">
      <w:pPr>
        <w:spacing w:after="0" w:line="360" w:lineRule="auto"/>
        <w:jc w:val="both"/>
        <w:rPr>
          <w:rFonts w:ascii="Times New Roman" w:eastAsia="Times New Roman" w:hAnsi="Times New Roman" w:cs="David"/>
          <w:b/>
          <w:bCs/>
          <w:szCs w:val="24"/>
          <w:rtl/>
          <w:lang w:eastAsia="he-IL"/>
        </w:rPr>
      </w:pPr>
    </w:p>
    <w:p w:rsidR="00CA7263" w:rsidRPr="00122AE9" w:rsidRDefault="00CA7263" w:rsidP="00984894">
      <w:pPr>
        <w:spacing w:after="0" w:line="360" w:lineRule="auto"/>
        <w:jc w:val="both"/>
        <w:rPr>
          <w:rFonts w:ascii="Times New Roman" w:eastAsia="Times New Roman" w:hAnsi="Times New Roman" w:cs="David"/>
          <w:szCs w:val="24"/>
          <w:lang w:eastAsia="he-IL"/>
        </w:rPr>
      </w:pPr>
      <w:r w:rsidRPr="00122AE9">
        <w:rPr>
          <w:rFonts w:ascii="Times New Roman" w:eastAsia="Times New Roman" w:hAnsi="Times New Roman" w:cs="David" w:hint="eastAsia"/>
          <w:szCs w:val="24"/>
          <w:rtl/>
          <w:lang w:eastAsia="he-IL"/>
        </w:rPr>
        <w:t>הטיעון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הראשון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והבסיסי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ביותר</w:t>
      </w:r>
      <w:r w:rsidRPr="00122AE9">
        <w:rPr>
          <w:rFonts w:ascii="Times New Roman" w:eastAsia="Times New Roman" w:hAnsi="Times New Roman" w:cs="David"/>
          <w:szCs w:val="24"/>
          <w:rtl/>
          <w:lang w:eastAsia="he-IL"/>
        </w:rPr>
        <w:t xml:space="preserve"> </w:t>
      </w:r>
      <w:r w:rsidR="00D1421C">
        <w:rPr>
          <w:rFonts w:ascii="Times New Roman" w:eastAsia="Times New Roman" w:hAnsi="Times New Roman" w:cs="David" w:hint="cs"/>
          <w:szCs w:val="24"/>
          <w:rtl/>
          <w:lang w:eastAsia="he-IL"/>
        </w:rPr>
        <w:t>כנגד העדפה מתקנת מגיע מכיוונה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קבוצת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הרוב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רואה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עצמה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נפגעת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באופן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המקיים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אפליה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הפוכה</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rPr>
        <w:t xml:space="preserve"> </w:t>
      </w:r>
      <w:r w:rsidRPr="00122AE9">
        <w:rPr>
          <w:rFonts w:ascii="Times New Roman" w:eastAsia="Times New Roman" w:hAnsi="Times New Roman" w:cs="David" w:hint="eastAsia"/>
          <w:szCs w:val="24"/>
          <w:rtl/>
          <w:lang w:eastAsia="he-IL"/>
        </w:rPr>
        <w:t>לפי</w:t>
      </w:r>
      <w:r w:rsidRPr="00122AE9">
        <w:rPr>
          <w:rFonts w:ascii="Times New Roman" w:eastAsia="Times New Roman" w:hAnsi="Times New Roman" w:cs="David"/>
          <w:szCs w:val="24"/>
          <w:rtl/>
          <w:lang w:eastAsia="he-IL"/>
        </w:rPr>
        <w:t xml:space="preserve"> טיעון אחר, מדיניות העדפה מתקנת המוענקת לאוכלוסיות מסוימות מהווה סיווג </w:t>
      </w:r>
      <w:r w:rsidRPr="00122AE9">
        <w:rPr>
          <w:rFonts w:ascii="Times New Roman" w:eastAsia="Times New Roman" w:hAnsi="Times New Roman" w:cs="David" w:hint="eastAsia"/>
          <w:szCs w:val="24"/>
          <w:rtl/>
        </w:rPr>
        <w:t>קבוצתי</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המאופיין</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בכוללניות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יתר</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באופן</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המאפשר</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להעניק</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העדפה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גם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לפרטים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אשר</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משתייכים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לאותה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קבוצה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אך</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בבחינה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מהותית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אינם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ראויים</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להעדפה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קבוצת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הרוב</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אף</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טוענת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כי</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חלק</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מתכניות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העדפה</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מתקנת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rPr>
        <w:t>מאפשרות</w:t>
      </w:r>
      <w:r w:rsidRPr="00122AE9">
        <w:rPr>
          <w:rFonts w:ascii="Times New Roman" w:eastAsia="Times New Roman" w:hAnsi="Times New Roman" w:cs="David"/>
          <w:szCs w:val="24"/>
          <w:rtl/>
        </w:rPr>
        <w:t xml:space="preserve"> </w:t>
      </w:r>
      <w:r w:rsidRPr="00122AE9">
        <w:rPr>
          <w:rFonts w:ascii="Times New Roman" w:eastAsia="Times New Roman" w:hAnsi="Times New Roman" w:cs="David" w:hint="eastAsia"/>
          <w:szCs w:val="24"/>
          <w:rtl/>
          <w:lang w:eastAsia="he-IL"/>
        </w:rPr>
        <w:t>קבלת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אנשים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הכישורים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המתאימים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חשבון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אנשים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היכולות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המתאימות</w:t>
      </w:r>
      <w:r w:rsidRPr="00122AE9">
        <w:rPr>
          <w:rFonts w:ascii="Times New Roman" w:eastAsia="Times New Roman" w:hAnsi="Times New Roman" w:cs="David" w:hint="cs"/>
          <w:szCs w:val="24"/>
          <w:rtl/>
          <w:lang w:eastAsia="he-IL"/>
        </w:rPr>
        <w:t xml:space="preserve"> </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חשש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זה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איננו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מבוסס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לגמרי</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6"/>
      </w:r>
      <w:r w:rsidRPr="00122AE9">
        <w:rPr>
          <w:rFonts w:ascii="Times New Roman" w:eastAsia="Times New Roman" w:hAnsi="Times New Roman" w:cs="David"/>
          <w:szCs w:val="24"/>
          <w:rtl/>
          <w:lang w:eastAsia="he-IL"/>
        </w:rPr>
        <w:t xml:space="preserve"> </w:t>
      </w:r>
    </w:p>
    <w:p w:rsidR="00CA7263" w:rsidRPr="00122AE9" w:rsidRDefault="00CA7263" w:rsidP="00DD0488">
      <w:pPr>
        <w:spacing w:after="0" w:line="360" w:lineRule="auto"/>
        <w:ind w:firstLine="720"/>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טיעון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רביעי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כנגד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הוא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לפגיעה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באוכלוסי</w:t>
      </w:r>
      <w:r w:rsidRPr="00122AE9">
        <w:rPr>
          <w:rFonts w:ascii="Times New Roman" w:eastAsia="Times New Roman" w:hAnsi="Times New Roman" w:cs="David" w:hint="cs"/>
          <w:szCs w:val="24"/>
          <w:rtl/>
          <w:lang w:eastAsia="he-IL"/>
        </w:rPr>
        <w:t>י</w:t>
      </w:r>
      <w:r w:rsidRPr="00122AE9">
        <w:rPr>
          <w:rFonts w:ascii="Times New Roman" w:eastAsia="Times New Roman" w:hAnsi="Times New Roman" w:cs="David" w:hint="eastAsia"/>
          <w:szCs w:val="24"/>
          <w:rtl/>
          <w:lang w:eastAsia="he-IL"/>
        </w:rPr>
        <w:t>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היעד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עצמה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וקיומה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סטיגמה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עובדים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יכולות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נמוכות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וביצועים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נמוכים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בהשוואה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החזקה</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7"/>
      </w:r>
      <w:r w:rsidRPr="00122AE9">
        <w:rPr>
          <w:rFonts w:ascii="Times New Roman" w:eastAsia="Times New Roman" w:hAnsi="Times New Roman" w:cs="David"/>
          <w:szCs w:val="24"/>
          <w:rtl/>
          <w:lang w:eastAsia="he-IL"/>
        </w:rPr>
        <w:t xml:space="preserve"> טיעון זה משתמש בבידול הבסיסי שמבקשת העדפה מתקנת לבצע </w:t>
      </w:r>
      <w:r w:rsidRPr="00122AE9">
        <w:rPr>
          <w:rFonts w:ascii="Times New Roman" w:eastAsia="Times New Roman" w:hAnsi="Times New Roman" w:cs="David" w:hint="cs"/>
          <w:szCs w:val="24"/>
          <w:rtl/>
          <w:lang w:eastAsia="he-IL"/>
        </w:rPr>
        <w:t>ע</w:t>
      </w:r>
      <w:r w:rsidRPr="00122AE9">
        <w:rPr>
          <w:rFonts w:ascii="Times New Roman" w:eastAsia="Times New Roman" w:hAnsi="Times New Roman" w:cs="David" w:hint="eastAsia"/>
          <w:szCs w:val="24"/>
          <w:rtl/>
          <w:lang w:eastAsia="he-IL"/>
        </w:rPr>
        <w:t>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אוכלוסיות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מסוימות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הכלל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כנגד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התכנית</w:t>
      </w:r>
      <w:r w:rsidRPr="00122AE9">
        <w:rPr>
          <w:rFonts w:ascii="Times New Roman" w:eastAsia="Times New Roman" w:hAnsi="Times New Roman" w:cs="David"/>
          <w:szCs w:val="24"/>
          <w:rtl/>
          <w:lang w:eastAsia="he-IL"/>
        </w:rPr>
        <w:t xml:space="preserve"> עצמה. טיעון נוסף מאותו כיוון </w:t>
      </w:r>
      <w:r w:rsidRPr="00122AE9">
        <w:rPr>
          <w:rFonts w:ascii="Times New Roman" w:eastAsia="Times New Roman" w:hAnsi="Times New Roman" w:cs="David" w:hint="eastAsia"/>
          <w:szCs w:val="24"/>
          <w:rtl/>
          <w:lang w:eastAsia="he-IL"/>
        </w:rPr>
        <w:t>ה</w:t>
      </w:r>
      <w:r w:rsidRPr="00122AE9">
        <w:rPr>
          <w:rFonts w:ascii="Times New Roman" w:eastAsia="Times New Roman" w:hAnsi="Times New Roman" w:cs="David" w:hint="cs"/>
          <w:szCs w:val="24"/>
          <w:rtl/>
          <w:lang w:eastAsia="he-IL"/>
        </w:rPr>
        <w:t>וא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פוגעת</w:t>
      </w:r>
      <w:r w:rsidRPr="00122AE9">
        <w:rPr>
          <w:rFonts w:ascii="Times New Roman" w:eastAsia="Times New Roman" w:hAnsi="Times New Roman" w:cs="David"/>
          <w:szCs w:val="24"/>
          <w:rtl/>
          <w:lang w:eastAsia="he-IL"/>
        </w:rPr>
        <w:t xml:space="preserve"> בייחודיות הקבוצה וטשטוש מאפייניה </w:t>
      </w:r>
      <w:r w:rsidRPr="00122AE9">
        <w:rPr>
          <w:rFonts w:ascii="Times New Roman" w:eastAsia="Times New Roman" w:hAnsi="Times New Roman" w:cs="David"/>
          <w:szCs w:val="24"/>
          <w:rtl/>
          <w:lang w:eastAsia="he-IL"/>
        </w:rPr>
        <w:lastRenderedPageBreak/>
        <w:t>מול קבוצת הרוב. ה</w:t>
      </w:r>
      <w:r w:rsidRPr="00122AE9">
        <w:rPr>
          <w:rFonts w:ascii="Times New Roman" w:eastAsia="Times New Roman" w:hAnsi="Times New Roman" w:cs="David" w:hint="cs"/>
          <w:szCs w:val="24"/>
          <w:rtl/>
          <w:lang w:eastAsia="he-IL"/>
        </w:rPr>
        <w:t>ספקנ</w:t>
      </w:r>
      <w:r w:rsidRPr="00122AE9">
        <w:rPr>
          <w:rFonts w:ascii="Times New Roman" w:eastAsia="Times New Roman" w:hAnsi="Times New Roman" w:cs="David" w:hint="eastAsia"/>
          <w:szCs w:val="24"/>
          <w:rtl/>
          <w:lang w:eastAsia="he-IL"/>
        </w:rPr>
        <w:t>ים</w:t>
      </w:r>
      <w:r w:rsidRPr="00122AE9">
        <w:rPr>
          <w:rFonts w:ascii="Times New Roman" w:eastAsia="Times New Roman" w:hAnsi="Times New Roman" w:cs="David"/>
          <w:szCs w:val="24"/>
          <w:rtl/>
          <w:lang w:eastAsia="he-IL"/>
        </w:rPr>
        <w:t xml:space="preserve"> מעלים טיעון חמישי כנגד העדפה מתקנת על פיו היא </w:t>
      </w:r>
      <w:r w:rsidRPr="00122AE9">
        <w:rPr>
          <w:rFonts w:ascii="Times New Roman" w:eastAsia="Times New Roman" w:hAnsi="Times New Roman" w:cs="David" w:hint="eastAsia"/>
          <w:szCs w:val="24"/>
          <w:rtl/>
          <w:lang w:eastAsia="he-IL"/>
        </w:rPr>
        <w:t>מעניקה</w:t>
      </w:r>
      <w:r w:rsidRPr="00122AE9">
        <w:rPr>
          <w:rFonts w:ascii="Times New Roman" w:eastAsia="Times New Roman" w:hAnsi="Times New Roman" w:cs="David"/>
          <w:szCs w:val="24"/>
          <w:rtl/>
          <w:lang w:eastAsia="he-IL"/>
        </w:rPr>
        <w:t xml:space="preserve"> פתרון בתוצאות ולא בהזדמנויות, </w:t>
      </w:r>
      <w:r w:rsidRPr="00122AE9">
        <w:rPr>
          <w:rFonts w:ascii="Times New Roman" w:eastAsia="Times New Roman" w:hAnsi="Times New Roman" w:cs="David" w:hint="eastAsia"/>
          <w:szCs w:val="24"/>
          <w:rtl/>
          <w:lang w:eastAsia="he-IL"/>
        </w:rPr>
        <w:t>אשר</w:t>
      </w:r>
      <w:r w:rsidRPr="00122AE9">
        <w:rPr>
          <w:rFonts w:ascii="Times New Roman" w:eastAsia="Times New Roman" w:hAnsi="Times New Roman" w:cs="David"/>
          <w:szCs w:val="24"/>
          <w:rtl/>
          <w:lang w:eastAsia="he-IL"/>
        </w:rPr>
        <w:t xml:space="preserve"> לא מהווה בהכרח הומוגניות בהקצאות. לבסוף, על פי ת</w:t>
      </w:r>
      <w:r w:rsidRPr="00122AE9">
        <w:rPr>
          <w:rFonts w:ascii="Times New Roman" w:eastAsia="Times New Roman" w:hAnsi="Times New Roman" w:cs="David" w:hint="eastAsia"/>
          <w:szCs w:val="24"/>
          <w:rtl/>
          <w:lang w:eastAsia="he-IL"/>
        </w:rPr>
        <w:t>אוריות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בכלל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ותאור</w:t>
      </w:r>
      <w:r w:rsidRPr="00122AE9">
        <w:rPr>
          <w:rFonts w:ascii="Times New Roman" w:eastAsia="Times New Roman" w:hAnsi="Times New Roman" w:cs="David" w:hint="cs"/>
          <w:szCs w:val="24"/>
          <w:rtl/>
          <w:lang w:eastAsia="he-IL"/>
        </w:rPr>
        <w:t>י</w:t>
      </w:r>
      <w:r w:rsidRPr="00122AE9">
        <w:rPr>
          <w:rFonts w:ascii="Times New Roman" w:eastAsia="Times New Roman" w:hAnsi="Times New Roman" w:cs="David" w:hint="eastAsia"/>
          <w:szCs w:val="24"/>
          <w:rtl/>
          <w:lang w:eastAsia="he-IL"/>
        </w:rPr>
        <w:t>ית</w:t>
      </w:r>
      <w:r w:rsidRPr="00122AE9">
        <w:rPr>
          <w:rFonts w:ascii="Times New Roman" w:eastAsia="Times New Roman" w:hAnsi="Times New Roman" w:cs="David"/>
          <w:szCs w:val="24"/>
          <w:rtl/>
          <w:lang w:eastAsia="he-IL"/>
        </w:rPr>
        <w:t xml:space="preserve"> האינטרס האישי </w:t>
      </w:r>
      <w:r w:rsidRPr="00122AE9">
        <w:rPr>
          <w:rFonts w:ascii="Times New Roman" w:eastAsia="Times New Roman" w:hAnsi="Times New Roman" w:cs="David"/>
          <w:szCs w:val="24"/>
        </w:rPr>
        <w:t>(self-interest theory)</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הקבוצתי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szCs w:val="24"/>
          <w:lang w:eastAsia="he-IL"/>
        </w:rPr>
        <w:t>cooperative group interest theory</w:t>
      </w:r>
      <w:r w:rsidRPr="00122AE9">
        <w:rPr>
          <w:rFonts w:ascii="Times New Roman" w:eastAsia="Times New Roman" w:hAnsi="Times New Roman" w:cs="David"/>
          <w:szCs w:val="24"/>
          <w:rtl/>
          <w:lang w:eastAsia="he-IL"/>
        </w:rPr>
        <w:t>) בפרט</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קבוצת</w:t>
      </w:r>
      <w:r w:rsidRPr="00122AE9">
        <w:rPr>
          <w:rFonts w:ascii="Times New Roman" w:eastAsia="Times New Roman" w:hAnsi="Times New Roman" w:cs="David"/>
          <w:szCs w:val="24"/>
          <w:rtl/>
          <w:lang w:eastAsia="he-IL"/>
        </w:rPr>
        <w:t xml:space="preserve"> הרוב </w:t>
      </w:r>
      <w:r w:rsidRPr="00122AE9">
        <w:rPr>
          <w:rFonts w:ascii="Times New Roman" w:eastAsia="Times New Roman" w:hAnsi="Times New Roman" w:cs="David" w:hint="cs"/>
          <w:szCs w:val="24"/>
          <w:rtl/>
          <w:lang w:eastAsia="he-IL"/>
        </w:rPr>
        <w:t>טוענת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מדיניות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מאיימת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יכולת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התחרות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תאור</w:t>
      </w:r>
      <w:r w:rsidRPr="00122AE9">
        <w:rPr>
          <w:rFonts w:ascii="Times New Roman" w:eastAsia="Times New Roman" w:hAnsi="Times New Roman" w:cs="David" w:hint="cs"/>
          <w:szCs w:val="24"/>
          <w:rtl/>
          <w:lang w:eastAsia="he-IL"/>
        </w:rPr>
        <w:t>י</w:t>
      </w:r>
      <w:r w:rsidRPr="00122AE9">
        <w:rPr>
          <w:rFonts w:ascii="Times New Roman" w:eastAsia="Times New Roman" w:hAnsi="Times New Roman" w:cs="David" w:hint="eastAsia"/>
          <w:szCs w:val="24"/>
          <w:rtl/>
          <w:lang w:eastAsia="he-IL"/>
        </w:rPr>
        <w:t>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האישי</w:t>
      </w:r>
      <w:r w:rsidRPr="00122AE9">
        <w:rPr>
          <w:rFonts w:ascii="Times New Roman" w:eastAsia="Times New Roman" w:hAnsi="Times New Roman" w:cs="David"/>
          <w:szCs w:val="24"/>
          <w:rtl/>
          <w:lang w:eastAsia="he-IL"/>
        </w:rPr>
        <w:t xml:space="preserve"> מניחה כי הפרט ידאג לעצמו על בסיס </w:t>
      </w:r>
      <w:r w:rsidRPr="00122AE9">
        <w:rPr>
          <w:rFonts w:ascii="Times New Roman" w:eastAsia="Times New Roman" w:hAnsi="Times New Roman" w:cs="David" w:hint="eastAsia"/>
          <w:szCs w:val="24"/>
          <w:rtl/>
          <w:lang w:eastAsia="he-IL"/>
        </w:rPr>
        <w:t>שיקולי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רווח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והפסד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אישיים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יכולה</w:t>
      </w:r>
      <w:r w:rsidRPr="00122AE9">
        <w:rPr>
          <w:rFonts w:ascii="Times New Roman" w:eastAsia="Times New Roman" w:hAnsi="Times New Roman" w:cs="David"/>
          <w:szCs w:val="24"/>
          <w:rtl/>
          <w:lang w:eastAsia="he-IL"/>
        </w:rPr>
        <w:t xml:space="preserve"> להסביר מדוע קבוצות </w:t>
      </w:r>
      <w:r w:rsidRPr="00122AE9">
        <w:rPr>
          <w:rFonts w:ascii="Times New Roman" w:eastAsia="Times New Roman" w:hAnsi="Times New Roman" w:cs="David" w:hint="eastAsia"/>
          <w:szCs w:val="24"/>
          <w:rtl/>
          <w:lang w:eastAsia="he-IL"/>
        </w:rPr>
        <w:t>בתת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יתמכו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המניבה לה</w:t>
      </w:r>
      <w:r w:rsidRPr="00122AE9">
        <w:rPr>
          <w:rFonts w:ascii="Times New Roman" w:eastAsia="Times New Roman" w:hAnsi="Times New Roman" w:cs="David" w:hint="cs"/>
          <w:szCs w:val="24"/>
          <w:rtl/>
          <w:lang w:eastAsia="he-IL"/>
        </w:rPr>
        <w:t>ן</w:t>
      </w:r>
      <w:r w:rsidRPr="00122AE9">
        <w:rPr>
          <w:rFonts w:ascii="Times New Roman" w:eastAsia="Times New Roman" w:hAnsi="Times New Roman" w:cs="David"/>
          <w:szCs w:val="24"/>
          <w:rtl/>
          <w:lang w:eastAsia="he-IL"/>
        </w:rPr>
        <w:t xml:space="preserve">, לפחות מבחינה </w:t>
      </w:r>
      <w:r w:rsidRPr="00122AE9">
        <w:rPr>
          <w:rFonts w:ascii="Times New Roman" w:eastAsia="Times New Roman" w:hAnsi="Times New Roman" w:cs="David" w:hint="eastAsia"/>
          <w:szCs w:val="24"/>
          <w:rtl/>
          <w:lang w:eastAsia="he-IL"/>
        </w:rPr>
        <w:t>תאור</w:t>
      </w:r>
      <w:r w:rsidRPr="00122AE9">
        <w:rPr>
          <w:rFonts w:ascii="Times New Roman" w:eastAsia="Times New Roman" w:hAnsi="Times New Roman" w:cs="David" w:hint="cs"/>
          <w:szCs w:val="24"/>
          <w:rtl/>
          <w:lang w:eastAsia="he-IL"/>
        </w:rPr>
        <w:t>ט</w:t>
      </w:r>
      <w:r w:rsidRPr="00122AE9">
        <w:rPr>
          <w:rFonts w:ascii="Times New Roman" w:eastAsia="Times New Roman" w:hAnsi="Times New Roman" w:cs="David" w:hint="eastAsia"/>
          <w:szCs w:val="24"/>
          <w:rtl/>
          <w:lang w:eastAsia="he-IL"/>
        </w:rPr>
        <w:t>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פוטנציאל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לרווח</w:t>
      </w:r>
      <w:r w:rsidRPr="00122AE9">
        <w:rPr>
          <w:rFonts w:ascii="Times New Roman" w:eastAsia="Times New Roman" w:hAnsi="Times New Roman" w:cs="David"/>
          <w:szCs w:val="24"/>
          <w:rtl/>
          <w:lang w:eastAsia="he-IL"/>
        </w:rPr>
        <w:t>.</w:t>
      </w:r>
      <w:r w:rsidRPr="00122AE9">
        <w:rPr>
          <w:rFonts w:ascii="Times New Roman" w:eastAsia="Times New Roman" w:hAnsi="Times New Roman" w:cs="David"/>
          <w:szCs w:val="24"/>
          <w:vertAlign w:val="superscript"/>
          <w:rtl/>
          <w:lang w:eastAsia="he-IL"/>
        </w:rPr>
        <w:footnoteReference w:id="38"/>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תאוריית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הקבוצתי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המציבה</w:t>
      </w:r>
      <w:r w:rsidRPr="00122AE9">
        <w:rPr>
          <w:rFonts w:ascii="Times New Roman" w:eastAsia="Times New Roman" w:hAnsi="Times New Roman" w:cs="David"/>
          <w:szCs w:val="24"/>
          <w:rtl/>
          <w:lang w:eastAsia="he-IL"/>
        </w:rPr>
        <w:t xml:space="preserve"> את הקבוצה במרכז, </w:t>
      </w:r>
      <w:r w:rsidRPr="00122AE9">
        <w:rPr>
          <w:rFonts w:ascii="Times New Roman" w:eastAsia="Times New Roman" w:hAnsi="Times New Roman" w:cs="David" w:hint="eastAsia"/>
          <w:szCs w:val="24"/>
          <w:rtl/>
          <w:lang w:eastAsia="he-IL"/>
        </w:rPr>
        <w:t>מניחה</w:t>
      </w:r>
      <w:r w:rsidRPr="00122AE9">
        <w:rPr>
          <w:rFonts w:ascii="Times New Roman" w:eastAsia="Times New Roman" w:hAnsi="Times New Roman" w:cs="David"/>
          <w:szCs w:val="24"/>
          <w:rtl/>
          <w:lang w:eastAsia="he-IL"/>
        </w:rPr>
        <w:t xml:space="preserve"> גם </w:t>
      </w:r>
      <w:r w:rsidRPr="00122AE9">
        <w:rPr>
          <w:rFonts w:ascii="Times New Roman" w:eastAsia="Times New Roman" w:hAnsi="Times New Roman" w:cs="David" w:hint="eastAsia"/>
          <w:szCs w:val="24"/>
          <w:rtl/>
          <w:lang w:eastAsia="he-IL"/>
        </w:rPr>
        <w:t>כי</w:t>
      </w:r>
      <w:r w:rsidRPr="00122AE9">
        <w:rPr>
          <w:rFonts w:ascii="Times New Roman" w:eastAsia="Times New Roman" w:hAnsi="Times New Roman" w:cs="David"/>
          <w:szCs w:val="24"/>
          <w:rtl/>
          <w:lang w:eastAsia="he-IL"/>
        </w:rPr>
        <w:t xml:space="preserve"> אוכלוסיות </w:t>
      </w:r>
      <w:r w:rsidRPr="00122AE9">
        <w:rPr>
          <w:rFonts w:ascii="Times New Roman" w:eastAsia="Times New Roman" w:hAnsi="Times New Roman" w:cs="David" w:hint="eastAsia"/>
          <w:szCs w:val="24"/>
          <w:rtl/>
          <w:lang w:eastAsia="he-IL"/>
        </w:rPr>
        <w:t>בתת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יתמכו בהעדפה מתקנת אך מהפרספקטיבה של חיזוק הקבוצה בעוד </w:t>
      </w:r>
      <w:r w:rsidRPr="00122AE9">
        <w:rPr>
          <w:rFonts w:ascii="Times New Roman" w:eastAsia="Times New Roman" w:hAnsi="Times New Roman" w:cs="David" w:hint="eastAsia"/>
          <w:szCs w:val="24"/>
          <w:rtl/>
          <w:lang w:eastAsia="he-IL"/>
        </w:rPr>
        <w:t>קבוצת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הרוב</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תעדיף</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לשמור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הכוח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והשליטה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לעצמה</w:t>
      </w:r>
      <w:r w:rsidRPr="00122AE9">
        <w:rPr>
          <w:rFonts w:ascii="Times New Roman" w:eastAsia="Times New Roman" w:hAnsi="Times New Roman" w:cs="David"/>
          <w:szCs w:val="24"/>
          <w:rtl/>
          <w:lang w:eastAsia="he-IL"/>
        </w:rPr>
        <w:t xml:space="preserve">. </w:t>
      </w:r>
    </w:p>
    <w:p w:rsidR="00CA7263" w:rsidRPr="00122AE9" w:rsidRDefault="00CA7263" w:rsidP="00CA7263">
      <w:pPr>
        <w:spacing w:after="0" w:line="360" w:lineRule="auto"/>
        <w:jc w:val="both"/>
        <w:rPr>
          <w:rFonts w:ascii="Times New Roman" w:eastAsia="Times New Roman" w:hAnsi="Times New Roman" w:cs="David"/>
          <w:b/>
          <w:bCs/>
          <w:szCs w:val="24"/>
          <w:rtl/>
          <w:lang w:eastAsia="he-IL"/>
        </w:rPr>
      </w:pPr>
    </w:p>
    <w:p w:rsidR="00CA7263" w:rsidRPr="00122AE9" w:rsidRDefault="00CA7263" w:rsidP="00DD0488">
      <w:pPr>
        <w:spacing w:after="0" w:line="360" w:lineRule="auto"/>
        <w:jc w:val="both"/>
        <w:rPr>
          <w:rFonts w:ascii="Times New Roman" w:eastAsia="Times New Roman" w:hAnsi="Times New Roman" w:cs="David"/>
          <w:szCs w:val="24"/>
          <w:lang w:eastAsia="he-IL"/>
        </w:rPr>
      </w:pPr>
      <w:r w:rsidRPr="00122AE9">
        <w:rPr>
          <w:rFonts w:ascii="Times New Roman" w:eastAsia="Times New Roman" w:hAnsi="Times New Roman" w:cs="David" w:hint="cs"/>
          <w:szCs w:val="24"/>
          <w:rtl/>
          <w:lang w:eastAsia="he-IL"/>
        </w:rPr>
        <w:t>בעוד ה</w:t>
      </w:r>
      <w:r w:rsidRPr="00122AE9">
        <w:rPr>
          <w:rFonts w:ascii="Times New Roman" w:eastAsia="Times New Roman" w:hAnsi="Times New Roman" w:cs="David" w:hint="eastAsia"/>
          <w:szCs w:val="24"/>
          <w:rtl/>
          <w:lang w:eastAsia="he-IL"/>
        </w:rPr>
        <w:t>תאורי</w:t>
      </w:r>
      <w:r w:rsidRPr="00122AE9">
        <w:rPr>
          <w:rFonts w:ascii="Times New Roman" w:eastAsia="Times New Roman" w:hAnsi="Times New Roman" w:cs="David" w:hint="cs"/>
          <w:szCs w:val="24"/>
          <w:rtl/>
          <w:lang w:eastAsia="he-IL"/>
        </w:rPr>
        <w:t>ו</w:t>
      </w:r>
      <w:r w:rsidRPr="00122AE9">
        <w:rPr>
          <w:rFonts w:ascii="Times New Roman" w:eastAsia="Times New Roman" w:hAnsi="Times New Roman" w:cs="David" w:hint="eastAsia"/>
          <w:szCs w:val="24"/>
          <w:rtl/>
          <w:lang w:eastAsia="he-IL"/>
        </w:rPr>
        <w:t>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cs"/>
          <w:szCs w:val="24"/>
          <w:rtl/>
          <w:lang w:eastAsia="he-IL"/>
        </w:rPr>
        <w:t xml:space="preserve">של </w:t>
      </w:r>
      <w:r w:rsidRPr="00122AE9">
        <w:rPr>
          <w:rFonts w:ascii="Times New Roman" w:eastAsia="Times New Roman" w:hAnsi="Times New Roman" w:cs="David" w:hint="eastAsia"/>
          <w:szCs w:val="24"/>
          <w:rtl/>
          <w:lang w:eastAsia="he-IL"/>
        </w:rPr>
        <w:t>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cs"/>
          <w:szCs w:val="24"/>
          <w:rtl/>
          <w:lang w:eastAsia="he-IL"/>
        </w:rPr>
        <w:t>ה</w:t>
      </w:r>
      <w:r w:rsidRPr="00122AE9">
        <w:rPr>
          <w:rFonts w:ascii="Times New Roman" w:eastAsia="Times New Roman" w:hAnsi="Times New Roman" w:cs="David" w:hint="eastAsia"/>
          <w:szCs w:val="24"/>
          <w:rtl/>
          <w:lang w:eastAsia="he-IL"/>
        </w:rPr>
        <w:t>אישי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w:t>
      </w:r>
      <w:r w:rsidRPr="00122AE9">
        <w:rPr>
          <w:rFonts w:ascii="Times New Roman" w:eastAsia="Times New Roman" w:hAnsi="Times New Roman" w:cs="David" w:hint="cs"/>
          <w:szCs w:val="24"/>
          <w:rtl/>
          <w:lang w:eastAsia="he-IL"/>
        </w:rPr>
        <w:t xml:space="preserve">של </w:t>
      </w:r>
      <w:r w:rsidRPr="00122AE9">
        <w:rPr>
          <w:rFonts w:ascii="Times New Roman" w:eastAsia="Times New Roman" w:hAnsi="Times New Roman" w:cs="David" w:hint="eastAsia"/>
          <w:szCs w:val="24"/>
          <w:rtl/>
          <w:lang w:eastAsia="he-IL"/>
        </w:rPr>
        <w:t>האינטרס</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cs"/>
          <w:szCs w:val="24"/>
          <w:rtl/>
          <w:lang w:eastAsia="he-IL"/>
        </w:rPr>
        <w:t>ה</w:t>
      </w:r>
      <w:r w:rsidRPr="00122AE9">
        <w:rPr>
          <w:rFonts w:ascii="Times New Roman" w:eastAsia="Times New Roman" w:hAnsi="Times New Roman" w:cs="David" w:hint="eastAsia"/>
          <w:szCs w:val="24"/>
          <w:rtl/>
          <w:lang w:eastAsia="he-IL"/>
        </w:rPr>
        <w:t>קבוצתי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יכול</w:t>
      </w:r>
      <w:r w:rsidRPr="00122AE9">
        <w:rPr>
          <w:rFonts w:ascii="Times New Roman" w:eastAsia="Times New Roman" w:hAnsi="Times New Roman" w:cs="David" w:hint="cs"/>
          <w:szCs w:val="24"/>
          <w:rtl/>
          <w:lang w:eastAsia="he-IL"/>
        </w:rPr>
        <w:t>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גם</w:t>
      </w:r>
      <w:r w:rsidRPr="00122AE9">
        <w:rPr>
          <w:rFonts w:ascii="Times New Roman" w:eastAsia="Times New Roman" w:hAnsi="Times New Roman" w:cs="David"/>
          <w:szCs w:val="24"/>
          <w:rtl/>
          <w:lang w:eastAsia="he-IL"/>
        </w:rPr>
        <w:t xml:space="preserve"> לבסס טיעון </w:t>
      </w:r>
      <w:r w:rsidRPr="00122AE9">
        <w:rPr>
          <w:rFonts w:ascii="Times New Roman" w:eastAsia="Times New Roman" w:hAnsi="Times New Roman" w:cs="David" w:hint="eastAsia"/>
          <w:szCs w:val="24"/>
          <w:rtl/>
          <w:lang w:eastAsia="he-IL"/>
        </w:rPr>
        <w:t>נגד</w:t>
      </w:r>
      <w:r w:rsidRPr="00122AE9">
        <w:rPr>
          <w:rFonts w:ascii="Times New Roman" w:eastAsia="Times New Roman" w:hAnsi="Times New Roman" w:cs="David"/>
          <w:szCs w:val="24"/>
          <w:rtl/>
          <w:lang w:eastAsia="he-IL"/>
        </w:rPr>
        <w:t xml:space="preserve"> העד</w:t>
      </w:r>
      <w:r w:rsidRPr="00122AE9">
        <w:rPr>
          <w:rFonts w:ascii="Times New Roman" w:eastAsia="Times New Roman" w:hAnsi="Times New Roman" w:cs="David" w:hint="eastAsia"/>
          <w:szCs w:val="24"/>
          <w:rtl/>
          <w:lang w:eastAsia="he-IL"/>
        </w:rPr>
        <w:t>פה</w:t>
      </w:r>
      <w:r w:rsidRPr="00122AE9">
        <w:rPr>
          <w:rFonts w:ascii="Times New Roman" w:eastAsia="Times New Roman" w:hAnsi="Times New Roman" w:cs="David"/>
          <w:szCs w:val="24"/>
          <w:rtl/>
          <w:lang w:eastAsia="he-IL"/>
        </w:rPr>
        <w:t xml:space="preserve"> מתקנת, כפי </w:t>
      </w:r>
      <w:r w:rsidRPr="00122AE9">
        <w:rPr>
          <w:rFonts w:ascii="Times New Roman" w:eastAsia="Times New Roman" w:hAnsi="Times New Roman" w:cs="David" w:hint="eastAsia"/>
          <w:szCs w:val="24"/>
          <w:rtl/>
          <w:lang w:eastAsia="he-IL"/>
        </w:rPr>
        <w:t>ש</w:t>
      </w:r>
      <w:r w:rsidRPr="00122AE9">
        <w:rPr>
          <w:rFonts w:ascii="Times New Roman" w:eastAsia="Times New Roman" w:hAnsi="Times New Roman" w:cs="David" w:hint="cs"/>
          <w:szCs w:val="24"/>
          <w:rtl/>
          <w:lang w:eastAsia="he-IL"/>
        </w:rPr>
        <w:t>הראיתי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לעיל</w:t>
      </w:r>
      <w:r w:rsidRPr="00122AE9">
        <w:rPr>
          <w:rFonts w:ascii="Times New Roman" w:eastAsia="Times New Roman" w:hAnsi="Times New Roman" w:cs="David"/>
          <w:szCs w:val="24"/>
          <w:rtl/>
          <w:lang w:eastAsia="he-IL"/>
        </w:rPr>
        <w:t xml:space="preserve">, קבוצות </w:t>
      </w:r>
      <w:r w:rsidRPr="00122AE9">
        <w:rPr>
          <w:rFonts w:ascii="Times New Roman" w:eastAsia="Times New Roman" w:hAnsi="Times New Roman" w:cs="David" w:hint="eastAsia"/>
          <w:szCs w:val="24"/>
          <w:rtl/>
          <w:lang w:eastAsia="he-IL"/>
        </w:rPr>
        <w:t>בתת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יתמכו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מדובר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ברווח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אחרת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נמנים</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vertAlign w:val="superscript"/>
          <w:rtl/>
          <w:lang w:eastAsia="he-IL"/>
        </w:rPr>
        <w:footnoteReference w:id="39"/>
      </w:r>
      <w:r w:rsidRPr="00122AE9">
        <w:rPr>
          <w:rFonts w:ascii="Times New Roman" w:eastAsia="Times New Roman" w:hAnsi="Times New Roman" w:cs="David"/>
          <w:szCs w:val="24"/>
          <w:rtl/>
          <w:lang w:eastAsia="he-IL"/>
        </w:rPr>
        <w:t xml:space="preserve"> המטרה</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אם כך</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היא </w:t>
      </w:r>
      <w:r w:rsidRPr="00122AE9">
        <w:rPr>
          <w:rFonts w:ascii="Times New Roman" w:eastAsia="Times New Roman" w:hAnsi="Times New Roman" w:cs="David" w:hint="cs"/>
          <w:szCs w:val="24"/>
          <w:rtl/>
          <w:lang w:eastAsia="he-IL"/>
        </w:rPr>
        <w:t>לעתים</w:t>
      </w:r>
      <w:r w:rsidRPr="00122AE9">
        <w:rPr>
          <w:rFonts w:ascii="Times New Roman" w:eastAsia="Times New Roman" w:hAnsi="Times New Roman" w:cs="David"/>
          <w:szCs w:val="24"/>
          <w:rtl/>
          <w:lang w:eastAsia="he-IL"/>
        </w:rPr>
        <w:t xml:space="preserve"> כללית ורוחבית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מעין חינוך מחדש של קבוצת הרוב להכרה וקבלה של השונה ממנה.</w:t>
      </w:r>
      <w:r w:rsidRPr="00122AE9">
        <w:rPr>
          <w:rFonts w:ascii="Times New Roman" w:eastAsia="Times New Roman" w:hAnsi="Times New Roman" w:cs="David"/>
          <w:szCs w:val="24"/>
          <w:vertAlign w:val="superscript"/>
          <w:rtl/>
          <w:lang w:eastAsia="he-IL"/>
        </w:rPr>
        <w:footnoteReference w:id="40"/>
      </w:r>
      <w:r w:rsidRPr="00122AE9">
        <w:rPr>
          <w:rFonts w:ascii="Times New Roman" w:eastAsia="Times New Roman" w:hAnsi="Times New Roman" w:cs="David"/>
          <w:szCs w:val="24"/>
          <w:rtl/>
          <w:lang w:eastAsia="he-IL"/>
        </w:rPr>
        <w:t xml:space="preserve"> אך הטיעון הבסיסי ביותר בעד העדפה מתקנת הוא טיעון של </w:t>
      </w:r>
      <w:r w:rsidRPr="00122AE9">
        <w:rPr>
          <w:rFonts w:ascii="Times New Roman" w:eastAsia="Times New Roman" w:hAnsi="Times New Roman" w:cs="David" w:hint="eastAsia"/>
          <w:szCs w:val="24"/>
          <w:rtl/>
          <w:lang w:eastAsia="he-IL"/>
        </w:rPr>
        <w:t>שיקולי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צדק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המצדיק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תיקונו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עוול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היסטורי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קבוצתי</w:t>
      </w:r>
      <w:r w:rsidRPr="00122AE9">
        <w:rPr>
          <w:rFonts w:ascii="Times New Roman" w:eastAsia="Times New Roman" w:hAnsi="Times New Roman" w:cs="David"/>
          <w:szCs w:val="24"/>
          <w:rtl/>
          <w:lang w:eastAsia="he-IL"/>
        </w:rPr>
        <w:t>. על פי תפיסה זו</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העדפה מתקנת באה לתקן אפליה היסטורית של קבוצה וכי על חברה שנוצרה בקרבה מציאות של פגיעה מתמשכת בשוויון הקיבוצי לשאת בנטל לתיקון מציאות זו שנוצרה. שיקול זה מבטיח שוויון לפרט הנמנה עם הקבוצה. לצדו קיים טיעון של </w:t>
      </w:r>
      <w:r w:rsidRPr="00122AE9">
        <w:rPr>
          <w:rFonts w:ascii="Times New Roman" w:eastAsia="Times New Roman" w:hAnsi="Times New Roman" w:cs="David" w:hint="eastAsia"/>
          <w:szCs w:val="24"/>
          <w:rtl/>
          <w:lang w:eastAsia="he-IL"/>
        </w:rPr>
        <w:t>צדק</w:t>
      </w:r>
      <w:r w:rsidRPr="00122AE9">
        <w:rPr>
          <w:rFonts w:ascii="Times New Roman" w:eastAsia="Times New Roman" w:hAnsi="Times New Roman" w:cs="David"/>
          <w:szCs w:val="24"/>
          <w:rtl/>
          <w:lang w:eastAsia="he-IL"/>
        </w:rPr>
        <w:t xml:space="preserve"> מחלק – תפיסה זו מכירה בצורך של החברה לאפשר נגישות שווה למשאביה לכלל הקבוצות באוכלוסייה, בין היתר למשא</w:t>
      </w:r>
      <w:r w:rsidRPr="00122AE9">
        <w:rPr>
          <w:rFonts w:ascii="Times New Roman" w:eastAsia="Times New Roman" w:hAnsi="Times New Roman" w:cs="David" w:hint="eastAsia"/>
          <w:szCs w:val="24"/>
          <w:rtl/>
          <w:lang w:eastAsia="he-IL"/>
        </w:rPr>
        <w:t>ב</w:t>
      </w:r>
      <w:r w:rsidRPr="00122AE9">
        <w:rPr>
          <w:rFonts w:ascii="Times New Roman" w:eastAsia="Times New Roman" w:hAnsi="Times New Roman" w:cs="David"/>
          <w:szCs w:val="24"/>
          <w:rtl/>
          <w:lang w:eastAsia="he-IL"/>
        </w:rPr>
        <w:t xml:space="preserve"> העבודה על ידי "הנדסה חברתית", </w:t>
      </w:r>
      <w:r w:rsidRPr="00122AE9">
        <w:rPr>
          <w:rFonts w:ascii="Times New Roman" w:eastAsia="Times New Roman" w:hAnsi="Times New Roman" w:cs="David" w:hint="eastAsia"/>
          <w:szCs w:val="24"/>
          <w:rtl/>
          <w:lang w:eastAsia="he-IL"/>
        </w:rPr>
        <w:t>שיקול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המנוגד</w:t>
      </w:r>
      <w:r w:rsidRPr="00122AE9">
        <w:rPr>
          <w:rFonts w:ascii="Times New Roman" w:eastAsia="Times New Roman" w:hAnsi="Times New Roman" w:cs="David"/>
          <w:szCs w:val="24"/>
          <w:rtl/>
          <w:lang w:eastAsia="he-IL"/>
        </w:rPr>
        <w:t xml:space="preserve"> לאתוס </w:t>
      </w:r>
      <w:r w:rsidRPr="00122AE9">
        <w:rPr>
          <w:rFonts w:ascii="Times New Roman" w:eastAsia="Times New Roman" w:hAnsi="Times New Roman" w:cs="David" w:hint="eastAsia"/>
          <w:szCs w:val="24"/>
          <w:rtl/>
          <w:lang w:eastAsia="he-IL"/>
        </w:rPr>
        <w:t>המריטוקרטיה</w:t>
      </w:r>
      <w:r w:rsidRPr="00122AE9">
        <w:rPr>
          <w:rFonts w:ascii="Times New Roman" w:eastAsia="Times New Roman" w:hAnsi="Times New Roman" w:cs="David"/>
          <w:szCs w:val="24"/>
          <w:rtl/>
          <w:lang w:eastAsia="he-IL"/>
        </w:rPr>
        <w:t xml:space="preserve"> ולחסמי הכשירות שהוא מעמיד.</w:t>
      </w:r>
    </w:p>
    <w:p w:rsidR="000B385C" w:rsidRDefault="00CA7263" w:rsidP="00DD0488">
      <w:pPr>
        <w:spacing w:after="0" w:line="360" w:lineRule="auto"/>
        <w:ind w:firstLine="360"/>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טיעון</w:t>
      </w:r>
      <w:r w:rsidRPr="00122AE9">
        <w:rPr>
          <w:rFonts w:ascii="Times New Roman" w:eastAsia="Times New Roman" w:hAnsi="Times New Roman" w:cs="David"/>
          <w:szCs w:val="24"/>
          <w:rtl/>
          <w:lang w:eastAsia="he-IL"/>
        </w:rPr>
        <w:t xml:space="preserve"> רביעי הוא של </w:t>
      </w:r>
      <w:r w:rsidRPr="00122AE9">
        <w:rPr>
          <w:rFonts w:ascii="Times New Roman" w:eastAsia="Times New Roman" w:hAnsi="Times New Roman" w:cs="David" w:hint="eastAsia"/>
          <w:szCs w:val="24"/>
          <w:rtl/>
          <w:lang w:eastAsia="he-IL"/>
        </w:rPr>
        <w:t>צדק</w:t>
      </w:r>
      <w:r w:rsidRPr="00122AE9">
        <w:rPr>
          <w:rFonts w:ascii="Times New Roman" w:eastAsia="Times New Roman" w:hAnsi="Times New Roman" w:cs="David"/>
          <w:szCs w:val="24"/>
          <w:rtl/>
          <w:lang w:eastAsia="he-IL"/>
        </w:rPr>
        <w:t xml:space="preserve"> תועלתני – לפיו אין מקום לאפליה משום שזו </w:t>
      </w:r>
      <w:r w:rsidRPr="00122AE9">
        <w:rPr>
          <w:rFonts w:ascii="Times New Roman" w:eastAsia="Times New Roman" w:hAnsi="Times New Roman" w:cs="David" w:hint="eastAsia"/>
          <w:szCs w:val="24"/>
          <w:rtl/>
          <w:lang w:eastAsia="he-IL"/>
        </w:rPr>
        <w:t>תופעה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רציונלית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שאינה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מתאימה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להתנהגות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חופשי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כן, </w:t>
      </w:r>
      <w:r w:rsidRPr="00122AE9">
        <w:rPr>
          <w:rFonts w:ascii="Times New Roman" w:eastAsia="Times New Roman" w:hAnsi="Times New Roman" w:cs="David" w:hint="eastAsia"/>
          <w:szCs w:val="24"/>
          <w:rtl/>
          <w:lang w:eastAsia="he-IL"/>
        </w:rPr>
        <w:t>השימוש</w:t>
      </w:r>
      <w:r w:rsidRPr="00122AE9">
        <w:rPr>
          <w:rFonts w:ascii="Times New Roman" w:eastAsia="Times New Roman" w:hAnsi="Times New Roman" w:cs="David"/>
          <w:szCs w:val="24"/>
          <w:rtl/>
          <w:lang w:eastAsia="he-IL"/>
        </w:rPr>
        <w:t xml:space="preserve"> בהעדפה מתקנת </w:t>
      </w:r>
      <w:r w:rsidRPr="00122AE9">
        <w:rPr>
          <w:rFonts w:ascii="Times New Roman" w:eastAsia="Times New Roman" w:hAnsi="Times New Roman" w:cs="David" w:hint="eastAsia"/>
          <w:szCs w:val="24"/>
          <w:rtl/>
          <w:lang w:eastAsia="he-IL"/>
        </w:rPr>
        <w:t>הכרחי</w:t>
      </w:r>
      <w:r w:rsidRPr="00122AE9">
        <w:rPr>
          <w:rFonts w:ascii="Times New Roman" w:eastAsia="Times New Roman" w:hAnsi="Times New Roman" w:cs="David"/>
          <w:szCs w:val="24"/>
          <w:rtl/>
          <w:lang w:eastAsia="he-IL"/>
        </w:rPr>
        <w:t xml:space="preserve"> לניצולו הראוי של מלוא ההון האנושי ואין להסתפק בכוחות השוק. שיקול זה תומך בפלורליזם ודוחף לאינטרס </w:t>
      </w:r>
      <w:r w:rsidRPr="00122AE9">
        <w:rPr>
          <w:rFonts w:ascii="Times New Roman" w:eastAsia="Times New Roman" w:hAnsi="Times New Roman" w:cs="David" w:hint="eastAsia"/>
          <w:szCs w:val="24"/>
          <w:rtl/>
          <w:lang w:eastAsia="he-IL"/>
        </w:rPr>
        <w:t>אנטי</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hint="eastAsia"/>
          <w:szCs w:val="24"/>
          <w:rtl/>
          <w:lang w:eastAsia="he-IL"/>
        </w:rPr>
        <w:t>הומוגני</w:t>
      </w:r>
      <w:r w:rsidRPr="00122AE9">
        <w:rPr>
          <w:rFonts w:ascii="Times New Roman" w:eastAsia="Times New Roman" w:hAnsi="Times New Roman" w:cs="David"/>
          <w:szCs w:val="24"/>
          <w:rtl/>
          <w:lang w:eastAsia="he-IL"/>
        </w:rPr>
        <w:t xml:space="preserve"> בתעסוקה. </w:t>
      </w:r>
      <w:r w:rsidRPr="00122AE9">
        <w:rPr>
          <w:rFonts w:ascii="Times New Roman" w:eastAsia="Times New Roman" w:hAnsi="Times New Roman" w:cs="David" w:hint="eastAsia"/>
          <w:szCs w:val="24"/>
          <w:rtl/>
          <w:lang w:eastAsia="he-IL"/>
        </w:rPr>
        <w:t>הטיעון</w:t>
      </w:r>
      <w:r w:rsidRPr="00122AE9">
        <w:rPr>
          <w:rFonts w:ascii="Times New Roman" w:eastAsia="Times New Roman" w:hAnsi="Times New Roman" w:cs="David"/>
          <w:szCs w:val="24"/>
          <w:rtl/>
          <w:lang w:eastAsia="he-IL"/>
        </w:rPr>
        <w:t xml:space="preserve"> הבא מתבסס על כוחו של שינוי והכוונת התנהגות תוך </w:t>
      </w:r>
      <w:r w:rsidRPr="00122AE9">
        <w:rPr>
          <w:rFonts w:ascii="Times New Roman" w:eastAsia="Times New Roman" w:hAnsi="Times New Roman" w:cs="David" w:hint="eastAsia"/>
          <w:szCs w:val="24"/>
          <w:rtl/>
          <w:lang w:eastAsia="he-IL"/>
        </w:rPr>
        <w:t>שינוי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פנימיות</w:t>
      </w:r>
      <w:r w:rsidRPr="00122AE9">
        <w:rPr>
          <w:rFonts w:ascii="Times New Roman" w:eastAsia="Times New Roman" w:hAnsi="Times New Roman" w:cs="David"/>
          <w:szCs w:val="24"/>
          <w:rtl/>
          <w:lang w:eastAsia="he-IL"/>
        </w:rPr>
        <w:t xml:space="preserve"> -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כמציבה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באופן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חיצוני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עשויה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בטווח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הארוך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להשפיע</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עיצובן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פנימיות</w:t>
      </w:r>
      <w:r w:rsidRPr="00122AE9">
        <w:rPr>
          <w:rFonts w:ascii="Times New Roman" w:eastAsia="Times New Roman" w:hAnsi="Times New Roman" w:cs="David"/>
          <w:szCs w:val="24"/>
          <w:rtl/>
          <w:lang w:eastAsia="he-IL"/>
        </w:rPr>
        <w:t xml:space="preserve">. הטיעון השישי הוא טיעון לגיוון - </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הולם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עמדות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ופרספקטיבות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בקבוצה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להבטחת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הגיוון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בשירות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הציבורי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יבטיח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נאמן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אותן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השקפות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טיעון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זה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לבדו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איננו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מספיק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שכן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קשה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למדוד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הבטחת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הייצוג</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השקפות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ידי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הגדלת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הגיוון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בשירות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הציבורי</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ואף לא כו</w:t>
      </w:r>
      <w:r w:rsidRPr="00122AE9">
        <w:rPr>
          <w:rFonts w:ascii="Times New Roman" w:eastAsia="Times New Roman" w:hAnsi="Times New Roman" w:cs="David" w:hint="eastAsia"/>
          <w:szCs w:val="24"/>
          <w:rtl/>
          <w:lang w:eastAsia="he-IL"/>
        </w:rPr>
        <w:t>לם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שותפים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להרגשה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זו</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p>
    <w:p w:rsidR="00DD0488" w:rsidRDefault="00DD0488" w:rsidP="000B385C">
      <w:pPr>
        <w:spacing w:after="0" w:line="360" w:lineRule="auto"/>
        <w:ind w:firstLine="360"/>
        <w:jc w:val="both"/>
        <w:rPr>
          <w:rFonts w:ascii="Times New Roman" w:eastAsia="Times New Roman" w:hAnsi="Times New Roman" w:cs="David"/>
          <w:szCs w:val="24"/>
          <w:rtl/>
          <w:lang w:eastAsia="he-IL"/>
        </w:rPr>
      </w:pPr>
    </w:p>
    <w:p w:rsidR="000B385C" w:rsidRDefault="00DD0488" w:rsidP="00DD0488">
      <w:pPr>
        <w:spacing w:after="0" w:line="360" w:lineRule="auto"/>
        <w:jc w:val="both"/>
        <w:rPr>
          <w:rFonts w:ascii="Times New Roman" w:eastAsia="Times New Roman" w:hAnsi="Times New Roman" w:cs="David" w:hint="cs"/>
          <w:szCs w:val="24"/>
          <w:rtl/>
          <w:lang w:eastAsia="he-IL"/>
        </w:rPr>
      </w:pPr>
      <w:r>
        <w:rPr>
          <w:rFonts w:ascii="Times New Roman" w:eastAsia="Times New Roman" w:hAnsi="Times New Roman" w:cs="David" w:hint="cs"/>
          <w:szCs w:val="24"/>
          <w:rtl/>
          <w:lang w:eastAsia="he-IL"/>
        </w:rPr>
        <w:t>מתנגדי ההעדפה המתקנת נתלים בעקרון השוויון הפורמלי, ואילו התומכים בדוקטרינה זו נסמכים על השוויון המהותי.</w:t>
      </w:r>
      <w:r>
        <w:rPr>
          <w:rStyle w:val="FootnoteReference"/>
          <w:rFonts w:ascii="Times New Roman" w:eastAsia="Times New Roman" w:hAnsi="Times New Roman" w:cs="David"/>
          <w:szCs w:val="24"/>
          <w:rtl/>
          <w:lang w:eastAsia="he-IL"/>
        </w:rPr>
        <w:footnoteReference w:id="41"/>
      </w:r>
      <w:r>
        <w:rPr>
          <w:rFonts w:ascii="Times New Roman" w:eastAsia="Times New Roman" w:hAnsi="Times New Roman" w:cs="David" w:hint="cs"/>
          <w:szCs w:val="24"/>
          <w:rtl/>
          <w:lang w:eastAsia="he-IL"/>
        </w:rPr>
        <w:t xml:space="preserve"> </w:t>
      </w:r>
      <w:r w:rsidR="000B385C">
        <w:rPr>
          <w:rFonts w:ascii="Times New Roman" w:eastAsia="Times New Roman" w:hAnsi="Times New Roman" w:cs="David" w:hint="cs"/>
          <w:szCs w:val="24"/>
          <w:rtl/>
          <w:lang w:eastAsia="he-IL"/>
        </w:rPr>
        <w:t xml:space="preserve">לפי גישת השוויון הפורמלי בעבודה העדפה מתקנת מציבה מחסומים המונעים מהפרט להתפתח. הסרת המחסומים אף תמנע את חופש הבחירה של המעסיק ומכתיבה </w:t>
      </w:r>
      <w:r w:rsidR="000B385C">
        <w:rPr>
          <w:rFonts w:ascii="Times New Roman" w:eastAsia="Times New Roman" w:hAnsi="Times New Roman" w:cs="David" w:hint="cs"/>
          <w:szCs w:val="24"/>
          <w:rtl/>
          <w:lang w:eastAsia="he-IL"/>
        </w:rPr>
        <w:lastRenderedPageBreak/>
        <w:t>לו את מי לקבל לעבודה.</w:t>
      </w:r>
      <w:r w:rsidR="00E809FF">
        <w:rPr>
          <w:rStyle w:val="FootnoteReference"/>
          <w:rFonts w:ascii="Times New Roman" w:eastAsia="Times New Roman" w:hAnsi="Times New Roman" w:cs="David"/>
          <w:szCs w:val="24"/>
          <w:rtl/>
          <w:lang w:eastAsia="he-IL"/>
        </w:rPr>
        <w:footnoteReference w:id="42"/>
      </w:r>
      <w:r w:rsidR="000B385C">
        <w:rPr>
          <w:rFonts w:ascii="Times New Roman" w:eastAsia="Times New Roman" w:hAnsi="Times New Roman" w:cs="David" w:hint="cs"/>
          <w:szCs w:val="24"/>
          <w:rtl/>
          <w:lang w:eastAsia="he-IL"/>
        </w:rPr>
        <w:t xml:space="preserve"> פעולה זו עשויה להעניק לאחד יתרון בעוד שהיא פוגעת בשוויון של אחר. מצד שני, התומכים בהעדפה מתקנת במסגרת השוויון הפורמלי יכירו בצורך להעניק העדפה מתקנת לקבוצה מופלית. </w:t>
      </w:r>
      <w:r w:rsidR="00E809FF">
        <w:rPr>
          <w:rFonts w:ascii="Times New Roman" w:eastAsia="Times New Roman" w:hAnsi="Times New Roman" w:cs="David" w:hint="cs"/>
          <w:szCs w:val="24"/>
          <w:rtl/>
          <w:lang w:eastAsia="he-IL"/>
        </w:rPr>
        <w:t>לפי גישת השוויון המהותי המיועדת להשגת שוויון בתוצאות, העדפה מתקנת תאפשר לכל הפרטים אמצעי להגשמה עצמית ולפיתוח אישיותם. לשם כך, יש לנקוט באמצעים ופעולות שיבטיחו שוויון הזדמנויות אמיתי.</w:t>
      </w:r>
      <w:r w:rsidR="00E809FF">
        <w:rPr>
          <w:rStyle w:val="FootnoteReference"/>
          <w:rFonts w:ascii="Times New Roman" w:eastAsia="Times New Roman" w:hAnsi="Times New Roman" w:cs="David"/>
          <w:szCs w:val="24"/>
          <w:rtl/>
          <w:lang w:eastAsia="he-IL"/>
        </w:rPr>
        <w:footnoteReference w:id="43"/>
      </w:r>
    </w:p>
    <w:p w:rsidR="000B385C" w:rsidRDefault="000B385C" w:rsidP="00CA7263">
      <w:pPr>
        <w:spacing w:after="0" w:line="360" w:lineRule="auto"/>
        <w:ind w:firstLine="360"/>
        <w:jc w:val="both"/>
        <w:rPr>
          <w:rFonts w:ascii="Times New Roman" w:eastAsia="Times New Roman" w:hAnsi="Times New Roman" w:cs="David"/>
          <w:szCs w:val="24"/>
          <w:rtl/>
          <w:lang w:eastAsia="he-IL"/>
        </w:rPr>
      </w:pPr>
    </w:p>
    <w:p w:rsidR="00CA7263" w:rsidRDefault="00CA7263" w:rsidP="00DD0488">
      <w:pPr>
        <w:spacing w:after="0" w:line="360" w:lineRule="auto"/>
        <w:ind w:firstLine="360"/>
        <w:jc w:val="both"/>
        <w:rPr>
          <w:rFonts w:ascii="Times New Roman" w:eastAsia="Times New Roman" w:hAnsi="Times New Roman" w:cs="David"/>
          <w:szCs w:val="24"/>
          <w:rtl/>
          <w:lang w:eastAsia="he-IL"/>
        </w:rPr>
      </w:pPr>
      <w:r w:rsidRPr="00122AE9">
        <w:rPr>
          <w:rFonts w:ascii="Times New Roman" w:eastAsia="Times New Roman" w:hAnsi="Times New Roman" w:cs="David" w:hint="eastAsia"/>
          <w:szCs w:val="24"/>
          <w:rtl/>
          <w:lang w:eastAsia="he-IL"/>
        </w:rPr>
        <w:t>קשה</w:t>
      </w:r>
      <w:r w:rsidRPr="00122AE9">
        <w:rPr>
          <w:rFonts w:ascii="Times New Roman" w:eastAsia="Times New Roman" w:hAnsi="Times New Roman" w:cs="David"/>
          <w:szCs w:val="24"/>
          <w:rtl/>
          <w:lang w:eastAsia="he-IL"/>
        </w:rPr>
        <w:t xml:space="preserve"> לקבוע באופן </w:t>
      </w:r>
      <w:r w:rsidRPr="00122AE9">
        <w:rPr>
          <w:rFonts w:ascii="Times New Roman" w:eastAsia="Times New Roman" w:hAnsi="Times New Roman" w:cs="David" w:hint="eastAsia"/>
          <w:szCs w:val="24"/>
          <w:rtl/>
          <w:lang w:eastAsia="he-IL"/>
        </w:rPr>
        <w:t>חד</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hint="eastAsia"/>
          <w:szCs w:val="24"/>
          <w:rtl/>
          <w:lang w:eastAsia="he-IL"/>
        </w:rPr>
        <w:t>משמעי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נגד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מבלי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להעלות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מודלים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שונים</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הרי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כאשר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אנו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מבקשים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לבחון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מודלים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להעלות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דיון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בצורך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בשינוי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המודל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מדובר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בשאלה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מורכבת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גם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לאלו</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התומכים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hint="cs"/>
          <w:szCs w:val="24"/>
          <w:rtl/>
          <w:lang w:eastAsia="he-IL"/>
        </w:rPr>
        <w:t>.</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משלא</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ניתן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עוד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לטעון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מדובר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רק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בצדק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cs"/>
          <w:szCs w:val="24"/>
          <w:rtl/>
          <w:lang w:eastAsia="he-IL"/>
        </w:rPr>
        <w:t>מבלי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לבחון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הצדקות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עכשוויות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וצופות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פני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עתיד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קשה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לתהות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האם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ישנה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נקודת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סיום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בעתיד</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באופן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אישי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אני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סבורה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כי</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לדחות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ההרהורים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באופק</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השימוש</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במודל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לימים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שהמודל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הנבחר</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יוכיח</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אפקטיביות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אך</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תכניות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העדפה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מתקנת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יכולות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לפעול</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באופן</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שונה</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ו</w:t>
      </w:r>
      <w:r w:rsidRPr="00122AE9">
        <w:rPr>
          <w:rFonts w:ascii="Times New Roman" w:eastAsia="Times New Roman" w:hAnsi="Times New Roman" w:cs="David" w:hint="cs"/>
          <w:szCs w:val="24"/>
          <w:rtl/>
          <w:lang w:eastAsia="he-IL"/>
        </w:rPr>
        <w:t xml:space="preserve">הן </w:t>
      </w:r>
      <w:r w:rsidRPr="00122AE9">
        <w:rPr>
          <w:rFonts w:ascii="Times New Roman" w:eastAsia="Times New Roman" w:hAnsi="Times New Roman" w:cs="David" w:hint="eastAsia"/>
          <w:szCs w:val="24"/>
          <w:rtl/>
          <w:lang w:eastAsia="he-IL"/>
        </w:rPr>
        <w:t>אף</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מופעלות</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בהקשרים</w:t>
      </w:r>
      <w:r w:rsidRPr="00122AE9">
        <w:rPr>
          <w:rFonts w:ascii="Times New Roman" w:eastAsia="Times New Roman" w:hAnsi="Times New Roman" w:cs="David"/>
          <w:szCs w:val="24"/>
          <w:rtl/>
          <w:lang w:eastAsia="he-IL"/>
        </w:rPr>
        <w:t xml:space="preserve"> </w:t>
      </w:r>
      <w:r w:rsidRPr="00122AE9">
        <w:rPr>
          <w:rFonts w:ascii="Times New Roman" w:eastAsia="Times New Roman" w:hAnsi="Times New Roman" w:cs="David" w:hint="eastAsia"/>
          <w:szCs w:val="24"/>
          <w:rtl/>
          <w:lang w:eastAsia="he-IL"/>
        </w:rPr>
        <w:t>שונים</w:t>
      </w:r>
      <w:r w:rsidRPr="00122AE9">
        <w:rPr>
          <w:rFonts w:ascii="Times New Roman" w:eastAsia="Times New Roman" w:hAnsi="Times New Roman" w:cs="David"/>
          <w:szCs w:val="24"/>
          <w:rtl/>
          <w:lang w:eastAsia="he-IL"/>
        </w:rPr>
        <w:t>.</w:t>
      </w:r>
    </w:p>
    <w:p w:rsidR="000B385C" w:rsidRDefault="000B385C" w:rsidP="00CA7263">
      <w:pPr>
        <w:spacing w:after="0" w:line="360" w:lineRule="auto"/>
        <w:ind w:firstLine="360"/>
        <w:jc w:val="both"/>
        <w:rPr>
          <w:rFonts w:ascii="Times New Roman" w:eastAsia="Times New Roman" w:hAnsi="Times New Roman" w:cs="David"/>
          <w:szCs w:val="24"/>
          <w:rtl/>
          <w:lang w:eastAsia="he-IL"/>
        </w:rPr>
      </w:pPr>
    </w:p>
    <w:bookmarkEnd w:id="3"/>
    <w:bookmarkEnd w:id="4"/>
    <w:bookmarkEnd w:id="5"/>
    <w:p w:rsidR="00CA7263" w:rsidRPr="00122AE9" w:rsidRDefault="00CA7263" w:rsidP="00731A70">
      <w:pPr>
        <w:spacing w:after="0" w:line="360" w:lineRule="auto"/>
        <w:ind w:firstLine="720"/>
        <w:jc w:val="both"/>
        <w:rPr>
          <w:rFonts w:ascii="Times New Roman" w:eastAsia="Times New Roman" w:hAnsi="Times New Roman" w:cs="David"/>
          <w:szCs w:val="24"/>
          <w:rtl/>
        </w:rPr>
      </w:pPr>
    </w:p>
    <w:sectPr w:rsidR="00CA7263" w:rsidRPr="00122AE9" w:rsidSect="009B2C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2E" w:rsidRDefault="00AF0F2E" w:rsidP="00731A70">
      <w:pPr>
        <w:spacing w:after="0" w:line="240" w:lineRule="auto"/>
      </w:pPr>
      <w:r>
        <w:separator/>
      </w:r>
    </w:p>
  </w:endnote>
  <w:endnote w:type="continuationSeparator" w:id="0">
    <w:p w:rsidR="00AF0F2E" w:rsidRDefault="00AF0F2E" w:rsidP="0073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2E" w:rsidRDefault="00AF0F2E" w:rsidP="00731A70">
      <w:pPr>
        <w:spacing w:after="0" w:line="240" w:lineRule="auto"/>
      </w:pPr>
      <w:r>
        <w:separator/>
      </w:r>
    </w:p>
  </w:footnote>
  <w:footnote w:type="continuationSeparator" w:id="0">
    <w:p w:rsidR="00AF0F2E" w:rsidRDefault="00AF0F2E" w:rsidP="00731A70">
      <w:pPr>
        <w:spacing w:after="0" w:line="240" w:lineRule="auto"/>
      </w:pPr>
      <w:r>
        <w:continuationSeparator/>
      </w:r>
    </w:p>
  </w:footnote>
  <w:footnote w:id="1">
    <w:p w:rsidR="00AF0834" w:rsidRPr="00AF0834" w:rsidRDefault="00AF0834" w:rsidP="00E9627E">
      <w:pPr>
        <w:pStyle w:val="FootnoteText"/>
        <w:jc w:val="both"/>
        <w:rPr>
          <w:rFonts w:hint="cs"/>
          <w:rtl/>
        </w:rPr>
      </w:pPr>
      <w:r>
        <w:rPr>
          <w:rStyle w:val="FootnoteReference"/>
        </w:rPr>
        <w:footnoteRef/>
      </w:r>
      <w:r>
        <w:rPr>
          <w:rtl/>
        </w:rPr>
        <w:t xml:space="preserve"> </w:t>
      </w:r>
      <w:r w:rsidRPr="00E9627E">
        <w:rPr>
          <w:rFonts w:cs="David"/>
        </w:rPr>
        <w:t xml:space="preserve">B.T.A Love "Justifying Affirmative Action" 7 Auckland University Law Review. Annual (1993) 491; Ch.M. Koggel "A Feminist View of Equality and Its Implication for Affirmative Action" 7 Canadian Journal of Law and </w:t>
      </w:r>
      <w:r w:rsidRPr="00E9627E">
        <w:rPr>
          <w:rFonts w:cs="David" w:hint="cs"/>
        </w:rPr>
        <w:t>J</w:t>
      </w:r>
      <w:r w:rsidRPr="00E9627E">
        <w:rPr>
          <w:rFonts w:cs="David"/>
        </w:rPr>
        <w:t>urisprudence (1994) 43</w:t>
      </w:r>
      <w:r w:rsidRPr="00E9627E">
        <w:rPr>
          <w:rFonts w:cs="David" w:hint="cs"/>
          <w:rtl/>
        </w:rPr>
        <w:t>.</w:t>
      </w:r>
      <w:r w:rsidR="00E9627E" w:rsidRPr="00E9627E">
        <w:rPr>
          <w:rFonts w:cs="David" w:hint="cs"/>
          <w:rtl/>
        </w:rPr>
        <w:t xml:space="preserve"> </w:t>
      </w:r>
      <w:r w:rsidR="00E9627E" w:rsidRPr="00E9627E">
        <w:rPr>
          <w:rFonts w:cs="David" w:hint="cs"/>
          <w:rtl/>
        </w:rPr>
        <w:t xml:space="preserve">העקרון נקבע לראשונה בארצות הברית בשנת 1965, כאשר הנשיא לינדון ג'ונסון חתם על צו להעדפה מתקנת בחברות שזוכות בחוזים ממשלתיים, ראו: </w:t>
      </w:r>
      <w:r w:rsidR="00E9627E" w:rsidRPr="00E9627E">
        <w:rPr>
          <w:rFonts w:cs="David"/>
        </w:rPr>
        <w:t>Executive Order 11246 issued by President Johnson</w:t>
      </w:r>
      <w:r w:rsidR="00E9627E" w:rsidRPr="00E9627E">
        <w:rPr>
          <w:rFonts w:cs="David" w:hint="cs"/>
          <w:rtl/>
        </w:rPr>
        <w:t>.</w:t>
      </w:r>
    </w:p>
  </w:footnote>
  <w:footnote w:id="2">
    <w:p w:rsidR="00984894" w:rsidRDefault="00984894">
      <w:pPr>
        <w:pStyle w:val="FootnoteText"/>
      </w:pPr>
      <w:r>
        <w:rPr>
          <w:rStyle w:val="FootnoteReference"/>
        </w:rPr>
        <w:footnoteRef/>
      </w:r>
      <w:r>
        <w:rPr>
          <w:rtl/>
        </w:rPr>
        <w:t xml:space="preserve"> </w:t>
      </w:r>
      <w:r w:rsidR="007158A8">
        <w:rPr>
          <w:rFonts w:hint="cs"/>
        </w:rPr>
        <w:t>C</w:t>
      </w:r>
      <w:r w:rsidR="007158A8">
        <w:t>layton, Susan D. and Crosby, Faye J. (1992) Justice, Gender, and Affirmative Action. University of Michigan Press.</w:t>
      </w:r>
    </w:p>
  </w:footnote>
  <w:footnote w:id="3">
    <w:p w:rsidR="005601E9" w:rsidRDefault="005601E9" w:rsidP="005601E9">
      <w:pPr>
        <w:pStyle w:val="FootnoteText"/>
        <w:rPr>
          <w:rtl/>
        </w:rPr>
      </w:pPr>
      <w:r w:rsidRPr="00F764C1">
        <w:rPr>
          <w:rStyle w:val="FootnoteReference"/>
          <w:rFonts w:ascii="David" w:hAnsi="David"/>
          <w:vertAlign w:val="baseline"/>
        </w:rPr>
        <w:footnoteRef/>
      </w:r>
      <w:r>
        <w:rPr>
          <w:rFonts w:hint="cs"/>
          <w:rtl/>
        </w:rPr>
        <w:tab/>
        <w:t xml:space="preserve">אהרן ברק </w:t>
      </w:r>
      <w:r>
        <w:rPr>
          <w:rFonts w:hint="cs"/>
          <w:b/>
          <w:bCs/>
          <w:rtl/>
        </w:rPr>
        <w:t>פרשנות במשפט</w:t>
      </w:r>
      <w:r>
        <w:rPr>
          <w:rFonts w:hint="cs"/>
          <w:rtl/>
        </w:rPr>
        <w:t xml:space="preserve"> כרך שני – פרשנות החקיקה 459 (1993).</w:t>
      </w:r>
    </w:p>
  </w:footnote>
  <w:footnote w:id="4">
    <w:p w:rsidR="0023144B" w:rsidRDefault="0023144B" w:rsidP="00E809FF">
      <w:pPr>
        <w:pStyle w:val="FootnoteText"/>
      </w:pPr>
      <w:r w:rsidRPr="00F764C1">
        <w:rPr>
          <w:rStyle w:val="FootnoteReference"/>
          <w:rFonts w:ascii="David" w:hAnsi="David"/>
          <w:vertAlign w:val="baseline"/>
        </w:rPr>
        <w:footnoteRef/>
      </w:r>
      <w:r>
        <w:rPr>
          <w:rtl/>
        </w:rPr>
        <w:tab/>
      </w:r>
      <w:r w:rsidR="00E809FF" w:rsidRPr="0047048D">
        <w:rPr>
          <w:rtl/>
        </w:rPr>
        <w:t xml:space="preserve">בג"ץ 2671/98 </w:t>
      </w:r>
      <w:r w:rsidR="00E809FF" w:rsidRPr="0047048D">
        <w:rPr>
          <w:b/>
          <w:bCs/>
          <w:rtl/>
        </w:rPr>
        <w:t>שדולת הנשים בישראל נ' שר העבודה והרווחה</w:t>
      </w:r>
      <w:r w:rsidR="00E809FF" w:rsidRPr="00F10EE8">
        <w:rPr>
          <w:rtl/>
        </w:rPr>
        <w:t>, פ"ד נב(3) 630</w:t>
      </w:r>
      <w:r w:rsidR="00E809FF" w:rsidRPr="0047048D">
        <w:rPr>
          <w:rtl/>
        </w:rPr>
        <w:t xml:space="preserve"> (</w:t>
      </w:r>
      <w:r w:rsidR="00E809FF">
        <w:rPr>
          <w:rFonts w:hint="cs"/>
          <w:rtl/>
        </w:rPr>
        <w:t>19</w:t>
      </w:r>
      <w:r w:rsidR="00E809FF" w:rsidRPr="0047048D">
        <w:rPr>
          <w:rtl/>
        </w:rPr>
        <w:t>98)</w:t>
      </w:r>
      <w:r>
        <w:rPr>
          <w:rFonts w:hint="cs"/>
          <w:rtl/>
        </w:rPr>
        <w:t xml:space="preserve">, </w:t>
      </w:r>
      <w:r w:rsidRPr="0047048D">
        <w:rPr>
          <w:rtl/>
        </w:rPr>
        <w:t>דבריו של השופט חשין</w:t>
      </w:r>
      <w:r>
        <w:rPr>
          <w:rFonts w:hint="cs"/>
          <w:rtl/>
        </w:rPr>
        <w:t xml:space="preserve"> בפס' 29 לפסק־דינו</w:t>
      </w:r>
      <w:r w:rsidRPr="0047048D">
        <w:rPr>
          <w:rtl/>
        </w:rPr>
        <w:t>.</w:t>
      </w:r>
    </w:p>
  </w:footnote>
  <w:footnote w:id="5">
    <w:p w:rsidR="00E9627E" w:rsidRDefault="00E9627E" w:rsidP="00E9627E">
      <w:pPr>
        <w:pStyle w:val="FootnoteText"/>
      </w:pPr>
      <w:r>
        <w:rPr>
          <w:rStyle w:val="FootnoteReference"/>
        </w:rPr>
        <w:footnoteRef/>
      </w:r>
      <w:r>
        <w:rPr>
          <w:rtl/>
        </w:rPr>
        <w:t xml:space="preserve"> </w:t>
      </w:r>
      <w:r>
        <w:rPr>
          <w:rFonts w:hint="cs"/>
        </w:rPr>
        <w:t>B</w:t>
      </w:r>
      <w:r>
        <w:t>owen, William G. and Bok, Derek (1998). The Shape of the River: Long-Term Consequences of Considering Race in College and University Admissions. Princeton, NJ: Prinston University Press.</w:t>
      </w:r>
    </w:p>
  </w:footnote>
  <w:footnote w:id="6">
    <w:p w:rsidR="00D1421C" w:rsidRPr="0047048D" w:rsidRDefault="00D1421C" w:rsidP="00D1421C">
      <w:pPr>
        <w:pStyle w:val="FootnoteText"/>
        <w:jc w:val="both"/>
        <w:rPr>
          <w:rFonts w:ascii="David" w:hAnsi="David" w:cs="David"/>
          <w:rtl/>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Michael Young, The Rise of The Meritocracy (1958)</w:t>
      </w:r>
      <w:r w:rsidRPr="0047048D">
        <w:rPr>
          <w:rFonts w:ascii="David" w:hAnsi="David" w:cs="David"/>
          <w:rtl/>
        </w:rPr>
        <w:t>.</w:t>
      </w:r>
    </w:p>
  </w:footnote>
  <w:footnote w:id="7">
    <w:p w:rsidR="005601E9" w:rsidRDefault="005601E9" w:rsidP="005601E9">
      <w:pPr>
        <w:pStyle w:val="FootnoteText"/>
        <w:rPr>
          <w:rtl/>
        </w:rPr>
      </w:pPr>
      <w:r w:rsidRPr="00F764C1">
        <w:rPr>
          <w:rStyle w:val="FootnoteReference"/>
          <w:rFonts w:ascii="David" w:hAnsi="David"/>
          <w:vertAlign w:val="baseline"/>
        </w:rPr>
        <w:footnoteRef/>
      </w:r>
      <w:r>
        <w:rPr>
          <w:rtl/>
        </w:rPr>
        <w:tab/>
      </w:r>
      <w:r w:rsidRPr="0047048D">
        <w:t>J</w:t>
      </w:r>
      <w:r>
        <w:t>oel</w:t>
      </w:r>
      <w:r w:rsidRPr="0047048D">
        <w:t xml:space="preserve"> Wm. Friedman, </w:t>
      </w:r>
      <w:r w:rsidRPr="00F764C1">
        <w:rPr>
          <w:i/>
          <w:iCs/>
        </w:rPr>
        <w:t>Redefining</w:t>
      </w:r>
      <w:r>
        <w:rPr>
          <w:i/>
          <w:iCs/>
        </w:rPr>
        <w:t xml:space="preserve"> </w:t>
      </w:r>
      <w:r w:rsidRPr="00F764C1">
        <w:rPr>
          <w:i/>
          <w:iCs/>
        </w:rPr>
        <w:t>Equality</w:t>
      </w:r>
      <w:r>
        <w:rPr>
          <w:i/>
          <w:iCs/>
        </w:rPr>
        <w:t xml:space="preserve"> </w:t>
      </w:r>
      <w:r w:rsidRPr="00F764C1">
        <w:rPr>
          <w:i/>
          <w:iCs/>
        </w:rPr>
        <w:t>Discrimination</w:t>
      </w:r>
      <w:r>
        <w:rPr>
          <w:i/>
          <w:iCs/>
        </w:rPr>
        <w:t xml:space="preserve">, </w:t>
      </w:r>
      <w:r w:rsidRPr="00F764C1">
        <w:rPr>
          <w:i/>
          <w:iCs/>
        </w:rPr>
        <w:t>and</w:t>
      </w:r>
      <w:r>
        <w:rPr>
          <w:i/>
          <w:iCs/>
        </w:rPr>
        <w:t xml:space="preserve"> </w:t>
      </w:r>
      <w:r w:rsidRPr="00F764C1">
        <w:rPr>
          <w:i/>
          <w:iCs/>
        </w:rPr>
        <w:t>Affirmative</w:t>
      </w:r>
      <w:r>
        <w:rPr>
          <w:i/>
          <w:iCs/>
        </w:rPr>
        <w:t xml:space="preserve"> </w:t>
      </w:r>
      <w:r w:rsidRPr="00F764C1">
        <w:rPr>
          <w:i/>
          <w:iCs/>
        </w:rPr>
        <w:t>Action</w:t>
      </w:r>
      <w:r>
        <w:rPr>
          <w:i/>
          <w:iCs/>
        </w:rPr>
        <w:t xml:space="preserve"> </w:t>
      </w:r>
      <w:r w:rsidRPr="00F764C1">
        <w:rPr>
          <w:i/>
          <w:iCs/>
        </w:rPr>
        <w:t>Under</w:t>
      </w:r>
      <w:r>
        <w:rPr>
          <w:i/>
          <w:iCs/>
        </w:rPr>
        <w:t xml:space="preserve"> </w:t>
      </w:r>
      <w:r w:rsidRPr="00F764C1">
        <w:rPr>
          <w:i/>
          <w:iCs/>
        </w:rPr>
        <w:t>Title</w:t>
      </w:r>
      <w:r>
        <w:rPr>
          <w:i/>
          <w:iCs/>
        </w:rPr>
        <w:t xml:space="preserve"> </w:t>
      </w:r>
      <w:r w:rsidRPr="00F764C1">
        <w:rPr>
          <w:i/>
          <w:iCs/>
        </w:rPr>
        <w:t>VII</w:t>
      </w:r>
      <w:r>
        <w:rPr>
          <w:i/>
          <w:iCs/>
        </w:rPr>
        <w:t xml:space="preserve">: </w:t>
      </w:r>
      <w:r w:rsidRPr="00F764C1">
        <w:rPr>
          <w:i/>
          <w:iCs/>
        </w:rPr>
        <w:t>The</w:t>
      </w:r>
      <w:r>
        <w:rPr>
          <w:i/>
          <w:iCs/>
        </w:rPr>
        <w:t xml:space="preserve"> </w:t>
      </w:r>
      <w:r w:rsidRPr="00F764C1">
        <w:rPr>
          <w:i/>
          <w:iCs/>
        </w:rPr>
        <w:t>Access</w:t>
      </w:r>
      <w:r>
        <w:rPr>
          <w:i/>
          <w:iCs/>
        </w:rPr>
        <w:t xml:space="preserve"> </w:t>
      </w:r>
      <w:r w:rsidRPr="00F764C1">
        <w:rPr>
          <w:i/>
          <w:iCs/>
        </w:rPr>
        <w:t>Principle</w:t>
      </w:r>
      <w:r w:rsidRPr="0047048D">
        <w:t xml:space="preserve">, 65 </w:t>
      </w:r>
      <w:r>
        <w:rPr>
          <w:smallCaps/>
        </w:rPr>
        <w:t xml:space="preserve">Tex. </w:t>
      </w:r>
      <w:r w:rsidRPr="00F764C1">
        <w:rPr>
          <w:smallCaps/>
        </w:rPr>
        <w:t>L</w:t>
      </w:r>
      <w:r>
        <w:rPr>
          <w:smallCaps/>
        </w:rPr>
        <w:t xml:space="preserve">. </w:t>
      </w:r>
      <w:r w:rsidRPr="00F764C1">
        <w:rPr>
          <w:smallCaps/>
        </w:rPr>
        <w:t>Rev</w:t>
      </w:r>
      <w:r>
        <w:rPr>
          <w:smallCaps/>
        </w:rPr>
        <w:t>.</w:t>
      </w:r>
      <w:r w:rsidRPr="0047048D">
        <w:t xml:space="preserve"> </w:t>
      </w:r>
      <w:r>
        <w:t xml:space="preserve">41 </w:t>
      </w:r>
      <w:r w:rsidRPr="0047048D">
        <w:t>(1986)</w:t>
      </w:r>
      <w:r>
        <w:t xml:space="preserve">; </w:t>
      </w:r>
      <w:r w:rsidRPr="0047048D">
        <w:t>B</w:t>
      </w:r>
      <w:r>
        <w:t xml:space="preserve">uchan </w:t>
      </w:r>
      <w:r w:rsidRPr="0047048D">
        <w:t>T.A. Love</w:t>
      </w:r>
      <w:r>
        <w:t>,</w:t>
      </w:r>
      <w:r w:rsidRPr="0047048D">
        <w:t xml:space="preserve"> </w:t>
      </w:r>
      <w:r w:rsidRPr="00F764C1">
        <w:rPr>
          <w:i/>
          <w:iCs/>
        </w:rPr>
        <w:t>Justif</w:t>
      </w:r>
      <w:r>
        <w:rPr>
          <w:i/>
          <w:iCs/>
        </w:rPr>
        <w:t>y</w:t>
      </w:r>
      <w:r w:rsidRPr="00F764C1">
        <w:rPr>
          <w:i/>
          <w:iCs/>
        </w:rPr>
        <w:t>ing</w:t>
      </w:r>
      <w:r>
        <w:rPr>
          <w:i/>
          <w:iCs/>
        </w:rPr>
        <w:t xml:space="preserve"> </w:t>
      </w:r>
      <w:r w:rsidRPr="00F764C1">
        <w:rPr>
          <w:i/>
          <w:iCs/>
        </w:rPr>
        <w:t>Affirmative</w:t>
      </w:r>
      <w:r>
        <w:rPr>
          <w:i/>
          <w:iCs/>
        </w:rPr>
        <w:t xml:space="preserve"> </w:t>
      </w:r>
      <w:r w:rsidRPr="00F764C1">
        <w:rPr>
          <w:i/>
          <w:iCs/>
        </w:rPr>
        <w:t>Action</w:t>
      </w:r>
      <w:r w:rsidRPr="0047048D">
        <w:t xml:space="preserve">, 7 </w:t>
      </w:r>
      <w:r w:rsidRPr="00F764C1">
        <w:rPr>
          <w:smallCaps/>
        </w:rPr>
        <w:t>Auckland</w:t>
      </w:r>
      <w:r>
        <w:rPr>
          <w:smallCaps/>
        </w:rPr>
        <w:t xml:space="preserve"> </w:t>
      </w:r>
      <w:r w:rsidRPr="00F764C1">
        <w:rPr>
          <w:smallCaps/>
        </w:rPr>
        <w:t>U</w:t>
      </w:r>
      <w:r>
        <w:rPr>
          <w:smallCaps/>
        </w:rPr>
        <w:t xml:space="preserve">. </w:t>
      </w:r>
      <w:r w:rsidRPr="00F764C1">
        <w:rPr>
          <w:smallCaps/>
        </w:rPr>
        <w:t>L</w:t>
      </w:r>
      <w:r>
        <w:rPr>
          <w:smallCaps/>
        </w:rPr>
        <w:t xml:space="preserve">. </w:t>
      </w:r>
      <w:r w:rsidRPr="00F764C1">
        <w:rPr>
          <w:smallCaps/>
        </w:rPr>
        <w:t>Rev</w:t>
      </w:r>
      <w:r>
        <w:rPr>
          <w:smallCaps/>
        </w:rPr>
        <w:t>.</w:t>
      </w:r>
      <w:r>
        <w:t xml:space="preserve"> 491 (1993)</w:t>
      </w:r>
      <w:r w:rsidRPr="0047048D">
        <w:rPr>
          <w:rtl/>
        </w:rPr>
        <w:t>.</w:t>
      </w:r>
    </w:p>
  </w:footnote>
  <w:footnote w:id="8">
    <w:p w:rsidR="005601E9" w:rsidRDefault="005601E9" w:rsidP="005601E9">
      <w:pPr>
        <w:pStyle w:val="FootnoteText"/>
        <w:rPr>
          <w:rtl/>
        </w:rPr>
      </w:pPr>
      <w:r w:rsidRPr="00F764C1">
        <w:rPr>
          <w:rStyle w:val="FootnoteReference"/>
          <w:rFonts w:ascii="David" w:hAnsi="David"/>
          <w:vertAlign w:val="baseline"/>
        </w:rPr>
        <w:footnoteRef/>
      </w:r>
      <w:r>
        <w:rPr>
          <w:rtl/>
        </w:rPr>
        <w:tab/>
      </w:r>
      <w:r w:rsidRPr="0047048D">
        <w:t>C</w:t>
      </w:r>
      <w:r>
        <w:t xml:space="preserve">hristine </w:t>
      </w:r>
      <w:r w:rsidRPr="0047048D">
        <w:t>M. Koggel</w:t>
      </w:r>
      <w:r>
        <w:t>,</w:t>
      </w:r>
      <w:r w:rsidRPr="0047048D">
        <w:t xml:space="preserve"> </w:t>
      </w:r>
      <w:r w:rsidRPr="00F764C1">
        <w:rPr>
          <w:i/>
          <w:iCs/>
        </w:rPr>
        <w:t>A</w:t>
      </w:r>
      <w:r>
        <w:rPr>
          <w:i/>
          <w:iCs/>
        </w:rPr>
        <w:t xml:space="preserve"> </w:t>
      </w:r>
      <w:r w:rsidRPr="00F764C1">
        <w:rPr>
          <w:i/>
          <w:iCs/>
        </w:rPr>
        <w:t>Feminist</w:t>
      </w:r>
      <w:r>
        <w:rPr>
          <w:i/>
          <w:iCs/>
        </w:rPr>
        <w:t xml:space="preserve"> </w:t>
      </w:r>
      <w:r w:rsidRPr="00F764C1">
        <w:rPr>
          <w:i/>
          <w:iCs/>
        </w:rPr>
        <w:t>View</w:t>
      </w:r>
      <w:r>
        <w:rPr>
          <w:i/>
          <w:iCs/>
        </w:rPr>
        <w:t xml:space="preserve"> </w:t>
      </w:r>
      <w:r w:rsidRPr="00F764C1">
        <w:rPr>
          <w:i/>
          <w:iCs/>
        </w:rPr>
        <w:t>of</w:t>
      </w:r>
      <w:r>
        <w:rPr>
          <w:i/>
          <w:iCs/>
        </w:rPr>
        <w:t xml:space="preserve"> </w:t>
      </w:r>
      <w:r w:rsidRPr="00F764C1">
        <w:rPr>
          <w:i/>
          <w:iCs/>
        </w:rPr>
        <w:t>Equality</w:t>
      </w:r>
      <w:r>
        <w:rPr>
          <w:i/>
          <w:iCs/>
        </w:rPr>
        <w:t xml:space="preserve"> </w:t>
      </w:r>
      <w:r w:rsidRPr="00F764C1">
        <w:rPr>
          <w:i/>
          <w:iCs/>
        </w:rPr>
        <w:t>and</w:t>
      </w:r>
      <w:r>
        <w:rPr>
          <w:i/>
          <w:iCs/>
        </w:rPr>
        <w:t xml:space="preserve"> </w:t>
      </w:r>
      <w:r w:rsidRPr="00F764C1">
        <w:rPr>
          <w:i/>
          <w:iCs/>
        </w:rPr>
        <w:t>Its</w:t>
      </w:r>
      <w:r>
        <w:rPr>
          <w:i/>
          <w:iCs/>
        </w:rPr>
        <w:t xml:space="preserve"> </w:t>
      </w:r>
      <w:r w:rsidRPr="00F764C1">
        <w:rPr>
          <w:i/>
          <w:iCs/>
        </w:rPr>
        <w:t>Implications</w:t>
      </w:r>
      <w:r>
        <w:rPr>
          <w:i/>
          <w:iCs/>
        </w:rPr>
        <w:t xml:space="preserve"> </w:t>
      </w:r>
      <w:r w:rsidRPr="00F764C1">
        <w:rPr>
          <w:i/>
          <w:iCs/>
        </w:rPr>
        <w:t>for</w:t>
      </w:r>
      <w:r>
        <w:rPr>
          <w:i/>
          <w:iCs/>
        </w:rPr>
        <w:t xml:space="preserve"> </w:t>
      </w:r>
      <w:r w:rsidRPr="00F764C1">
        <w:rPr>
          <w:i/>
          <w:iCs/>
        </w:rPr>
        <w:t>Affirmative</w:t>
      </w:r>
      <w:r>
        <w:rPr>
          <w:i/>
          <w:iCs/>
        </w:rPr>
        <w:t xml:space="preserve"> </w:t>
      </w:r>
      <w:r w:rsidRPr="00F764C1">
        <w:rPr>
          <w:i/>
          <w:iCs/>
        </w:rPr>
        <w:t>Action</w:t>
      </w:r>
      <w:r w:rsidRPr="0047048D">
        <w:t xml:space="preserve">, 7 </w:t>
      </w:r>
      <w:r w:rsidRPr="00F764C1">
        <w:rPr>
          <w:smallCaps/>
        </w:rPr>
        <w:t>Can</w:t>
      </w:r>
      <w:r>
        <w:rPr>
          <w:smallCaps/>
        </w:rPr>
        <w:t xml:space="preserve">. </w:t>
      </w:r>
      <w:r w:rsidRPr="00F764C1">
        <w:rPr>
          <w:smallCaps/>
        </w:rPr>
        <w:t>J.L</w:t>
      </w:r>
      <w:r>
        <w:rPr>
          <w:smallCaps/>
        </w:rPr>
        <w:t>. &amp; Juris.</w:t>
      </w:r>
      <w:r w:rsidRPr="004E1D96">
        <w:t xml:space="preserve"> </w:t>
      </w:r>
      <w:r>
        <w:t xml:space="preserve">43 </w:t>
      </w:r>
      <w:r w:rsidRPr="0047048D">
        <w:t>(1994)</w:t>
      </w:r>
      <w:r w:rsidRPr="0047048D">
        <w:rPr>
          <w:rtl/>
        </w:rPr>
        <w:t>.</w:t>
      </w:r>
      <w:r>
        <w:rPr>
          <w:rtl/>
        </w:rPr>
        <w:t xml:space="preserve"> ראו </w:t>
      </w:r>
      <w:r w:rsidRPr="0047048D">
        <w:rPr>
          <w:rtl/>
        </w:rPr>
        <w:t xml:space="preserve">גם פרנסס רדאי "על השוויון" </w:t>
      </w:r>
      <w:r w:rsidRPr="0047048D">
        <w:rPr>
          <w:b/>
          <w:bCs/>
          <w:rtl/>
        </w:rPr>
        <w:t>משפטים</w:t>
      </w:r>
      <w:r w:rsidRPr="0047048D">
        <w:rPr>
          <w:rtl/>
        </w:rPr>
        <w:t xml:space="preserve"> </w:t>
      </w:r>
      <w:r>
        <w:rPr>
          <w:rtl/>
        </w:rPr>
        <w:t xml:space="preserve">כד </w:t>
      </w:r>
      <w:r w:rsidRPr="0047048D">
        <w:rPr>
          <w:rtl/>
        </w:rPr>
        <w:t>241</w:t>
      </w:r>
      <w:r>
        <w:rPr>
          <w:rFonts w:hint="cs"/>
          <w:rtl/>
        </w:rPr>
        <w:t xml:space="preserve"> (1994)</w:t>
      </w:r>
      <w:r w:rsidRPr="0047048D">
        <w:rPr>
          <w:rtl/>
        </w:rPr>
        <w:t>.</w:t>
      </w:r>
    </w:p>
  </w:footnote>
  <w:footnote w:id="9">
    <w:p w:rsidR="005601E9" w:rsidRDefault="005601E9" w:rsidP="005601E9">
      <w:pPr>
        <w:pStyle w:val="FootnoteText"/>
        <w:rPr>
          <w:rtl/>
        </w:rPr>
      </w:pPr>
      <w:r w:rsidRPr="00F764C1">
        <w:rPr>
          <w:rStyle w:val="FootnoteReference"/>
          <w:rFonts w:ascii="David" w:hAnsi="David"/>
          <w:vertAlign w:val="baseline"/>
        </w:rPr>
        <w:footnoteRef/>
      </w:r>
      <w:r>
        <w:rPr>
          <w:rtl/>
        </w:rPr>
        <w:tab/>
      </w:r>
      <w:r w:rsidRPr="0047048D">
        <w:rPr>
          <w:rtl/>
        </w:rPr>
        <w:t xml:space="preserve">ראו </w:t>
      </w:r>
      <w:r w:rsidRPr="0047048D">
        <w:t xml:space="preserve">Samuel Scheffler, </w:t>
      </w:r>
      <w:r w:rsidRPr="0047048D">
        <w:rPr>
          <w:i/>
          <w:iCs/>
        </w:rPr>
        <w:t>Doing and Allowing</w:t>
      </w:r>
      <w:r w:rsidRPr="0047048D">
        <w:t xml:space="preserve">, </w:t>
      </w:r>
      <w:r>
        <w:t xml:space="preserve">114 </w:t>
      </w:r>
      <w:r w:rsidRPr="00F764C1">
        <w:rPr>
          <w:smallCaps/>
        </w:rPr>
        <w:t>Ethics</w:t>
      </w:r>
      <w:r w:rsidRPr="0047048D">
        <w:t xml:space="preserve"> 215 (2004)</w:t>
      </w:r>
      <w:r w:rsidRPr="0047048D">
        <w:rPr>
          <w:rtl/>
        </w:rPr>
        <w:t>. לפי גישה זו, חובת הצלה נדחית מפני חובה בסיסית וחזקה יותר, והיא החובה לא לפגוע (</w:t>
      </w:r>
      <w:r w:rsidRPr="0047048D">
        <w:t>do no harm</w:t>
      </w:r>
      <w:r w:rsidRPr="0047048D">
        <w:rPr>
          <w:rtl/>
        </w:rPr>
        <w:t>)</w:t>
      </w:r>
      <w:r>
        <w:rPr>
          <w:rFonts w:hint="cs"/>
          <w:rtl/>
        </w:rPr>
        <w:t>,</w:t>
      </w:r>
      <w:r w:rsidRPr="0047048D">
        <w:rPr>
          <w:rtl/>
        </w:rPr>
        <w:t xml:space="preserve"> כך שאם מימושה של חובת הצלה כלפי א מחייבת גרימת נזק של ממש </w:t>
      </w:r>
      <w:r>
        <w:rPr>
          <w:rFonts w:hint="cs"/>
          <w:rtl/>
        </w:rPr>
        <w:t>ל־</w:t>
      </w:r>
      <w:r w:rsidRPr="0047048D">
        <w:rPr>
          <w:rtl/>
        </w:rPr>
        <w:t xml:space="preserve">ב, אל לנו להתערב. </w:t>
      </w:r>
      <w:r w:rsidRPr="0047048D">
        <w:t xml:space="preserve">Philippa Foot, </w:t>
      </w:r>
      <w:r w:rsidRPr="0047048D">
        <w:rPr>
          <w:i/>
          <w:iCs/>
        </w:rPr>
        <w:t>The Problem of Abortion and the Doctrine of the Double Effect</w:t>
      </w:r>
      <w:r>
        <w:t xml:space="preserve">, </w:t>
      </w:r>
      <w:r w:rsidRPr="00F764C1">
        <w:rPr>
          <w:i/>
          <w:iCs/>
        </w:rPr>
        <w:t>in</w:t>
      </w:r>
      <w:r w:rsidRPr="0047048D">
        <w:t xml:space="preserve"> </w:t>
      </w:r>
      <w:r w:rsidRPr="00F764C1">
        <w:rPr>
          <w:smallCaps/>
        </w:rPr>
        <w:t>Killing and</w:t>
      </w:r>
      <w:r>
        <w:rPr>
          <w:smallCaps/>
        </w:rPr>
        <w:t xml:space="preserve"> </w:t>
      </w:r>
      <w:r w:rsidRPr="00F764C1">
        <w:rPr>
          <w:smallCaps/>
        </w:rPr>
        <w:t>Letting</w:t>
      </w:r>
      <w:r>
        <w:rPr>
          <w:smallCaps/>
        </w:rPr>
        <w:t xml:space="preserve"> </w:t>
      </w:r>
      <w:r w:rsidRPr="00F764C1">
        <w:rPr>
          <w:smallCaps/>
        </w:rPr>
        <w:t>Die</w:t>
      </w:r>
      <w:r w:rsidRPr="0047048D">
        <w:t xml:space="preserve"> 156, 160</w:t>
      </w:r>
      <w:r>
        <w:t>–</w:t>
      </w:r>
      <w:r w:rsidRPr="0047048D">
        <w:t>63</w:t>
      </w:r>
      <w:r>
        <w:t xml:space="preserve"> </w:t>
      </w:r>
      <w:r w:rsidRPr="0047048D">
        <w:t>(B</w:t>
      </w:r>
      <w:r>
        <w:t>onnie</w:t>
      </w:r>
      <w:r w:rsidRPr="0047048D">
        <w:t xml:space="preserve"> Steinbock ed.</w:t>
      </w:r>
      <w:r>
        <w:t>,</w:t>
      </w:r>
      <w:r w:rsidRPr="0047048D">
        <w:t xml:space="preserve"> 1980)</w:t>
      </w:r>
      <w:r w:rsidRPr="0047048D">
        <w:rPr>
          <w:rtl/>
        </w:rPr>
        <w:t>. בבסיס</w:t>
      </w:r>
      <w:r>
        <w:rPr>
          <w:rFonts w:hint="cs"/>
          <w:rtl/>
        </w:rPr>
        <w:t>ה של</w:t>
      </w:r>
      <w:r w:rsidRPr="0047048D">
        <w:rPr>
          <w:rtl/>
        </w:rPr>
        <w:t xml:space="preserve"> עמדה זו </w:t>
      </w:r>
      <w:r>
        <w:rPr>
          <w:rFonts w:hint="cs"/>
          <w:rtl/>
        </w:rPr>
        <w:t xml:space="preserve">מצויה </w:t>
      </w:r>
      <w:r w:rsidRPr="0047048D">
        <w:rPr>
          <w:rtl/>
        </w:rPr>
        <w:t xml:space="preserve">ההבחנה המוכרת בין מעשה למחדל, או בווריאציה מודרנית ומשכנעת יותר </w:t>
      </w:r>
      <w:r>
        <w:rPr>
          <w:rFonts w:hint="cs"/>
          <w:rtl/>
        </w:rPr>
        <w:t xml:space="preserve">– </w:t>
      </w:r>
      <w:r w:rsidRPr="0047048D">
        <w:rPr>
          <w:rtl/>
        </w:rPr>
        <w:t>בין ביצוע מעשה לבין אפשור ביצועו (</w:t>
      </w:r>
      <w:r w:rsidRPr="0047048D">
        <w:t xml:space="preserve">doing </w:t>
      </w:r>
      <w:r>
        <w:t>vs.</w:t>
      </w:r>
      <w:r w:rsidRPr="0047048D">
        <w:t xml:space="preserve"> allowing</w:t>
      </w:r>
      <w:r w:rsidRPr="0047048D">
        <w:rPr>
          <w:rtl/>
        </w:rPr>
        <w:t>).</w:t>
      </w:r>
    </w:p>
  </w:footnote>
  <w:footnote w:id="10">
    <w:p w:rsidR="005601E9" w:rsidRDefault="005601E9" w:rsidP="005601E9">
      <w:pPr>
        <w:pStyle w:val="FootnoteText"/>
      </w:pPr>
      <w:r w:rsidRPr="00F764C1">
        <w:rPr>
          <w:rStyle w:val="FootnoteReference"/>
          <w:rFonts w:ascii="David" w:hAnsi="David"/>
          <w:vertAlign w:val="baseline"/>
        </w:rPr>
        <w:footnoteRef/>
      </w:r>
      <w:r>
        <w:rPr>
          <w:rtl/>
        </w:rPr>
        <w:tab/>
      </w:r>
      <w:r w:rsidRPr="0047048D">
        <w:rPr>
          <w:rtl/>
        </w:rPr>
        <w:t xml:space="preserve">ראו גם </w:t>
      </w:r>
      <w:r w:rsidRPr="00F764C1">
        <w:rPr>
          <w:smallCaps/>
        </w:rPr>
        <w:t>S</w:t>
      </w:r>
      <w:r>
        <w:rPr>
          <w:smallCaps/>
        </w:rPr>
        <w:t xml:space="preserve">usan </w:t>
      </w:r>
      <w:r w:rsidRPr="00F764C1">
        <w:rPr>
          <w:smallCaps/>
        </w:rPr>
        <w:t>D</w:t>
      </w:r>
      <w:r>
        <w:rPr>
          <w:smallCaps/>
        </w:rPr>
        <w:t xml:space="preserve">. </w:t>
      </w:r>
      <w:r w:rsidRPr="00F764C1">
        <w:rPr>
          <w:smallCaps/>
        </w:rPr>
        <w:t>Clayton</w:t>
      </w:r>
      <w:r>
        <w:rPr>
          <w:smallCaps/>
        </w:rPr>
        <w:t xml:space="preserve"> &amp; </w:t>
      </w:r>
      <w:r w:rsidRPr="00F764C1">
        <w:rPr>
          <w:smallCaps/>
        </w:rPr>
        <w:t>F</w:t>
      </w:r>
      <w:r>
        <w:rPr>
          <w:smallCaps/>
        </w:rPr>
        <w:t xml:space="preserve">aye </w:t>
      </w:r>
      <w:r w:rsidRPr="00F764C1">
        <w:rPr>
          <w:smallCaps/>
        </w:rPr>
        <w:t>J</w:t>
      </w:r>
      <w:r>
        <w:rPr>
          <w:smallCaps/>
        </w:rPr>
        <w:t xml:space="preserve">. </w:t>
      </w:r>
      <w:r w:rsidRPr="00F764C1">
        <w:rPr>
          <w:smallCaps/>
        </w:rPr>
        <w:t>Crosby</w:t>
      </w:r>
      <w:r>
        <w:t>,</w:t>
      </w:r>
      <w:r w:rsidRPr="0047048D">
        <w:t xml:space="preserve"> </w:t>
      </w:r>
      <w:r w:rsidRPr="00F764C1">
        <w:rPr>
          <w:smallCaps/>
        </w:rPr>
        <w:t>Justice</w:t>
      </w:r>
      <w:r>
        <w:rPr>
          <w:smallCaps/>
        </w:rPr>
        <w:t xml:space="preserve">, </w:t>
      </w:r>
      <w:r w:rsidRPr="00F764C1">
        <w:rPr>
          <w:smallCaps/>
        </w:rPr>
        <w:t>Gender</w:t>
      </w:r>
      <w:r>
        <w:rPr>
          <w:smallCaps/>
        </w:rPr>
        <w:t xml:space="preserve">, </w:t>
      </w:r>
      <w:r w:rsidRPr="00F764C1">
        <w:rPr>
          <w:smallCaps/>
        </w:rPr>
        <w:t>and Affirmative Action</w:t>
      </w:r>
      <w:r w:rsidRPr="004E1D96">
        <w:t xml:space="preserve"> </w:t>
      </w:r>
      <w:r>
        <w:t xml:space="preserve">68 </w:t>
      </w:r>
      <w:r w:rsidRPr="0047048D">
        <w:t>(1992)</w:t>
      </w:r>
      <w:r w:rsidRPr="0047048D">
        <w:rPr>
          <w:rtl/>
        </w:rPr>
        <w:t>.</w:t>
      </w:r>
    </w:p>
  </w:footnote>
  <w:footnote w:id="11">
    <w:p w:rsidR="005601E9" w:rsidRDefault="005601E9" w:rsidP="005601E9">
      <w:pPr>
        <w:pStyle w:val="FootnoteText"/>
        <w:rPr>
          <w:rtl/>
        </w:rPr>
      </w:pPr>
      <w:r w:rsidRPr="00F764C1">
        <w:rPr>
          <w:rStyle w:val="FootnoteReference"/>
          <w:rFonts w:ascii="David" w:hAnsi="David"/>
          <w:vertAlign w:val="baseline"/>
        </w:rPr>
        <w:footnoteRef/>
      </w:r>
      <w:r>
        <w:rPr>
          <w:rtl/>
        </w:rPr>
        <w:tab/>
      </w:r>
      <w:r w:rsidRPr="0047048D">
        <w:rPr>
          <w:rtl/>
        </w:rPr>
        <w:t>כך</w:t>
      </w:r>
      <w:r>
        <w:rPr>
          <w:rFonts w:hint="cs"/>
          <w:rtl/>
        </w:rPr>
        <w:t>,</w:t>
      </w:r>
      <w:r w:rsidRPr="0047048D">
        <w:rPr>
          <w:rtl/>
        </w:rPr>
        <w:t xml:space="preserve"> לדוגמה, אם </w:t>
      </w:r>
      <w:r>
        <w:rPr>
          <w:rFonts w:hint="cs"/>
          <w:rtl/>
        </w:rPr>
        <w:t xml:space="preserve">ברצוננו </w:t>
      </w:r>
      <w:r w:rsidRPr="0047048D">
        <w:rPr>
          <w:rtl/>
        </w:rPr>
        <w:t xml:space="preserve">להבטיח עלייה במספר הנשים שיסיימו תואר בפיזיקה גרעינית, </w:t>
      </w:r>
      <w:r>
        <w:rPr>
          <w:rFonts w:hint="cs"/>
          <w:rtl/>
        </w:rPr>
        <w:t xml:space="preserve">אין </w:t>
      </w:r>
      <w:r w:rsidRPr="0047048D">
        <w:rPr>
          <w:rtl/>
        </w:rPr>
        <w:t>די בהסרת מחסומי כניסה ו</w:t>
      </w:r>
      <w:r>
        <w:rPr>
          <w:rFonts w:hint="cs"/>
          <w:rtl/>
        </w:rPr>
        <w:t>ב</w:t>
      </w:r>
      <w:r w:rsidRPr="0047048D">
        <w:rPr>
          <w:rtl/>
        </w:rPr>
        <w:t>הסתמכות על המאמץ האישי ש</w:t>
      </w:r>
      <w:r>
        <w:rPr>
          <w:rFonts w:hint="cs"/>
          <w:rtl/>
        </w:rPr>
        <w:t xml:space="preserve">ישקיעו </w:t>
      </w:r>
      <w:r w:rsidRPr="0047048D">
        <w:rPr>
          <w:rtl/>
        </w:rPr>
        <w:t xml:space="preserve">הסטודנטיות כדי לסיים את התואר, אלא יש להשקיע </w:t>
      </w:r>
      <w:r>
        <w:rPr>
          <w:rFonts w:hint="cs"/>
          <w:rtl/>
        </w:rPr>
        <w:t xml:space="preserve">ברכיבים </w:t>
      </w:r>
      <w:r w:rsidRPr="0047048D">
        <w:rPr>
          <w:rtl/>
        </w:rPr>
        <w:t>נוספים במהלך הלימודים.</w:t>
      </w:r>
    </w:p>
  </w:footnote>
  <w:footnote w:id="12">
    <w:p w:rsidR="005601E9" w:rsidRDefault="005601E9" w:rsidP="00E809FF">
      <w:pPr>
        <w:pStyle w:val="FootnoteText"/>
        <w:rPr>
          <w:rtl/>
        </w:rPr>
      </w:pPr>
      <w:r w:rsidRPr="00F764C1">
        <w:rPr>
          <w:rStyle w:val="FootnoteReference"/>
          <w:rFonts w:ascii="David" w:hAnsi="David"/>
          <w:vertAlign w:val="baseline"/>
        </w:rPr>
        <w:footnoteRef/>
      </w:r>
      <w:r>
        <w:rPr>
          <w:rtl/>
        </w:rPr>
        <w:tab/>
      </w:r>
      <w:r w:rsidRPr="00F764C1">
        <w:rPr>
          <w:smallCaps/>
        </w:rPr>
        <w:t>Clayton</w:t>
      </w:r>
      <w:r>
        <w:rPr>
          <w:smallCaps/>
        </w:rPr>
        <w:t xml:space="preserve"> &amp; </w:t>
      </w:r>
      <w:r w:rsidRPr="00F764C1">
        <w:rPr>
          <w:smallCaps/>
        </w:rPr>
        <w:t>Crosby</w:t>
      </w:r>
      <w:r>
        <w:rPr>
          <w:rFonts w:hint="cs"/>
          <w:rtl/>
        </w:rPr>
        <w:t>,</w:t>
      </w:r>
      <w:r w:rsidRPr="0047048D">
        <w:rPr>
          <w:rtl/>
        </w:rPr>
        <w:t xml:space="preserve"> </w:t>
      </w:r>
      <w:r w:rsidRPr="00F764C1">
        <w:rPr>
          <w:rtl/>
        </w:rPr>
        <w:t>לעיל</w:t>
      </w:r>
      <w:r>
        <w:rPr>
          <w:rFonts w:hint="cs"/>
          <w:rtl/>
        </w:rPr>
        <w:t xml:space="preserve"> ה"ש </w:t>
      </w:r>
      <w:r w:rsidR="00E809FF">
        <w:t>10</w:t>
      </w:r>
      <w:r w:rsidRPr="0047048D">
        <w:rPr>
          <w:rtl/>
        </w:rPr>
        <w:t>.</w:t>
      </w:r>
    </w:p>
  </w:footnote>
  <w:footnote w:id="13">
    <w:p w:rsidR="005601E9" w:rsidRPr="0023144B" w:rsidRDefault="005601E9" w:rsidP="00D1421C">
      <w:pPr>
        <w:pStyle w:val="FootnoteText"/>
        <w:rPr>
          <w:rFonts w:cs="David"/>
        </w:rPr>
      </w:pPr>
      <w:r w:rsidRPr="0023144B">
        <w:rPr>
          <w:rStyle w:val="FootnoteReference"/>
          <w:rFonts w:ascii="David" w:hAnsi="David" w:cs="David"/>
          <w:vertAlign w:val="baseline"/>
        </w:rPr>
        <w:footnoteRef/>
      </w:r>
      <w:r w:rsidRPr="0023144B">
        <w:rPr>
          <w:rFonts w:cs="David"/>
          <w:rtl/>
        </w:rPr>
        <w:tab/>
      </w:r>
      <w:r w:rsidR="00D1421C">
        <w:rPr>
          <w:rFonts w:cs="David" w:hint="cs"/>
          <w:rtl/>
        </w:rPr>
        <w:t>להרחבה</w:t>
      </w:r>
      <w:r w:rsidR="00E809FF">
        <w:rPr>
          <w:rFonts w:cs="David" w:hint="cs"/>
        </w:rPr>
        <w:t xml:space="preserve"> </w:t>
      </w:r>
      <w:r w:rsidRPr="0023144B">
        <w:rPr>
          <w:rFonts w:cs="David"/>
          <w:rtl/>
        </w:rPr>
        <w:t xml:space="preserve">ראו </w:t>
      </w:r>
      <w:r w:rsidRPr="0023144B">
        <w:rPr>
          <w:rFonts w:cs="David"/>
        </w:rPr>
        <w:t xml:space="preserve">Guy Mundlak, The Law of Equal Opportunities in Employment: Between Equality and Polarization, 30 </w:t>
      </w:r>
      <w:r w:rsidRPr="0023144B">
        <w:rPr>
          <w:rFonts w:cs="David"/>
          <w:smallCaps/>
        </w:rPr>
        <w:t>Comp. Labor L. &amp; Pol’y J.</w:t>
      </w:r>
      <w:r w:rsidRPr="0023144B">
        <w:rPr>
          <w:rFonts w:cs="David"/>
        </w:rPr>
        <w:t xml:space="preserve"> 213 (2009)</w:t>
      </w:r>
      <w:r w:rsidRPr="0023144B">
        <w:rPr>
          <w:rFonts w:cs="David"/>
          <w:rtl/>
        </w:rPr>
        <w:t>.</w:t>
      </w:r>
    </w:p>
  </w:footnote>
  <w:footnote w:id="14">
    <w:p w:rsidR="005601E9" w:rsidRPr="0023144B" w:rsidRDefault="005601E9" w:rsidP="00E809FF">
      <w:pPr>
        <w:pStyle w:val="FootnoteText"/>
        <w:rPr>
          <w:rFonts w:cs="David"/>
          <w:rtl/>
        </w:rPr>
      </w:pPr>
      <w:r w:rsidRPr="0023144B">
        <w:rPr>
          <w:rStyle w:val="FootnoteReference"/>
          <w:rFonts w:ascii="David" w:hAnsi="David" w:cs="David"/>
          <w:vertAlign w:val="baseline"/>
        </w:rPr>
        <w:footnoteRef/>
      </w:r>
      <w:r w:rsidRPr="0023144B">
        <w:rPr>
          <w:rFonts w:cs="David"/>
          <w:rtl/>
        </w:rPr>
        <w:tab/>
        <w:t xml:space="preserve">אריסטו </w:t>
      </w:r>
      <w:r w:rsidRPr="0023144B">
        <w:rPr>
          <w:rFonts w:cs="David"/>
          <w:b/>
          <w:bCs/>
          <w:rtl/>
        </w:rPr>
        <w:t xml:space="preserve">אתיקה </w:t>
      </w:r>
      <w:r w:rsidRPr="0023144B">
        <w:rPr>
          <w:rFonts w:cs="David" w:hint="eastAsia"/>
          <w:b/>
          <w:bCs/>
          <w:rtl/>
        </w:rPr>
        <w:t>–</w:t>
      </w:r>
      <w:r w:rsidRPr="0023144B">
        <w:rPr>
          <w:rFonts w:cs="David"/>
          <w:b/>
          <w:bCs/>
          <w:rtl/>
        </w:rPr>
        <w:t xml:space="preserve"> מהדורת ניקומ</w:t>
      </w:r>
      <w:r w:rsidRPr="0023144B">
        <w:rPr>
          <w:rFonts w:cs="David" w:hint="eastAsia"/>
          <w:b/>
          <w:bCs/>
          <w:rtl/>
        </w:rPr>
        <w:t>א</w:t>
      </w:r>
      <w:r w:rsidRPr="0023144B">
        <w:rPr>
          <w:rFonts w:cs="David"/>
          <w:b/>
          <w:bCs/>
          <w:rtl/>
        </w:rPr>
        <w:t>כוס</w:t>
      </w:r>
      <w:r w:rsidRPr="0023144B">
        <w:rPr>
          <w:rFonts w:cs="David"/>
          <w:rtl/>
        </w:rPr>
        <w:t>.</w:t>
      </w:r>
    </w:p>
  </w:footnote>
  <w:footnote w:id="15">
    <w:p w:rsidR="005601E9" w:rsidRPr="0023144B" w:rsidRDefault="005601E9" w:rsidP="005601E9">
      <w:pPr>
        <w:pStyle w:val="FootnoteText"/>
        <w:rPr>
          <w:rFonts w:cs="David"/>
          <w:rtl/>
        </w:rPr>
      </w:pPr>
      <w:r w:rsidRPr="0023144B">
        <w:rPr>
          <w:rStyle w:val="FootnoteReference"/>
          <w:rFonts w:ascii="David" w:hAnsi="David" w:cs="David"/>
          <w:vertAlign w:val="baseline"/>
        </w:rPr>
        <w:footnoteRef/>
      </w:r>
      <w:r w:rsidRPr="0023144B">
        <w:rPr>
          <w:rFonts w:cs="David"/>
          <w:rtl/>
        </w:rPr>
        <w:tab/>
        <w:t xml:space="preserve">אחת המחלוקות החריפות בעניין ההעדפה המתקנת </w:t>
      </w:r>
      <w:r w:rsidRPr="0023144B">
        <w:rPr>
          <w:rFonts w:cs="David" w:hint="cs"/>
          <w:rtl/>
        </w:rPr>
        <w:t xml:space="preserve">נסבה על </w:t>
      </w:r>
      <w:r w:rsidRPr="0023144B">
        <w:rPr>
          <w:rFonts w:cs="David"/>
          <w:rtl/>
        </w:rPr>
        <w:t xml:space="preserve">נושא המטרות והמכסות. הטענה המרכזית היא שהעדפה מתקנת יוצרת מכסות של קבוצות מיעוט. ראו </w:t>
      </w:r>
      <w:r w:rsidRPr="0023144B">
        <w:rPr>
          <w:rFonts w:cs="David"/>
          <w:smallCaps/>
        </w:rPr>
        <w:t>Affirmative Action and Equal Opportunity: Action, Inaction, Reaction</w:t>
      </w:r>
      <w:r w:rsidRPr="0023144B">
        <w:rPr>
          <w:rFonts w:cs="David"/>
        </w:rPr>
        <w:t xml:space="preserve"> 170–181 (Nijole V. Benokraitis &amp; Joe R. Feagin eds., 1978)</w:t>
      </w:r>
      <w:r w:rsidRPr="0023144B">
        <w:rPr>
          <w:rFonts w:cs="David"/>
          <w:rtl/>
        </w:rPr>
        <w:t>.</w:t>
      </w:r>
    </w:p>
  </w:footnote>
  <w:footnote w:id="16">
    <w:p w:rsidR="005601E9" w:rsidRPr="0023144B" w:rsidRDefault="005601E9" w:rsidP="005601E9">
      <w:pPr>
        <w:pStyle w:val="FootnoteText"/>
        <w:rPr>
          <w:rFonts w:cs="David"/>
          <w:rtl/>
        </w:rPr>
      </w:pPr>
      <w:r w:rsidRPr="0023144B">
        <w:rPr>
          <w:rStyle w:val="FootnoteReference"/>
          <w:rFonts w:ascii="David" w:hAnsi="David" w:cs="David"/>
          <w:vertAlign w:val="baseline"/>
        </w:rPr>
        <w:footnoteRef/>
      </w:r>
      <w:r w:rsidRPr="0023144B">
        <w:rPr>
          <w:rFonts w:cs="David"/>
          <w:rtl/>
        </w:rPr>
        <w:tab/>
      </w:r>
      <w:r w:rsidRPr="0023144B">
        <w:rPr>
          <w:rFonts w:cs="David"/>
        </w:rPr>
        <w:t xml:space="preserve">John Rawls, </w:t>
      </w:r>
      <w:r w:rsidRPr="0023144B">
        <w:rPr>
          <w:rFonts w:cs="David"/>
          <w:i/>
          <w:iCs/>
        </w:rPr>
        <w:t>Justice as Fairness: Political not Metaphysical</w:t>
      </w:r>
      <w:r w:rsidRPr="0023144B">
        <w:rPr>
          <w:rFonts w:cs="David"/>
        </w:rPr>
        <w:t xml:space="preserve">, 14 </w:t>
      </w:r>
      <w:r w:rsidRPr="0023144B">
        <w:rPr>
          <w:rFonts w:cs="David"/>
          <w:smallCaps/>
        </w:rPr>
        <w:t>Phil. &amp; Pub. Aff.</w:t>
      </w:r>
      <w:r w:rsidRPr="0023144B">
        <w:rPr>
          <w:rFonts w:cs="David"/>
        </w:rPr>
        <w:t xml:space="preserve"> 223, 224 (1985); John Rawls, </w:t>
      </w:r>
      <w:r w:rsidRPr="0023144B">
        <w:rPr>
          <w:rFonts w:cs="David"/>
          <w:i/>
          <w:iCs/>
        </w:rPr>
        <w:t>Justice as Fairness</w:t>
      </w:r>
      <w:r w:rsidRPr="0023144B">
        <w:rPr>
          <w:rFonts w:cs="David"/>
        </w:rPr>
        <w:t xml:space="preserve">, 67 </w:t>
      </w:r>
      <w:r w:rsidRPr="0023144B">
        <w:rPr>
          <w:rFonts w:cs="David"/>
          <w:smallCaps/>
        </w:rPr>
        <w:t>Phil. Rev.</w:t>
      </w:r>
      <w:r w:rsidRPr="0023144B">
        <w:rPr>
          <w:rFonts w:cs="David"/>
        </w:rPr>
        <w:t xml:space="preserve"> 164 (1958)</w:t>
      </w:r>
      <w:r w:rsidRPr="0023144B">
        <w:rPr>
          <w:rFonts w:cs="David"/>
          <w:rtl/>
        </w:rPr>
        <w:t>.</w:t>
      </w:r>
    </w:p>
  </w:footnote>
  <w:footnote w:id="17">
    <w:p w:rsidR="005601E9" w:rsidRPr="0023144B" w:rsidRDefault="005601E9" w:rsidP="005601E9">
      <w:pPr>
        <w:pStyle w:val="FootnoteText"/>
        <w:rPr>
          <w:rFonts w:cs="David"/>
          <w:rtl/>
        </w:rPr>
      </w:pPr>
      <w:r w:rsidRPr="0023144B">
        <w:rPr>
          <w:rStyle w:val="FootnoteReference"/>
          <w:rFonts w:ascii="David" w:hAnsi="David" w:cs="David"/>
          <w:vertAlign w:val="baseline"/>
        </w:rPr>
        <w:footnoteRef/>
      </w:r>
      <w:r w:rsidRPr="0023144B">
        <w:rPr>
          <w:rFonts w:cs="David"/>
          <w:rtl/>
        </w:rPr>
        <w:tab/>
      </w:r>
      <w:r w:rsidRPr="0023144B">
        <w:rPr>
          <w:rFonts w:cs="David"/>
          <w:smallCaps/>
        </w:rPr>
        <w:t>John Rawls</w:t>
      </w:r>
      <w:r w:rsidRPr="0023144B">
        <w:rPr>
          <w:rFonts w:cs="David"/>
        </w:rPr>
        <w:t xml:space="preserve">, </w:t>
      </w:r>
      <w:r w:rsidRPr="0023144B">
        <w:rPr>
          <w:rFonts w:cs="David"/>
          <w:smallCaps/>
        </w:rPr>
        <w:t>A Theory of Justice</w:t>
      </w:r>
      <w:r w:rsidRPr="0023144B">
        <w:rPr>
          <w:rFonts w:cs="David"/>
        </w:rPr>
        <w:t xml:space="preserve"> (rev. ed. 1999)</w:t>
      </w:r>
      <w:r w:rsidRPr="0023144B">
        <w:rPr>
          <w:rFonts w:cs="David"/>
          <w:rtl/>
        </w:rPr>
        <w:t>.</w:t>
      </w:r>
    </w:p>
  </w:footnote>
  <w:footnote w:id="18">
    <w:p w:rsidR="005601E9" w:rsidRDefault="005601E9" w:rsidP="005601E9">
      <w:pPr>
        <w:pStyle w:val="FootnoteText"/>
      </w:pPr>
      <w:r w:rsidRPr="0023144B">
        <w:rPr>
          <w:rStyle w:val="FootnoteReference"/>
          <w:rFonts w:ascii="David" w:hAnsi="David" w:cs="David"/>
          <w:vertAlign w:val="baseline"/>
        </w:rPr>
        <w:footnoteRef/>
      </w:r>
      <w:r w:rsidRPr="0023144B">
        <w:rPr>
          <w:rFonts w:cs="David"/>
          <w:rtl/>
        </w:rPr>
        <w:tab/>
      </w:r>
      <w:r w:rsidRPr="0023144B">
        <w:rPr>
          <w:rFonts w:cs="David" w:hint="cs"/>
          <w:rtl/>
        </w:rPr>
        <w:t>שם</w:t>
      </w:r>
      <w:r w:rsidRPr="0023144B">
        <w:rPr>
          <w:rFonts w:cs="David"/>
          <w:rtl/>
        </w:rPr>
        <w:t>.</w:t>
      </w:r>
    </w:p>
  </w:footnote>
  <w:footnote w:id="19">
    <w:p w:rsidR="005601E9" w:rsidRDefault="005601E9" w:rsidP="005601E9">
      <w:pPr>
        <w:pStyle w:val="FootnoteText"/>
      </w:pPr>
      <w:r w:rsidRPr="00F764C1">
        <w:rPr>
          <w:rStyle w:val="FootnoteReference"/>
          <w:rFonts w:ascii="David" w:hAnsi="David"/>
          <w:vertAlign w:val="baseline"/>
        </w:rPr>
        <w:footnoteRef/>
      </w:r>
      <w:r>
        <w:rPr>
          <w:rtl/>
        </w:rPr>
        <w:tab/>
      </w:r>
      <w:r w:rsidRPr="0047048D">
        <w:t>John Rawls</w:t>
      </w:r>
      <w:r>
        <w:t>,</w:t>
      </w:r>
      <w:r w:rsidRPr="0047048D">
        <w:t xml:space="preserve"> </w:t>
      </w:r>
      <w:r w:rsidRPr="00F764C1">
        <w:rPr>
          <w:i/>
          <w:iCs/>
        </w:rPr>
        <w:t>A</w:t>
      </w:r>
      <w:r>
        <w:rPr>
          <w:i/>
          <w:iCs/>
        </w:rPr>
        <w:t xml:space="preserve"> </w:t>
      </w:r>
      <w:r w:rsidRPr="00F764C1">
        <w:rPr>
          <w:i/>
          <w:iCs/>
        </w:rPr>
        <w:t>Well-Ordered</w:t>
      </w:r>
      <w:r>
        <w:rPr>
          <w:i/>
          <w:iCs/>
        </w:rPr>
        <w:t xml:space="preserve"> </w:t>
      </w:r>
      <w:r w:rsidRPr="00F764C1">
        <w:rPr>
          <w:i/>
          <w:iCs/>
        </w:rPr>
        <w:t>Society</w:t>
      </w:r>
      <w:r>
        <w:t>,</w:t>
      </w:r>
      <w:r w:rsidRPr="0047048D">
        <w:t xml:space="preserve"> </w:t>
      </w:r>
      <w:r w:rsidRPr="00F764C1">
        <w:rPr>
          <w:i/>
          <w:iCs/>
        </w:rPr>
        <w:t>in</w:t>
      </w:r>
      <w:r>
        <w:t xml:space="preserve"> </w:t>
      </w:r>
      <w:r w:rsidRPr="00F764C1">
        <w:rPr>
          <w:smallCaps/>
        </w:rPr>
        <w:t>Philosophy</w:t>
      </w:r>
      <w:r>
        <w:rPr>
          <w:smallCaps/>
        </w:rPr>
        <w:t xml:space="preserve">, </w:t>
      </w:r>
      <w:r w:rsidRPr="00F764C1">
        <w:rPr>
          <w:smallCaps/>
        </w:rPr>
        <w:t>Politics</w:t>
      </w:r>
      <w:r>
        <w:rPr>
          <w:smallCaps/>
        </w:rPr>
        <w:t xml:space="preserve"> </w:t>
      </w:r>
      <w:r w:rsidRPr="00F764C1">
        <w:rPr>
          <w:smallCaps/>
        </w:rPr>
        <w:t>and</w:t>
      </w:r>
      <w:r>
        <w:rPr>
          <w:smallCaps/>
        </w:rPr>
        <w:t xml:space="preserve"> </w:t>
      </w:r>
      <w:r w:rsidRPr="00F764C1">
        <w:rPr>
          <w:smallCaps/>
        </w:rPr>
        <w:t>Society</w:t>
      </w:r>
      <w:r>
        <w:rPr>
          <w:smallCaps/>
        </w:rPr>
        <w:t xml:space="preserve">: </w:t>
      </w:r>
      <w:r w:rsidRPr="00F764C1">
        <w:rPr>
          <w:smallCaps/>
        </w:rPr>
        <w:t>Fifth</w:t>
      </w:r>
      <w:r>
        <w:rPr>
          <w:smallCaps/>
        </w:rPr>
        <w:t xml:space="preserve"> </w:t>
      </w:r>
      <w:r w:rsidRPr="00F764C1">
        <w:rPr>
          <w:smallCaps/>
        </w:rPr>
        <w:t>Series</w:t>
      </w:r>
      <w:r w:rsidRPr="0047048D">
        <w:t xml:space="preserve"> </w:t>
      </w:r>
      <w:r>
        <w:t xml:space="preserve">6, </w:t>
      </w:r>
      <w:r w:rsidRPr="0047048D">
        <w:t>8</w:t>
      </w:r>
      <w:r>
        <w:t>–</w:t>
      </w:r>
      <w:r w:rsidRPr="0047048D">
        <w:t>11</w:t>
      </w:r>
      <w:r>
        <w:t xml:space="preserve"> (Peter </w:t>
      </w:r>
      <w:r w:rsidRPr="0047048D">
        <w:t>Laslet</w:t>
      </w:r>
      <w:r>
        <w:t>t</w:t>
      </w:r>
      <w:r w:rsidRPr="0047048D">
        <w:t xml:space="preserve"> </w:t>
      </w:r>
      <w:r>
        <w:t>&amp;</w:t>
      </w:r>
      <w:r w:rsidRPr="0047048D">
        <w:t xml:space="preserve"> </w:t>
      </w:r>
      <w:r>
        <w:t xml:space="preserve">James S. </w:t>
      </w:r>
      <w:r w:rsidRPr="0047048D">
        <w:t>Fishkin eds</w:t>
      </w:r>
      <w:r>
        <w:t>., 1979)</w:t>
      </w:r>
      <w:r w:rsidRPr="0047048D">
        <w:rPr>
          <w:rtl/>
        </w:rPr>
        <w:t>.</w:t>
      </w:r>
    </w:p>
  </w:footnote>
  <w:footnote w:id="20">
    <w:p w:rsidR="005601E9" w:rsidRDefault="005601E9" w:rsidP="00E809FF">
      <w:pPr>
        <w:pStyle w:val="FootnoteText"/>
        <w:rPr>
          <w:rtl/>
        </w:rPr>
      </w:pPr>
      <w:r w:rsidRPr="00F764C1">
        <w:rPr>
          <w:rStyle w:val="FootnoteReference"/>
          <w:rFonts w:ascii="David" w:hAnsi="David"/>
          <w:vertAlign w:val="baseline"/>
        </w:rPr>
        <w:footnoteRef/>
      </w:r>
      <w:r>
        <w:rPr>
          <w:rtl/>
        </w:rPr>
        <w:tab/>
      </w:r>
      <w:r w:rsidRPr="00F764C1">
        <w:rPr>
          <w:smallCaps/>
        </w:rPr>
        <w:t>John</w:t>
      </w:r>
      <w:r>
        <w:rPr>
          <w:smallCaps/>
        </w:rPr>
        <w:t xml:space="preserve"> </w:t>
      </w:r>
      <w:r w:rsidRPr="00F764C1">
        <w:rPr>
          <w:smallCaps/>
        </w:rPr>
        <w:t>Rawls</w:t>
      </w:r>
      <w:r w:rsidRPr="0047048D">
        <w:t xml:space="preserve">, </w:t>
      </w:r>
      <w:r w:rsidRPr="00F764C1">
        <w:rPr>
          <w:smallCaps/>
        </w:rPr>
        <w:t>Justice</w:t>
      </w:r>
      <w:r>
        <w:rPr>
          <w:smallCaps/>
        </w:rPr>
        <w:t xml:space="preserve"> </w:t>
      </w:r>
      <w:r w:rsidRPr="00F764C1">
        <w:rPr>
          <w:smallCaps/>
        </w:rPr>
        <w:t>as</w:t>
      </w:r>
      <w:r>
        <w:rPr>
          <w:smallCaps/>
        </w:rPr>
        <w:t xml:space="preserve"> </w:t>
      </w:r>
      <w:r w:rsidRPr="00F764C1">
        <w:rPr>
          <w:smallCaps/>
        </w:rPr>
        <w:t>Fairness</w:t>
      </w:r>
      <w:r>
        <w:rPr>
          <w:smallCaps/>
        </w:rPr>
        <w:t xml:space="preserve">: </w:t>
      </w:r>
      <w:r w:rsidRPr="00F764C1">
        <w:rPr>
          <w:smallCaps/>
        </w:rPr>
        <w:t>A</w:t>
      </w:r>
      <w:r>
        <w:rPr>
          <w:smallCaps/>
        </w:rPr>
        <w:t xml:space="preserve"> </w:t>
      </w:r>
      <w:r w:rsidRPr="00F764C1">
        <w:rPr>
          <w:smallCaps/>
        </w:rPr>
        <w:t>Restatement</w:t>
      </w:r>
      <w:r w:rsidRPr="0047048D">
        <w:t xml:space="preserve"> 5 (Erin Kelly ed., 2001)</w:t>
      </w:r>
      <w:r>
        <w:rPr>
          <w:rFonts w:hint="cs"/>
          <w:rtl/>
        </w:rPr>
        <w:t>.</w:t>
      </w:r>
      <w:r w:rsidRPr="0047048D">
        <w:rPr>
          <w:rtl/>
        </w:rPr>
        <w:t xml:space="preserve"> </w:t>
      </w:r>
      <w:r>
        <w:rPr>
          <w:rFonts w:hint="cs"/>
          <w:rtl/>
        </w:rPr>
        <w:t>רא</w:t>
      </w:r>
      <w:r w:rsidRPr="0047048D">
        <w:rPr>
          <w:rtl/>
        </w:rPr>
        <w:t>ו</w:t>
      </w:r>
      <w:r>
        <w:rPr>
          <w:rFonts w:hint="cs"/>
          <w:rtl/>
        </w:rPr>
        <w:t xml:space="preserve"> </w:t>
      </w:r>
      <w:r w:rsidRPr="0047048D">
        <w:rPr>
          <w:rtl/>
        </w:rPr>
        <w:t xml:space="preserve">גם </w:t>
      </w:r>
      <w:r w:rsidRPr="00F764C1">
        <w:rPr>
          <w:smallCaps/>
        </w:rPr>
        <w:t>Rawls</w:t>
      </w:r>
      <w:r>
        <w:rPr>
          <w:rFonts w:hint="cs"/>
          <w:rtl/>
        </w:rPr>
        <w:t xml:space="preserve">, לעיל ה"ש </w:t>
      </w:r>
      <w:r w:rsidR="00E809FF">
        <w:rPr>
          <w:rFonts w:hint="cs"/>
          <w:rtl/>
        </w:rPr>
        <w:t>17</w:t>
      </w:r>
      <w:r>
        <w:rPr>
          <w:rFonts w:hint="cs"/>
          <w:rtl/>
        </w:rPr>
        <w:t>, בעמ' 118</w:t>
      </w:r>
      <w:r w:rsidRPr="0047048D">
        <w:rPr>
          <w:rtl/>
        </w:rPr>
        <w:t>.</w:t>
      </w:r>
    </w:p>
  </w:footnote>
  <w:footnote w:id="21">
    <w:p w:rsidR="005601E9" w:rsidRDefault="005601E9" w:rsidP="005601E9">
      <w:pPr>
        <w:pStyle w:val="FootnoteText"/>
        <w:rPr>
          <w:rtl/>
        </w:rPr>
      </w:pPr>
      <w:r w:rsidRPr="00F764C1">
        <w:rPr>
          <w:rStyle w:val="FootnoteReference"/>
          <w:rFonts w:ascii="David" w:hAnsi="David"/>
          <w:vertAlign w:val="baseline"/>
        </w:rPr>
        <w:footnoteRef/>
      </w:r>
      <w:r>
        <w:rPr>
          <w:rtl/>
        </w:rPr>
        <w:tab/>
      </w:r>
      <w:r w:rsidRPr="0047048D">
        <w:t>Adrian Vermeule</w:t>
      </w:r>
      <w:r>
        <w:t xml:space="preserve">, </w:t>
      </w:r>
      <w:r w:rsidRPr="0047048D">
        <w:rPr>
          <w:i/>
          <w:iCs/>
        </w:rPr>
        <w:t>Veil of Ignorance Rules in Constitutional Law</w:t>
      </w:r>
      <w:r w:rsidRPr="0047048D">
        <w:t xml:space="preserve">, 111 </w:t>
      </w:r>
      <w:r w:rsidRPr="00F764C1">
        <w:rPr>
          <w:smallCaps/>
        </w:rPr>
        <w:t>Yale</w:t>
      </w:r>
      <w:r>
        <w:rPr>
          <w:smallCaps/>
        </w:rPr>
        <w:t xml:space="preserve"> </w:t>
      </w:r>
      <w:r w:rsidRPr="00F764C1">
        <w:rPr>
          <w:smallCaps/>
        </w:rPr>
        <w:t>L.J</w:t>
      </w:r>
      <w:r>
        <w:rPr>
          <w:smallCaps/>
        </w:rPr>
        <w:t>.</w:t>
      </w:r>
      <w:r w:rsidRPr="0047048D">
        <w:t xml:space="preserve"> 399, 403 (2001)</w:t>
      </w:r>
      <w:r w:rsidRPr="0047048D">
        <w:rPr>
          <w:rtl/>
        </w:rPr>
        <w:t>.</w:t>
      </w:r>
    </w:p>
  </w:footnote>
  <w:footnote w:id="22">
    <w:p w:rsidR="00CA7263" w:rsidRDefault="00CA7263" w:rsidP="00CA7263">
      <w:pPr>
        <w:pStyle w:val="FootnoteText"/>
        <w:rPr>
          <w:rtl/>
        </w:rPr>
      </w:pPr>
      <w:r w:rsidRPr="00F764C1">
        <w:rPr>
          <w:rStyle w:val="FootnoteReference"/>
          <w:rFonts w:ascii="David" w:hAnsi="David"/>
          <w:vertAlign w:val="baseline"/>
        </w:rPr>
        <w:footnoteRef/>
      </w:r>
      <w:r>
        <w:rPr>
          <w:rtl/>
        </w:rPr>
        <w:tab/>
      </w:r>
      <w:r w:rsidRPr="00F764C1">
        <w:rPr>
          <w:smallCaps/>
        </w:rPr>
        <w:t>Cedric</w:t>
      </w:r>
      <w:r>
        <w:rPr>
          <w:smallCaps/>
        </w:rPr>
        <w:t xml:space="preserve"> </w:t>
      </w:r>
      <w:r w:rsidRPr="00F764C1">
        <w:rPr>
          <w:smallCaps/>
        </w:rPr>
        <w:t>Herring</w:t>
      </w:r>
      <w:r>
        <w:rPr>
          <w:smallCaps/>
        </w:rPr>
        <w:t xml:space="preserve"> &amp; </w:t>
      </w:r>
      <w:r w:rsidRPr="00F764C1">
        <w:rPr>
          <w:smallCaps/>
        </w:rPr>
        <w:t>Loren</w:t>
      </w:r>
      <w:r>
        <w:rPr>
          <w:smallCaps/>
        </w:rPr>
        <w:t xml:space="preserve"> </w:t>
      </w:r>
      <w:r w:rsidRPr="00F764C1">
        <w:rPr>
          <w:smallCaps/>
        </w:rPr>
        <w:t>Henderson</w:t>
      </w:r>
      <w:r>
        <w:t xml:space="preserve">, </w:t>
      </w:r>
      <w:r w:rsidRPr="00F764C1">
        <w:rPr>
          <w:smallCaps/>
        </w:rPr>
        <w:t>Diversity</w:t>
      </w:r>
      <w:r>
        <w:rPr>
          <w:smallCaps/>
        </w:rPr>
        <w:t xml:space="preserve"> </w:t>
      </w:r>
      <w:r w:rsidRPr="00F764C1">
        <w:rPr>
          <w:smallCaps/>
        </w:rPr>
        <w:t>in</w:t>
      </w:r>
      <w:r>
        <w:rPr>
          <w:smallCaps/>
        </w:rPr>
        <w:t xml:space="preserve"> O</w:t>
      </w:r>
      <w:r w:rsidRPr="00F764C1">
        <w:rPr>
          <w:smallCaps/>
        </w:rPr>
        <w:t>rganizations</w:t>
      </w:r>
      <w:r>
        <w:rPr>
          <w:smallCaps/>
        </w:rPr>
        <w:t xml:space="preserve">: </w:t>
      </w:r>
      <w:r w:rsidRPr="00F764C1">
        <w:rPr>
          <w:smallCaps/>
        </w:rPr>
        <w:t>A</w:t>
      </w:r>
      <w:r>
        <w:rPr>
          <w:smallCaps/>
        </w:rPr>
        <w:t xml:space="preserve"> C</w:t>
      </w:r>
      <w:r w:rsidRPr="00F764C1">
        <w:rPr>
          <w:smallCaps/>
        </w:rPr>
        <w:t>ritical</w:t>
      </w:r>
      <w:r>
        <w:rPr>
          <w:smallCaps/>
        </w:rPr>
        <w:t xml:space="preserve"> E</w:t>
      </w:r>
      <w:r w:rsidRPr="00F764C1">
        <w:rPr>
          <w:smallCaps/>
        </w:rPr>
        <w:t>xamination</w:t>
      </w:r>
      <w:r w:rsidRPr="0047048D">
        <w:t xml:space="preserve"> (</w:t>
      </w:r>
      <w:r>
        <w:t>2015</w:t>
      </w:r>
      <w:r w:rsidRPr="0047048D">
        <w:t xml:space="preserve">); </w:t>
      </w:r>
      <w:r>
        <w:t>Alexandra Kalev</w:t>
      </w:r>
      <w:r w:rsidRPr="0047048D">
        <w:t xml:space="preserve">, </w:t>
      </w:r>
      <w:r w:rsidRPr="00F44D4D">
        <w:t xml:space="preserve">Frank Dobbin &amp; Erin </w:t>
      </w:r>
      <w:r w:rsidRPr="0047048D">
        <w:t xml:space="preserve">Kelly, </w:t>
      </w:r>
      <w:r w:rsidRPr="00F764C1">
        <w:rPr>
          <w:i/>
          <w:iCs/>
        </w:rPr>
        <w:t>Best Practices or Best Guesses? Assessing the Effic</w:t>
      </w:r>
      <w:r>
        <w:rPr>
          <w:i/>
          <w:iCs/>
        </w:rPr>
        <w:t>acy</w:t>
      </w:r>
      <w:r w:rsidRPr="00F764C1">
        <w:rPr>
          <w:i/>
          <w:iCs/>
        </w:rPr>
        <w:t xml:space="preserve"> of Corporate Affirmative Action and Diversity Policies</w:t>
      </w:r>
      <w:r>
        <w:t>,</w:t>
      </w:r>
      <w:r w:rsidRPr="0047048D">
        <w:t xml:space="preserve"> </w:t>
      </w:r>
      <w:r>
        <w:t xml:space="preserve">71 </w:t>
      </w:r>
      <w:r w:rsidRPr="00F764C1">
        <w:rPr>
          <w:smallCaps/>
        </w:rPr>
        <w:t>Am. Sociol</w:t>
      </w:r>
      <w:r>
        <w:rPr>
          <w:smallCaps/>
        </w:rPr>
        <w:t>.</w:t>
      </w:r>
      <w:r w:rsidRPr="00F764C1">
        <w:rPr>
          <w:smallCaps/>
        </w:rPr>
        <w:t xml:space="preserve"> Rev.</w:t>
      </w:r>
      <w:r w:rsidRPr="0047048D">
        <w:t xml:space="preserve"> 589 (2006); </w:t>
      </w:r>
      <w:r>
        <w:t xml:space="preserve">Frank </w:t>
      </w:r>
      <w:r w:rsidRPr="0047048D">
        <w:t>Dobbin, S</w:t>
      </w:r>
      <w:r>
        <w:t>oohan</w:t>
      </w:r>
      <w:r w:rsidRPr="0047048D">
        <w:t xml:space="preserve"> Kim </w:t>
      </w:r>
      <w:r>
        <w:t>&amp;</w:t>
      </w:r>
      <w:r w:rsidRPr="0047048D">
        <w:t xml:space="preserve"> A</w:t>
      </w:r>
      <w:r>
        <w:t>lexandra</w:t>
      </w:r>
      <w:r w:rsidRPr="0047048D">
        <w:t xml:space="preserve"> Kalev</w:t>
      </w:r>
      <w:r>
        <w:t>,</w:t>
      </w:r>
      <w:r w:rsidRPr="0047048D">
        <w:t xml:space="preserve"> </w:t>
      </w:r>
      <w:r w:rsidRPr="00F764C1">
        <w:rPr>
          <w:i/>
          <w:iCs/>
        </w:rPr>
        <w:t>You</w:t>
      </w:r>
      <w:r>
        <w:rPr>
          <w:i/>
          <w:iCs/>
        </w:rPr>
        <w:t xml:space="preserve"> </w:t>
      </w:r>
      <w:r w:rsidRPr="00F764C1">
        <w:rPr>
          <w:i/>
          <w:iCs/>
        </w:rPr>
        <w:t>Can</w:t>
      </w:r>
      <w:r>
        <w:rPr>
          <w:i/>
          <w:iCs/>
        </w:rPr>
        <w:t>’</w:t>
      </w:r>
      <w:r w:rsidRPr="00F764C1">
        <w:rPr>
          <w:i/>
          <w:iCs/>
        </w:rPr>
        <w:t>t</w:t>
      </w:r>
      <w:r>
        <w:rPr>
          <w:i/>
          <w:iCs/>
        </w:rPr>
        <w:t xml:space="preserve"> </w:t>
      </w:r>
      <w:r w:rsidRPr="00F764C1">
        <w:rPr>
          <w:i/>
          <w:iCs/>
        </w:rPr>
        <w:t>Always</w:t>
      </w:r>
      <w:r>
        <w:rPr>
          <w:i/>
          <w:iCs/>
        </w:rPr>
        <w:t xml:space="preserve"> </w:t>
      </w:r>
      <w:r w:rsidRPr="00F764C1">
        <w:rPr>
          <w:i/>
          <w:iCs/>
        </w:rPr>
        <w:t>Get</w:t>
      </w:r>
      <w:r>
        <w:rPr>
          <w:i/>
          <w:iCs/>
        </w:rPr>
        <w:t xml:space="preserve"> </w:t>
      </w:r>
      <w:r w:rsidRPr="00F764C1">
        <w:rPr>
          <w:i/>
          <w:iCs/>
        </w:rPr>
        <w:t>What</w:t>
      </w:r>
      <w:r>
        <w:rPr>
          <w:i/>
          <w:iCs/>
        </w:rPr>
        <w:t xml:space="preserve"> </w:t>
      </w:r>
      <w:r w:rsidRPr="00F764C1">
        <w:rPr>
          <w:i/>
          <w:iCs/>
        </w:rPr>
        <w:t>You</w:t>
      </w:r>
      <w:r>
        <w:rPr>
          <w:i/>
          <w:iCs/>
        </w:rPr>
        <w:t xml:space="preserve"> </w:t>
      </w:r>
      <w:r w:rsidRPr="00F764C1">
        <w:rPr>
          <w:i/>
          <w:iCs/>
        </w:rPr>
        <w:t>Need</w:t>
      </w:r>
      <w:r>
        <w:rPr>
          <w:i/>
          <w:iCs/>
        </w:rPr>
        <w:t xml:space="preserve">: </w:t>
      </w:r>
      <w:r w:rsidRPr="00F764C1">
        <w:rPr>
          <w:i/>
          <w:iCs/>
        </w:rPr>
        <w:t>Organizational</w:t>
      </w:r>
      <w:r>
        <w:rPr>
          <w:i/>
          <w:iCs/>
        </w:rPr>
        <w:t xml:space="preserve"> </w:t>
      </w:r>
      <w:r w:rsidRPr="00F764C1">
        <w:rPr>
          <w:i/>
          <w:iCs/>
        </w:rPr>
        <w:t>Determinants</w:t>
      </w:r>
      <w:r>
        <w:rPr>
          <w:i/>
          <w:iCs/>
        </w:rPr>
        <w:t xml:space="preserve"> </w:t>
      </w:r>
      <w:r w:rsidRPr="00F764C1">
        <w:rPr>
          <w:i/>
          <w:iCs/>
        </w:rPr>
        <w:t>of</w:t>
      </w:r>
      <w:r>
        <w:rPr>
          <w:i/>
          <w:iCs/>
        </w:rPr>
        <w:t xml:space="preserve"> </w:t>
      </w:r>
      <w:r w:rsidRPr="00F764C1">
        <w:rPr>
          <w:i/>
          <w:iCs/>
        </w:rPr>
        <w:t>Diversity</w:t>
      </w:r>
      <w:r>
        <w:rPr>
          <w:i/>
          <w:iCs/>
        </w:rPr>
        <w:t xml:space="preserve"> </w:t>
      </w:r>
      <w:r w:rsidRPr="00F764C1">
        <w:rPr>
          <w:i/>
          <w:iCs/>
        </w:rPr>
        <w:t>Programs</w:t>
      </w:r>
      <w:r w:rsidRPr="0047048D">
        <w:t xml:space="preserve">, </w:t>
      </w:r>
      <w:r>
        <w:t xml:space="preserve">76 </w:t>
      </w:r>
      <w:r w:rsidRPr="00F764C1">
        <w:rPr>
          <w:smallCaps/>
        </w:rPr>
        <w:t>Am</w:t>
      </w:r>
      <w:r>
        <w:rPr>
          <w:smallCaps/>
        </w:rPr>
        <w:t xml:space="preserve">. </w:t>
      </w:r>
      <w:r w:rsidRPr="00F764C1">
        <w:rPr>
          <w:smallCaps/>
        </w:rPr>
        <w:t>Sociol</w:t>
      </w:r>
      <w:r>
        <w:rPr>
          <w:smallCaps/>
        </w:rPr>
        <w:t xml:space="preserve">. </w:t>
      </w:r>
      <w:r w:rsidRPr="00F764C1">
        <w:rPr>
          <w:smallCaps/>
        </w:rPr>
        <w:t>Rev</w:t>
      </w:r>
      <w:r>
        <w:rPr>
          <w:smallCaps/>
        </w:rPr>
        <w:t>.</w:t>
      </w:r>
      <w:r w:rsidRPr="0047048D">
        <w:t xml:space="preserve"> 386 (2011); S</w:t>
      </w:r>
      <w:r>
        <w:t xml:space="preserve">oohan </w:t>
      </w:r>
      <w:r w:rsidRPr="0047048D">
        <w:t>Kim, A</w:t>
      </w:r>
      <w:r>
        <w:t>lexandra</w:t>
      </w:r>
      <w:r w:rsidRPr="0047048D">
        <w:t xml:space="preserve"> Kalev </w:t>
      </w:r>
      <w:r>
        <w:t>&amp;</w:t>
      </w:r>
      <w:r w:rsidRPr="0047048D">
        <w:t xml:space="preserve"> F</w:t>
      </w:r>
      <w:r>
        <w:t>rank</w:t>
      </w:r>
      <w:r w:rsidRPr="0047048D">
        <w:t xml:space="preserve"> Dobbin</w:t>
      </w:r>
      <w:r>
        <w:t>,</w:t>
      </w:r>
      <w:r w:rsidRPr="0047048D">
        <w:t xml:space="preserve"> </w:t>
      </w:r>
      <w:r w:rsidRPr="00F764C1">
        <w:rPr>
          <w:i/>
          <w:iCs/>
        </w:rPr>
        <w:t>Progressive</w:t>
      </w:r>
      <w:r>
        <w:rPr>
          <w:i/>
          <w:iCs/>
        </w:rPr>
        <w:t xml:space="preserve"> </w:t>
      </w:r>
      <w:r w:rsidRPr="00F764C1">
        <w:rPr>
          <w:i/>
          <w:iCs/>
        </w:rPr>
        <w:t>Corporations</w:t>
      </w:r>
      <w:r>
        <w:rPr>
          <w:i/>
          <w:iCs/>
        </w:rPr>
        <w:t xml:space="preserve"> </w:t>
      </w:r>
      <w:r w:rsidRPr="00F764C1">
        <w:rPr>
          <w:i/>
          <w:iCs/>
        </w:rPr>
        <w:t>at</w:t>
      </w:r>
      <w:r>
        <w:rPr>
          <w:i/>
          <w:iCs/>
        </w:rPr>
        <w:t xml:space="preserve"> </w:t>
      </w:r>
      <w:r w:rsidRPr="00F764C1">
        <w:rPr>
          <w:i/>
          <w:iCs/>
        </w:rPr>
        <w:t>Work</w:t>
      </w:r>
      <w:r>
        <w:rPr>
          <w:i/>
          <w:iCs/>
        </w:rPr>
        <w:t xml:space="preserve">: </w:t>
      </w:r>
      <w:r w:rsidRPr="00F764C1">
        <w:rPr>
          <w:i/>
          <w:iCs/>
        </w:rPr>
        <w:t>The</w:t>
      </w:r>
      <w:r>
        <w:rPr>
          <w:i/>
          <w:iCs/>
        </w:rPr>
        <w:t xml:space="preserve"> </w:t>
      </w:r>
      <w:r w:rsidRPr="00F764C1">
        <w:rPr>
          <w:i/>
          <w:iCs/>
        </w:rPr>
        <w:t>Case</w:t>
      </w:r>
      <w:r>
        <w:rPr>
          <w:i/>
          <w:iCs/>
        </w:rPr>
        <w:t xml:space="preserve"> </w:t>
      </w:r>
      <w:r w:rsidRPr="00F764C1">
        <w:rPr>
          <w:i/>
          <w:iCs/>
        </w:rPr>
        <w:t>of</w:t>
      </w:r>
      <w:r>
        <w:rPr>
          <w:i/>
          <w:iCs/>
        </w:rPr>
        <w:t xml:space="preserve"> </w:t>
      </w:r>
      <w:r w:rsidRPr="00F764C1">
        <w:rPr>
          <w:i/>
          <w:iCs/>
        </w:rPr>
        <w:t>Diversity</w:t>
      </w:r>
      <w:r>
        <w:rPr>
          <w:i/>
          <w:iCs/>
        </w:rPr>
        <w:t xml:space="preserve"> </w:t>
      </w:r>
      <w:r w:rsidRPr="00F764C1">
        <w:rPr>
          <w:i/>
          <w:iCs/>
        </w:rPr>
        <w:t>Programs</w:t>
      </w:r>
      <w:r w:rsidRPr="0047048D">
        <w:t xml:space="preserve">, </w:t>
      </w:r>
      <w:r>
        <w:t xml:space="preserve">36 </w:t>
      </w:r>
      <w:r w:rsidRPr="00F764C1">
        <w:rPr>
          <w:smallCaps/>
        </w:rPr>
        <w:t>Rev. L. &amp; Soc. Change</w:t>
      </w:r>
      <w:r w:rsidRPr="0047048D">
        <w:t xml:space="preserve"> 171 (2012); </w:t>
      </w:r>
      <w:r>
        <w:t xml:space="preserve">Frank </w:t>
      </w:r>
      <w:r w:rsidRPr="0047048D">
        <w:t xml:space="preserve">Dobbin </w:t>
      </w:r>
      <w:r>
        <w:t>&amp;</w:t>
      </w:r>
      <w:r w:rsidRPr="0047048D">
        <w:t xml:space="preserve"> A</w:t>
      </w:r>
      <w:r>
        <w:t>lexandra</w:t>
      </w:r>
      <w:r w:rsidRPr="0047048D">
        <w:t xml:space="preserve"> Kalev</w:t>
      </w:r>
      <w:r>
        <w:t>,</w:t>
      </w:r>
      <w:r w:rsidRPr="0047048D">
        <w:t xml:space="preserve"> </w:t>
      </w:r>
      <w:r w:rsidRPr="00F764C1">
        <w:rPr>
          <w:i/>
          <w:iCs/>
        </w:rPr>
        <w:t>The</w:t>
      </w:r>
      <w:r>
        <w:rPr>
          <w:i/>
          <w:iCs/>
        </w:rPr>
        <w:t xml:space="preserve"> </w:t>
      </w:r>
      <w:r w:rsidRPr="00F764C1">
        <w:rPr>
          <w:i/>
          <w:iCs/>
        </w:rPr>
        <w:t>Origins</w:t>
      </w:r>
      <w:r>
        <w:rPr>
          <w:i/>
          <w:iCs/>
        </w:rPr>
        <w:t xml:space="preserve"> </w:t>
      </w:r>
      <w:r w:rsidRPr="00F764C1">
        <w:rPr>
          <w:i/>
          <w:iCs/>
        </w:rPr>
        <w:t>and</w:t>
      </w:r>
      <w:r>
        <w:rPr>
          <w:i/>
          <w:iCs/>
        </w:rPr>
        <w:t xml:space="preserve"> </w:t>
      </w:r>
      <w:r w:rsidRPr="00F764C1">
        <w:rPr>
          <w:i/>
          <w:iCs/>
        </w:rPr>
        <w:t>Effects</w:t>
      </w:r>
      <w:r>
        <w:rPr>
          <w:i/>
          <w:iCs/>
        </w:rPr>
        <w:t xml:space="preserve"> </w:t>
      </w:r>
      <w:r w:rsidRPr="00F764C1">
        <w:rPr>
          <w:i/>
          <w:iCs/>
        </w:rPr>
        <w:t>of</w:t>
      </w:r>
      <w:r>
        <w:rPr>
          <w:i/>
          <w:iCs/>
        </w:rPr>
        <w:t xml:space="preserve"> </w:t>
      </w:r>
      <w:r w:rsidRPr="00F764C1">
        <w:rPr>
          <w:i/>
          <w:iCs/>
        </w:rPr>
        <w:t>Corporate</w:t>
      </w:r>
      <w:r>
        <w:rPr>
          <w:i/>
          <w:iCs/>
        </w:rPr>
        <w:t xml:space="preserve"> </w:t>
      </w:r>
      <w:r w:rsidRPr="00F764C1">
        <w:rPr>
          <w:i/>
          <w:iCs/>
        </w:rPr>
        <w:t>Diversity</w:t>
      </w:r>
      <w:r>
        <w:rPr>
          <w:i/>
          <w:iCs/>
        </w:rPr>
        <w:t xml:space="preserve"> </w:t>
      </w:r>
      <w:r w:rsidRPr="00F764C1">
        <w:rPr>
          <w:i/>
          <w:iCs/>
        </w:rPr>
        <w:t>Programs</w:t>
      </w:r>
      <w:r w:rsidRPr="0047048D">
        <w:t xml:space="preserve">, </w:t>
      </w:r>
      <w:r w:rsidRPr="00F764C1">
        <w:rPr>
          <w:i/>
          <w:iCs/>
        </w:rPr>
        <w:t>in</w:t>
      </w:r>
      <w:r w:rsidRPr="0047048D">
        <w:t xml:space="preserve"> </w:t>
      </w:r>
      <w:r w:rsidRPr="00F764C1">
        <w:rPr>
          <w:smallCaps/>
        </w:rPr>
        <w:t>The Oxford Handbook of Diversity and Work</w:t>
      </w:r>
      <w:r>
        <w:t xml:space="preserve"> </w:t>
      </w:r>
      <w:r w:rsidRPr="0047048D">
        <w:t xml:space="preserve">253 </w:t>
      </w:r>
      <w:r>
        <w:t>(</w:t>
      </w:r>
      <w:r w:rsidRPr="0047048D">
        <w:t>Q</w:t>
      </w:r>
      <w:r>
        <w:t xml:space="preserve">uinetta </w:t>
      </w:r>
      <w:r w:rsidRPr="0047048D">
        <w:t>M</w:t>
      </w:r>
      <w:r>
        <w:t>.</w:t>
      </w:r>
      <w:r w:rsidRPr="0047048D">
        <w:t xml:space="preserve"> Roberson</w:t>
      </w:r>
      <w:r>
        <w:t xml:space="preserve"> ed</w:t>
      </w:r>
      <w:r w:rsidRPr="0047048D">
        <w:t>.</w:t>
      </w:r>
      <w:r>
        <w:t>,</w:t>
      </w:r>
      <w:r w:rsidRPr="0047048D">
        <w:t xml:space="preserve"> 2013)</w:t>
      </w:r>
      <w:r w:rsidRPr="0047048D">
        <w:rPr>
          <w:rtl/>
        </w:rPr>
        <w:t>.</w:t>
      </w:r>
    </w:p>
  </w:footnote>
  <w:footnote w:id="23">
    <w:p w:rsidR="00CA7263" w:rsidRDefault="00CA7263" w:rsidP="00CA7263">
      <w:pPr>
        <w:pStyle w:val="FootnoteText"/>
        <w:rPr>
          <w:rtl/>
        </w:rPr>
      </w:pPr>
      <w:r w:rsidRPr="00F764C1">
        <w:rPr>
          <w:rStyle w:val="FootnoteReference"/>
          <w:rFonts w:ascii="David" w:hAnsi="David"/>
          <w:vertAlign w:val="baseline"/>
        </w:rPr>
        <w:footnoteRef/>
      </w:r>
      <w:r>
        <w:rPr>
          <w:rtl/>
        </w:rPr>
        <w:tab/>
      </w:r>
      <w:r w:rsidRPr="003531E1">
        <w:t xml:space="preserve">Andrew O. </w:t>
      </w:r>
      <w:r w:rsidRPr="0047048D">
        <w:t xml:space="preserve">Herdman &amp; </w:t>
      </w:r>
      <w:r>
        <w:t xml:space="preserve">Amy </w:t>
      </w:r>
      <w:r w:rsidRPr="0047048D">
        <w:t xml:space="preserve">McMillan-Capehart, </w:t>
      </w:r>
      <w:r w:rsidRPr="00F764C1">
        <w:rPr>
          <w:i/>
          <w:iCs/>
        </w:rPr>
        <w:t>Establishing</w:t>
      </w:r>
      <w:r>
        <w:rPr>
          <w:i/>
          <w:iCs/>
        </w:rPr>
        <w:t xml:space="preserve"> </w:t>
      </w:r>
      <w:r w:rsidRPr="00F764C1">
        <w:rPr>
          <w:i/>
          <w:iCs/>
        </w:rPr>
        <w:t>a</w:t>
      </w:r>
      <w:r>
        <w:rPr>
          <w:i/>
          <w:iCs/>
        </w:rPr>
        <w:t xml:space="preserve"> D</w:t>
      </w:r>
      <w:r w:rsidRPr="00F764C1">
        <w:rPr>
          <w:i/>
          <w:iCs/>
        </w:rPr>
        <w:t>iversity</w:t>
      </w:r>
      <w:r>
        <w:rPr>
          <w:i/>
          <w:iCs/>
        </w:rPr>
        <w:t xml:space="preserve"> P</w:t>
      </w:r>
      <w:r w:rsidRPr="00F764C1">
        <w:rPr>
          <w:i/>
          <w:iCs/>
        </w:rPr>
        <w:t>rogram</w:t>
      </w:r>
      <w:r>
        <w:rPr>
          <w:i/>
          <w:iCs/>
        </w:rPr>
        <w:t xml:space="preserve"> </w:t>
      </w:r>
      <w:r w:rsidRPr="00F764C1">
        <w:rPr>
          <w:i/>
          <w:iCs/>
        </w:rPr>
        <w:t>is</w:t>
      </w:r>
      <w:r>
        <w:rPr>
          <w:i/>
          <w:iCs/>
        </w:rPr>
        <w:t xml:space="preserve"> N</w:t>
      </w:r>
      <w:r w:rsidRPr="00F764C1">
        <w:rPr>
          <w:i/>
          <w:iCs/>
        </w:rPr>
        <w:t>ot</w:t>
      </w:r>
      <w:r>
        <w:rPr>
          <w:i/>
          <w:iCs/>
        </w:rPr>
        <w:t xml:space="preserve"> E</w:t>
      </w:r>
      <w:r w:rsidRPr="00F764C1">
        <w:rPr>
          <w:i/>
          <w:iCs/>
        </w:rPr>
        <w:t>nough</w:t>
      </w:r>
      <w:r>
        <w:rPr>
          <w:i/>
          <w:iCs/>
        </w:rPr>
        <w:t xml:space="preserve">: </w:t>
      </w:r>
      <w:r w:rsidRPr="00F764C1">
        <w:rPr>
          <w:i/>
          <w:iCs/>
        </w:rPr>
        <w:t>Exploring</w:t>
      </w:r>
      <w:r>
        <w:rPr>
          <w:i/>
          <w:iCs/>
        </w:rPr>
        <w:t xml:space="preserve"> </w:t>
      </w:r>
      <w:r w:rsidRPr="00F764C1">
        <w:rPr>
          <w:i/>
          <w:iCs/>
        </w:rPr>
        <w:t>the</w:t>
      </w:r>
      <w:r>
        <w:rPr>
          <w:i/>
          <w:iCs/>
        </w:rPr>
        <w:t xml:space="preserve"> D</w:t>
      </w:r>
      <w:r w:rsidRPr="00F764C1">
        <w:rPr>
          <w:i/>
          <w:iCs/>
        </w:rPr>
        <w:t>eterminants</w:t>
      </w:r>
      <w:r>
        <w:rPr>
          <w:i/>
          <w:iCs/>
        </w:rPr>
        <w:t xml:space="preserve"> </w:t>
      </w:r>
      <w:r w:rsidRPr="00F764C1">
        <w:rPr>
          <w:i/>
          <w:iCs/>
        </w:rPr>
        <w:t>of</w:t>
      </w:r>
      <w:r>
        <w:rPr>
          <w:i/>
          <w:iCs/>
        </w:rPr>
        <w:t xml:space="preserve"> D</w:t>
      </w:r>
      <w:r w:rsidRPr="00F764C1">
        <w:rPr>
          <w:i/>
          <w:iCs/>
        </w:rPr>
        <w:t>iversity</w:t>
      </w:r>
      <w:r>
        <w:rPr>
          <w:i/>
          <w:iCs/>
        </w:rPr>
        <w:t xml:space="preserve"> C</w:t>
      </w:r>
      <w:r w:rsidRPr="00F764C1">
        <w:rPr>
          <w:i/>
          <w:iCs/>
        </w:rPr>
        <w:t>limate</w:t>
      </w:r>
      <w:r>
        <w:t>,</w:t>
      </w:r>
      <w:r w:rsidRPr="0047048D">
        <w:t xml:space="preserve"> </w:t>
      </w:r>
      <w:r>
        <w:t xml:space="preserve">25 </w:t>
      </w:r>
      <w:r w:rsidRPr="00F764C1">
        <w:rPr>
          <w:smallCaps/>
        </w:rPr>
        <w:t>J</w:t>
      </w:r>
      <w:r>
        <w:rPr>
          <w:smallCaps/>
        </w:rPr>
        <w:t xml:space="preserve">. </w:t>
      </w:r>
      <w:r w:rsidRPr="00F764C1">
        <w:rPr>
          <w:smallCaps/>
        </w:rPr>
        <w:t>Bus</w:t>
      </w:r>
      <w:r>
        <w:rPr>
          <w:smallCaps/>
        </w:rPr>
        <w:t xml:space="preserve">. </w:t>
      </w:r>
      <w:r w:rsidRPr="00F764C1">
        <w:rPr>
          <w:smallCaps/>
        </w:rPr>
        <w:t>Psychol</w:t>
      </w:r>
      <w:r>
        <w:rPr>
          <w:smallCaps/>
        </w:rPr>
        <w:t>.</w:t>
      </w:r>
      <w:r w:rsidRPr="00A9018C">
        <w:t xml:space="preserve"> 3</w:t>
      </w:r>
      <w:r>
        <w:t xml:space="preserve">9 </w:t>
      </w:r>
      <w:r w:rsidRPr="0047048D">
        <w:t>(2010)</w:t>
      </w:r>
      <w:r>
        <w:rPr>
          <w:rtl/>
        </w:rPr>
        <w:t>.</w:t>
      </w:r>
    </w:p>
  </w:footnote>
  <w:footnote w:id="24">
    <w:p w:rsidR="00CA7263" w:rsidRDefault="00CA7263" w:rsidP="00CA7263">
      <w:pPr>
        <w:pStyle w:val="FootnoteText"/>
        <w:rPr>
          <w:rtl/>
        </w:rPr>
      </w:pPr>
      <w:r w:rsidRPr="00F764C1">
        <w:rPr>
          <w:rStyle w:val="FootnoteReference"/>
          <w:rFonts w:ascii="David" w:hAnsi="David"/>
          <w:vertAlign w:val="baseline"/>
        </w:rPr>
        <w:footnoteRef/>
      </w:r>
      <w:r>
        <w:rPr>
          <w:rtl/>
        </w:rPr>
        <w:tab/>
      </w:r>
      <w:r>
        <w:t xml:space="preserve">Henri </w:t>
      </w:r>
      <w:r w:rsidRPr="0047048D">
        <w:t xml:space="preserve">Tajfel &amp; </w:t>
      </w:r>
      <w:r>
        <w:t xml:space="preserve">John C. </w:t>
      </w:r>
      <w:r w:rsidRPr="0047048D">
        <w:t xml:space="preserve">Turner, </w:t>
      </w:r>
      <w:r w:rsidRPr="00F764C1">
        <w:rPr>
          <w:i/>
          <w:iCs/>
        </w:rPr>
        <w:t>The Social Identity Theory of Intergroup</w:t>
      </w:r>
      <w:r>
        <w:rPr>
          <w:i/>
          <w:iCs/>
        </w:rPr>
        <w:t xml:space="preserve"> B</w:t>
      </w:r>
      <w:r w:rsidRPr="00F764C1">
        <w:rPr>
          <w:i/>
          <w:iCs/>
        </w:rPr>
        <w:t>ehavior</w:t>
      </w:r>
      <w:r>
        <w:t>,</w:t>
      </w:r>
      <w:r w:rsidRPr="0047048D">
        <w:t xml:space="preserve"> </w:t>
      </w:r>
      <w:r w:rsidRPr="00F764C1">
        <w:rPr>
          <w:i/>
          <w:iCs/>
        </w:rPr>
        <w:t>in</w:t>
      </w:r>
      <w:r w:rsidRPr="0047048D">
        <w:t xml:space="preserve"> </w:t>
      </w:r>
      <w:r w:rsidRPr="00F764C1">
        <w:rPr>
          <w:smallCaps/>
        </w:rPr>
        <w:t>Psychology of Intergroup Relations</w:t>
      </w:r>
      <w:r w:rsidRPr="0047048D">
        <w:t xml:space="preserve"> 7 (</w:t>
      </w:r>
      <w:r w:rsidRPr="00A94982">
        <w:t>S</w:t>
      </w:r>
      <w:r>
        <w:t>tephen</w:t>
      </w:r>
      <w:r w:rsidRPr="00A94982">
        <w:t xml:space="preserve"> Worchel &amp; W</w:t>
      </w:r>
      <w:r>
        <w:t xml:space="preserve">illiam </w:t>
      </w:r>
      <w:r w:rsidRPr="00A94982">
        <w:t xml:space="preserve">G. Austin </w:t>
      </w:r>
      <w:r>
        <w:t>e</w:t>
      </w:r>
      <w:r w:rsidRPr="00A94982">
        <w:t>ds.</w:t>
      </w:r>
      <w:r>
        <w:t xml:space="preserve">, 2nd ed. </w:t>
      </w:r>
      <w:r w:rsidRPr="0047048D">
        <w:t>1986)</w:t>
      </w:r>
      <w:r>
        <w:rPr>
          <w:rtl/>
        </w:rPr>
        <w:t>.</w:t>
      </w:r>
    </w:p>
  </w:footnote>
  <w:footnote w:id="25">
    <w:p w:rsidR="008311C7" w:rsidRPr="0047048D" w:rsidRDefault="008311C7" w:rsidP="00731A70">
      <w:pPr>
        <w:pStyle w:val="FootnoteText"/>
        <w:jc w:val="both"/>
        <w:rPr>
          <w:rFonts w:ascii="David" w:hAnsi="David" w:cs="David"/>
          <w:rtl/>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 xml:space="preserve">Thomas Sowell </w:t>
      </w:r>
      <w:r w:rsidRPr="0047048D">
        <w:rPr>
          <w:rFonts w:ascii="David" w:hAnsi="David" w:cs="David"/>
          <w:i/>
          <w:iCs/>
        </w:rPr>
        <w:t>"Affirmative Action: A Worldwide Disaster"</w:t>
      </w:r>
      <w:r w:rsidRPr="0047048D">
        <w:rPr>
          <w:rFonts w:ascii="David" w:hAnsi="David" w:cs="David"/>
        </w:rPr>
        <w:t>, Commentary December 1989, pp. 21-41, p. 24</w:t>
      </w:r>
      <w:r>
        <w:rPr>
          <w:rFonts w:ascii="David" w:hAnsi="David" w:cs="David" w:hint="cs"/>
          <w:rtl/>
        </w:rPr>
        <w:t>.</w:t>
      </w:r>
    </w:p>
  </w:footnote>
  <w:footnote w:id="26">
    <w:p w:rsidR="008311C7" w:rsidRPr="0047048D" w:rsidRDefault="008311C7" w:rsidP="00DD0488">
      <w:pPr>
        <w:pStyle w:val="FootnoteText"/>
        <w:jc w:val="both"/>
        <w:rPr>
          <w:rFonts w:ascii="David" w:hAnsi="David" w:cs="David"/>
          <w:rtl/>
        </w:rPr>
      </w:pPr>
      <w:r w:rsidRPr="0047048D">
        <w:rPr>
          <w:rStyle w:val="FootnoteReference"/>
          <w:rFonts w:ascii="David" w:hAnsi="David" w:cs="David"/>
        </w:rPr>
        <w:footnoteRef/>
      </w:r>
      <w:r>
        <w:rPr>
          <w:rFonts w:ascii="David" w:hAnsi="David" w:cs="David" w:hint="cs"/>
          <w:rtl/>
        </w:rPr>
        <w:t xml:space="preserve"> </w:t>
      </w:r>
      <w:r w:rsidR="00DD0488" w:rsidRPr="00DD0488">
        <w:rPr>
          <w:rFonts w:ascii="David" w:hAnsi="David" w:cs="David"/>
        </w:rPr>
        <w:t>Steelworkers v. Weber, 443 U.S. 193 (1979)</w:t>
      </w:r>
      <w:r>
        <w:rPr>
          <w:rFonts w:ascii="David" w:hAnsi="David" w:cs="David" w:hint="cs"/>
          <w:rtl/>
        </w:rPr>
        <w:t>.</w:t>
      </w:r>
    </w:p>
  </w:footnote>
  <w:footnote w:id="27">
    <w:p w:rsidR="008311C7" w:rsidRPr="0047048D" w:rsidRDefault="008311C7" w:rsidP="00731A70">
      <w:pPr>
        <w:pStyle w:val="FootnoteText"/>
        <w:jc w:val="both"/>
        <w:rPr>
          <w:rFonts w:ascii="David" w:hAnsi="David" w:cs="David"/>
          <w:rtl/>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OECD Public Governance and Territorial Development Directorate, Public Employment and Management Working Party, "Fostering Diversity in the Public Sector", October 13th, 2009</w:t>
      </w:r>
      <w:r>
        <w:rPr>
          <w:rFonts w:ascii="David" w:hAnsi="David" w:cs="David" w:hint="cs"/>
          <w:rtl/>
        </w:rPr>
        <w:t>.</w:t>
      </w:r>
    </w:p>
  </w:footnote>
  <w:footnote w:id="28">
    <w:p w:rsidR="002C4EFD" w:rsidRDefault="002C4EFD" w:rsidP="002C4EFD">
      <w:pPr>
        <w:pStyle w:val="FootnoteText"/>
        <w:rPr>
          <w:rtl/>
        </w:rPr>
      </w:pPr>
      <w:r w:rsidRPr="00F764C1">
        <w:rPr>
          <w:rStyle w:val="FootnoteReference"/>
          <w:rFonts w:ascii="David" w:hAnsi="David"/>
          <w:vertAlign w:val="baseline"/>
        </w:rPr>
        <w:footnoteRef/>
      </w:r>
      <w:r>
        <w:rPr>
          <w:rtl/>
        </w:rPr>
        <w:tab/>
      </w:r>
      <w:r w:rsidRPr="0047048D">
        <w:t>Theresa Spilsbury,</w:t>
      </w:r>
      <w:r>
        <w:t xml:space="preserve"> </w:t>
      </w:r>
      <w:r w:rsidRPr="0047048D">
        <w:rPr>
          <w:i/>
          <w:iCs/>
        </w:rPr>
        <w:t>What Social Exclusion Means to Me</w:t>
      </w:r>
      <w:r w:rsidRPr="0047048D">
        <w:t>,</w:t>
      </w:r>
      <w:r>
        <w:t xml:space="preserve"> </w:t>
      </w:r>
      <w:r w:rsidRPr="0047048D">
        <w:rPr>
          <w:i/>
          <w:iCs/>
        </w:rPr>
        <w:t>in</w:t>
      </w:r>
      <w:r>
        <w:t xml:space="preserve"> </w:t>
      </w:r>
      <w:r w:rsidRPr="00F764C1">
        <w:rPr>
          <w:smallCaps/>
        </w:rPr>
        <w:t>From</w:t>
      </w:r>
      <w:r>
        <w:rPr>
          <w:smallCaps/>
        </w:rPr>
        <w:t xml:space="preserve"> S</w:t>
      </w:r>
      <w:r w:rsidRPr="00F764C1">
        <w:rPr>
          <w:smallCaps/>
        </w:rPr>
        <w:t>ocial</w:t>
      </w:r>
      <w:r>
        <w:rPr>
          <w:smallCaps/>
        </w:rPr>
        <w:t xml:space="preserve"> E</w:t>
      </w:r>
      <w:r w:rsidRPr="00F764C1">
        <w:rPr>
          <w:smallCaps/>
        </w:rPr>
        <w:t>xclusion to</w:t>
      </w:r>
      <w:r>
        <w:rPr>
          <w:smallCaps/>
        </w:rPr>
        <w:t xml:space="preserve"> P</w:t>
      </w:r>
      <w:r w:rsidRPr="00F764C1">
        <w:rPr>
          <w:smallCaps/>
        </w:rPr>
        <w:t>articipation</w:t>
      </w:r>
      <w:r>
        <w:t xml:space="preserve"> </w:t>
      </w:r>
      <w:r w:rsidRPr="0047048D">
        <w:t>91 (Aila</w:t>
      </w:r>
      <w:r>
        <w:t>-</w:t>
      </w:r>
      <w:r w:rsidRPr="0047048D">
        <w:t>Leena Matthies, Marja</w:t>
      </w:r>
      <w:r>
        <w:t xml:space="preserve"> </w:t>
      </w:r>
      <w:r w:rsidRPr="0047048D">
        <w:t xml:space="preserve">Jarvela </w:t>
      </w:r>
      <w:r>
        <w:t>&amp;</w:t>
      </w:r>
      <w:r w:rsidRPr="0047048D">
        <w:t xml:space="preserve"> Dave Ward eds., 2000)</w:t>
      </w:r>
      <w:r w:rsidRPr="0047048D">
        <w:rPr>
          <w:rtl/>
        </w:rPr>
        <w:t>.</w:t>
      </w:r>
    </w:p>
  </w:footnote>
  <w:footnote w:id="29">
    <w:p w:rsidR="008311C7" w:rsidRPr="0047048D" w:rsidRDefault="008311C7" w:rsidP="00731A70">
      <w:pPr>
        <w:pStyle w:val="FootnoteText"/>
        <w:jc w:val="both"/>
        <w:rPr>
          <w:rFonts w:ascii="David" w:hAnsi="David" w:cs="David"/>
          <w:rtl/>
        </w:rPr>
      </w:pPr>
      <w:r w:rsidRPr="0047048D">
        <w:rPr>
          <w:rStyle w:val="FootnoteReference"/>
          <w:rFonts w:ascii="David" w:hAnsi="David" w:cs="David"/>
        </w:rPr>
        <w:footnoteRef/>
      </w:r>
      <w:r>
        <w:rPr>
          <w:rFonts w:ascii="David" w:hAnsi="David" w:cs="David" w:hint="cs"/>
          <w:rtl/>
        </w:rPr>
        <w:t xml:space="preserve"> </w:t>
      </w:r>
      <w:r w:rsidRPr="00A25BB5">
        <w:rPr>
          <w:rFonts w:ascii="David" w:hAnsi="David" w:cs="David"/>
        </w:rPr>
        <w:t>Kenneth L. Karst &amp; Harold W. Horowitz, Affirmative Action and Equal Protection, 60 Va. L. Rev. 955, 965 (1974)</w:t>
      </w:r>
      <w:r>
        <w:rPr>
          <w:rFonts w:ascii="David" w:hAnsi="David" w:cs="David" w:hint="cs"/>
          <w:rtl/>
        </w:rPr>
        <w:t>.</w:t>
      </w:r>
    </w:p>
  </w:footnote>
  <w:footnote w:id="30">
    <w:p w:rsidR="008311C7" w:rsidRPr="0047048D" w:rsidRDefault="008311C7" w:rsidP="00DD0488">
      <w:pPr>
        <w:pStyle w:val="FootnoteText"/>
        <w:jc w:val="both"/>
        <w:rPr>
          <w:rFonts w:ascii="David" w:hAnsi="David" w:cs="David" w:hint="cs"/>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 xml:space="preserve">Timothy J. O'Neill, </w:t>
      </w:r>
      <w:r w:rsidRPr="0047048D">
        <w:rPr>
          <w:rFonts w:ascii="David" w:hAnsi="David" w:cs="David"/>
          <w:i/>
          <w:iCs/>
        </w:rPr>
        <w:t>The Language of Equality in a Constitutional Order</w:t>
      </w:r>
      <w:r w:rsidRPr="0047048D">
        <w:rPr>
          <w:rFonts w:ascii="David" w:hAnsi="David" w:cs="David"/>
        </w:rPr>
        <w:t>, 75(3) AM. POL. SCI. R</w:t>
      </w:r>
      <w:r>
        <w:rPr>
          <w:rFonts w:ascii="David" w:hAnsi="David" w:cs="David"/>
        </w:rPr>
        <w:t>ev</w:t>
      </w:r>
      <w:r w:rsidRPr="0047048D">
        <w:rPr>
          <w:rFonts w:ascii="David" w:hAnsi="David" w:cs="David"/>
        </w:rPr>
        <w:t xml:space="preserve">. 626, 630 (1981); Larry S. Temkin, </w:t>
      </w:r>
      <w:r w:rsidRPr="0047048D">
        <w:rPr>
          <w:rFonts w:ascii="David" w:hAnsi="David" w:cs="David"/>
          <w:i/>
          <w:iCs/>
        </w:rPr>
        <w:t>Inequality: A Complex, Individualistic, and Comparative Notion</w:t>
      </w:r>
      <w:r w:rsidRPr="0047048D">
        <w:rPr>
          <w:rFonts w:ascii="David" w:hAnsi="David" w:cs="David"/>
        </w:rPr>
        <w:t xml:space="preserve">, 11 </w:t>
      </w:r>
      <w:r w:rsidRPr="00A7099D">
        <w:rPr>
          <w:rFonts w:ascii="David" w:hAnsi="David" w:cs="David"/>
        </w:rPr>
        <w:t>P</w:t>
      </w:r>
      <w:r>
        <w:rPr>
          <w:rFonts w:ascii="David" w:hAnsi="David" w:cs="David"/>
        </w:rPr>
        <w:t>hilosophical</w:t>
      </w:r>
      <w:r w:rsidRPr="0047048D">
        <w:rPr>
          <w:rFonts w:ascii="David" w:hAnsi="David" w:cs="David"/>
        </w:rPr>
        <w:t xml:space="preserve"> I</w:t>
      </w:r>
      <w:r>
        <w:rPr>
          <w:rFonts w:ascii="David" w:hAnsi="David" w:cs="David"/>
        </w:rPr>
        <w:t>ssues</w:t>
      </w:r>
      <w:r w:rsidRPr="0047048D">
        <w:rPr>
          <w:rFonts w:ascii="David" w:hAnsi="David" w:cs="David"/>
        </w:rPr>
        <w:t xml:space="preserve"> 327, 329 (2001)</w:t>
      </w:r>
      <w:r w:rsidRPr="0047048D">
        <w:rPr>
          <w:rFonts w:ascii="David" w:hAnsi="David" w:cs="David"/>
          <w:rtl/>
        </w:rPr>
        <w:t xml:space="preserve">. </w:t>
      </w:r>
    </w:p>
  </w:footnote>
  <w:footnote w:id="31">
    <w:p w:rsidR="008311C7" w:rsidRPr="00DD0488" w:rsidRDefault="008311C7" w:rsidP="00DD0488">
      <w:pPr>
        <w:pStyle w:val="FootnoteText"/>
        <w:jc w:val="both"/>
        <w:rPr>
          <w:rFonts w:cs="David" w:hint="cs"/>
          <w:rtl/>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hint="eastAsia"/>
          <w:rtl/>
        </w:rPr>
        <w:t>אריסטו</w:t>
      </w:r>
      <w:r w:rsidRPr="0047048D">
        <w:rPr>
          <w:rFonts w:ascii="David" w:hAnsi="David" w:cs="David"/>
        </w:rPr>
        <w:t xml:space="preserve"> </w:t>
      </w:r>
      <w:r w:rsidRPr="0047048D">
        <w:rPr>
          <w:rFonts w:ascii="David" w:hAnsi="David" w:cs="David" w:hint="eastAsia"/>
          <w:rtl/>
        </w:rPr>
        <w:t>אתיקה</w:t>
      </w:r>
      <w:r w:rsidR="00DD0488">
        <w:rPr>
          <w:rFonts w:cs="David" w:hint="cs"/>
          <w:rtl/>
        </w:rPr>
        <w:t>.</w:t>
      </w:r>
    </w:p>
  </w:footnote>
  <w:footnote w:id="32">
    <w:p w:rsidR="008311C7" w:rsidRPr="0047048D" w:rsidRDefault="008311C7" w:rsidP="00731A70">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A</w:t>
      </w:r>
      <w:r>
        <w:rPr>
          <w:rFonts w:ascii="David" w:hAnsi="David" w:cs="David"/>
        </w:rPr>
        <w:t>martya sen</w:t>
      </w:r>
      <w:r w:rsidRPr="0047048D">
        <w:rPr>
          <w:rFonts w:ascii="David" w:hAnsi="David" w:cs="David"/>
        </w:rPr>
        <w:t>, I</w:t>
      </w:r>
      <w:r>
        <w:rPr>
          <w:rFonts w:ascii="David" w:hAnsi="David" w:cs="David"/>
        </w:rPr>
        <w:t>nequality</w:t>
      </w:r>
      <w:r w:rsidRPr="0047048D">
        <w:rPr>
          <w:rFonts w:ascii="David" w:hAnsi="David" w:cs="David"/>
        </w:rPr>
        <w:t xml:space="preserve"> </w:t>
      </w:r>
      <w:r>
        <w:rPr>
          <w:rFonts w:ascii="David" w:hAnsi="David" w:cs="David"/>
        </w:rPr>
        <w:t>re</w:t>
      </w:r>
      <w:r w:rsidRPr="0047048D">
        <w:rPr>
          <w:rFonts w:ascii="David" w:hAnsi="David" w:cs="David"/>
        </w:rPr>
        <w:t>-</w:t>
      </w:r>
      <w:r>
        <w:rPr>
          <w:rFonts w:ascii="David" w:hAnsi="David" w:cs="David"/>
        </w:rPr>
        <w:t>exemined</w:t>
      </w:r>
      <w:r w:rsidRPr="0047048D">
        <w:rPr>
          <w:rFonts w:ascii="David" w:hAnsi="David" w:cs="David"/>
        </w:rPr>
        <w:t xml:space="preserve"> 39–55 (1992)</w:t>
      </w:r>
      <w:r w:rsidRPr="0047048D">
        <w:rPr>
          <w:rFonts w:ascii="David" w:hAnsi="David" w:cs="David"/>
          <w:rtl/>
        </w:rPr>
        <w:t>.</w:t>
      </w:r>
    </w:p>
  </w:footnote>
  <w:footnote w:id="33">
    <w:p w:rsidR="00CA7263" w:rsidRPr="0047048D" w:rsidRDefault="00CA7263" w:rsidP="00CA7263">
      <w:pPr>
        <w:autoSpaceDE w:val="0"/>
        <w:autoSpaceDN w:val="0"/>
        <w:adjustRightInd w:val="0"/>
        <w:spacing w:after="0" w:line="240" w:lineRule="auto"/>
        <w:jc w:val="both"/>
        <w:rPr>
          <w:rFonts w:ascii="David" w:hAnsi="David" w:cs="David"/>
          <w:sz w:val="20"/>
          <w:szCs w:val="20"/>
          <w:rtl/>
        </w:rPr>
      </w:pPr>
      <w:r w:rsidRPr="0047048D">
        <w:rPr>
          <w:rStyle w:val="FootnoteReference"/>
          <w:rFonts w:ascii="David" w:hAnsi="David" w:cs="David"/>
          <w:sz w:val="20"/>
          <w:szCs w:val="20"/>
        </w:rPr>
        <w:footnoteRef/>
      </w:r>
      <w:r w:rsidRPr="0047048D">
        <w:rPr>
          <w:rFonts w:ascii="David" w:hAnsi="David" w:cs="David"/>
          <w:sz w:val="20"/>
          <w:szCs w:val="20"/>
          <w:rtl/>
        </w:rPr>
        <w:t xml:space="preserve"> </w:t>
      </w:r>
      <w:r w:rsidRPr="0047048D">
        <w:rPr>
          <w:rFonts w:ascii="David" w:hAnsi="David" w:cs="David"/>
          <w:sz w:val="20"/>
          <w:szCs w:val="20"/>
        </w:rPr>
        <w:t>Kang, J., &amp; Banaji, M.R</w:t>
      </w:r>
      <w:r w:rsidRPr="0047048D">
        <w:rPr>
          <w:rFonts w:ascii="David" w:hAnsi="David" w:cs="David"/>
          <w:i/>
          <w:iCs/>
          <w:sz w:val="20"/>
          <w:szCs w:val="20"/>
        </w:rPr>
        <w:t>. Fair measures: A behavioral realist revision of "Affirmative Action"</w:t>
      </w:r>
      <w:r w:rsidRPr="0047048D">
        <w:rPr>
          <w:rFonts w:ascii="David" w:hAnsi="David" w:cs="David"/>
          <w:sz w:val="20"/>
          <w:szCs w:val="20"/>
        </w:rPr>
        <w:t>. California Law Review, 94(4),</w:t>
      </w:r>
      <w:r w:rsidRPr="0047048D">
        <w:rPr>
          <w:rFonts w:ascii="David" w:hAnsi="David" w:cs="David"/>
          <w:i/>
          <w:iCs/>
          <w:sz w:val="20"/>
          <w:szCs w:val="20"/>
        </w:rPr>
        <w:t xml:space="preserve"> </w:t>
      </w:r>
      <w:r w:rsidRPr="0047048D">
        <w:rPr>
          <w:rFonts w:ascii="David" w:hAnsi="David" w:cs="David"/>
          <w:sz w:val="20"/>
          <w:szCs w:val="20"/>
        </w:rPr>
        <w:t>1063-1118 (2006)`Harrison, D.A., Kravitz, D.A., Mayer, D.M., Leslie, L.M., &amp; Lev-Arey, D.,</w:t>
      </w:r>
      <w:r w:rsidRPr="0047048D">
        <w:rPr>
          <w:rFonts w:ascii="David" w:hAnsi="David" w:cs="David"/>
          <w:i/>
          <w:iCs/>
          <w:sz w:val="20"/>
          <w:szCs w:val="20"/>
        </w:rPr>
        <w:t>Understanding attitudes toward affirmative action programs in employment: Summary and meta-analysis of 35 years of research</w:t>
      </w:r>
      <w:r w:rsidRPr="0047048D">
        <w:rPr>
          <w:rFonts w:ascii="David" w:hAnsi="David" w:cs="David"/>
          <w:sz w:val="20"/>
          <w:szCs w:val="20"/>
        </w:rPr>
        <w:t>. Journal of Applied Psychology</w:t>
      </w:r>
      <w:r w:rsidRPr="0047048D">
        <w:rPr>
          <w:rFonts w:ascii="David" w:hAnsi="David" w:cs="David"/>
          <w:i/>
          <w:iCs/>
          <w:sz w:val="20"/>
          <w:szCs w:val="20"/>
        </w:rPr>
        <w:t xml:space="preserve">, </w:t>
      </w:r>
      <w:r w:rsidRPr="0047048D">
        <w:rPr>
          <w:rFonts w:ascii="David" w:hAnsi="David" w:cs="David"/>
          <w:sz w:val="20"/>
          <w:szCs w:val="20"/>
        </w:rPr>
        <w:t>91(5),</w:t>
      </w:r>
      <w:r w:rsidRPr="0047048D">
        <w:rPr>
          <w:rFonts w:ascii="David" w:hAnsi="David" w:cs="David"/>
          <w:i/>
          <w:iCs/>
          <w:sz w:val="20"/>
          <w:szCs w:val="20"/>
        </w:rPr>
        <w:t xml:space="preserve"> </w:t>
      </w:r>
      <w:r w:rsidRPr="0047048D">
        <w:rPr>
          <w:rFonts w:ascii="David" w:hAnsi="David" w:cs="David"/>
          <w:sz w:val="20"/>
          <w:szCs w:val="20"/>
        </w:rPr>
        <w:t>1013-1036 (2006)</w:t>
      </w:r>
      <w:r w:rsidRPr="0047048D">
        <w:rPr>
          <w:rFonts w:ascii="David" w:hAnsi="David" w:cs="David"/>
          <w:sz w:val="20"/>
          <w:szCs w:val="20"/>
          <w:rtl/>
        </w:rPr>
        <w:t>.</w:t>
      </w:r>
    </w:p>
  </w:footnote>
  <w:footnote w:id="34">
    <w:p w:rsidR="007158A8" w:rsidRDefault="007158A8">
      <w:pPr>
        <w:pStyle w:val="FootnoteText"/>
        <w:rPr>
          <w:rFonts w:hint="cs"/>
        </w:rPr>
      </w:pPr>
      <w:r>
        <w:rPr>
          <w:rStyle w:val="FootnoteReference"/>
        </w:rPr>
        <w:footnoteRef/>
      </w:r>
      <w:r>
        <w:rPr>
          <w:rtl/>
        </w:rPr>
        <w:t xml:space="preserve"> </w:t>
      </w:r>
      <w:r>
        <w:rPr>
          <w:rFonts w:hint="cs"/>
        </w:rPr>
        <w:t>B</w:t>
      </w:r>
      <w:r>
        <w:t>owen, William G. and Bok, Derek (1998). The Shape of the River: Long-Term Consequences of Considering Race in College and University Admissions. Princeton, NJ: Prinston University Press.</w:t>
      </w:r>
    </w:p>
  </w:footnote>
  <w:footnote w:id="35">
    <w:p w:rsidR="00CA7263" w:rsidRPr="0047048D" w:rsidRDefault="00CA7263" w:rsidP="00984894">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 xml:space="preserve">Mack, D.A., Johnson, C.D., Green, T.D., Parisi, A.G., &amp; Thomas, K.M., </w:t>
      </w:r>
      <w:r w:rsidRPr="0047048D">
        <w:rPr>
          <w:rFonts w:ascii="David" w:hAnsi="David" w:cs="David"/>
          <w:i/>
          <w:iCs/>
        </w:rPr>
        <w:t>Motivation to control prejudice as a mediator of identity and affirmative action attitudes</w:t>
      </w:r>
      <w:r w:rsidRPr="0047048D">
        <w:rPr>
          <w:rFonts w:ascii="David" w:hAnsi="David" w:cs="David"/>
        </w:rPr>
        <w:t>. Journal of Applied Social Psychology, 32(5),</w:t>
      </w:r>
      <w:r w:rsidRPr="0047048D">
        <w:rPr>
          <w:rFonts w:ascii="David" w:hAnsi="David" w:cs="David"/>
          <w:i/>
          <w:iCs/>
        </w:rPr>
        <w:t xml:space="preserve"> </w:t>
      </w:r>
      <w:r w:rsidRPr="0047048D">
        <w:rPr>
          <w:rFonts w:ascii="David" w:hAnsi="David" w:cs="David"/>
        </w:rPr>
        <w:t>934-964 (2002)</w:t>
      </w:r>
      <w:r w:rsidRPr="0047048D">
        <w:rPr>
          <w:rFonts w:ascii="David" w:hAnsi="David" w:cs="David"/>
          <w:rtl/>
        </w:rPr>
        <w:t>.</w:t>
      </w:r>
    </w:p>
  </w:footnote>
  <w:footnote w:id="36">
    <w:p w:rsidR="00CA7263" w:rsidRPr="0047048D" w:rsidRDefault="00CA7263" w:rsidP="00984894">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00D1421C">
        <w:rPr>
          <w:rFonts w:ascii="David" w:hAnsi="David" w:cs="David" w:hint="cs"/>
          <w:rtl/>
        </w:rPr>
        <w:t xml:space="preserve">     </w:t>
      </w:r>
      <w:r w:rsidR="00D1421C" w:rsidRPr="00D1421C">
        <w:rPr>
          <w:rFonts w:ascii="David" w:hAnsi="David" w:cs="David" w:hint="eastAsia"/>
          <w:rtl/>
        </w:rPr>
        <w:t>בארצות</w:t>
      </w:r>
      <w:r w:rsidR="00D1421C" w:rsidRPr="00D1421C">
        <w:rPr>
          <w:rFonts w:ascii="David" w:hAnsi="David" w:cs="David"/>
          <w:rtl/>
        </w:rPr>
        <w:t xml:space="preserve"> </w:t>
      </w:r>
      <w:r w:rsidR="00D1421C" w:rsidRPr="00D1421C">
        <w:rPr>
          <w:rFonts w:ascii="David" w:hAnsi="David" w:cs="David" w:hint="eastAsia"/>
          <w:rtl/>
        </w:rPr>
        <w:t>הברית</w:t>
      </w:r>
      <w:r w:rsidR="00D1421C" w:rsidRPr="00D1421C">
        <w:rPr>
          <w:rFonts w:ascii="David" w:hAnsi="David" w:cs="David"/>
          <w:rtl/>
        </w:rPr>
        <w:t xml:space="preserve"> </w:t>
      </w:r>
      <w:r w:rsidR="00D1421C" w:rsidRPr="00D1421C">
        <w:rPr>
          <w:rFonts w:ascii="David" w:hAnsi="David" w:cs="David" w:hint="eastAsia"/>
          <w:rtl/>
        </w:rPr>
        <w:t>קבלת</w:t>
      </w:r>
      <w:r w:rsidR="00D1421C" w:rsidRPr="00D1421C">
        <w:rPr>
          <w:rFonts w:ascii="David" w:hAnsi="David" w:cs="David"/>
          <w:rtl/>
        </w:rPr>
        <w:t xml:space="preserve"> </w:t>
      </w:r>
      <w:r w:rsidR="00D1421C" w:rsidRPr="00D1421C">
        <w:rPr>
          <w:rFonts w:ascii="David" w:hAnsi="David" w:cs="David" w:hint="eastAsia"/>
          <w:rtl/>
        </w:rPr>
        <w:t>מועמד</w:t>
      </w:r>
      <w:r w:rsidR="00D1421C" w:rsidRPr="00D1421C">
        <w:rPr>
          <w:rFonts w:ascii="David" w:hAnsi="David" w:cs="David"/>
          <w:rtl/>
        </w:rPr>
        <w:t xml:space="preserve"> </w:t>
      </w:r>
      <w:r w:rsidR="00D1421C" w:rsidRPr="00D1421C">
        <w:rPr>
          <w:rFonts w:ascii="David" w:hAnsi="David" w:cs="David" w:hint="eastAsia"/>
          <w:rtl/>
        </w:rPr>
        <w:t>שאיננו</w:t>
      </w:r>
      <w:r w:rsidR="00D1421C" w:rsidRPr="00D1421C">
        <w:rPr>
          <w:rFonts w:ascii="David" w:hAnsi="David" w:cs="David"/>
          <w:rtl/>
        </w:rPr>
        <w:t xml:space="preserve"> </w:t>
      </w:r>
      <w:r w:rsidR="00D1421C" w:rsidRPr="00D1421C">
        <w:rPr>
          <w:rFonts w:ascii="David" w:hAnsi="David" w:cs="David" w:hint="eastAsia"/>
          <w:rtl/>
        </w:rPr>
        <w:t>עומד</w:t>
      </w:r>
      <w:r w:rsidR="00D1421C" w:rsidRPr="00D1421C">
        <w:rPr>
          <w:rFonts w:ascii="David" w:hAnsi="David" w:cs="David"/>
          <w:rtl/>
        </w:rPr>
        <w:t xml:space="preserve"> </w:t>
      </w:r>
      <w:r w:rsidR="00D1421C" w:rsidRPr="00D1421C">
        <w:rPr>
          <w:rFonts w:ascii="David" w:hAnsi="David" w:cs="David" w:hint="eastAsia"/>
          <w:rtl/>
        </w:rPr>
        <w:t>בתנאי</w:t>
      </w:r>
      <w:r w:rsidR="00D1421C" w:rsidRPr="00D1421C">
        <w:rPr>
          <w:rFonts w:ascii="David" w:hAnsi="David" w:cs="David"/>
          <w:rtl/>
        </w:rPr>
        <w:t xml:space="preserve"> </w:t>
      </w:r>
      <w:r w:rsidR="00D1421C" w:rsidRPr="00D1421C">
        <w:rPr>
          <w:rFonts w:ascii="David" w:hAnsi="David" w:cs="David" w:hint="eastAsia"/>
          <w:rtl/>
        </w:rPr>
        <w:t>הסף</w:t>
      </w:r>
      <w:r w:rsidR="00D1421C" w:rsidRPr="00D1421C">
        <w:rPr>
          <w:rFonts w:ascii="David" w:hAnsi="David" w:cs="David"/>
          <w:rtl/>
        </w:rPr>
        <w:t xml:space="preserve"> </w:t>
      </w:r>
      <w:r w:rsidR="00D1421C" w:rsidRPr="00D1421C">
        <w:rPr>
          <w:rFonts w:ascii="David" w:hAnsi="David" w:cs="David" w:hint="eastAsia"/>
          <w:rtl/>
        </w:rPr>
        <w:t>איננה</w:t>
      </w:r>
      <w:r w:rsidR="00D1421C" w:rsidRPr="00D1421C">
        <w:rPr>
          <w:rFonts w:ascii="David" w:hAnsi="David" w:cs="David"/>
          <w:rtl/>
        </w:rPr>
        <w:t xml:space="preserve"> </w:t>
      </w:r>
      <w:r w:rsidR="00D1421C" w:rsidRPr="00D1421C">
        <w:rPr>
          <w:rFonts w:ascii="David" w:hAnsi="David" w:cs="David" w:hint="eastAsia"/>
          <w:rtl/>
        </w:rPr>
        <w:t>חוקית</w:t>
      </w:r>
      <w:r w:rsidR="00D1421C">
        <w:rPr>
          <w:rFonts w:ascii="David" w:hAnsi="David" w:cs="David" w:hint="cs"/>
          <w:rtl/>
        </w:rPr>
        <w:t xml:space="preserve">: </w:t>
      </w:r>
      <w:r w:rsidRPr="0047048D">
        <w:rPr>
          <w:rFonts w:ascii="David" w:hAnsi="David" w:cs="David"/>
        </w:rPr>
        <w:t>Plous, S.</w:t>
      </w:r>
      <w:r>
        <w:rPr>
          <w:rFonts w:ascii="David" w:hAnsi="David" w:cs="David"/>
        </w:rPr>
        <w:t>,</w:t>
      </w:r>
      <w:r w:rsidRPr="0047048D">
        <w:rPr>
          <w:rFonts w:ascii="David" w:hAnsi="David" w:cs="David"/>
        </w:rPr>
        <w:t xml:space="preserve"> Ten myths about affirmative action. In S. Plous (Ed.), </w:t>
      </w:r>
      <w:r w:rsidRPr="0047048D">
        <w:rPr>
          <w:rFonts w:ascii="David" w:hAnsi="David" w:cs="David"/>
          <w:i/>
          <w:iCs/>
        </w:rPr>
        <w:t>Understanding</w:t>
      </w:r>
      <w:r w:rsidR="00D1421C">
        <w:rPr>
          <w:rFonts w:cs="David"/>
          <w:i/>
          <w:iCs/>
        </w:rPr>
        <w:t xml:space="preserve"> </w:t>
      </w:r>
      <w:r w:rsidR="00D1421C" w:rsidRPr="0047048D">
        <w:rPr>
          <w:rFonts w:ascii="David" w:hAnsi="David" w:cs="David"/>
          <w:i/>
          <w:iCs/>
        </w:rPr>
        <w:t>Prejudice and Discrimination</w:t>
      </w:r>
      <w:r w:rsidR="00D1421C">
        <w:rPr>
          <w:rFonts w:ascii="David" w:hAnsi="David" w:cs="David"/>
          <w:i/>
          <w:iCs/>
        </w:rPr>
        <w:t xml:space="preserve"> </w:t>
      </w:r>
      <w:r w:rsidR="00D1421C" w:rsidRPr="0047048D">
        <w:rPr>
          <w:rFonts w:ascii="David" w:hAnsi="David" w:cs="David"/>
        </w:rPr>
        <w:t>(pp. 206-212). New York: McGraw-Hill (2003)</w:t>
      </w:r>
      <w:r w:rsidR="00D1421C">
        <w:rPr>
          <w:rFonts w:ascii="David" w:hAnsi="David" w:cs="David"/>
          <w:i/>
          <w:iCs/>
        </w:rPr>
        <w:t xml:space="preserve"> </w:t>
      </w:r>
      <w:r w:rsidRPr="0047048D">
        <w:rPr>
          <w:rFonts w:ascii="David" w:hAnsi="David" w:cs="David"/>
          <w:i/>
          <w:iCs/>
          <w:rtl/>
        </w:rPr>
        <w:t xml:space="preserve">. </w:t>
      </w:r>
      <w:r w:rsidR="00984894">
        <w:rPr>
          <w:rFonts w:ascii="David" w:hAnsi="David" w:cs="David" w:hint="cs"/>
          <w:rtl/>
        </w:rPr>
        <w:t>(</w:t>
      </w:r>
      <w:r w:rsidRPr="0047048D">
        <w:rPr>
          <w:rFonts w:ascii="David" w:hAnsi="David" w:cs="David" w:hint="eastAsia"/>
          <w:rtl/>
        </w:rPr>
        <w:t>למעט</w:t>
      </w:r>
      <w:r w:rsidRPr="0047048D">
        <w:rPr>
          <w:rFonts w:ascii="David" w:hAnsi="David" w:cs="David"/>
          <w:rtl/>
        </w:rPr>
        <w:t xml:space="preserve"> </w:t>
      </w:r>
      <w:r w:rsidRPr="0047048D">
        <w:rPr>
          <w:rFonts w:ascii="David" w:hAnsi="David" w:cs="David" w:hint="eastAsia"/>
          <w:rtl/>
        </w:rPr>
        <w:t>משרות</w:t>
      </w:r>
      <w:r w:rsidRPr="0047048D">
        <w:rPr>
          <w:rFonts w:ascii="David" w:hAnsi="David" w:cs="David"/>
          <w:rtl/>
        </w:rPr>
        <w:t xml:space="preserve"> </w:t>
      </w:r>
      <w:r w:rsidRPr="0047048D">
        <w:rPr>
          <w:rFonts w:ascii="David" w:hAnsi="David" w:cs="David" w:hint="eastAsia"/>
          <w:rtl/>
        </w:rPr>
        <w:t>בכירות</w:t>
      </w:r>
      <w:r w:rsidRPr="0047048D">
        <w:rPr>
          <w:rFonts w:ascii="David" w:hAnsi="David" w:cs="David"/>
          <w:rtl/>
        </w:rPr>
        <w:t xml:space="preserve"> </w:t>
      </w:r>
      <w:r w:rsidRPr="0047048D">
        <w:rPr>
          <w:rFonts w:ascii="David" w:hAnsi="David" w:cs="David" w:hint="eastAsia"/>
          <w:rtl/>
        </w:rPr>
        <w:t>בארצות</w:t>
      </w:r>
      <w:r w:rsidRPr="0047048D">
        <w:rPr>
          <w:rFonts w:ascii="David" w:hAnsi="David" w:cs="David"/>
          <w:rtl/>
        </w:rPr>
        <w:t xml:space="preserve"> </w:t>
      </w:r>
      <w:r w:rsidRPr="0047048D">
        <w:rPr>
          <w:rFonts w:ascii="David" w:hAnsi="David" w:cs="David" w:hint="eastAsia"/>
          <w:rtl/>
        </w:rPr>
        <w:t>הברית</w:t>
      </w:r>
      <w:r w:rsidR="00984894">
        <w:rPr>
          <w:rFonts w:ascii="David" w:hAnsi="David" w:cs="David" w:hint="cs"/>
          <w:rtl/>
        </w:rPr>
        <w:t>)</w:t>
      </w:r>
      <w:r w:rsidRPr="0047048D">
        <w:rPr>
          <w:rFonts w:ascii="David" w:hAnsi="David" w:cs="David"/>
          <w:rtl/>
        </w:rPr>
        <w:t xml:space="preserve">. </w:t>
      </w:r>
    </w:p>
  </w:footnote>
  <w:footnote w:id="37">
    <w:p w:rsidR="00CA7263" w:rsidRPr="0047048D" w:rsidRDefault="00CA7263" w:rsidP="00CA7263">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Nacoste, R.B. Sources of stigma: Analyzing the psychology of affirmative action</w:t>
      </w:r>
      <w:r w:rsidRPr="0047048D">
        <w:rPr>
          <w:rFonts w:ascii="David" w:hAnsi="David" w:cs="David"/>
          <w:rtl/>
        </w:rPr>
        <w:t>.</w:t>
      </w:r>
    </w:p>
    <w:p w:rsidR="00CA7263" w:rsidRPr="0047048D" w:rsidRDefault="00CA7263" w:rsidP="00CA7263">
      <w:pPr>
        <w:pStyle w:val="FootnoteText"/>
        <w:jc w:val="both"/>
        <w:rPr>
          <w:rFonts w:ascii="David" w:hAnsi="David" w:cs="David"/>
          <w:rtl/>
        </w:rPr>
      </w:pPr>
      <w:r w:rsidRPr="0047048D">
        <w:rPr>
          <w:rFonts w:ascii="David" w:hAnsi="David" w:cs="David"/>
          <w:i/>
          <w:iCs/>
        </w:rPr>
        <w:t xml:space="preserve">Law &amp; Policy, 12(2), </w:t>
      </w:r>
      <w:r w:rsidRPr="0047048D">
        <w:rPr>
          <w:rFonts w:ascii="David" w:hAnsi="David" w:cs="David"/>
        </w:rPr>
        <w:t>175-195</w:t>
      </w:r>
      <w:r>
        <w:rPr>
          <w:rFonts w:ascii="David" w:hAnsi="David" w:cs="David"/>
        </w:rPr>
        <w:t xml:space="preserve"> </w:t>
      </w:r>
      <w:r w:rsidRPr="0047048D">
        <w:rPr>
          <w:rFonts w:ascii="David" w:hAnsi="David" w:cs="David"/>
        </w:rPr>
        <w:t>(1990)</w:t>
      </w:r>
      <w:r w:rsidRPr="0047048D">
        <w:rPr>
          <w:rFonts w:ascii="David" w:hAnsi="David" w:cs="David"/>
          <w:rtl/>
        </w:rPr>
        <w:t xml:space="preserve">. </w:t>
      </w:r>
      <w:r w:rsidRPr="0047048D">
        <w:rPr>
          <w:rFonts w:ascii="David" w:hAnsi="David" w:cs="David" w:hint="eastAsia"/>
          <w:rtl/>
        </w:rPr>
        <w:t>ניתן</w:t>
      </w:r>
      <w:r w:rsidRPr="0047048D">
        <w:rPr>
          <w:rFonts w:ascii="David" w:hAnsi="David" w:cs="David"/>
          <w:rtl/>
        </w:rPr>
        <w:t xml:space="preserve"> </w:t>
      </w:r>
      <w:r w:rsidRPr="0047048D">
        <w:rPr>
          <w:rFonts w:ascii="David" w:hAnsi="David" w:cs="David" w:hint="eastAsia"/>
          <w:rtl/>
        </w:rPr>
        <w:t>לומר</w:t>
      </w:r>
      <w:r w:rsidRPr="0047048D">
        <w:rPr>
          <w:rFonts w:ascii="David" w:hAnsi="David" w:cs="David"/>
          <w:rtl/>
        </w:rPr>
        <w:t xml:space="preserve"> </w:t>
      </w:r>
      <w:r w:rsidRPr="0047048D">
        <w:rPr>
          <w:rFonts w:ascii="David" w:hAnsi="David" w:cs="David" w:hint="eastAsia"/>
          <w:rtl/>
        </w:rPr>
        <w:t>אל</w:t>
      </w:r>
      <w:r w:rsidRPr="0047048D">
        <w:rPr>
          <w:rFonts w:ascii="David" w:hAnsi="David" w:cs="David"/>
          <w:rtl/>
        </w:rPr>
        <w:t xml:space="preserve"> </w:t>
      </w:r>
      <w:r w:rsidRPr="0047048D">
        <w:rPr>
          <w:rFonts w:ascii="David" w:hAnsi="David" w:cs="David" w:hint="eastAsia"/>
          <w:rtl/>
        </w:rPr>
        <w:t>מול</w:t>
      </w:r>
      <w:r w:rsidRPr="0047048D">
        <w:rPr>
          <w:rFonts w:ascii="David" w:hAnsi="David" w:cs="David"/>
          <w:rtl/>
        </w:rPr>
        <w:t xml:space="preserve"> </w:t>
      </w:r>
      <w:r w:rsidRPr="0047048D">
        <w:rPr>
          <w:rFonts w:ascii="David" w:hAnsi="David" w:cs="David" w:hint="eastAsia"/>
          <w:rtl/>
        </w:rPr>
        <w:t>קבוצת</w:t>
      </w:r>
      <w:r w:rsidRPr="0047048D">
        <w:rPr>
          <w:rFonts w:ascii="David" w:hAnsi="David" w:cs="David"/>
          <w:rtl/>
        </w:rPr>
        <w:t xml:space="preserve"> </w:t>
      </w:r>
      <w:r w:rsidRPr="0047048D">
        <w:rPr>
          <w:rFonts w:ascii="David" w:hAnsi="David" w:cs="David" w:hint="eastAsia"/>
          <w:rtl/>
        </w:rPr>
        <w:t>הרוב</w:t>
      </w:r>
      <w:r w:rsidRPr="0047048D">
        <w:rPr>
          <w:rFonts w:ascii="David" w:hAnsi="David" w:cs="David"/>
          <w:rtl/>
        </w:rPr>
        <w:t xml:space="preserve">, </w:t>
      </w:r>
      <w:r w:rsidRPr="0047048D">
        <w:rPr>
          <w:rFonts w:ascii="David" w:hAnsi="David" w:cs="David" w:hint="eastAsia"/>
          <w:rtl/>
        </w:rPr>
        <w:t>אך</w:t>
      </w:r>
      <w:r w:rsidRPr="0047048D">
        <w:rPr>
          <w:rFonts w:ascii="David" w:hAnsi="David" w:cs="David"/>
          <w:rtl/>
        </w:rPr>
        <w:t xml:space="preserve"> </w:t>
      </w:r>
      <w:r w:rsidRPr="0047048D">
        <w:rPr>
          <w:rFonts w:ascii="David" w:hAnsi="David" w:cs="David" w:hint="eastAsia"/>
          <w:rtl/>
        </w:rPr>
        <w:t>בהקשר</w:t>
      </w:r>
      <w:r w:rsidRPr="0047048D">
        <w:rPr>
          <w:rFonts w:ascii="David" w:hAnsi="David" w:cs="David"/>
          <w:rtl/>
        </w:rPr>
        <w:t xml:space="preserve"> </w:t>
      </w:r>
      <w:r w:rsidRPr="0047048D">
        <w:rPr>
          <w:rFonts w:ascii="David" w:hAnsi="David" w:cs="David" w:hint="eastAsia"/>
          <w:rtl/>
        </w:rPr>
        <w:t>של</w:t>
      </w:r>
      <w:r w:rsidRPr="0047048D">
        <w:rPr>
          <w:rFonts w:ascii="David" w:hAnsi="David" w:cs="David"/>
          <w:rtl/>
        </w:rPr>
        <w:t xml:space="preserve"> </w:t>
      </w:r>
      <w:r w:rsidRPr="0047048D">
        <w:rPr>
          <w:rFonts w:ascii="David" w:hAnsi="David" w:cs="David" w:hint="eastAsia"/>
          <w:rtl/>
        </w:rPr>
        <w:t>נשים</w:t>
      </w:r>
      <w:r w:rsidRPr="0047048D">
        <w:rPr>
          <w:rFonts w:ascii="David" w:hAnsi="David" w:cs="David"/>
          <w:rtl/>
        </w:rPr>
        <w:t xml:space="preserve"> </w:t>
      </w:r>
      <w:r w:rsidRPr="0047048D">
        <w:rPr>
          <w:rFonts w:ascii="David" w:hAnsi="David" w:cs="David" w:hint="eastAsia"/>
          <w:rtl/>
        </w:rPr>
        <w:t>וגברים</w:t>
      </w:r>
      <w:r w:rsidRPr="0047048D">
        <w:rPr>
          <w:rFonts w:ascii="David" w:hAnsi="David" w:cs="David"/>
          <w:rtl/>
        </w:rPr>
        <w:t xml:space="preserve"> </w:t>
      </w:r>
      <w:r w:rsidRPr="0047048D">
        <w:rPr>
          <w:rFonts w:ascii="David" w:hAnsi="David" w:cs="David" w:hint="eastAsia"/>
          <w:rtl/>
        </w:rPr>
        <w:t>אין</w:t>
      </w:r>
      <w:r w:rsidRPr="0047048D">
        <w:rPr>
          <w:rFonts w:ascii="David" w:hAnsi="David" w:cs="David"/>
          <w:rtl/>
        </w:rPr>
        <w:t xml:space="preserve"> </w:t>
      </w:r>
      <w:r w:rsidRPr="0047048D">
        <w:rPr>
          <w:rFonts w:ascii="David" w:hAnsi="David" w:cs="David" w:hint="eastAsia"/>
          <w:rtl/>
        </w:rPr>
        <w:t>הדבר</w:t>
      </w:r>
      <w:r w:rsidRPr="0047048D">
        <w:rPr>
          <w:rFonts w:ascii="David" w:hAnsi="David" w:cs="David"/>
          <w:rtl/>
        </w:rPr>
        <w:t xml:space="preserve"> </w:t>
      </w:r>
      <w:r w:rsidRPr="0047048D">
        <w:rPr>
          <w:rFonts w:ascii="David" w:hAnsi="David" w:cs="David" w:hint="eastAsia"/>
          <w:rtl/>
        </w:rPr>
        <w:t>בהכרח</w:t>
      </w:r>
      <w:r w:rsidRPr="0047048D">
        <w:rPr>
          <w:rFonts w:ascii="David" w:hAnsi="David" w:cs="David"/>
          <w:rtl/>
        </w:rPr>
        <w:t xml:space="preserve"> </w:t>
      </w:r>
      <w:r w:rsidRPr="0047048D">
        <w:rPr>
          <w:rFonts w:ascii="David" w:hAnsi="David" w:cs="David" w:hint="eastAsia"/>
          <w:rtl/>
        </w:rPr>
        <w:t>נכון</w:t>
      </w:r>
      <w:r w:rsidRPr="0047048D">
        <w:rPr>
          <w:rFonts w:ascii="David" w:hAnsi="David" w:cs="David"/>
          <w:rtl/>
        </w:rPr>
        <w:t xml:space="preserve"> </w:t>
      </w:r>
      <w:r w:rsidRPr="0047048D">
        <w:rPr>
          <w:rFonts w:ascii="David" w:hAnsi="David" w:cs="David" w:hint="eastAsia"/>
          <w:rtl/>
        </w:rPr>
        <w:t>ולכן</w:t>
      </w:r>
      <w:r w:rsidRPr="0047048D">
        <w:rPr>
          <w:rFonts w:ascii="David" w:hAnsi="David" w:cs="David"/>
          <w:rtl/>
        </w:rPr>
        <w:t xml:space="preserve"> </w:t>
      </w:r>
      <w:r w:rsidRPr="0047048D">
        <w:rPr>
          <w:rFonts w:ascii="David" w:hAnsi="David" w:cs="David" w:hint="eastAsia"/>
          <w:rtl/>
        </w:rPr>
        <w:t>ציינתי</w:t>
      </w:r>
      <w:r w:rsidRPr="0047048D">
        <w:rPr>
          <w:rFonts w:ascii="David" w:hAnsi="David" w:cs="David"/>
          <w:rtl/>
        </w:rPr>
        <w:t xml:space="preserve"> "</w:t>
      </w:r>
      <w:r w:rsidRPr="0047048D">
        <w:rPr>
          <w:rFonts w:ascii="David" w:hAnsi="David" w:cs="David" w:hint="eastAsia"/>
          <w:rtl/>
        </w:rPr>
        <w:t>הקבוצה</w:t>
      </w:r>
      <w:r w:rsidRPr="0047048D">
        <w:rPr>
          <w:rFonts w:ascii="David" w:hAnsi="David" w:cs="David"/>
          <w:rtl/>
        </w:rPr>
        <w:t xml:space="preserve"> </w:t>
      </w:r>
      <w:r w:rsidRPr="0047048D">
        <w:rPr>
          <w:rFonts w:ascii="David" w:hAnsi="David" w:cs="David" w:hint="eastAsia"/>
          <w:rtl/>
        </w:rPr>
        <w:t>החזקה</w:t>
      </w:r>
      <w:r w:rsidRPr="0047048D">
        <w:rPr>
          <w:rFonts w:ascii="David" w:hAnsi="David" w:cs="David"/>
          <w:rtl/>
        </w:rPr>
        <w:t>".</w:t>
      </w:r>
    </w:p>
  </w:footnote>
  <w:footnote w:id="38">
    <w:p w:rsidR="00CA7263" w:rsidRPr="0047048D" w:rsidRDefault="00CA7263" w:rsidP="00CA7263">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Kravitz, D.A., &amp; Platania, J. (1993). Attitudes and beliefs about affirmative action: Effects of</w:t>
      </w:r>
    </w:p>
    <w:p w:rsidR="00CA7263" w:rsidRPr="0047048D" w:rsidRDefault="00CA7263" w:rsidP="00CA7263">
      <w:pPr>
        <w:pStyle w:val="FootnoteText"/>
        <w:jc w:val="both"/>
        <w:rPr>
          <w:rFonts w:ascii="David" w:hAnsi="David" w:cs="David"/>
          <w:rtl/>
        </w:rPr>
      </w:pPr>
      <w:r w:rsidRPr="0047048D">
        <w:rPr>
          <w:rFonts w:ascii="David" w:hAnsi="David" w:cs="David"/>
        </w:rPr>
        <w:t xml:space="preserve">target and of respondent sex and ethnicity. </w:t>
      </w:r>
      <w:r w:rsidRPr="0047048D">
        <w:rPr>
          <w:rFonts w:ascii="David" w:hAnsi="David" w:cs="David"/>
          <w:i/>
          <w:iCs/>
        </w:rPr>
        <w:t>Journal of Applied Psychology</w:t>
      </w:r>
      <w:r w:rsidRPr="0047048D">
        <w:rPr>
          <w:rFonts w:ascii="David" w:hAnsi="David" w:cs="David"/>
        </w:rPr>
        <w:t xml:space="preserve">, </w:t>
      </w:r>
      <w:r w:rsidRPr="0047048D">
        <w:rPr>
          <w:rFonts w:ascii="David" w:hAnsi="David" w:cs="David"/>
          <w:i/>
          <w:iCs/>
        </w:rPr>
        <w:t xml:space="preserve">78(6), </w:t>
      </w:r>
      <w:r w:rsidRPr="0047048D">
        <w:rPr>
          <w:rFonts w:ascii="David" w:hAnsi="David" w:cs="David"/>
        </w:rPr>
        <w:t>928-938</w:t>
      </w:r>
      <w:r w:rsidRPr="0047048D">
        <w:rPr>
          <w:rFonts w:ascii="David" w:hAnsi="David" w:cs="David"/>
          <w:rtl/>
        </w:rPr>
        <w:t>.</w:t>
      </w:r>
    </w:p>
  </w:footnote>
  <w:footnote w:id="39">
    <w:p w:rsidR="00CA7263" w:rsidRPr="0047048D" w:rsidRDefault="00CA7263" w:rsidP="00CA7263">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Smith, W.A. (1998). Gender and racial/ethnic differences in the affirmative action attitudes of</w:t>
      </w:r>
    </w:p>
    <w:p w:rsidR="00CA7263" w:rsidRPr="0047048D" w:rsidRDefault="00CA7263" w:rsidP="00CA7263">
      <w:pPr>
        <w:pStyle w:val="FootnoteText"/>
        <w:jc w:val="both"/>
        <w:rPr>
          <w:rFonts w:ascii="David" w:hAnsi="David" w:cs="David"/>
          <w:rtl/>
        </w:rPr>
      </w:pPr>
      <w:r w:rsidRPr="0047048D">
        <w:rPr>
          <w:rFonts w:ascii="David" w:hAnsi="David" w:cs="David"/>
        </w:rPr>
        <w:t xml:space="preserve">U.S. college students. </w:t>
      </w:r>
      <w:r w:rsidRPr="0047048D">
        <w:rPr>
          <w:rFonts w:ascii="David" w:hAnsi="David" w:cs="David"/>
          <w:i/>
          <w:iCs/>
        </w:rPr>
        <w:t xml:space="preserve">Journal of Negro Education, 67(2), </w:t>
      </w:r>
      <w:r w:rsidRPr="0047048D">
        <w:rPr>
          <w:rFonts w:ascii="David" w:hAnsi="David" w:cs="David"/>
        </w:rPr>
        <w:t>127-141</w:t>
      </w:r>
      <w:r w:rsidRPr="0047048D">
        <w:rPr>
          <w:rFonts w:ascii="David" w:hAnsi="David" w:cs="David"/>
          <w:rtl/>
        </w:rPr>
        <w:t>.</w:t>
      </w:r>
    </w:p>
  </w:footnote>
  <w:footnote w:id="40">
    <w:p w:rsidR="00CA7263" w:rsidRPr="0047048D" w:rsidRDefault="00CA7263" w:rsidP="00CA7263">
      <w:pPr>
        <w:pStyle w:val="FootnoteText"/>
        <w:jc w:val="both"/>
        <w:rPr>
          <w:rFonts w:ascii="David" w:hAnsi="David" w:cs="David"/>
        </w:rPr>
      </w:pPr>
      <w:r w:rsidRPr="0047048D">
        <w:rPr>
          <w:rStyle w:val="FootnoteReference"/>
          <w:rFonts w:ascii="David" w:hAnsi="David" w:cs="David"/>
        </w:rPr>
        <w:footnoteRef/>
      </w:r>
      <w:r w:rsidRPr="0047048D">
        <w:rPr>
          <w:rFonts w:ascii="David" w:hAnsi="David" w:cs="David"/>
          <w:rtl/>
        </w:rPr>
        <w:t xml:space="preserve"> </w:t>
      </w:r>
      <w:r w:rsidRPr="0047048D">
        <w:rPr>
          <w:rFonts w:ascii="David" w:hAnsi="David" w:cs="David"/>
        </w:rPr>
        <w:t>Niemann, Y.F., &amp; Dovidio, J.F. (1998). Tenure, race/ethnicity and attitudes toward</w:t>
      </w:r>
    </w:p>
    <w:p w:rsidR="00CA7263" w:rsidRPr="0047048D" w:rsidRDefault="00CA7263" w:rsidP="00CA7263">
      <w:pPr>
        <w:pStyle w:val="FootnoteText"/>
        <w:jc w:val="both"/>
        <w:rPr>
          <w:rFonts w:ascii="David" w:hAnsi="David" w:cs="David"/>
        </w:rPr>
      </w:pPr>
      <w:r w:rsidRPr="0047048D">
        <w:rPr>
          <w:rFonts w:ascii="David" w:hAnsi="David" w:cs="David"/>
        </w:rPr>
        <w:t xml:space="preserve">affirmative action: A matter of self-interest? </w:t>
      </w:r>
      <w:r w:rsidRPr="0047048D">
        <w:rPr>
          <w:rFonts w:ascii="David" w:hAnsi="David" w:cs="David"/>
          <w:i/>
          <w:iCs/>
        </w:rPr>
        <w:t xml:space="preserve">Sociological Perspectives, 41(4), </w:t>
      </w:r>
      <w:r w:rsidRPr="0047048D">
        <w:rPr>
          <w:rFonts w:ascii="David" w:hAnsi="David" w:cs="David"/>
        </w:rPr>
        <w:t>783-796</w:t>
      </w:r>
      <w:r w:rsidRPr="0047048D">
        <w:rPr>
          <w:rFonts w:ascii="David" w:hAnsi="David" w:cs="David"/>
          <w:rtl/>
        </w:rPr>
        <w:t>.</w:t>
      </w:r>
    </w:p>
  </w:footnote>
  <w:footnote w:id="41">
    <w:p w:rsidR="00DD0488" w:rsidRDefault="00DD0488" w:rsidP="00DD0488">
      <w:pPr>
        <w:pStyle w:val="FootnoteText"/>
        <w:rPr>
          <w:rFonts w:hint="cs"/>
        </w:rPr>
      </w:pPr>
      <w:r>
        <w:rPr>
          <w:rStyle w:val="FootnoteReference"/>
        </w:rPr>
        <w:footnoteRef/>
      </w:r>
      <w:r>
        <w:rPr>
          <w:rtl/>
        </w:rPr>
        <w:t xml:space="preserve"> </w:t>
      </w:r>
      <w:r w:rsidRPr="00A956A7">
        <w:t xml:space="preserve">Ch.M. Koggel "A Feminist View of Equality and Its Implication for Affirmative Action" 7 Canadian Journal of Law and </w:t>
      </w:r>
      <w:r w:rsidRPr="00A956A7">
        <w:rPr>
          <w:rFonts w:hint="cs"/>
        </w:rPr>
        <w:t>J</w:t>
      </w:r>
      <w:r w:rsidRPr="00A956A7">
        <w:t>urisprudence (1994) 43</w:t>
      </w:r>
    </w:p>
  </w:footnote>
  <w:footnote w:id="42">
    <w:p w:rsidR="00E809FF" w:rsidRDefault="00E809FF">
      <w:pPr>
        <w:pStyle w:val="FootnoteText"/>
        <w:rPr>
          <w:rFonts w:hint="cs"/>
          <w:rtl/>
        </w:rPr>
      </w:pPr>
      <w:r>
        <w:rPr>
          <w:rStyle w:val="FootnoteReference"/>
        </w:rPr>
        <w:footnoteRef/>
      </w:r>
      <w:r>
        <w:rPr>
          <w:rtl/>
        </w:rPr>
        <w:t xml:space="preserve"> </w:t>
      </w:r>
      <w:r w:rsidRPr="00E809FF">
        <w:rPr>
          <w:rFonts w:ascii="David" w:hAnsi="David" w:cs="David" w:hint="cs"/>
          <w:rtl/>
        </w:rPr>
        <w:t>ראו על הבדלי גישה בין הצדקת העדפה מתקנת בשירות המדינה לבין היעדרה בשוק העבודה הפרטי, הנהנה מחירות גבוהה יותר בבחירת העובד.</w:t>
      </w:r>
      <w:r>
        <w:rPr>
          <w:rFonts w:hint="cs"/>
          <w:rtl/>
        </w:rPr>
        <w:t xml:space="preserve"> </w:t>
      </w:r>
      <w:r>
        <w:t>Koggle p.45</w:t>
      </w:r>
    </w:p>
  </w:footnote>
  <w:footnote w:id="43">
    <w:p w:rsidR="00E809FF" w:rsidRDefault="00E809FF" w:rsidP="00E809FF">
      <w:pPr>
        <w:pStyle w:val="FootnoteText"/>
        <w:rPr>
          <w:rtl/>
        </w:rPr>
      </w:pPr>
      <w:r>
        <w:rPr>
          <w:rStyle w:val="FootnoteReference"/>
        </w:rPr>
        <w:footnoteRef/>
      </w:r>
      <w:r>
        <w:rPr>
          <w:rtl/>
        </w:rPr>
        <w:t xml:space="preserve"> </w:t>
      </w:r>
      <w:r>
        <w:t>Koggle p.</w:t>
      </w:r>
      <w:r>
        <w:t>46</w:t>
      </w:r>
      <w:r>
        <w:rPr>
          <w:rFonts w:hint="cs"/>
          <w:rtl/>
        </w:rPr>
        <w:t xml:space="preserve">; </w:t>
      </w:r>
    </w:p>
    <w:p w:rsidR="00E809FF" w:rsidRDefault="00E809FF" w:rsidP="00E809FF">
      <w:pPr>
        <w:pStyle w:val="FootnoteText"/>
        <w:rPr>
          <w:rFonts w:hint="cs"/>
          <w:rtl/>
        </w:rPr>
      </w:pPr>
      <w:r>
        <w:rPr>
          <w:rFonts w:hint="cs"/>
        </w:rPr>
        <w:t>C</w:t>
      </w:r>
      <w:r>
        <w:t>layton, Susan D. and Crosby, Faye J. (1992) Justice, Gender, and Affirmative Action. University of Michigan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92B"/>
    <w:multiLevelType w:val="hybridMultilevel"/>
    <w:tmpl w:val="97D2E0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5122C"/>
    <w:multiLevelType w:val="hybridMultilevel"/>
    <w:tmpl w:val="8EF4CD66"/>
    <w:lvl w:ilvl="0" w:tplc="100A9E5A">
      <w:start w:val="1"/>
      <w:numFmt w:val="hebrew1"/>
      <w:lvlText w:val="%1."/>
      <w:lvlJc w:val="left"/>
      <w:pPr>
        <w:ind w:left="785" w:hanging="36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F560E40"/>
    <w:multiLevelType w:val="hybridMultilevel"/>
    <w:tmpl w:val="28080756"/>
    <w:lvl w:ilvl="0" w:tplc="0F883B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F3788"/>
    <w:multiLevelType w:val="hybridMultilevel"/>
    <w:tmpl w:val="28FA5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03454"/>
    <w:multiLevelType w:val="hybridMultilevel"/>
    <w:tmpl w:val="1672781A"/>
    <w:lvl w:ilvl="0" w:tplc="29DE843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208BC"/>
    <w:multiLevelType w:val="multilevel"/>
    <w:tmpl w:val="6554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53F62"/>
    <w:multiLevelType w:val="hybridMultilevel"/>
    <w:tmpl w:val="6BF8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B6DAE"/>
    <w:multiLevelType w:val="hybridMultilevel"/>
    <w:tmpl w:val="380E01E4"/>
    <w:lvl w:ilvl="0" w:tplc="24124FA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979B2"/>
    <w:multiLevelType w:val="hybridMultilevel"/>
    <w:tmpl w:val="51AEF9A4"/>
    <w:lvl w:ilvl="0" w:tplc="DD20D62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65571"/>
    <w:multiLevelType w:val="hybridMultilevel"/>
    <w:tmpl w:val="51188036"/>
    <w:lvl w:ilvl="0" w:tplc="C71640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E950D4"/>
    <w:multiLevelType w:val="hybridMultilevel"/>
    <w:tmpl w:val="61B6DAF6"/>
    <w:lvl w:ilvl="0" w:tplc="BB926CC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F4199"/>
    <w:multiLevelType w:val="hybridMultilevel"/>
    <w:tmpl w:val="34005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B0ECA"/>
    <w:multiLevelType w:val="hybridMultilevel"/>
    <w:tmpl w:val="9BE2A6BE"/>
    <w:lvl w:ilvl="0" w:tplc="BCAE13F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01BE0"/>
    <w:multiLevelType w:val="hybridMultilevel"/>
    <w:tmpl w:val="1DDC07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E117B5E"/>
    <w:multiLevelType w:val="hybridMultilevel"/>
    <w:tmpl w:val="169CE178"/>
    <w:lvl w:ilvl="0" w:tplc="388EF0F0">
      <w:start w:val="1"/>
      <w:numFmt w:val="decimal"/>
      <w:lvlText w:val="%1."/>
      <w:lvlJc w:val="left"/>
      <w:pPr>
        <w:ind w:left="720" w:hanging="360"/>
      </w:pPr>
      <w:rPr>
        <w:rFonts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021A3"/>
    <w:multiLevelType w:val="hybridMultilevel"/>
    <w:tmpl w:val="5F827556"/>
    <w:lvl w:ilvl="0" w:tplc="C916C81C">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74385"/>
    <w:multiLevelType w:val="hybridMultilevel"/>
    <w:tmpl w:val="1EB2FD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D1702E"/>
    <w:multiLevelType w:val="hybridMultilevel"/>
    <w:tmpl w:val="7A5CB532"/>
    <w:lvl w:ilvl="0" w:tplc="D9A88A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33A67"/>
    <w:multiLevelType w:val="hybridMultilevel"/>
    <w:tmpl w:val="29C006DA"/>
    <w:lvl w:ilvl="0" w:tplc="1E6681AC">
      <w:start w:val="1"/>
      <w:numFmt w:val="upperLetter"/>
      <w:lvlText w:val="%1."/>
      <w:lvlJc w:val="left"/>
      <w:pPr>
        <w:ind w:left="720" w:hanging="360"/>
      </w:pPr>
      <w:rPr>
        <w:rFonts w:ascii="Baskerville Old Face" w:hAnsi="Baskerville Old Face" w:cs="David"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236A2"/>
    <w:multiLevelType w:val="hybridMultilevel"/>
    <w:tmpl w:val="BFCA2818"/>
    <w:lvl w:ilvl="0" w:tplc="2E26D27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83A47"/>
    <w:multiLevelType w:val="hybridMultilevel"/>
    <w:tmpl w:val="3CB20504"/>
    <w:lvl w:ilvl="0" w:tplc="9CAABC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044D7"/>
    <w:multiLevelType w:val="multilevel"/>
    <w:tmpl w:val="372A9654"/>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cs="David" w:hint="default"/>
        <w:b/>
        <w:bCs/>
        <w:sz w:val="28"/>
        <w:szCs w:val="28"/>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E474A14"/>
    <w:multiLevelType w:val="hybridMultilevel"/>
    <w:tmpl w:val="42284EB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1"/>
  </w:num>
  <w:num w:numId="2">
    <w:abstractNumId w:val="15"/>
  </w:num>
  <w:num w:numId="3">
    <w:abstractNumId w:val="4"/>
  </w:num>
  <w:num w:numId="4">
    <w:abstractNumId w:val="1"/>
  </w:num>
  <w:num w:numId="5">
    <w:abstractNumId w:val="17"/>
  </w:num>
  <w:num w:numId="6">
    <w:abstractNumId w:val="7"/>
  </w:num>
  <w:num w:numId="7">
    <w:abstractNumId w:val="6"/>
  </w:num>
  <w:num w:numId="8">
    <w:abstractNumId w:val="12"/>
  </w:num>
  <w:num w:numId="9">
    <w:abstractNumId w:val="8"/>
  </w:num>
  <w:num w:numId="10">
    <w:abstractNumId w:val="19"/>
  </w:num>
  <w:num w:numId="11">
    <w:abstractNumId w:val="2"/>
  </w:num>
  <w:num w:numId="12">
    <w:abstractNumId w:val="3"/>
  </w:num>
  <w:num w:numId="13">
    <w:abstractNumId w:val="10"/>
  </w:num>
  <w:num w:numId="14">
    <w:abstractNumId w:val="20"/>
  </w:num>
  <w:num w:numId="15">
    <w:abstractNumId w:val="14"/>
  </w:num>
  <w:num w:numId="16">
    <w:abstractNumId w:val="18"/>
  </w:num>
  <w:num w:numId="17">
    <w:abstractNumId w:val="0"/>
  </w:num>
  <w:num w:numId="18">
    <w:abstractNumId w:val="16"/>
  </w:num>
  <w:num w:numId="19">
    <w:abstractNumId w:val="13"/>
  </w:num>
  <w:num w:numId="20">
    <w:abstractNumId w:val="22"/>
  </w:num>
  <w:num w:numId="21">
    <w:abstractNumId w:val="5"/>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0"/>
    <w:rsid w:val="00037E2B"/>
    <w:rsid w:val="00063D41"/>
    <w:rsid w:val="000A2FEA"/>
    <w:rsid w:val="000B385C"/>
    <w:rsid w:val="0023144B"/>
    <w:rsid w:val="002A41F7"/>
    <w:rsid w:val="002C4EFD"/>
    <w:rsid w:val="00411D36"/>
    <w:rsid w:val="005601E9"/>
    <w:rsid w:val="00637EF2"/>
    <w:rsid w:val="006C25AA"/>
    <w:rsid w:val="007158A8"/>
    <w:rsid w:val="00731A70"/>
    <w:rsid w:val="007D1595"/>
    <w:rsid w:val="008311C7"/>
    <w:rsid w:val="00984894"/>
    <w:rsid w:val="009B2C27"/>
    <w:rsid w:val="00A956A7"/>
    <w:rsid w:val="00AF0834"/>
    <w:rsid w:val="00AF0F2E"/>
    <w:rsid w:val="00CA7263"/>
    <w:rsid w:val="00D1421C"/>
    <w:rsid w:val="00DD0488"/>
    <w:rsid w:val="00E24149"/>
    <w:rsid w:val="00E809FF"/>
    <w:rsid w:val="00E9627E"/>
    <w:rsid w:val="00FE57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6E5"/>
  <w15:chartTrackingRefBased/>
  <w15:docId w15:val="{01398E6B-FFA7-4B56-8C7A-071CF1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70"/>
    <w:pPr>
      <w:bidi/>
      <w:spacing w:after="200" w:line="276" w:lineRule="auto"/>
    </w:pPr>
    <w:rPr>
      <w:rFonts w:eastAsiaTheme="minorEastAsia"/>
    </w:rPr>
  </w:style>
  <w:style w:type="paragraph" w:styleId="Heading1">
    <w:name w:val="heading 1"/>
    <w:basedOn w:val="Normal"/>
    <w:next w:val="Normal"/>
    <w:link w:val="Heading1Char"/>
    <w:uiPriority w:val="9"/>
    <w:qFormat/>
    <w:rsid w:val="00731A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31A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31A7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31A7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A7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31A7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31A7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31A70"/>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731A70"/>
    <w:pPr>
      <w:ind w:left="720"/>
      <w:contextualSpacing/>
    </w:pPr>
  </w:style>
  <w:style w:type="character" w:styleId="CommentReference">
    <w:name w:val="annotation reference"/>
    <w:basedOn w:val="DefaultParagraphFont"/>
    <w:unhideWhenUsed/>
    <w:rsid w:val="00731A70"/>
    <w:rPr>
      <w:sz w:val="16"/>
      <w:szCs w:val="16"/>
    </w:rPr>
  </w:style>
  <w:style w:type="paragraph" w:styleId="CommentText">
    <w:name w:val="annotation text"/>
    <w:basedOn w:val="Normal"/>
    <w:link w:val="CommentTextChar"/>
    <w:uiPriority w:val="99"/>
    <w:semiHidden/>
    <w:unhideWhenUsed/>
    <w:rsid w:val="00731A70"/>
    <w:pPr>
      <w:spacing w:line="240" w:lineRule="auto"/>
    </w:pPr>
    <w:rPr>
      <w:sz w:val="20"/>
      <w:szCs w:val="20"/>
    </w:rPr>
  </w:style>
  <w:style w:type="character" w:customStyle="1" w:styleId="CommentTextChar">
    <w:name w:val="Comment Text Char"/>
    <w:basedOn w:val="DefaultParagraphFont"/>
    <w:link w:val="CommentText"/>
    <w:uiPriority w:val="99"/>
    <w:semiHidden/>
    <w:rsid w:val="00731A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31A70"/>
    <w:rPr>
      <w:b/>
      <w:bCs/>
    </w:rPr>
  </w:style>
  <w:style w:type="character" w:customStyle="1" w:styleId="CommentSubjectChar">
    <w:name w:val="Comment Subject Char"/>
    <w:basedOn w:val="CommentTextChar"/>
    <w:link w:val="CommentSubject"/>
    <w:uiPriority w:val="99"/>
    <w:semiHidden/>
    <w:rsid w:val="00731A70"/>
    <w:rPr>
      <w:rFonts w:eastAsiaTheme="minorEastAsia"/>
      <w:b/>
      <w:bCs/>
      <w:sz w:val="20"/>
      <w:szCs w:val="20"/>
    </w:rPr>
  </w:style>
  <w:style w:type="paragraph" w:styleId="BalloonText">
    <w:name w:val="Balloon Text"/>
    <w:basedOn w:val="Normal"/>
    <w:link w:val="BalloonTextChar"/>
    <w:uiPriority w:val="99"/>
    <w:semiHidden/>
    <w:unhideWhenUsed/>
    <w:rsid w:val="0073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70"/>
    <w:rPr>
      <w:rFonts w:ascii="Tahoma" w:eastAsiaTheme="minorEastAsia" w:hAnsi="Tahoma" w:cs="Tahoma"/>
      <w:sz w:val="16"/>
      <w:szCs w:val="16"/>
    </w:rPr>
  </w:style>
  <w:style w:type="paragraph" w:styleId="TOCHeading">
    <w:name w:val="TOC Heading"/>
    <w:basedOn w:val="Heading1"/>
    <w:next w:val="Normal"/>
    <w:uiPriority w:val="39"/>
    <w:unhideWhenUsed/>
    <w:qFormat/>
    <w:rsid w:val="00731A70"/>
    <w:pPr>
      <w:outlineLvl w:val="9"/>
    </w:pPr>
    <w:rPr>
      <w:rtl/>
      <w:cs/>
    </w:rPr>
  </w:style>
  <w:style w:type="paragraph" w:styleId="TOC1">
    <w:name w:val="toc 1"/>
    <w:basedOn w:val="Normal"/>
    <w:next w:val="Normal"/>
    <w:autoRedefine/>
    <w:uiPriority w:val="39"/>
    <w:unhideWhenUsed/>
    <w:qFormat/>
    <w:rsid w:val="00731A70"/>
    <w:pPr>
      <w:tabs>
        <w:tab w:val="left" w:pos="368"/>
        <w:tab w:val="right" w:leader="dot" w:pos="8296"/>
      </w:tabs>
      <w:spacing w:after="100" w:line="360" w:lineRule="auto"/>
      <w:jc w:val="center"/>
    </w:pPr>
    <w:rPr>
      <w:rFonts w:ascii="Times New Roman" w:eastAsia="Times New Roman" w:hAnsi="Times New Roman" w:cs="David"/>
      <w:noProof/>
      <w:sz w:val="28"/>
      <w:szCs w:val="28"/>
      <w:lang w:eastAsia="he-IL"/>
    </w:rPr>
  </w:style>
  <w:style w:type="paragraph" w:styleId="TOC2">
    <w:name w:val="toc 2"/>
    <w:basedOn w:val="Normal"/>
    <w:next w:val="Normal"/>
    <w:autoRedefine/>
    <w:uiPriority w:val="39"/>
    <w:unhideWhenUsed/>
    <w:qFormat/>
    <w:rsid w:val="00731A70"/>
    <w:pPr>
      <w:tabs>
        <w:tab w:val="left" w:pos="880"/>
        <w:tab w:val="right" w:leader="dot" w:pos="8296"/>
      </w:tabs>
      <w:spacing w:after="100" w:line="360" w:lineRule="auto"/>
      <w:ind w:left="220"/>
    </w:pPr>
  </w:style>
  <w:style w:type="paragraph" w:styleId="TOC3">
    <w:name w:val="toc 3"/>
    <w:basedOn w:val="Normal"/>
    <w:next w:val="Normal"/>
    <w:autoRedefine/>
    <w:uiPriority w:val="39"/>
    <w:unhideWhenUsed/>
    <w:qFormat/>
    <w:rsid w:val="00731A70"/>
    <w:pPr>
      <w:spacing w:after="100"/>
      <w:ind w:left="440"/>
    </w:pPr>
  </w:style>
  <w:style w:type="character" w:styleId="Hyperlink">
    <w:name w:val="Hyperlink"/>
    <w:basedOn w:val="DefaultParagraphFont"/>
    <w:uiPriority w:val="99"/>
    <w:unhideWhenUsed/>
    <w:rsid w:val="00731A70"/>
    <w:rPr>
      <w:color w:val="0563C1" w:themeColor="hyperlink"/>
      <w:u w:val="single"/>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
    <w:basedOn w:val="Normal"/>
    <w:link w:val="FootnoteTextChar"/>
    <w:uiPriority w:val="99"/>
    <w:unhideWhenUsed/>
    <w:rsid w:val="00731A70"/>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rsid w:val="00731A70"/>
    <w:rPr>
      <w:rFonts w:eastAsiaTheme="minorEastAsia"/>
      <w:sz w:val="20"/>
      <w:szCs w:val="20"/>
    </w:rPr>
  </w:style>
  <w:style w:type="character" w:styleId="FootnoteReference">
    <w:name w:val="footnote reference"/>
    <w:aliases w:val="header 3,nota pié di pagina"/>
    <w:uiPriority w:val="99"/>
    <w:rsid w:val="00731A70"/>
    <w:rPr>
      <w:vertAlign w:val="superscript"/>
    </w:rPr>
  </w:style>
  <w:style w:type="character" w:customStyle="1" w:styleId="term">
    <w:name w:val="term"/>
    <w:basedOn w:val="DefaultParagraphFont"/>
    <w:rsid w:val="00731A70"/>
  </w:style>
  <w:style w:type="paragraph" w:styleId="TOC4">
    <w:name w:val="toc 4"/>
    <w:basedOn w:val="Normal"/>
    <w:next w:val="Normal"/>
    <w:autoRedefine/>
    <w:uiPriority w:val="39"/>
    <w:unhideWhenUsed/>
    <w:rsid w:val="00731A70"/>
    <w:pPr>
      <w:spacing w:after="100"/>
      <w:ind w:left="660"/>
    </w:pPr>
  </w:style>
  <w:style w:type="paragraph" w:styleId="NoSpacing">
    <w:name w:val="No Spacing"/>
    <w:uiPriority w:val="1"/>
    <w:qFormat/>
    <w:rsid w:val="00731A70"/>
    <w:pPr>
      <w:bidi/>
      <w:spacing w:after="0" w:line="240" w:lineRule="auto"/>
    </w:pPr>
    <w:rPr>
      <w:rFonts w:eastAsiaTheme="minorEastAsia"/>
    </w:rPr>
  </w:style>
  <w:style w:type="paragraph" w:customStyle="1" w:styleId="P00">
    <w:name w:val="P00"/>
    <w:rsid w:val="00731A7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Header">
    <w:name w:val="header"/>
    <w:basedOn w:val="Normal"/>
    <w:link w:val="HeaderChar"/>
    <w:uiPriority w:val="99"/>
    <w:unhideWhenUsed/>
    <w:rsid w:val="00731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A70"/>
    <w:rPr>
      <w:rFonts w:eastAsiaTheme="minorEastAsia"/>
    </w:rPr>
  </w:style>
  <w:style w:type="paragraph" w:styleId="Footer">
    <w:name w:val="footer"/>
    <w:basedOn w:val="Normal"/>
    <w:link w:val="FooterChar"/>
    <w:uiPriority w:val="99"/>
    <w:unhideWhenUsed/>
    <w:rsid w:val="00731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A70"/>
    <w:rPr>
      <w:rFonts w:eastAsiaTheme="minorEastAsia"/>
    </w:rPr>
  </w:style>
  <w:style w:type="paragraph" w:styleId="BodyText">
    <w:name w:val="Body Text"/>
    <w:basedOn w:val="Normal"/>
    <w:link w:val="BodyTextChar"/>
    <w:rsid w:val="00731A70"/>
    <w:pPr>
      <w:overflowPunct w:val="0"/>
      <w:autoSpaceDE w:val="0"/>
      <w:autoSpaceDN w:val="0"/>
      <w:adjustRightInd w:val="0"/>
      <w:spacing w:after="0" w:line="240" w:lineRule="auto"/>
      <w:jc w:val="both"/>
      <w:textAlignment w:val="baseline"/>
    </w:pPr>
    <w:rPr>
      <w:rFonts w:ascii="Times New Roman" w:eastAsia="Times New Roman" w:hAnsi="Times New Roman" w:cs="David"/>
      <w:sz w:val="20"/>
      <w:szCs w:val="26"/>
      <w:lang w:eastAsia="he-IL"/>
    </w:rPr>
  </w:style>
  <w:style w:type="character" w:customStyle="1" w:styleId="BodyTextChar">
    <w:name w:val="Body Text Char"/>
    <w:basedOn w:val="DefaultParagraphFont"/>
    <w:link w:val="BodyText"/>
    <w:rsid w:val="00731A70"/>
    <w:rPr>
      <w:rFonts w:ascii="Times New Roman" w:eastAsia="Times New Roman" w:hAnsi="Times New Roman" w:cs="David"/>
      <w:sz w:val="20"/>
      <w:szCs w:val="26"/>
      <w:lang w:eastAsia="he-IL"/>
    </w:rPr>
  </w:style>
  <w:style w:type="paragraph" w:customStyle="1" w:styleId="open-review-para">
    <w:name w:val="open-review-para"/>
    <w:basedOn w:val="Normal"/>
    <w:rsid w:val="00731A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en-review-para-comment">
    <w:name w:val="open-review-para-comment"/>
    <w:basedOn w:val="DefaultParagraphFont"/>
    <w:rsid w:val="00731A70"/>
  </w:style>
  <w:style w:type="character" w:customStyle="1" w:styleId="open-review-para-view">
    <w:name w:val="open-review-para-view"/>
    <w:basedOn w:val="DefaultParagraphFont"/>
    <w:rsid w:val="00731A70"/>
  </w:style>
  <w:style w:type="table" w:styleId="TableGrid">
    <w:name w:val="Table Grid"/>
    <w:basedOn w:val="TableNormal"/>
    <w:uiPriority w:val="59"/>
    <w:rsid w:val="00731A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1A70"/>
    <w:rPr>
      <w:color w:val="954F72" w:themeColor="followedHyperlink"/>
      <w:u w:val="single"/>
    </w:rPr>
  </w:style>
  <w:style w:type="paragraph" w:styleId="TOC5">
    <w:name w:val="toc 5"/>
    <w:basedOn w:val="Normal"/>
    <w:next w:val="Normal"/>
    <w:autoRedefine/>
    <w:uiPriority w:val="39"/>
    <w:unhideWhenUsed/>
    <w:rsid w:val="00731A70"/>
    <w:pPr>
      <w:spacing w:after="100"/>
      <w:ind w:left="880"/>
    </w:pPr>
  </w:style>
  <w:style w:type="paragraph" w:styleId="TOC6">
    <w:name w:val="toc 6"/>
    <w:basedOn w:val="Normal"/>
    <w:next w:val="Normal"/>
    <w:autoRedefine/>
    <w:uiPriority w:val="39"/>
    <w:unhideWhenUsed/>
    <w:rsid w:val="00731A70"/>
    <w:pPr>
      <w:spacing w:after="100"/>
      <w:ind w:left="1100"/>
    </w:pPr>
  </w:style>
  <w:style w:type="paragraph" w:styleId="TOC7">
    <w:name w:val="toc 7"/>
    <w:basedOn w:val="Normal"/>
    <w:next w:val="Normal"/>
    <w:autoRedefine/>
    <w:uiPriority w:val="39"/>
    <w:unhideWhenUsed/>
    <w:rsid w:val="00731A70"/>
    <w:pPr>
      <w:spacing w:after="100"/>
      <w:ind w:left="1320"/>
    </w:pPr>
  </w:style>
  <w:style w:type="paragraph" w:styleId="TOC8">
    <w:name w:val="toc 8"/>
    <w:basedOn w:val="Normal"/>
    <w:next w:val="Normal"/>
    <w:autoRedefine/>
    <w:uiPriority w:val="39"/>
    <w:unhideWhenUsed/>
    <w:rsid w:val="00731A70"/>
    <w:pPr>
      <w:spacing w:after="100"/>
      <w:ind w:left="1540"/>
    </w:pPr>
  </w:style>
  <w:style w:type="paragraph" w:styleId="TOC9">
    <w:name w:val="toc 9"/>
    <w:basedOn w:val="Normal"/>
    <w:next w:val="Normal"/>
    <w:autoRedefine/>
    <w:uiPriority w:val="39"/>
    <w:unhideWhenUsed/>
    <w:rsid w:val="00731A70"/>
    <w:pPr>
      <w:spacing w:after="100"/>
      <w:ind w:left="1760"/>
    </w:pPr>
  </w:style>
  <w:style w:type="paragraph" w:styleId="BodyTextIndent">
    <w:name w:val="Body Text Indent"/>
    <w:basedOn w:val="Normal"/>
    <w:link w:val="BodyTextIndentChar"/>
    <w:uiPriority w:val="99"/>
    <w:semiHidden/>
    <w:unhideWhenUsed/>
    <w:rsid w:val="00731A70"/>
    <w:pPr>
      <w:spacing w:after="120"/>
      <w:ind w:left="283"/>
    </w:pPr>
  </w:style>
  <w:style w:type="character" w:customStyle="1" w:styleId="BodyTextIndentChar">
    <w:name w:val="Body Text Indent Char"/>
    <w:basedOn w:val="DefaultParagraphFont"/>
    <w:link w:val="BodyTextIndent"/>
    <w:uiPriority w:val="99"/>
    <w:semiHidden/>
    <w:rsid w:val="00731A70"/>
    <w:rPr>
      <w:rFonts w:eastAsiaTheme="minorEastAsia"/>
    </w:rPr>
  </w:style>
  <w:style w:type="character" w:customStyle="1" w:styleId="Hyperlink1">
    <w:name w:val="Hyperlink1"/>
    <w:basedOn w:val="DefaultParagraphFont"/>
    <w:uiPriority w:val="99"/>
    <w:unhideWhenUsed/>
    <w:rsid w:val="00731A70"/>
    <w:rPr>
      <w:color w:val="0000FF"/>
      <w:u w:val="single"/>
    </w:rPr>
  </w:style>
  <w:style w:type="paragraph" w:customStyle="1" w:styleId="page">
    <w:name w:val="page"/>
    <w:basedOn w:val="Normal"/>
    <w:rsid w:val="00731A7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header">
    <w:name w:val="medium-header"/>
    <w:basedOn w:val="Normal"/>
    <w:rsid w:val="00731A7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0">
    <w:name w:val="p00"/>
    <w:basedOn w:val="Normal"/>
    <w:rsid w:val="00731A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731A70"/>
  </w:style>
  <w:style w:type="character" w:customStyle="1" w:styleId="apple-converted-space">
    <w:name w:val="apple-converted-space"/>
    <w:basedOn w:val="DefaultParagraphFont"/>
    <w:rsid w:val="00731A70"/>
  </w:style>
  <w:style w:type="numbering" w:customStyle="1" w:styleId="NoList1">
    <w:name w:val="No List1"/>
    <w:next w:val="NoList"/>
    <w:uiPriority w:val="99"/>
    <w:semiHidden/>
    <w:unhideWhenUsed/>
    <w:rsid w:val="00731A70"/>
  </w:style>
  <w:style w:type="table" w:customStyle="1" w:styleId="TableGrid1">
    <w:name w:val="Table Grid1"/>
    <w:basedOn w:val="TableNormal"/>
    <w:next w:val="TableGrid"/>
    <w:uiPriority w:val="59"/>
    <w:rsid w:val="00731A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ללא רשימה1"/>
    <w:next w:val="NoList"/>
    <w:uiPriority w:val="99"/>
    <w:semiHidden/>
    <w:unhideWhenUsed/>
    <w:rsid w:val="00731A70"/>
  </w:style>
  <w:style w:type="table" w:customStyle="1" w:styleId="10">
    <w:name w:val="טבלת רשת1"/>
    <w:basedOn w:val="TableNormal"/>
    <w:next w:val="TableGrid"/>
    <w:uiPriority w:val="59"/>
    <w:rsid w:val="00731A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ללא רשימה2"/>
    <w:next w:val="NoList"/>
    <w:uiPriority w:val="99"/>
    <w:semiHidden/>
    <w:unhideWhenUsed/>
    <w:rsid w:val="00731A70"/>
  </w:style>
  <w:style w:type="table" w:customStyle="1" w:styleId="20">
    <w:name w:val="טבלת רשת2"/>
    <w:basedOn w:val="TableNormal"/>
    <w:next w:val="TableGrid"/>
    <w:uiPriority w:val="59"/>
    <w:rsid w:val="00731A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4EFD"/>
    <w:pPr>
      <w:spacing w:after="0" w:line="240" w:lineRule="auto"/>
    </w:pPr>
    <w:rPr>
      <w:sz w:val="20"/>
      <w:szCs w:val="20"/>
    </w:rPr>
  </w:style>
  <w:style w:type="character" w:customStyle="1" w:styleId="EndnoteTextChar">
    <w:name w:val="Endnote Text Char"/>
    <w:basedOn w:val="DefaultParagraphFont"/>
    <w:link w:val="EndnoteText"/>
    <w:uiPriority w:val="99"/>
    <w:rsid w:val="002C4EFD"/>
    <w:rPr>
      <w:rFonts w:eastAsiaTheme="minorEastAsia"/>
      <w:sz w:val="20"/>
      <w:szCs w:val="20"/>
    </w:rPr>
  </w:style>
  <w:style w:type="character" w:styleId="EndnoteReference">
    <w:name w:val="endnote reference"/>
    <w:basedOn w:val="DefaultParagraphFont"/>
    <w:uiPriority w:val="99"/>
    <w:semiHidden/>
    <w:unhideWhenUsed/>
    <w:rsid w:val="002C4EFD"/>
    <w:rPr>
      <w:vertAlign w:val="superscript"/>
    </w:rPr>
  </w:style>
  <w:style w:type="paragraph" w:customStyle="1" w:styleId="NormalFirstParagraph">
    <w:name w:val="Normal – First Paragraph"/>
    <w:basedOn w:val="Normal"/>
    <w:next w:val="Normal"/>
    <w:qFormat/>
    <w:rsid w:val="002C4EFD"/>
    <w:pPr>
      <w:spacing w:after="0" w:line="360" w:lineRule="auto"/>
      <w:jc w:val="both"/>
    </w:pPr>
    <w:rPr>
      <w:rFonts w:ascii="Times New Roman" w:hAnsi="Times New Roman" w:cs="David"/>
      <w:sz w:val="24"/>
      <w:szCs w:val="24"/>
    </w:rPr>
  </w:style>
  <w:style w:type="paragraph" w:styleId="NormalWeb">
    <w:name w:val="Normal (Web)"/>
    <w:basedOn w:val="Normal"/>
    <w:uiPriority w:val="99"/>
    <w:semiHidden/>
    <w:unhideWhenUsed/>
    <w:rsid w:val="00E962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0122-1C5F-41F5-858A-DA5DF508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3033</Words>
  <Characters>15169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IDC</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Nadiv Neta</cp:lastModifiedBy>
  <cp:revision>4</cp:revision>
  <dcterms:created xsi:type="dcterms:W3CDTF">2020-12-10T07:29:00Z</dcterms:created>
  <dcterms:modified xsi:type="dcterms:W3CDTF">2020-12-10T10:02:00Z</dcterms:modified>
</cp:coreProperties>
</file>