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5A2FCA" w14:textId="6558607A" w:rsidR="003E6F1E" w:rsidRDefault="006B47B0" w:rsidP="008409C3">
      <w:pPr>
        <w:pStyle w:val="EndnoteText"/>
        <w:spacing w:after="60" w:line="360" w:lineRule="auto"/>
        <w:jc w:val="both"/>
        <w:rPr>
          <w:rFonts w:asciiTheme="majorBidi" w:hAnsiTheme="majorBidi" w:cstheme="majorBidi"/>
          <w:b/>
          <w:bCs/>
          <w:lang w:bidi="he-IL"/>
        </w:rPr>
      </w:pPr>
      <w:r>
        <w:rPr>
          <w:rFonts w:asciiTheme="majorBidi" w:hAnsiTheme="majorBidi" w:cstheme="majorBidi"/>
          <w:b/>
          <w:bCs/>
          <w:lang w:bidi="he-IL"/>
        </w:rPr>
        <w:t>Kimberley C. Patton</w:t>
      </w:r>
    </w:p>
    <w:p w14:paraId="3D98DA30" w14:textId="5ACE7A3F" w:rsidR="006B47B0" w:rsidRDefault="002B35A7" w:rsidP="000050DF">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 xml:space="preserve">As if heeding to Simon Goldhill’s plea for real-life examples, Kimberley Patton’s </w:t>
      </w:r>
      <w:r w:rsidR="00EB5842">
        <w:rPr>
          <w:rFonts w:asciiTheme="majorBidi" w:hAnsiTheme="majorBidi" w:cstheme="majorBidi"/>
          <w:lang w:bidi="he-IL"/>
        </w:rPr>
        <w:t>contribution</w:t>
      </w:r>
      <w:r>
        <w:rPr>
          <w:rFonts w:asciiTheme="majorBidi" w:hAnsiTheme="majorBidi" w:cstheme="majorBidi"/>
          <w:lang w:bidi="he-IL"/>
        </w:rPr>
        <w:t xml:space="preserve"> challenges us </w:t>
      </w:r>
      <w:r w:rsidR="003B7C01">
        <w:rPr>
          <w:rFonts w:asciiTheme="majorBidi" w:hAnsiTheme="majorBidi" w:cstheme="majorBidi"/>
          <w:lang w:bidi="he-IL"/>
        </w:rPr>
        <w:t xml:space="preserve">with a </w:t>
      </w:r>
      <w:r w:rsidR="00787B04">
        <w:rPr>
          <w:rFonts w:asciiTheme="majorBidi" w:hAnsiTheme="majorBidi" w:cstheme="majorBidi"/>
          <w:lang w:bidi="he-IL"/>
        </w:rPr>
        <w:t xml:space="preserve">series </w:t>
      </w:r>
      <w:r w:rsidR="003B7C01">
        <w:rPr>
          <w:rFonts w:asciiTheme="majorBidi" w:hAnsiTheme="majorBidi" w:cstheme="majorBidi"/>
          <w:lang w:bidi="he-IL"/>
        </w:rPr>
        <w:t xml:space="preserve">of richly diverse </w:t>
      </w:r>
      <w:r w:rsidR="00787B04">
        <w:rPr>
          <w:rFonts w:asciiTheme="majorBidi" w:hAnsiTheme="majorBidi" w:cstheme="majorBidi"/>
          <w:lang w:bidi="he-IL"/>
        </w:rPr>
        <w:t>arenas</w:t>
      </w:r>
      <w:r w:rsidR="003B7C01">
        <w:rPr>
          <w:rFonts w:asciiTheme="majorBidi" w:hAnsiTheme="majorBidi" w:cstheme="majorBidi"/>
          <w:lang w:bidi="he-IL"/>
        </w:rPr>
        <w:t xml:space="preserve"> in which she sees </w:t>
      </w:r>
      <w:r w:rsidR="00EB5842">
        <w:rPr>
          <w:rFonts w:asciiTheme="majorBidi" w:hAnsiTheme="majorBidi" w:cstheme="majorBidi"/>
          <w:lang w:bidi="he-IL"/>
        </w:rPr>
        <w:t>our ideas</w:t>
      </w:r>
      <w:r w:rsidR="003B7C01">
        <w:rPr>
          <w:rFonts w:asciiTheme="majorBidi" w:hAnsiTheme="majorBidi" w:cstheme="majorBidi"/>
          <w:lang w:bidi="he-IL"/>
        </w:rPr>
        <w:t xml:space="preserve"> reflected. </w:t>
      </w:r>
      <w:r w:rsidR="00787B04">
        <w:rPr>
          <w:rFonts w:asciiTheme="majorBidi" w:hAnsiTheme="majorBidi" w:cstheme="majorBidi"/>
          <w:lang w:bidi="he-IL"/>
        </w:rPr>
        <w:t>The</w:t>
      </w:r>
      <w:r w:rsidR="00EB5842">
        <w:rPr>
          <w:rFonts w:asciiTheme="majorBidi" w:hAnsiTheme="majorBidi" w:cstheme="majorBidi"/>
          <w:lang w:bidi="he-IL"/>
        </w:rPr>
        <w:t>y</w:t>
      </w:r>
      <w:r w:rsidR="00787B04">
        <w:rPr>
          <w:rFonts w:asciiTheme="majorBidi" w:hAnsiTheme="majorBidi" w:cstheme="majorBidi"/>
          <w:lang w:bidi="he-IL"/>
        </w:rPr>
        <w:t xml:space="preserve"> are not presented </w:t>
      </w:r>
      <w:r w:rsidR="00EB5842">
        <w:rPr>
          <w:rFonts w:asciiTheme="majorBidi" w:hAnsiTheme="majorBidi" w:cstheme="majorBidi"/>
          <w:lang w:bidi="he-IL"/>
        </w:rPr>
        <w:t>as critiques</w:t>
      </w:r>
      <w:r w:rsidR="009D6829">
        <w:rPr>
          <w:rFonts w:asciiTheme="majorBidi" w:hAnsiTheme="majorBidi" w:cstheme="majorBidi"/>
          <w:lang w:bidi="he-IL"/>
        </w:rPr>
        <w:t>. Nonetheless,</w:t>
      </w:r>
      <w:r w:rsidR="00DD5F16">
        <w:rPr>
          <w:rFonts w:asciiTheme="majorBidi" w:hAnsiTheme="majorBidi" w:cstheme="majorBidi"/>
          <w:lang w:bidi="he-IL"/>
        </w:rPr>
        <w:t xml:space="preserve"> </w:t>
      </w:r>
      <w:r w:rsidR="00EB5842">
        <w:rPr>
          <w:rFonts w:asciiTheme="majorBidi" w:hAnsiTheme="majorBidi" w:cstheme="majorBidi"/>
          <w:lang w:bidi="he-IL"/>
        </w:rPr>
        <w:t xml:space="preserve">with every unanticipated application, </w:t>
      </w:r>
      <w:r w:rsidR="00067EEB">
        <w:rPr>
          <w:rFonts w:asciiTheme="majorBidi" w:hAnsiTheme="majorBidi" w:cstheme="majorBidi"/>
          <w:lang w:bidi="he-IL"/>
        </w:rPr>
        <w:t>philosophical</w:t>
      </w:r>
      <w:r w:rsidR="00EB5842">
        <w:rPr>
          <w:rFonts w:asciiTheme="majorBidi" w:hAnsiTheme="majorBidi" w:cstheme="majorBidi"/>
          <w:lang w:bidi="he-IL"/>
        </w:rPr>
        <w:t xml:space="preserve"> musings</w:t>
      </w:r>
      <w:r w:rsidR="00067EEB">
        <w:rPr>
          <w:rFonts w:asciiTheme="majorBidi" w:hAnsiTheme="majorBidi" w:cstheme="majorBidi"/>
          <w:lang w:bidi="he-IL"/>
        </w:rPr>
        <w:t xml:space="preserve"> like our</w:t>
      </w:r>
      <w:r w:rsidR="00EB5842">
        <w:rPr>
          <w:rFonts w:asciiTheme="majorBidi" w:hAnsiTheme="majorBidi" w:cstheme="majorBidi"/>
          <w:lang w:bidi="he-IL"/>
        </w:rPr>
        <w:t>s</w:t>
      </w:r>
      <w:r w:rsidR="00067EEB">
        <w:rPr>
          <w:rFonts w:asciiTheme="majorBidi" w:hAnsiTheme="majorBidi" w:cstheme="majorBidi"/>
          <w:lang w:bidi="he-IL"/>
        </w:rPr>
        <w:t xml:space="preserve"> </w:t>
      </w:r>
      <w:r w:rsidR="00D36C0E">
        <w:rPr>
          <w:rFonts w:asciiTheme="majorBidi" w:hAnsiTheme="majorBidi" w:cstheme="majorBidi"/>
          <w:lang w:bidi="he-IL"/>
        </w:rPr>
        <w:t xml:space="preserve">acquire new meaning and nuance, </w:t>
      </w:r>
      <w:r w:rsidR="00EB5842">
        <w:rPr>
          <w:rFonts w:asciiTheme="majorBidi" w:hAnsiTheme="majorBidi" w:cstheme="majorBidi"/>
          <w:lang w:bidi="he-IL"/>
        </w:rPr>
        <w:t>and a richer sense</w:t>
      </w:r>
      <w:r w:rsidR="00D36C0E">
        <w:rPr>
          <w:rFonts w:asciiTheme="majorBidi" w:hAnsiTheme="majorBidi" w:cstheme="majorBidi"/>
          <w:lang w:bidi="he-IL"/>
        </w:rPr>
        <w:t xml:space="preserve"> </w:t>
      </w:r>
      <w:r w:rsidR="00EB5842">
        <w:rPr>
          <w:rFonts w:asciiTheme="majorBidi" w:hAnsiTheme="majorBidi" w:cstheme="majorBidi"/>
          <w:lang w:bidi="he-IL"/>
        </w:rPr>
        <w:t>of how far they extend</w:t>
      </w:r>
      <w:r w:rsidR="00D36C0E">
        <w:rPr>
          <w:rFonts w:asciiTheme="majorBidi" w:hAnsiTheme="majorBidi" w:cstheme="majorBidi"/>
          <w:lang w:bidi="he-IL"/>
        </w:rPr>
        <w:t xml:space="preserve">. Patton reflects on </w:t>
      </w:r>
      <w:r w:rsidR="007C2ECF">
        <w:rPr>
          <w:rFonts w:asciiTheme="majorBidi" w:hAnsiTheme="majorBidi" w:cstheme="majorBidi"/>
          <w:i/>
          <w:iCs/>
          <w:lang w:bidi="he-IL"/>
        </w:rPr>
        <w:t>T</w:t>
      </w:r>
      <w:r w:rsidR="00D36C0E" w:rsidRPr="007C2ECF">
        <w:rPr>
          <w:rFonts w:asciiTheme="majorBidi" w:hAnsiTheme="majorBidi" w:cstheme="majorBidi"/>
          <w:i/>
          <w:iCs/>
          <w:lang w:bidi="he-IL"/>
        </w:rPr>
        <w:t>he</w:t>
      </w:r>
      <w:r w:rsidR="00D36C0E">
        <w:rPr>
          <w:rFonts w:asciiTheme="majorBidi" w:hAnsiTheme="majorBidi" w:cstheme="majorBidi"/>
          <w:lang w:bidi="he-IL"/>
        </w:rPr>
        <w:t xml:space="preserve"> </w:t>
      </w:r>
      <w:r w:rsidR="00D36C0E" w:rsidRPr="00D36C0E">
        <w:rPr>
          <w:rFonts w:asciiTheme="majorBidi" w:hAnsiTheme="majorBidi" w:cstheme="majorBidi"/>
          <w:i/>
          <w:iCs/>
          <w:lang w:bidi="he-IL"/>
        </w:rPr>
        <w:t>View From Within</w:t>
      </w:r>
      <w:r w:rsidR="00D36C0E">
        <w:rPr>
          <w:rFonts w:asciiTheme="majorBidi" w:hAnsiTheme="majorBidi" w:cstheme="majorBidi"/>
          <w:lang w:bidi="he-IL"/>
        </w:rPr>
        <w:t xml:space="preserve"> by example, rather </w:t>
      </w:r>
      <w:r w:rsidR="0035190C">
        <w:rPr>
          <w:rFonts w:asciiTheme="majorBidi" w:hAnsiTheme="majorBidi" w:cstheme="majorBidi"/>
          <w:lang w:bidi="he-IL"/>
        </w:rPr>
        <w:t xml:space="preserve">than </w:t>
      </w:r>
      <w:r w:rsidR="000050DF">
        <w:rPr>
          <w:rFonts w:asciiTheme="majorBidi" w:hAnsiTheme="majorBidi" w:cstheme="majorBidi"/>
          <w:lang w:bidi="he-IL"/>
        </w:rPr>
        <w:t xml:space="preserve">by </w:t>
      </w:r>
      <w:r w:rsidR="00D36C0E">
        <w:rPr>
          <w:rFonts w:asciiTheme="majorBidi" w:hAnsiTheme="majorBidi" w:cstheme="majorBidi"/>
          <w:lang w:bidi="he-IL"/>
        </w:rPr>
        <w:t>counter-example, even</w:t>
      </w:r>
      <w:r w:rsidR="009D6829">
        <w:rPr>
          <w:rFonts w:asciiTheme="majorBidi" w:hAnsiTheme="majorBidi" w:cstheme="majorBidi"/>
          <w:lang w:bidi="he-IL"/>
        </w:rPr>
        <w:t xml:space="preserve"> where</w:t>
      </w:r>
      <w:r w:rsidR="00D36C0E">
        <w:rPr>
          <w:rFonts w:asciiTheme="majorBidi" w:hAnsiTheme="majorBidi" w:cstheme="majorBidi"/>
          <w:lang w:bidi="he-IL"/>
        </w:rPr>
        <w:t xml:space="preserve"> one would expect the </w:t>
      </w:r>
      <w:r w:rsidR="00F07E47">
        <w:rPr>
          <w:rFonts w:asciiTheme="majorBidi" w:hAnsiTheme="majorBidi" w:cstheme="majorBidi"/>
          <w:lang w:bidi="he-IL"/>
        </w:rPr>
        <w:t>opposite</w:t>
      </w:r>
      <w:r w:rsidR="00D36C0E">
        <w:rPr>
          <w:rFonts w:asciiTheme="majorBidi" w:hAnsiTheme="majorBidi" w:cstheme="majorBidi"/>
          <w:lang w:bidi="he-IL"/>
        </w:rPr>
        <w:t xml:space="preserve"> - as with regard to God Himself</w:t>
      </w:r>
      <w:r w:rsidR="009D6829">
        <w:rPr>
          <w:rFonts w:asciiTheme="majorBidi" w:hAnsiTheme="majorBidi" w:cstheme="majorBidi"/>
          <w:lang w:bidi="he-IL"/>
        </w:rPr>
        <w:t>,</w:t>
      </w:r>
      <w:r w:rsidR="00D36C0E">
        <w:rPr>
          <w:rFonts w:asciiTheme="majorBidi" w:hAnsiTheme="majorBidi" w:cstheme="majorBidi"/>
          <w:lang w:bidi="he-IL"/>
        </w:rPr>
        <w:t xml:space="preserve"> whom she takes to be paradigmatically </w:t>
      </w:r>
      <w:r w:rsidR="000050DF">
        <w:rPr>
          <w:rFonts w:asciiTheme="majorBidi" w:hAnsiTheme="majorBidi" w:cstheme="majorBidi"/>
          <w:lang w:bidi="he-IL"/>
        </w:rPr>
        <w:t xml:space="preserve">and perpetually </w:t>
      </w:r>
      <w:r w:rsidR="00D36C0E">
        <w:rPr>
          <w:rFonts w:asciiTheme="majorBidi" w:hAnsiTheme="majorBidi" w:cstheme="majorBidi"/>
          <w:lang w:bidi="he-IL"/>
        </w:rPr>
        <w:t>ambivalated!</w:t>
      </w:r>
    </w:p>
    <w:p w14:paraId="3F5A118E" w14:textId="4572E780" w:rsidR="00500734" w:rsidRDefault="00500734" w:rsidP="00F95804">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 xml:space="preserve">Like different productions of </w:t>
      </w:r>
      <w:r w:rsidR="00715F43">
        <w:rPr>
          <w:rFonts w:asciiTheme="majorBidi" w:hAnsiTheme="majorBidi" w:cstheme="majorBidi"/>
          <w:lang w:bidi="he-IL"/>
        </w:rPr>
        <w:t>the same</w:t>
      </w:r>
      <w:r>
        <w:rPr>
          <w:rFonts w:asciiTheme="majorBidi" w:hAnsiTheme="majorBidi" w:cstheme="majorBidi"/>
          <w:lang w:bidi="he-IL"/>
        </w:rPr>
        <w:t xml:space="preserve"> play, </w:t>
      </w:r>
      <w:r w:rsidR="007C2ECF">
        <w:rPr>
          <w:rFonts w:asciiTheme="majorBidi" w:hAnsiTheme="majorBidi" w:cstheme="majorBidi"/>
          <w:lang w:bidi="he-IL"/>
        </w:rPr>
        <w:t>each of the</w:t>
      </w:r>
      <w:r>
        <w:rPr>
          <w:rFonts w:asciiTheme="majorBidi" w:hAnsiTheme="majorBidi" w:cstheme="majorBidi"/>
          <w:lang w:bidi="he-IL"/>
        </w:rPr>
        <w:t xml:space="preserve"> </w:t>
      </w:r>
      <w:r w:rsidR="00B90DAC">
        <w:rPr>
          <w:rFonts w:asciiTheme="majorBidi" w:hAnsiTheme="majorBidi" w:cstheme="majorBidi"/>
          <w:lang w:bidi="he-IL"/>
        </w:rPr>
        <w:t>areas</w:t>
      </w:r>
      <w:r w:rsidR="007C2ECF">
        <w:rPr>
          <w:rFonts w:asciiTheme="majorBidi" w:hAnsiTheme="majorBidi" w:cstheme="majorBidi"/>
          <w:lang w:bidi="he-IL"/>
        </w:rPr>
        <w:t xml:space="preserve"> to which </w:t>
      </w:r>
      <w:r>
        <w:rPr>
          <w:rFonts w:asciiTheme="majorBidi" w:hAnsiTheme="majorBidi" w:cstheme="majorBidi"/>
          <w:lang w:bidi="he-IL"/>
        </w:rPr>
        <w:t>Patton</w:t>
      </w:r>
      <w:r w:rsidR="007C2ECF">
        <w:rPr>
          <w:rFonts w:asciiTheme="majorBidi" w:hAnsiTheme="majorBidi" w:cstheme="majorBidi"/>
          <w:lang w:bidi="he-IL"/>
        </w:rPr>
        <w:t xml:space="preserve"> applies our insights adds </w:t>
      </w:r>
      <w:r w:rsidR="00014E05">
        <w:rPr>
          <w:rFonts w:asciiTheme="majorBidi" w:hAnsiTheme="majorBidi" w:cstheme="majorBidi"/>
          <w:lang w:bidi="he-IL"/>
        </w:rPr>
        <w:t xml:space="preserve">to them </w:t>
      </w:r>
      <w:r w:rsidR="007C2ECF">
        <w:rPr>
          <w:rFonts w:asciiTheme="majorBidi" w:hAnsiTheme="majorBidi" w:cstheme="majorBidi"/>
          <w:lang w:bidi="he-IL"/>
        </w:rPr>
        <w:t>new dimensions.</w:t>
      </w:r>
      <w:r w:rsidR="00014E05">
        <w:rPr>
          <w:rFonts w:asciiTheme="majorBidi" w:hAnsiTheme="majorBidi" w:cstheme="majorBidi" w:hint="cs"/>
          <w:rtl/>
          <w:lang w:bidi="he-IL"/>
        </w:rPr>
        <w:t xml:space="preserve"> </w:t>
      </w:r>
      <w:r w:rsidR="00B90DAC">
        <w:rPr>
          <w:rFonts w:asciiTheme="majorBidi" w:hAnsiTheme="majorBidi" w:cstheme="majorBidi"/>
          <w:lang w:bidi="he-IL"/>
        </w:rPr>
        <w:t>She focuses</w:t>
      </w:r>
      <w:r w:rsidR="00715F43">
        <w:rPr>
          <w:rFonts w:asciiTheme="majorBidi" w:hAnsiTheme="majorBidi" w:cstheme="majorBidi"/>
          <w:lang w:bidi="he-IL"/>
        </w:rPr>
        <w:t xml:space="preserve"> </w:t>
      </w:r>
      <w:r w:rsidR="003D2B94">
        <w:rPr>
          <w:rFonts w:asciiTheme="majorBidi" w:hAnsiTheme="majorBidi" w:cstheme="majorBidi"/>
          <w:lang w:bidi="he-IL"/>
        </w:rPr>
        <w:t>less on the probl</w:t>
      </w:r>
      <w:r w:rsidR="0035190C">
        <w:rPr>
          <w:rFonts w:asciiTheme="majorBidi" w:hAnsiTheme="majorBidi" w:cstheme="majorBidi"/>
          <w:lang w:bidi="he-IL"/>
        </w:rPr>
        <w:t>em we raise than on the remedy</w:t>
      </w:r>
      <w:r w:rsidR="003D2B94">
        <w:rPr>
          <w:rFonts w:asciiTheme="majorBidi" w:hAnsiTheme="majorBidi" w:cstheme="majorBidi"/>
          <w:lang w:bidi="he-IL"/>
        </w:rPr>
        <w:t xml:space="preserve"> we propose, elaborating on the images of the trading zone</w:t>
      </w:r>
      <w:r w:rsidR="00C04896">
        <w:rPr>
          <w:rFonts w:asciiTheme="majorBidi" w:hAnsiTheme="majorBidi" w:cstheme="majorBidi"/>
          <w:lang w:bidi="he-IL"/>
        </w:rPr>
        <w:t xml:space="preserve"> and</w:t>
      </w:r>
      <w:r w:rsidR="003D2B94">
        <w:rPr>
          <w:rFonts w:asciiTheme="majorBidi" w:hAnsiTheme="majorBidi" w:cstheme="majorBidi"/>
          <w:lang w:bidi="he-IL"/>
        </w:rPr>
        <w:t xml:space="preserve"> its contact pidgins, and the </w:t>
      </w:r>
      <w:r w:rsidR="00F07E47">
        <w:rPr>
          <w:rFonts w:asciiTheme="majorBidi" w:hAnsiTheme="majorBidi" w:cstheme="majorBidi"/>
          <w:lang w:bidi="he-IL"/>
        </w:rPr>
        <w:t>destabilizing</w:t>
      </w:r>
      <w:r w:rsidR="003D2B94">
        <w:rPr>
          <w:rFonts w:asciiTheme="majorBidi" w:hAnsiTheme="majorBidi" w:cstheme="majorBidi"/>
          <w:lang w:bidi="he-IL"/>
        </w:rPr>
        <w:t xml:space="preserve"> potential of encountering others </w:t>
      </w:r>
      <w:r w:rsidR="00C04896">
        <w:rPr>
          <w:rFonts w:asciiTheme="majorBidi" w:hAnsiTheme="majorBidi" w:cstheme="majorBidi"/>
          <w:lang w:bidi="he-IL"/>
        </w:rPr>
        <w:t>with</w:t>
      </w:r>
      <w:r w:rsidR="003D2B94">
        <w:rPr>
          <w:rFonts w:asciiTheme="majorBidi" w:hAnsiTheme="majorBidi" w:cstheme="majorBidi"/>
          <w:lang w:bidi="he-IL"/>
        </w:rPr>
        <w:t xml:space="preserve"> whom </w:t>
      </w:r>
      <w:r w:rsidR="0035190C">
        <w:rPr>
          <w:rFonts w:asciiTheme="majorBidi" w:hAnsiTheme="majorBidi" w:cstheme="majorBidi"/>
          <w:lang w:bidi="he-IL"/>
        </w:rPr>
        <w:t>we</w:t>
      </w:r>
      <w:r w:rsidR="003D2B94">
        <w:rPr>
          <w:rFonts w:asciiTheme="majorBidi" w:hAnsiTheme="majorBidi" w:cstheme="majorBidi"/>
          <w:lang w:bidi="he-IL"/>
        </w:rPr>
        <w:t xml:space="preserve"> struggle to find words.</w:t>
      </w:r>
      <w:r w:rsidR="00715F43">
        <w:rPr>
          <w:rFonts w:asciiTheme="majorBidi" w:hAnsiTheme="majorBidi" w:cstheme="majorBidi"/>
          <w:lang w:bidi="he-IL"/>
        </w:rPr>
        <w:t xml:space="preserve"> </w:t>
      </w:r>
      <w:r w:rsidR="00C92274">
        <w:rPr>
          <w:rFonts w:asciiTheme="majorBidi" w:hAnsiTheme="majorBidi" w:cstheme="majorBidi"/>
          <w:lang w:bidi="he-IL"/>
        </w:rPr>
        <w:t>Her brief remarks about the proven transformative potential of</w:t>
      </w:r>
      <w:r w:rsidR="00C04896">
        <w:rPr>
          <w:rFonts w:asciiTheme="majorBidi" w:hAnsiTheme="majorBidi" w:cstheme="majorBidi"/>
          <w:lang w:bidi="he-IL"/>
        </w:rPr>
        <w:t xml:space="preserve"> </w:t>
      </w:r>
      <w:r w:rsidR="00F07E47">
        <w:rPr>
          <w:rFonts w:asciiTheme="majorBidi" w:hAnsiTheme="majorBidi" w:cstheme="majorBidi"/>
          <w:lang w:bidi="he-IL"/>
        </w:rPr>
        <w:t>psychotherapy</w:t>
      </w:r>
      <w:r w:rsidR="00C04896">
        <w:rPr>
          <w:rFonts w:asciiTheme="majorBidi" w:hAnsiTheme="majorBidi" w:cstheme="majorBidi"/>
          <w:lang w:bidi="he-IL"/>
        </w:rPr>
        <w:t xml:space="preserve"> </w:t>
      </w:r>
      <w:r w:rsidR="0035190C">
        <w:rPr>
          <w:rFonts w:asciiTheme="majorBidi" w:hAnsiTheme="majorBidi" w:cstheme="majorBidi"/>
          <w:lang w:bidi="he-IL"/>
        </w:rPr>
        <w:t>is</w:t>
      </w:r>
      <w:r w:rsidR="00C04896">
        <w:rPr>
          <w:rFonts w:asciiTheme="majorBidi" w:hAnsiTheme="majorBidi" w:cstheme="majorBidi"/>
          <w:lang w:bidi="he-IL"/>
        </w:rPr>
        <w:t xml:space="preserve"> a case in point: how the dialogical encounter between patient and therapist can literally change the former’s mind in ways no one can by </w:t>
      </w:r>
      <w:r w:rsidR="0035190C">
        <w:rPr>
          <w:rFonts w:asciiTheme="majorBidi" w:hAnsiTheme="majorBidi" w:cstheme="majorBidi"/>
          <w:lang w:bidi="he-IL"/>
        </w:rPr>
        <w:t>talking</w:t>
      </w:r>
      <w:r w:rsidR="00C04896">
        <w:rPr>
          <w:rFonts w:asciiTheme="majorBidi" w:hAnsiTheme="majorBidi" w:cstheme="majorBidi"/>
          <w:lang w:bidi="he-IL"/>
        </w:rPr>
        <w:t xml:space="preserve"> to oneself. </w:t>
      </w:r>
      <w:r w:rsidR="00E37A39">
        <w:rPr>
          <w:rFonts w:asciiTheme="majorBidi" w:hAnsiTheme="majorBidi" w:cstheme="majorBidi"/>
          <w:lang w:bidi="he-IL"/>
        </w:rPr>
        <w:t>P</w:t>
      </w:r>
      <w:r w:rsidR="00C04896">
        <w:rPr>
          <w:rFonts w:asciiTheme="majorBidi" w:hAnsiTheme="majorBidi" w:cstheme="majorBidi"/>
          <w:lang w:bidi="he-IL"/>
        </w:rPr>
        <w:t xml:space="preserve">sychoanalyst Andrew Gerber, whom she quotes, describes the process dramatically as a change </w:t>
      </w:r>
      <w:r w:rsidR="00791943">
        <w:rPr>
          <w:rFonts w:asciiTheme="majorBidi" w:hAnsiTheme="majorBidi" w:cstheme="majorBidi"/>
          <w:lang w:bidi="he-IL"/>
        </w:rPr>
        <w:t xml:space="preserve">in “psychic structure” </w:t>
      </w:r>
      <w:r w:rsidR="00C04896">
        <w:rPr>
          <w:rFonts w:asciiTheme="majorBidi" w:hAnsiTheme="majorBidi" w:cstheme="majorBidi"/>
          <w:lang w:bidi="he-IL"/>
        </w:rPr>
        <w:t xml:space="preserve">that </w:t>
      </w:r>
      <w:r w:rsidR="00791943">
        <w:rPr>
          <w:rFonts w:asciiTheme="majorBidi" w:hAnsiTheme="majorBidi" w:cstheme="majorBidi"/>
          <w:lang w:bidi="he-IL"/>
        </w:rPr>
        <w:t xml:space="preserve">seems to always </w:t>
      </w:r>
      <w:r w:rsidR="00C04896">
        <w:rPr>
          <w:rFonts w:asciiTheme="majorBidi" w:hAnsiTheme="majorBidi" w:cstheme="majorBidi"/>
          <w:lang w:bidi="he-IL"/>
        </w:rPr>
        <w:t>straddle brief</w:t>
      </w:r>
      <w:r w:rsidR="00791943">
        <w:rPr>
          <w:rFonts w:asciiTheme="majorBidi" w:hAnsiTheme="majorBidi" w:cstheme="majorBidi"/>
          <w:lang w:bidi="he-IL"/>
        </w:rPr>
        <w:t xml:space="preserve"> period</w:t>
      </w:r>
      <w:r w:rsidR="0035190C">
        <w:rPr>
          <w:rFonts w:asciiTheme="majorBidi" w:hAnsiTheme="majorBidi" w:cstheme="majorBidi"/>
          <w:lang w:bidi="he-IL"/>
        </w:rPr>
        <w:t>s</w:t>
      </w:r>
      <w:r w:rsidR="00791943">
        <w:rPr>
          <w:rFonts w:asciiTheme="majorBidi" w:hAnsiTheme="majorBidi" w:cstheme="majorBidi"/>
          <w:lang w:bidi="he-IL"/>
        </w:rPr>
        <w:t xml:space="preserve"> of “a kind of intense ambivalation”, as </w:t>
      </w:r>
      <w:r w:rsidR="0035190C">
        <w:rPr>
          <w:rFonts w:asciiTheme="majorBidi" w:hAnsiTheme="majorBidi" w:cstheme="majorBidi"/>
          <w:lang w:bidi="he-IL"/>
        </w:rPr>
        <w:t>she</w:t>
      </w:r>
      <w:r w:rsidR="00791943">
        <w:rPr>
          <w:rFonts w:asciiTheme="majorBidi" w:hAnsiTheme="majorBidi" w:cstheme="majorBidi"/>
          <w:lang w:bidi="he-IL"/>
        </w:rPr>
        <w:t xml:space="preserve"> puts</w:t>
      </w:r>
      <w:r w:rsidR="000050DF">
        <w:rPr>
          <w:rFonts w:asciiTheme="majorBidi" w:hAnsiTheme="majorBidi" w:cstheme="majorBidi"/>
          <w:lang w:bidi="he-IL"/>
        </w:rPr>
        <w:t xml:space="preserve"> it</w:t>
      </w:r>
      <w:r w:rsidR="00791943">
        <w:rPr>
          <w:rFonts w:asciiTheme="majorBidi" w:hAnsiTheme="majorBidi" w:cstheme="majorBidi"/>
          <w:lang w:bidi="he-IL"/>
        </w:rPr>
        <w:t xml:space="preserve">. </w:t>
      </w:r>
      <w:r w:rsidR="0035190C">
        <w:rPr>
          <w:rFonts w:asciiTheme="majorBidi" w:hAnsiTheme="majorBidi" w:cstheme="majorBidi"/>
          <w:lang w:bidi="he-IL"/>
        </w:rPr>
        <w:t>I</w:t>
      </w:r>
      <w:r w:rsidR="007314FF">
        <w:rPr>
          <w:rFonts w:asciiTheme="majorBidi" w:hAnsiTheme="majorBidi" w:cstheme="majorBidi"/>
          <w:lang w:bidi="he-IL"/>
        </w:rPr>
        <w:t>nsofar as normative commitments define selfhood, t</w:t>
      </w:r>
      <w:r w:rsidR="00791943">
        <w:rPr>
          <w:rFonts w:asciiTheme="majorBidi" w:hAnsiTheme="majorBidi" w:cstheme="majorBidi"/>
          <w:lang w:bidi="he-IL"/>
        </w:rPr>
        <w:t>h</w:t>
      </w:r>
      <w:r w:rsidR="003B4A30">
        <w:rPr>
          <w:rFonts w:asciiTheme="majorBidi" w:hAnsiTheme="majorBidi" w:cstheme="majorBidi"/>
          <w:lang w:bidi="he-IL"/>
        </w:rPr>
        <w:t xml:space="preserve">e psychotherapeutic </w:t>
      </w:r>
      <w:r w:rsidR="0003093A">
        <w:rPr>
          <w:rFonts w:asciiTheme="majorBidi" w:hAnsiTheme="majorBidi" w:cstheme="majorBidi"/>
          <w:lang w:bidi="he-IL"/>
        </w:rPr>
        <w:t>encounter</w:t>
      </w:r>
      <w:r w:rsidR="00791943">
        <w:rPr>
          <w:rFonts w:asciiTheme="majorBidi" w:hAnsiTheme="majorBidi" w:cstheme="majorBidi"/>
          <w:lang w:bidi="he-IL"/>
        </w:rPr>
        <w:t xml:space="preserve"> </w:t>
      </w:r>
      <w:r w:rsidR="0035190C">
        <w:rPr>
          <w:rFonts w:asciiTheme="majorBidi" w:hAnsiTheme="majorBidi" w:cstheme="majorBidi"/>
          <w:lang w:bidi="he-IL"/>
        </w:rPr>
        <w:t>emerges, even from the little she tells us, as a</w:t>
      </w:r>
      <w:r w:rsidR="00791943">
        <w:rPr>
          <w:rFonts w:asciiTheme="majorBidi" w:hAnsiTheme="majorBidi" w:cstheme="majorBidi"/>
          <w:lang w:bidi="he-IL"/>
        </w:rPr>
        <w:t xml:space="preserve"> paradigm</w:t>
      </w:r>
      <w:r w:rsidR="007314FF">
        <w:rPr>
          <w:rFonts w:asciiTheme="majorBidi" w:hAnsiTheme="majorBidi" w:cstheme="majorBidi"/>
          <w:lang w:bidi="he-IL"/>
        </w:rPr>
        <w:t xml:space="preserve"> of </w:t>
      </w:r>
      <w:r w:rsidR="003B4A30">
        <w:rPr>
          <w:rFonts w:asciiTheme="majorBidi" w:hAnsiTheme="majorBidi" w:cstheme="majorBidi"/>
          <w:lang w:bidi="he-IL"/>
        </w:rPr>
        <w:t xml:space="preserve">mind-changing </w:t>
      </w:r>
      <w:r w:rsidR="0035190C">
        <w:rPr>
          <w:rFonts w:asciiTheme="majorBidi" w:hAnsiTheme="majorBidi" w:cstheme="majorBidi"/>
          <w:lang w:bidi="he-IL"/>
        </w:rPr>
        <w:t>dialogical</w:t>
      </w:r>
      <w:r w:rsidR="003B4A30">
        <w:rPr>
          <w:rFonts w:asciiTheme="majorBidi" w:hAnsiTheme="majorBidi" w:cstheme="majorBidi"/>
          <w:lang w:bidi="he-IL"/>
        </w:rPr>
        <w:t xml:space="preserve"> </w:t>
      </w:r>
      <w:r w:rsidR="0035190C">
        <w:rPr>
          <w:rFonts w:asciiTheme="majorBidi" w:hAnsiTheme="majorBidi" w:cstheme="majorBidi"/>
          <w:lang w:bidi="he-IL"/>
        </w:rPr>
        <w:t>exchange</w:t>
      </w:r>
      <w:r w:rsidR="003B4A30">
        <w:rPr>
          <w:rFonts w:asciiTheme="majorBidi" w:hAnsiTheme="majorBidi" w:cstheme="majorBidi"/>
          <w:lang w:bidi="he-IL"/>
        </w:rPr>
        <w:t xml:space="preserve"> knowingly geared to ambivalate</w:t>
      </w:r>
      <w:r w:rsidR="0003093A">
        <w:rPr>
          <w:rFonts w:asciiTheme="majorBidi" w:hAnsiTheme="majorBidi" w:cstheme="majorBidi"/>
          <w:lang w:bidi="he-IL"/>
        </w:rPr>
        <w:t xml:space="preserve">. Such </w:t>
      </w:r>
      <w:r w:rsidR="0035190C">
        <w:rPr>
          <w:rFonts w:asciiTheme="majorBidi" w:hAnsiTheme="majorBidi" w:cstheme="majorBidi"/>
          <w:lang w:bidi="he-IL"/>
        </w:rPr>
        <w:t>exchanges</w:t>
      </w:r>
      <w:r w:rsidR="0003093A">
        <w:rPr>
          <w:rFonts w:asciiTheme="majorBidi" w:hAnsiTheme="majorBidi" w:cstheme="majorBidi"/>
          <w:lang w:bidi="he-IL"/>
        </w:rPr>
        <w:t xml:space="preserve"> need not be purely reasoned, and may well include “persuasive”</w:t>
      </w:r>
      <w:r w:rsidR="00096F75">
        <w:rPr>
          <w:rFonts w:asciiTheme="majorBidi" w:hAnsiTheme="majorBidi" w:cstheme="majorBidi"/>
          <w:lang w:bidi="he-IL"/>
        </w:rPr>
        <w:t xml:space="preserve"> </w:t>
      </w:r>
      <w:r w:rsidR="0003093A">
        <w:rPr>
          <w:rFonts w:asciiTheme="majorBidi" w:hAnsiTheme="majorBidi" w:cstheme="majorBidi"/>
          <w:lang w:bidi="he-IL"/>
        </w:rPr>
        <w:t>elements, to use Wittgenstein’s phrase. However, a</w:t>
      </w:r>
      <w:r w:rsidR="001059AA">
        <w:rPr>
          <w:rFonts w:asciiTheme="majorBidi" w:hAnsiTheme="majorBidi" w:cstheme="majorBidi"/>
          <w:lang w:bidi="he-IL"/>
        </w:rPr>
        <w:t xml:space="preserve">s we remark in response to Simon Goldhill, </w:t>
      </w:r>
      <w:r w:rsidR="00B23268">
        <w:rPr>
          <w:rFonts w:asciiTheme="majorBidi" w:hAnsiTheme="majorBidi" w:cstheme="majorBidi"/>
          <w:lang w:bidi="he-IL"/>
        </w:rPr>
        <w:t xml:space="preserve">we sincerely doubt that in such </w:t>
      </w:r>
      <w:r w:rsidR="00F07E47">
        <w:rPr>
          <w:rFonts w:asciiTheme="majorBidi" w:hAnsiTheme="majorBidi" w:cstheme="majorBidi"/>
          <w:lang w:bidi="he-IL"/>
        </w:rPr>
        <w:t>psychotherapeutic</w:t>
      </w:r>
      <w:r w:rsidR="00B23268">
        <w:rPr>
          <w:rFonts w:asciiTheme="majorBidi" w:hAnsiTheme="majorBidi" w:cstheme="majorBidi"/>
          <w:lang w:bidi="he-IL"/>
        </w:rPr>
        <w:t xml:space="preserve"> settings, tactics involving ridicule, bullying or </w:t>
      </w:r>
      <w:r w:rsidR="00F07E47">
        <w:rPr>
          <w:rFonts w:asciiTheme="majorBidi" w:hAnsiTheme="majorBidi" w:cstheme="majorBidi"/>
          <w:lang w:bidi="he-IL"/>
        </w:rPr>
        <w:t>coercive</w:t>
      </w:r>
      <w:r w:rsidR="00B23268">
        <w:rPr>
          <w:rFonts w:asciiTheme="majorBidi" w:hAnsiTheme="majorBidi" w:cstheme="majorBidi"/>
          <w:lang w:bidi="he-IL"/>
        </w:rPr>
        <w:t xml:space="preserve"> hum</w:t>
      </w:r>
      <w:r w:rsidR="000B6008">
        <w:rPr>
          <w:rFonts w:asciiTheme="majorBidi" w:hAnsiTheme="majorBidi" w:cstheme="majorBidi"/>
          <w:lang w:bidi="he-IL"/>
        </w:rPr>
        <w:t>o</w:t>
      </w:r>
      <w:r w:rsidR="00B23268">
        <w:rPr>
          <w:rFonts w:asciiTheme="majorBidi" w:hAnsiTheme="majorBidi" w:cstheme="majorBidi"/>
          <w:lang w:bidi="he-IL"/>
        </w:rPr>
        <w:t>r, though potentially ambivalating, can be</w:t>
      </w:r>
      <w:r w:rsidR="000B6008">
        <w:rPr>
          <w:rFonts w:asciiTheme="majorBidi" w:hAnsiTheme="majorBidi" w:cstheme="majorBidi"/>
          <w:lang w:bidi="he-IL"/>
        </w:rPr>
        <w:t xml:space="preserve"> at all</w:t>
      </w:r>
      <w:r w:rsidR="00B23268">
        <w:rPr>
          <w:rFonts w:asciiTheme="majorBidi" w:hAnsiTheme="majorBidi" w:cstheme="majorBidi"/>
          <w:lang w:bidi="he-IL"/>
        </w:rPr>
        <w:t xml:space="preserve"> effective. It is an area we need to study more closely, but on the face of it, </w:t>
      </w:r>
      <w:r w:rsidR="000B6008">
        <w:rPr>
          <w:rFonts w:asciiTheme="majorBidi" w:hAnsiTheme="majorBidi" w:cstheme="majorBidi"/>
          <w:lang w:bidi="he-IL"/>
        </w:rPr>
        <w:t xml:space="preserve">it seems that </w:t>
      </w:r>
      <w:r w:rsidR="00B23268">
        <w:rPr>
          <w:rFonts w:asciiTheme="majorBidi" w:hAnsiTheme="majorBidi" w:cstheme="majorBidi"/>
          <w:lang w:bidi="he-IL"/>
        </w:rPr>
        <w:t xml:space="preserve">to </w:t>
      </w:r>
      <w:r w:rsidR="00F95804">
        <w:rPr>
          <w:rFonts w:asciiTheme="majorBidi" w:hAnsiTheme="majorBidi" w:cstheme="majorBidi"/>
          <w:lang w:bidi="he-IL"/>
        </w:rPr>
        <w:t>achieve its transformative goal,</w:t>
      </w:r>
      <w:r w:rsidR="00B23268">
        <w:rPr>
          <w:rFonts w:asciiTheme="majorBidi" w:hAnsiTheme="majorBidi" w:cstheme="majorBidi"/>
          <w:lang w:bidi="he-IL"/>
        </w:rPr>
        <w:t xml:space="preserve"> </w:t>
      </w:r>
      <w:r w:rsidR="00F95804">
        <w:rPr>
          <w:rFonts w:asciiTheme="majorBidi" w:hAnsiTheme="majorBidi" w:cstheme="majorBidi"/>
          <w:lang w:bidi="he-IL"/>
        </w:rPr>
        <w:t>psychotherapy should aim at</w:t>
      </w:r>
      <w:r w:rsidR="00B23268">
        <w:rPr>
          <w:rFonts w:asciiTheme="majorBidi" w:hAnsiTheme="majorBidi" w:cstheme="majorBidi"/>
          <w:lang w:bidi="he-IL"/>
        </w:rPr>
        <w:t xml:space="preserve"> </w:t>
      </w:r>
      <w:r w:rsidR="00F95804">
        <w:rPr>
          <w:rFonts w:asciiTheme="majorBidi" w:hAnsiTheme="majorBidi" w:cstheme="majorBidi"/>
          <w:lang w:bidi="he-IL"/>
        </w:rPr>
        <w:t xml:space="preserve">renewing and empowering </w:t>
      </w:r>
      <w:r w:rsidR="00B23268">
        <w:rPr>
          <w:rFonts w:asciiTheme="majorBidi" w:hAnsiTheme="majorBidi" w:cstheme="majorBidi"/>
          <w:lang w:bidi="he-IL"/>
        </w:rPr>
        <w:t>their patients</w:t>
      </w:r>
      <w:r w:rsidR="001B067C">
        <w:rPr>
          <w:rFonts w:asciiTheme="majorBidi" w:hAnsiTheme="majorBidi" w:cstheme="majorBidi"/>
          <w:lang w:bidi="he-IL"/>
        </w:rPr>
        <w:t>’</w:t>
      </w:r>
      <w:r w:rsidR="00B23268">
        <w:rPr>
          <w:rFonts w:asciiTheme="majorBidi" w:hAnsiTheme="majorBidi" w:cstheme="majorBidi"/>
          <w:lang w:bidi="he-IL"/>
        </w:rPr>
        <w:t xml:space="preserve"> self-confidence</w:t>
      </w:r>
      <w:r w:rsidR="00F80099">
        <w:rPr>
          <w:rFonts w:asciiTheme="majorBidi" w:hAnsiTheme="majorBidi" w:cstheme="majorBidi"/>
          <w:lang w:bidi="he-IL"/>
        </w:rPr>
        <w:t>, r</w:t>
      </w:r>
      <w:r w:rsidR="00B23268">
        <w:rPr>
          <w:rFonts w:asciiTheme="majorBidi" w:hAnsiTheme="majorBidi" w:cstheme="majorBidi"/>
          <w:lang w:bidi="he-IL"/>
        </w:rPr>
        <w:t xml:space="preserve">ather than make them </w:t>
      </w:r>
      <w:r w:rsidR="000B6008">
        <w:rPr>
          <w:rFonts w:asciiTheme="majorBidi" w:hAnsiTheme="majorBidi" w:cstheme="majorBidi"/>
          <w:lang w:bidi="he-IL"/>
        </w:rPr>
        <w:t>fun of them</w:t>
      </w:r>
      <w:r w:rsidR="00F80099">
        <w:rPr>
          <w:rFonts w:asciiTheme="majorBidi" w:hAnsiTheme="majorBidi" w:cstheme="majorBidi"/>
          <w:lang w:bidi="he-IL"/>
        </w:rPr>
        <w:t>.</w:t>
      </w:r>
      <w:r w:rsidR="001B067C">
        <w:rPr>
          <w:rStyle w:val="FootnoteReference"/>
          <w:rFonts w:asciiTheme="majorBidi" w:hAnsiTheme="majorBidi" w:cstheme="majorBidi"/>
          <w:lang w:bidi="he-IL"/>
        </w:rPr>
        <w:footnoteReference w:id="1"/>
      </w:r>
      <w:r w:rsidR="00EC778E">
        <w:rPr>
          <w:rFonts w:asciiTheme="majorBidi" w:hAnsiTheme="majorBidi" w:cstheme="majorBidi"/>
          <w:lang w:bidi="he-IL"/>
        </w:rPr>
        <w:t xml:space="preserve"> </w:t>
      </w:r>
    </w:p>
    <w:p w14:paraId="62916269" w14:textId="49B91C28" w:rsidR="007872E7" w:rsidRDefault="000B6008" w:rsidP="00D275BD">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lastRenderedPageBreak/>
        <w:t>But on one point</w:t>
      </w:r>
      <w:r w:rsidR="00213061">
        <w:rPr>
          <w:rFonts w:asciiTheme="majorBidi" w:hAnsiTheme="majorBidi" w:cstheme="majorBidi"/>
          <w:lang w:bidi="he-IL"/>
        </w:rPr>
        <w:t xml:space="preserve"> </w:t>
      </w:r>
      <w:r w:rsidR="00FC130B">
        <w:rPr>
          <w:rFonts w:asciiTheme="majorBidi" w:hAnsiTheme="majorBidi" w:cstheme="majorBidi"/>
          <w:lang w:bidi="he-IL"/>
        </w:rPr>
        <w:t>to which</w:t>
      </w:r>
      <w:r>
        <w:rPr>
          <w:rFonts w:asciiTheme="majorBidi" w:hAnsiTheme="majorBidi" w:cstheme="majorBidi"/>
          <w:lang w:bidi="he-IL"/>
        </w:rPr>
        <w:t xml:space="preserve"> Patton alludes in passing, we beg to differ. Neuroscience, has nothing to offer us in this regard. In fact, its </w:t>
      </w:r>
      <w:r w:rsidR="00213061">
        <w:rPr>
          <w:rFonts w:asciiTheme="majorBidi" w:hAnsiTheme="majorBidi" w:cstheme="majorBidi"/>
          <w:lang w:bidi="he-IL"/>
        </w:rPr>
        <w:t xml:space="preserve">physico-chemical reductive paradigm </w:t>
      </w:r>
      <w:r w:rsidR="0082752C">
        <w:rPr>
          <w:rFonts w:asciiTheme="majorBidi" w:hAnsiTheme="majorBidi" w:cstheme="majorBidi"/>
          <w:lang w:bidi="he-IL"/>
        </w:rPr>
        <w:t>(</w:t>
      </w:r>
      <w:r w:rsidR="00213061">
        <w:rPr>
          <w:rFonts w:asciiTheme="majorBidi" w:hAnsiTheme="majorBidi" w:cstheme="majorBidi"/>
          <w:lang w:bidi="he-IL"/>
        </w:rPr>
        <w:t>of mind to brain</w:t>
      </w:r>
      <w:r w:rsidR="0082752C">
        <w:rPr>
          <w:rFonts w:asciiTheme="majorBidi" w:hAnsiTheme="majorBidi" w:cstheme="majorBidi"/>
          <w:lang w:bidi="he-IL"/>
        </w:rPr>
        <w:t>)</w:t>
      </w:r>
      <w:r w:rsidR="00213061">
        <w:rPr>
          <w:rFonts w:asciiTheme="majorBidi" w:hAnsiTheme="majorBidi" w:cstheme="majorBidi"/>
          <w:lang w:bidi="he-IL"/>
        </w:rPr>
        <w:t xml:space="preserve"> threatens to totally undermine our manifest </w:t>
      </w:r>
      <w:r w:rsidR="00F07E47">
        <w:rPr>
          <w:rFonts w:asciiTheme="majorBidi" w:hAnsiTheme="majorBidi" w:cstheme="majorBidi"/>
          <w:lang w:bidi="he-IL"/>
        </w:rPr>
        <w:t>self-understanding</w:t>
      </w:r>
      <w:r w:rsidR="00F95804">
        <w:rPr>
          <w:rFonts w:asciiTheme="majorBidi" w:hAnsiTheme="majorBidi" w:cstheme="majorBidi"/>
          <w:lang w:bidi="he-IL"/>
        </w:rPr>
        <w:t xml:space="preserve"> on which our book expounds</w:t>
      </w:r>
      <w:r w:rsidR="00213061">
        <w:rPr>
          <w:rFonts w:asciiTheme="majorBidi" w:hAnsiTheme="majorBidi" w:cstheme="majorBidi"/>
          <w:lang w:bidi="he-IL"/>
        </w:rPr>
        <w:t>.</w:t>
      </w:r>
      <w:r w:rsidR="00213061">
        <w:rPr>
          <w:rStyle w:val="FootnoteReference"/>
          <w:rFonts w:asciiTheme="majorBidi" w:hAnsiTheme="majorBidi" w:cstheme="majorBidi"/>
          <w:lang w:bidi="he-IL"/>
        </w:rPr>
        <w:footnoteReference w:id="2"/>
      </w:r>
      <w:r w:rsidR="0082752C">
        <w:rPr>
          <w:rFonts w:asciiTheme="majorBidi" w:hAnsiTheme="majorBidi" w:cstheme="majorBidi"/>
          <w:lang w:bidi="he-IL"/>
        </w:rPr>
        <w:t xml:space="preserve"> </w:t>
      </w:r>
      <w:r w:rsidR="004045D3">
        <w:rPr>
          <w:rFonts w:asciiTheme="majorBidi" w:hAnsiTheme="majorBidi" w:cstheme="majorBidi"/>
          <w:lang w:bidi="he-IL"/>
        </w:rPr>
        <w:t>Because</w:t>
      </w:r>
      <w:r w:rsidR="0082752C">
        <w:rPr>
          <w:rFonts w:asciiTheme="majorBidi" w:hAnsiTheme="majorBidi" w:cstheme="majorBidi"/>
          <w:lang w:bidi="he-IL"/>
        </w:rPr>
        <w:t xml:space="preserve"> </w:t>
      </w:r>
      <w:r w:rsidR="004045D3">
        <w:rPr>
          <w:rFonts w:asciiTheme="majorBidi" w:hAnsiTheme="majorBidi" w:cstheme="majorBidi"/>
          <w:lang w:bidi="he-IL"/>
        </w:rPr>
        <w:t xml:space="preserve">the </w:t>
      </w:r>
      <w:r w:rsidR="00F95804">
        <w:rPr>
          <w:rFonts w:asciiTheme="majorBidi" w:hAnsiTheme="majorBidi" w:cstheme="majorBidi"/>
          <w:lang w:bidi="he-IL"/>
        </w:rPr>
        <w:t xml:space="preserve">only motive force recognized by the </w:t>
      </w:r>
      <w:r w:rsidR="004045D3">
        <w:rPr>
          <w:rFonts w:asciiTheme="majorBidi" w:hAnsiTheme="majorBidi" w:cstheme="majorBidi"/>
          <w:lang w:bidi="he-IL"/>
        </w:rPr>
        <w:t>physical sciences</w:t>
      </w:r>
      <w:r w:rsidR="0082752C">
        <w:rPr>
          <w:rFonts w:asciiTheme="majorBidi" w:hAnsiTheme="majorBidi" w:cstheme="majorBidi"/>
          <w:lang w:bidi="he-IL"/>
        </w:rPr>
        <w:t xml:space="preserve"> </w:t>
      </w:r>
      <w:r w:rsidR="00F95804">
        <w:rPr>
          <w:rFonts w:asciiTheme="majorBidi" w:hAnsiTheme="majorBidi" w:cstheme="majorBidi"/>
          <w:lang w:bidi="he-IL"/>
        </w:rPr>
        <w:t>is that of</w:t>
      </w:r>
      <w:r w:rsidR="004045D3">
        <w:rPr>
          <w:rFonts w:asciiTheme="majorBidi" w:hAnsiTheme="majorBidi" w:cstheme="majorBidi"/>
          <w:lang w:bidi="he-IL"/>
        </w:rPr>
        <w:t xml:space="preserve"> b</w:t>
      </w:r>
      <w:r w:rsidR="00F95804">
        <w:rPr>
          <w:rFonts w:asciiTheme="majorBidi" w:hAnsiTheme="majorBidi" w:cstheme="majorBidi"/>
          <w:lang w:bidi="he-IL"/>
        </w:rPr>
        <w:t>lind causal</w:t>
      </w:r>
      <w:r w:rsidR="00D275BD">
        <w:rPr>
          <w:rFonts w:asciiTheme="majorBidi" w:hAnsiTheme="majorBidi" w:cstheme="majorBidi"/>
          <w:lang w:bidi="he-IL"/>
        </w:rPr>
        <w:t xml:space="preserve"> propulsion</w:t>
      </w:r>
      <w:r w:rsidR="004045D3">
        <w:rPr>
          <w:rFonts w:asciiTheme="majorBidi" w:hAnsiTheme="majorBidi" w:cstheme="majorBidi"/>
          <w:lang w:bidi="he-IL"/>
        </w:rPr>
        <w:t>, its vocabulary is</w:t>
      </w:r>
      <w:r w:rsidR="0082752C">
        <w:rPr>
          <w:rFonts w:asciiTheme="majorBidi" w:hAnsiTheme="majorBidi" w:cstheme="majorBidi"/>
          <w:lang w:bidi="he-IL"/>
        </w:rPr>
        <w:t xml:space="preserve"> incapable, in principle, of distinguishing between</w:t>
      </w:r>
      <w:r w:rsidR="004045D3">
        <w:rPr>
          <w:rFonts w:asciiTheme="majorBidi" w:hAnsiTheme="majorBidi" w:cstheme="majorBidi"/>
          <w:lang w:bidi="he-IL"/>
        </w:rPr>
        <w:t xml:space="preserve"> being </w:t>
      </w:r>
      <w:r w:rsidR="00D275BD">
        <w:rPr>
          <w:rFonts w:asciiTheme="majorBidi" w:hAnsiTheme="majorBidi" w:cstheme="majorBidi"/>
          <w:lang w:bidi="he-IL"/>
        </w:rPr>
        <w:t>driven by b</w:t>
      </w:r>
      <w:r w:rsidR="004045D3">
        <w:rPr>
          <w:rFonts w:asciiTheme="majorBidi" w:hAnsiTheme="majorBidi" w:cstheme="majorBidi"/>
          <w:lang w:bidi="he-IL"/>
        </w:rPr>
        <w:t xml:space="preserve">lind impulse and </w:t>
      </w:r>
      <w:r w:rsidR="00D275BD">
        <w:rPr>
          <w:rFonts w:asciiTheme="majorBidi" w:hAnsiTheme="majorBidi" w:cstheme="majorBidi"/>
          <w:lang w:bidi="he-IL"/>
        </w:rPr>
        <w:t xml:space="preserve">being moved by the self-governing force of </w:t>
      </w:r>
      <w:r w:rsidR="004045D3">
        <w:rPr>
          <w:rFonts w:asciiTheme="majorBidi" w:hAnsiTheme="majorBidi" w:cstheme="majorBidi"/>
          <w:lang w:bidi="he-IL"/>
        </w:rPr>
        <w:t xml:space="preserve">normative commitment. Neuroscience collapses the latter on the former as a matter of apriori </w:t>
      </w:r>
      <w:r w:rsidR="00520C27">
        <w:rPr>
          <w:rFonts w:asciiTheme="majorBidi" w:hAnsiTheme="majorBidi" w:cstheme="majorBidi"/>
          <w:lang w:bidi="he-IL"/>
        </w:rPr>
        <w:t xml:space="preserve">scientific </w:t>
      </w:r>
      <w:r w:rsidR="00F07E47">
        <w:rPr>
          <w:rFonts w:asciiTheme="majorBidi" w:hAnsiTheme="majorBidi" w:cstheme="majorBidi"/>
          <w:lang w:bidi="he-IL"/>
        </w:rPr>
        <w:t>presupposition</w:t>
      </w:r>
      <w:r w:rsidR="004045D3">
        <w:rPr>
          <w:rFonts w:asciiTheme="majorBidi" w:hAnsiTheme="majorBidi" w:cstheme="majorBidi"/>
          <w:lang w:bidi="he-IL"/>
        </w:rPr>
        <w:t xml:space="preserve">, not because it has </w:t>
      </w:r>
      <w:r w:rsidR="004045D3" w:rsidRPr="007872E7">
        <w:rPr>
          <w:rFonts w:asciiTheme="majorBidi" w:hAnsiTheme="majorBidi" w:cstheme="majorBidi"/>
          <w:i/>
          <w:iCs/>
          <w:lang w:bidi="he-IL"/>
        </w:rPr>
        <w:t>discovered</w:t>
      </w:r>
      <w:r w:rsidR="004045D3">
        <w:rPr>
          <w:rFonts w:asciiTheme="majorBidi" w:hAnsiTheme="majorBidi" w:cstheme="majorBidi"/>
          <w:lang w:bidi="he-IL"/>
        </w:rPr>
        <w:t xml:space="preserve"> that normativity</w:t>
      </w:r>
      <w:r w:rsidR="00520C27">
        <w:rPr>
          <w:rFonts w:asciiTheme="majorBidi" w:hAnsiTheme="majorBidi" w:cstheme="majorBidi"/>
          <w:lang w:bidi="he-IL"/>
        </w:rPr>
        <w:t xml:space="preserve"> is an illusion or</w:t>
      </w:r>
      <w:r w:rsidR="00FC130B">
        <w:rPr>
          <w:rFonts w:asciiTheme="majorBidi" w:hAnsiTheme="majorBidi" w:cstheme="majorBidi"/>
          <w:lang w:bidi="he-IL"/>
        </w:rPr>
        <w:t xml:space="preserve"> a mere</w:t>
      </w:r>
      <w:r w:rsidR="00520C27">
        <w:rPr>
          <w:rFonts w:asciiTheme="majorBidi" w:hAnsiTheme="majorBidi" w:cstheme="majorBidi"/>
          <w:lang w:bidi="he-IL"/>
        </w:rPr>
        <w:t xml:space="preserve"> stance</w:t>
      </w:r>
      <w:r w:rsidR="00520C27">
        <w:rPr>
          <w:rStyle w:val="FootnoteReference"/>
          <w:rFonts w:asciiTheme="majorBidi" w:hAnsiTheme="majorBidi" w:cstheme="majorBidi"/>
          <w:lang w:bidi="he-IL"/>
        </w:rPr>
        <w:footnoteReference w:id="3"/>
      </w:r>
      <w:r w:rsidR="00520C27">
        <w:rPr>
          <w:rFonts w:asciiTheme="majorBidi" w:hAnsiTheme="majorBidi" w:cstheme="majorBidi"/>
          <w:lang w:bidi="he-IL"/>
        </w:rPr>
        <w:t xml:space="preserve">, but because </w:t>
      </w:r>
      <w:r w:rsidR="007872E7">
        <w:rPr>
          <w:rFonts w:asciiTheme="majorBidi" w:hAnsiTheme="majorBidi" w:cstheme="majorBidi"/>
          <w:lang w:bidi="he-IL"/>
        </w:rPr>
        <w:t xml:space="preserve">its very vocabulary leaves it no choice. The fact that </w:t>
      </w:r>
      <w:r w:rsidR="00FC130B">
        <w:rPr>
          <w:rFonts w:asciiTheme="majorBidi" w:hAnsiTheme="majorBidi" w:cstheme="majorBidi"/>
          <w:lang w:bidi="he-IL"/>
        </w:rPr>
        <w:t xml:space="preserve">neuroscientists can now locate with </w:t>
      </w:r>
      <w:r w:rsidR="00F07E47">
        <w:rPr>
          <w:rFonts w:asciiTheme="majorBidi" w:hAnsiTheme="majorBidi" w:cstheme="majorBidi"/>
          <w:lang w:bidi="he-IL"/>
        </w:rPr>
        <w:t>relative</w:t>
      </w:r>
      <w:r w:rsidR="00FC130B">
        <w:rPr>
          <w:rFonts w:asciiTheme="majorBidi" w:hAnsiTheme="majorBidi" w:cstheme="majorBidi"/>
          <w:lang w:bidi="he-IL"/>
        </w:rPr>
        <w:t xml:space="preserve"> p</w:t>
      </w:r>
      <w:r w:rsidR="00D275BD">
        <w:rPr>
          <w:rFonts w:asciiTheme="majorBidi" w:hAnsiTheme="majorBidi" w:cstheme="majorBidi"/>
          <w:lang w:bidi="he-IL"/>
        </w:rPr>
        <w:t>re</w:t>
      </w:r>
      <w:r w:rsidR="00FC130B">
        <w:rPr>
          <w:rFonts w:asciiTheme="majorBidi" w:hAnsiTheme="majorBidi" w:cstheme="majorBidi"/>
          <w:lang w:bidi="he-IL"/>
        </w:rPr>
        <w:t>cision</w:t>
      </w:r>
      <w:r w:rsidR="007872E7">
        <w:rPr>
          <w:rFonts w:asciiTheme="majorBidi" w:hAnsiTheme="majorBidi" w:cstheme="majorBidi"/>
          <w:lang w:bidi="he-IL"/>
        </w:rPr>
        <w:t xml:space="preserve"> which emotional responses light up which parts of the brain is aside the point.</w:t>
      </w:r>
    </w:p>
    <w:p w14:paraId="5D9DB025" w14:textId="77777777" w:rsidR="00D275BD" w:rsidRDefault="00D275BD" w:rsidP="002A0AC1">
      <w:pPr>
        <w:pStyle w:val="EndnoteText"/>
        <w:spacing w:after="60" w:line="360" w:lineRule="auto"/>
        <w:jc w:val="both"/>
        <w:rPr>
          <w:rFonts w:asciiTheme="majorBidi" w:hAnsiTheme="majorBidi" w:cstheme="majorBidi"/>
          <w:lang w:bidi="he-IL"/>
        </w:rPr>
      </w:pPr>
    </w:p>
    <w:p w14:paraId="304252F6" w14:textId="77777777" w:rsidR="00F73DDC" w:rsidRDefault="007872E7" w:rsidP="00001D2E">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The second are</w:t>
      </w:r>
      <w:r w:rsidR="00FD7B29">
        <w:rPr>
          <w:rFonts w:asciiTheme="majorBidi" w:hAnsiTheme="majorBidi" w:cstheme="majorBidi"/>
          <w:lang w:bidi="he-IL"/>
        </w:rPr>
        <w:t>a</w:t>
      </w:r>
      <w:r>
        <w:rPr>
          <w:rFonts w:asciiTheme="majorBidi" w:hAnsiTheme="majorBidi" w:cstheme="majorBidi"/>
          <w:lang w:bidi="he-IL"/>
        </w:rPr>
        <w:t xml:space="preserve"> </w:t>
      </w:r>
      <w:r w:rsidR="00FD7B29">
        <w:rPr>
          <w:rFonts w:asciiTheme="majorBidi" w:hAnsiTheme="majorBidi" w:cstheme="majorBidi"/>
          <w:lang w:bidi="he-IL"/>
        </w:rPr>
        <w:t xml:space="preserve">to which </w:t>
      </w:r>
      <w:r>
        <w:rPr>
          <w:rFonts w:asciiTheme="majorBidi" w:hAnsiTheme="majorBidi" w:cstheme="majorBidi"/>
          <w:lang w:bidi="he-IL"/>
        </w:rPr>
        <w:t>Patton turns is constitutional law.</w:t>
      </w:r>
      <w:r w:rsidR="00FD7B29">
        <w:rPr>
          <w:rFonts w:asciiTheme="majorBidi" w:hAnsiTheme="majorBidi" w:cstheme="majorBidi"/>
          <w:lang w:bidi="he-IL"/>
        </w:rPr>
        <w:t xml:space="preserve"> Here the focus shifts from the perspective of the ambivalat</w:t>
      </w:r>
      <w:r w:rsidR="00FD7B29" w:rsidRPr="00FD7B29">
        <w:rPr>
          <w:rFonts w:asciiTheme="majorBidi" w:hAnsiTheme="majorBidi" w:cstheme="majorBidi"/>
          <w:i/>
          <w:iCs/>
          <w:lang w:bidi="he-IL"/>
        </w:rPr>
        <w:t>ing</w:t>
      </w:r>
      <w:r w:rsidR="00FD7B29">
        <w:rPr>
          <w:rFonts w:asciiTheme="majorBidi" w:hAnsiTheme="majorBidi" w:cstheme="majorBidi"/>
          <w:lang w:bidi="he-IL"/>
        </w:rPr>
        <w:t xml:space="preserve"> therapist/critic looking in, to the ambivalat</w:t>
      </w:r>
      <w:r w:rsidR="00FD7B29" w:rsidRPr="00FD7B29">
        <w:rPr>
          <w:rFonts w:asciiTheme="majorBidi" w:hAnsiTheme="majorBidi" w:cstheme="majorBidi"/>
          <w:i/>
          <w:iCs/>
          <w:lang w:bidi="he-IL"/>
        </w:rPr>
        <w:t>ed</w:t>
      </w:r>
      <w:r w:rsidR="00FD7B29">
        <w:rPr>
          <w:rFonts w:asciiTheme="majorBidi" w:hAnsiTheme="majorBidi" w:cstheme="majorBidi"/>
          <w:lang w:bidi="he-IL"/>
        </w:rPr>
        <w:t xml:space="preserve"> </w:t>
      </w:r>
      <w:r w:rsidR="00123838">
        <w:rPr>
          <w:rFonts w:asciiTheme="majorBidi" w:hAnsiTheme="majorBidi" w:cstheme="majorBidi"/>
          <w:lang w:bidi="he-IL"/>
        </w:rPr>
        <w:t xml:space="preserve">Supreme </w:t>
      </w:r>
      <w:r w:rsidR="005703AD">
        <w:rPr>
          <w:rFonts w:asciiTheme="majorBidi" w:hAnsiTheme="majorBidi" w:cstheme="majorBidi"/>
          <w:lang w:bidi="he-IL"/>
        </w:rPr>
        <w:t>Court Judges</w:t>
      </w:r>
      <w:r w:rsidR="00FD7B29">
        <w:rPr>
          <w:rFonts w:asciiTheme="majorBidi" w:hAnsiTheme="majorBidi" w:cstheme="majorBidi"/>
          <w:lang w:bidi="he-IL"/>
        </w:rPr>
        <w:t xml:space="preserve"> looking out.</w:t>
      </w:r>
      <w:r w:rsidR="00DB73FA">
        <w:rPr>
          <w:rFonts w:asciiTheme="majorBidi" w:hAnsiTheme="majorBidi" w:cstheme="majorBidi"/>
          <w:lang w:bidi="he-IL"/>
        </w:rPr>
        <w:t xml:space="preserve"> </w:t>
      </w:r>
      <w:r w:rsidR="00531CC7">
        <w:rPr>
          <w:rFonts w:asciiTheme="majorBidi" w:hAnsiTheme="majorBidi" w:cstheme="majorBidi"/>
          <w:lang w:bidi="he-IL"/>
        </w:rPr>
        <w:t xml:space="preserve">She raises two issues pertinent to our thesis. </w:t>
      </w:r>
      <w:r w:rsidR="005703AD">
        <w:rPr>
          <w:rFonts w:asciiTheme="majorBidi" w:hAnsiTheme="majorBidi" w:cstheme="majorBidi"/>
          <w:lang w:bidi="he-IL"/>
        </w:rPr>
        <w:t xml:space="preserve">That of how and where the Constitution is reinterpreted and precedents are overturned, and that of the rhetoric </w:t>
      </w:r>
      <w:r w:rsidR="00524502">
        <w:rPr>
          <w:rFonts w:asciiTheme="majorBidi" w:hAnsiTheme="majorBidi" w:cstheme="majorBidi"/>
          <w:lang w:bidi="he-IL"/>
        </w:rPr>
        <w:t>in</w:t>
      </w:r>
      <w:r w:rsidR="005703AD">
        <w:rPr>
          <w:rFonts w:asciiTheme="majorBidi" w:hAnsiTheme="majorBidi" w:cstheme="majorBidi"/>
          <w:lang w:bidi="he-IL"/>
        </w:rPr>
        <w:t xml:space="preserve"> which such changes are couched. </w:t>
      </w:r>
      <w:r w:rsidR="005B70B1">
        <w:rPr>
          <w:rFonts w:asciiTheme="majorBidi" w:hAnsiTheme="majorBidi" w:cstheme="majorBidi"/>
          <w:lang w:bidi="he-IL"/>
        </w:rPr>
        <w:t>The US</w:t>
      </w:r>
      <w:r w:rsidR="00CC10B6">
        <w:rPr>
          <w:rFonts w:asciiTheme="majorBidi" w:hAnsiTheme="majorBidi" w:cstheme="majorBidi"/>
          <w:lang w:bidi="he-IL"/>
        </w:rPr>
        <w:t xml:space="preserve"> Judicial system is charged with the responsibility of interpreting and implementing the Constitution</w:t>
      </w:r>
      <w:r w:rsidR="00123838">
        <w:rPr>
          <w:rFonts w:asciiTheme="majorBidi" w:hAnsiTheme="majorBidi" w:cstheme="majorBidi"/>
          <w:lang w:bidi="he-IL"/>
        </w:rPr>
        <w:t>, not of amending it</w:t>
      </w:r>
      <w:r w:rsidR="002D20E4">
        <w:rPr>
          <w:rFonts w:asciiTheme="majorBidi" w:hAnsiTheme="majorBidi" w:cstheme="majorBidi"/>
          <w:lang w:bidi="he-IL"/>
        </w:rPr>
        <w:t xml:space="preserve">. </w:t>
      </w:r>
      <w:r w:rsidR="00F005D5">
        <w:rPr>
          <w:rFonts w:asciiTheme="majorBidi" w:hAnsiTheme="majorBidi" w:cstheme="majorBidi"/>
          <w:lang w:bidi="he-IL"/>
        </w:rPr>
        <w:t>But</w:t>
      </w:r>
      <w:r w:rsidR="005B70B1">
        <w:rPr>
          <w:rFonts w:asciiTheme="majorBidi" w:hAnsiTheme="majorBidi" w:cstheme="majorBidi"/>
          <w:lang w:bidi="he-IL"/>
        </w:rPr>
        <w:t>,</w:t>
      </w:r>
      <w:r w:rsidR="005B70B1" w:rsidRPr="005B70B1">
        <w:rPr>
          <w:rFonts w:asciiTheme="majorBidi" w:hAnsiTheme="majorBidi" w:cstheme="majorBidi"/>
          <w:lang w:bidi="he-IL"/>
        </w:rPr>
        <w:t xml:space="preserve"> </w:t>
      </w:r>
      <w:r w:rsidR="005B70B1">
        <w:rPr>
          <w:rFonts w:asciiTheme="majorBidi" w:hAnsiTheme="majorBidi" w:cstheme="majorBidi"/>
          <w:lang w:bidi="he-IL"/>
        </w:rPr>
        <w:t>as Patton notes, in doing so</w:t>
      </w:r>
      <w:r w:rsidR="00F005D5">
        <w:rPr>
          <w:rFonts w:asciiTheme="majorBidi" w:hAnsiTheme="majorBidi" w:cstheme="majorBidi"/>
          <w:lang w:bidi="he-IL"/>
        </w:rPr>
        <w:t xml:space="preserve"> </w:t>
      </w:r>
      <w:r w:rsidR="005B70B1">
        <w:rPr>
          <w:rFonts w:asciiTheme="majorBidi" w:hAnsiTheme="majorBidi" w:cstheme="majorBidi"/>
          <w:lang w:bidi="he-IL"/>
        </w:rPr>
        <w:t>it “is notoriously unwilling to change its collective mind” – unwilling, note, not unable. O</w:t>
      </w:r>
      <w:r w:rsidR="00F005D5">
        <w:rPr>
          <w:rFonts w:asciiTheme="majorBidi" w:hAnsiTheme="majorBidi" w:cstheme="majorBidi"/>
          <w:lang w:bidi="he-IL"/>
        </w:rPr>
        <w:t>ther major interpretive undertakings, comparably crucial to our</w:t>
      </w:r>
      <w:r w:rsidR="00123838">
        <w:rPr>
          <w:rFonts w:asciiTheme="majorBidi" w:hAnsiTheme="majorBidi" w:cstheme="majorBidi"/>
          <w:lang w:bidi="he-IL"/>
        </w:rPr>
        <w:t xml:space="preserve"> well</w:t>
      </w:r>
      <w:r w:rsidR="00F005D5">
        <w:rPr>
          <w:rFonts w:asciiTheme="majorBidi" w:hAnsiTheme="majorBidi" w:cstheme="majorBidi"/>
          <w:lang w:bidi="he-IL"/>
        </w:rPr>
        <w:t xml:space="preserve">being - science is a good example - are far less reluctant to admit being wrong and to changing their minds. </w:t>
      </w:r>
      <w:r w:rsidR="00D05DFA">
        <w:rPr>
          <w:rFonts w:asciiTheme="majorBidi" w:hAnsiTheme="majorBidi" w:cstheme="majorBidi"/>
          <w:lang w:bidi="he-IL"/>
        </w:rPr>
        <w:t xml:space="preserve">Scientific framework transitions </w:t>
      </w:r>
      <w:r w:rsidR="00123838">
        <w:rPr>
          <w:rFonts w:asciiTheme="majorBidi" w:hAnsiTheme="majorBidi" w:cstheme="majorBidi"/>
          <w:lang w:bidi="he-IL"/>
        </w:rPr>
        <w:t>are not achieved</w:t>
      </w:r>
      <w:r w:rsidR="00D05DFA">
        <w:rPr>
          <w:rFonts w:asciiTheme="majorBidi" w:hAnsiTheme="majorBidi" w:cstheme="majorBidi"/>
          <w:lang w:bidi="he-IL"/>
        </w:rPr>
        <w:t xml:space="preserve"> easily. Like </w:t>
      </w:r>
      <w:r w:rsidR="00524502">
        <w:rPr>
          <w:rFonts w:asciiTheme="majorBidi" w:hAnsiTheme="majorBidi" w:cstheme="majorBidi"/>
          <w:lang w:bidi="he-IL"/>
        </w:rPr>
        <w:t>any</w:t>
      </w:r>
      <w:r w:rsidR="00D05DFA">
        <w:rPr>
          <w:rFonts w:asciiTheme="majorBidi" w:hAnsiTheme="majorBidi" w:cstheme="majorBidi"/>
          <w:lang w:bidi="he-IL"/>
        </w:rPr>
        <w:t xml:space="preserve"> revolution they </w:t>
      </w:r>
      <w:r w:rsidR="00524502">
        <w:rPr>
          <w:rFonts w:asciiTheme="majorBidi" w:hAnsiTheme="majorBidi" w:cstheme="majorBidi"/>
          <w:lang w:bidi="he-IL"/>
        </w:rPr>
        <w:t>have to be</w:t>
      </w:r>
      <w:r w:rsidR="00D05DFA">
        <w:rPr>
          <w:rFonts w:asciiTheme="majorBidi" w:hAnsiTheme="majorBidi" w:cstheme="majorBidi"/>
          <w:lang w:bidi="he-IL"/>
        </w:rPr>
        <w:t xml:space="preserve"> fought for. What Patton’s brief mention the US Suprem</w:t>
      </w:r>
      <w:r w:rsidR="00123838">
        <w:rPr>
          <w:rFonts w:asciiTheme="majorBidi" w:hAnsiTheme="majorBidi" w:cstheme="majorBidi"/>
          <w:lang w:bidi="he-IL"/>
        </w:rPr>
        <w:t>e Co</w:t>
      </w:r>
      <w:r w:rsidR="00D05DFA">
        <w:rPr>
          <w:rFonts w:asciiTheme="majorBidi" w:hAnsiTheme="majorBidi" w:cstheme="majorBidi"/>
          <w:lang w:bidi="he-IL"/>
        </w:rPr>
        <w:t xml:space="preserve">urt in this regard brings to </w:t>
      </w:r>
      <w:r w:rsidR="00524502">
        <w:rPr>
          <w:rFonts w:asciiTheme="majorBidi" w:hAnsiTheme="majorBidi" w:cstheme="majorBidi"/>
          <w:lang w:bidi="he-IL"/>
        </w:rPr>
        <w:t xml:space="preserve">the </w:t>
      </w:r>
      <w:r w:rsidR="00D05DFA">
        <w:rPr>
          <w:rFonts w:asciiTheme="majorBidi" w:hAnsiTheme="majorBidi" w:cstheme="majorBidi"/>
          <w:lang w:bidi="he-IL"/>
        </w:rPr>
        <w:t xml:space="preserve">fore </w:t>
      </w:r>
      <w:r w:rsidR="00A01500">
        <w:rPr>
          <w:rFonts w:asciiTheme="majorBidi" w:hAnsiTheme="majorBidi" w:cstheme="majorBidi"/>
          <w:lang w:bidi="he-IL"/>
        </w:rPr>
        <w:t xml:space="preserve">is </w:t>
      </w:r>
      <w:r w:rsidR="00D05DFA">
        <w:rPr>
          <w:rFonts w:asciiTheme="majorBidi" w:hAnsiTheme="majorBidi" w:cstheme="majorBidi"/>
          <w:lang w:bidi="he-IL"/>
        </w:rPr>
        <w:t xml:space="preserve">the </w:t>
      </w:r>
      <w:r w:rsidR="00D05DFA">
        <w:rPr>
          <w:rFonts w:asciiTheme="majorBidi" w:hAnsiTheme="majorBidi" w:cstheme="majorBidi"/>
          <w:lang w:bidi="he-IL"/>
        </w:rPr>
        <w:lastRenderedPageBreak/>
        <w:t xml:space="preserve">difference between being </w:t>
      </w:r>
      <w:r w:rsidR="00D05DFA" w:rsidRPr="00123838">
        <w:rPr>
          <w:rFonts w:asciiTheme="majorBidi" w:hAnsiTheme="majorBidi" w:cstheme="majorBidi"/>
          <w:i/>
          <w:iCs/>
          <w:lang w:bidi="he-IL"/>
        </w:rPr>
        <w:t>unable</w:t>
      </w:r>
      <w:r w:rsidR="00D05DFA">
        <w:rPr>
          <w:rFonts w:asciiTheme="majorBidi" w:hAnsiTheme="majorBidi" w:cstheme="majorBidi"/>
          <w:lang w:bidi="he-IL"/>
        </w:rPr>
        <w:t xml:space="preserve"> to change one’s mind, in the sense explored in our book, and being </w:t>
      </w:r>
      <w:r w:rsidR="00D05DFA" w:rsidRPr="00123838">
        <w:rPr>
          <w:rFonts w:asciiTheme="majorBidi" w:hAnsiTheme="majorBidi" w:cstheme="majorBidi"/>
          <w:i/>
          <w:iCs/>
          <w:lang w:bidi="he-IL"/>
        </w:rPr>
        <w:t>reluctant</w:t>
      </w:r>
      <w:r w:rsidR="00D05DFA">
        <w:rPr>
          <w:rFonts w:asciiTheme="majorBidi" w:hAnsiTheme="majorBidi" w:cstheme="majorBidi"/>
          <w:lang w:bidi="he-IL"/>
        </w:rPr>
        <w:t xml:space="preserve"> to do so. It is not always an easy line to draw, of course</w:t>
      </w:r>
      <w:r w:rsidR="00ED391D">
        <w:rPr>
          <w:rFonts w:asciiTheme="majorBidi" w:hAnsiTheme="majorBidi" w:cstheme="majorBidi"/>
          <w:lang w:bidi="he-IL"/>
        </w:rPr>
        <w:t>.</w:t>
      </w:r>
      <w:r w:rsidR="00D05DFA">
        <w:rPr>
          <w:rFonts w:asciiTheme="majorBidi" w:hAnsiTheme="majorBidi" w:cstheme="majorBidi"/>
          <w:lang w:bidi="he-IL"/>
        </w:rPr>
        <w:t xml:space="preserve"> </w:t>
      </w:r>
      <w:r w:rsidR="00A01500">
        <w:rPr>
          <w:rFonts w:asciiTheme="majorBidi" w:hAnsiTheme="majorBidi" w:cstheme="majorBidi"/>
          <w:lang w:bidi="he-IL"/>
        </w:rPr>
        <w:t>Still, i</w:t>
      </w:r>
      <w:r w:rsidR="00123838">
        <w:rPr>
          <w:rFonts w:asciiTheme="majorBidi" w:hAnsiTheme="majorBidi" w:cstheme="majorBidi"/>
          <w:lang w:bidi="he-IL"/>
        </w:rPr>
        <w:t>n science</w:t>
      </w:r>
      <w:r w:rsidR="00ED391D">
        <w:rPr>
          <w:rFonts w:asciiTheme="majorBidi" w:hAnsiTheme="majorBidi" w:cstheme="majorBidi"/>
          <w:lang w:bidi="he-IL"/>
        </w:rPr>
        <w:t xml:space="preserve">, </w:t>
      </w:r>
      <w:r w:rsidR="00123838">
        <w:rPr>
          <w:rFonts w:asciiTheme="majorBidi" w:hAnsiTheme="majorBidi" w:cstheme="majorBidi"/>
          <w:lang w:bidi="he-IL"/>
        </w:rPr>
        <w:t>bold innovation</w:t>
      </w:r>
      <w:r w:rsidR="00ED391D">
        <w:rPr>
          <w:rFonts w:asciiTheme="majorBidi" w:hAnsiTheme="majorBidi" w:cstheme="majorBidi"/>
          <w:lang w:bidi="he-IL"/>
        </w:rPr>
        <w:t xml:space="preserve"> </w:t>
      </w:r>
      <w:r w:rsidR="00123838">
        <w:rPr>
          <w:rFonts w:asciiTheme="majorBidi" w:hAnsiTheme="majorBidi" w:cstheme="majorBidi"/>
          <w:lang w:bidi="he-IL"/>
        </w:rPr>
        <w:t xml:space="preserve">is </w:t>
      </w:r>
      <w:r w:rsidR="00ED391D">
        <w:rPr>
          <w:rFonts w:asciiTheme="majorBidi" w:hAnsiTheme="majorBidi" w:cstheme="majorBidi"/>
          <w:lang w:bidi="he-IL"/>
        </w:rPr>
        <w:t>encourage</w:t>
      </w:r>
      <w:r w:rsidR="00123838">
        <w:rPr>
          <w:rFonts w:asciiTheme="majorBidi" w:hAnsiTheme="majorBidi" w:cstheme="majorBidi"/>
          <w:lang w:bidi="he-IL"/>
        </w:rPr>
        <w:t>d</w:t>
      </w:r>
      <w:r w:rsidR="00ED391D">
        <w:rPr>
          <w:rFonts w:asciiTheme="majorBidi" w:hAnsiTheme="majorBidi" w:cstheme="majorBidi"/>
          <w:lang w:bidi="he-IL"/>
        </w:rPr>
        <w:t xml:space="preserve"> and reward</w:t>
      </w:r>
      <w:r w:rsidR="00123838">
        <w:rPr>
          <w:rFonts w:asciiTheme="majorBidi" w:hAnsiTheme="majorBidi" w:cstheme="majorBidi"/>
          <w:lang w:bidi="he-IL"/>
        </w:rPr>
        <w:t>ed. U</w:t>
      </w:r>
      <w:r w:rsidR="00ED391D">
        <w:rPr>
          <w:rFonts w:asciiTheme="majorBidi" w:hAnsiTheme="majorBidi" w:cstheme="majorBidi"/>
          <w:lang w:bidi="he-IL"/>
        </w:rPr>
        <w:t>naware most of the time of the framework</w:t>
      </w:r>
      <w:r w:rsidR="00F73DDC">
        <w:rPr>
          <w:rFonts w:asciiTheme="majorBidi" w:hAnsiTheme="majorBidi" w:cstheme="majorBidi"/>
          <w:lang w:bidi="he-IL"/>
        </w:rPr>
        <w:t>s</w:t>
      </w:r>
      <w:r w:rsidR="00ED391D">
        <w:rPr>
          <w:rFonts w:asciiTheme="majorBidi" w:hAnsiTheme="majorBidi" w:cstheme="majorBidi"/>
          <w:lang w:bidi="he-IL"/>
        </w:rPr>
        <w:t xml:space="preserve"> that</w:t>
      </w:r>
      <w:r w:rsidR="00D05DFA">
        <w:rPr>
          <w:rFonts w:asciiTheme="majorBidi" w:hAnsiTheme="majorBidi" w:cstheme="majorBidi"/>
          <w:lang w:bidi="he-IL"/>
        </w:rPr>
        <w:t xml:space="preserve"> </w:t>
      </w:r>
      <w:r w:rsidR="00F73DDC">
        <w:rPr>
          <w:rFonts w:asciiTheme="majorBidi" w:hAnsiTheme="majorBidi" w:cstheme="majorBidi"/>
          <w:lang w:bidi="he-IL"/>
        </w:rPr>
        <w:t>govern</w:t>
      </w:r>
      <w:r w:rsidR="00ED391D">
        <w:rPr>
          <w:rFonts w:asciiTheme="majorBidi" w:hAnsiTheme="majorBidi" w:cstheme="majorBidi"/>
          <w:lang w:bidi="he-IL"/>
        </w:rPr>
        <w:t xml:space="preserve"> </w:t>
      </w:r>
      <w:r w:rsidR="00123838">
        <w:rPr>
          <w:rFonts w:asciiTheme="majorBidi" w:hAnsiTheme="majorBidi" w:cstheme="majorBidi"/>
          <w:lang w:bidi="he-IL"/>
        </w:rPr>
        <w:t xml:space="preserve">their </w:t>
      </w:r>
      <w:r w:rsidR="00ED391D">
        <w:rPr>
          <w:rFonts w:asciiTheme="majorBidi" w:hAnsiTheme="majorBidi" w:cstheme="majorBidi"/>
          <w:lang w:bidi="he-IL"/>
        </w:rPr>
        <w:t>work</w:t>
      </w:r>
      <w:r w:rsidR="00123838">
        <w:rPr>
          <w:rFonts w:asciiTheme="majorBidi" w:hAnsiTheme="majorBidi" w:cstheme="majorBidi"/>
          <w:lang w:bidi="he-IL"/>
        </w:rPr>
        <w:t xml:space="preserve">, scientists </w:t>
      </w:r>
      <w:r w:rsidR="00A01500">
        <w:rPr>
          <w:rFonts w:asciiTheme="majorBidi" w:hAnsiTheme="majorBidi" w:cstheme="majorBidi"/>
          <w:lang w:bidi="he-IL"/>
        </w:rPr>
        <w:t>pride</w:t>
      </w:r>
      <w:r w:rsidR="00123838">
        <w:rPr>
          <w:rFonts w:asciiTheme="majorBidi" w:hAnsiTheme="majorBidi" w:cstheme="majorBidi"/>
          <w:lang w:bidi="he-IL"/>
        </w:rPr>
        <w:t xml:space="preserve"> themselves </w:t>
      </w:r>
      <w:r w:rsidR="00A01500">
        <w:rPr>
          <w:rFonts w:asciiTheme="majorBidi" w:hAnsiTheme="majorBidi" w:cstheme="majorBidi"/>
          <w:lang w:bidi="he-IL"/>
        </w:rPr>
        <w:t>in</w:t>
      </w:r>
      <w:r w:rsidR="00123838">
        <w:rPr>
          <w:rFonts w:asciiTheme="majorBidi" w:hAnsiTheme="majorBidi" w:cstheme="majorBidi"/>
          <w:lang w:bidi="he-IL"/>
        </w:rPr>
        <w:t xml:space="preserve"> constantly questioning, testing and improving on the interpretive efforts of their predecessors and peers. They </w:t>
      </w:r>
      <w:r w:rsidR="00A01500">
        <w:rPr>
          <w:rFonts w:asciiTheme="majorBidi" w:hAnsiTheme="majorBidi" w:cstheme="majorBidi"/>
          <w:lang w:bidi="he-IL"/>
        </w:rPr>
        <w:t xml:space="preserve">too </w:t>
      </w:r>
      <w:r w:rsidR="00123838">
        <w:rPr>
          <w:rFonts w:asciiTheme="majorBidi" w:hAnsiTheme="majorBidi" w:cstheme="majorBidi"/>
          <w:lang w:bidi="he-IL"/>
        </w:rPr>
        <w:t>are not legislators</w:t>
      </w:r>
      <w:r w:rsidR="00F80647">
        <w:rPr>
          <w:rFonts w:asciiTheme="majorBidi" w:hAnsiTheme="majorBidi" w:cstheme="majorBidi"/>
          <w:lang w:bidi="he-IL"/>
        </w:rPr>
        <w:t>. They are powerless to change the reality they interpret.</w:t>
      </w:r>
      <w:r w:rsidR="00BE519D">
        <w:rPr>
          <w:rFonts w:asciiTheme="majorBidi" w:hAnsiTheme="majorBidi" w:cstheme="majorBidi"/>
          <w:lang w:bidi="he-IL"/>
        </w:rPr>
        <w:t xml:space="preserve"> </w:t>
      </w:r>
    </w:p>
    <w:p w14:paraId="4909AE28" w14:textId="52A5733A" w:rsidR="00D05DFA" w:rsidRDefault="00A01500" w:rsidP="00001D2E">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And yet the dynamics</w:t>
      </w:r>
      <w:r w:rsidR="00DA2B87">
        <w:rPr>
          <w:rFonts w:asciiTheme="majorBidi" w:hAnsiTheme="majorBidi" w:cstheme="majorBidi"/>
          <w:lang w:bidi="he-IL"/>
        </w:rPr>
        <w:t xml:space="preserve"> of the two systems are so very different. As guardian of the Constitution, </w:t>
      </w:r>
      <w:r w:rsidR="007E7EC9">
        <w:rPr>
          <w:rFonts w:asciiTheme="majorBidi" w:hAnsiTheme="majorBidi" w:cstheme="majorBidi"/>
          <w:lang w:bidi="he-IL"/>
        </w:rPr>
        <w:t>the Supreme Court</w:t>
      </w:r>
      <w:r w:rsidR="00DA2B87">
        <w:rPr>
          <w:rFonts w:asciiTheme="majorBidi" w:hAnsiTheme="majorBidi" w:cstheme="majorBidi"/>
          <w:lang w:bidi="he-IL"/>
        </w:rPr>
        <w:t xml:space="preserve"> views itself as custodian of its accepted reading</w:t>
      </w:r>
      <w:r w:rsidR="007E7EC9">
        <w:rPr>
          <w:rFonts w:asciiTheme="majorBidi" w:hAnsiTheme="majorBidi" w:cstheme="majorBidi"/>
          <w:lang w:bidi="he-IL"/>
        </w:rPr>
        <w:t>, which</w:t>
      </w:r>
      <w:r>
        <w:rPr>
          <w:rFonts w:asciiTheme="majorBidi" w:hAnsiTheme="majorBidi" w:cstheme="majorBidi"/>
          <w:lang w:bidi="he-IL"/>
        </w:rPr>
        <w:t xml:space="preserve"> </w:t>
      </w:r>
      <w:r w:rsidR="00207236">
        <w:rPr>
          <w:rFonts w:asciiTheme="majorBidi" w:hAnsiTheme="majorBidi" w:cstheme="majorBidi"/>
          <w:lang w:bidi="he-IL"/>
        </w:rPr>
        <w:t>they are</w:t>
      </w:r>
      <w:r w:rsidR="007E7EC9">
        <w:rPr>
          <w:rFonts w:asciiTheme="majorBidi" w:hAnsiTheme="majorBidi" w:cstheme="majorBidi"/>
          <w:lang w:bidi="he-IL"/>
        </w:rPr>
        <w:t xml:space="preserve"> liable to change from time to time, but only when dramatic new cases are brought before it</w:t>
      </w:r>
      <w:r w:rsidR="00001D2E">
        <w:rPr>
          <w:rFonts w:asciiTheme="majorBidi" w:hAnsiTheme="majorBidi" w:cstheme="majorBidi"/>
          <w:lang w:bidi="he-IL"/>
        </w:rPr>
        <w:t xml:space="preserve"> by others</w:t>
      </w:r>
      <w:r w:rsidR="007E7EC9">
        <w:rPr>
          <w:rFonts w:asciiTheme="majorBidi" w:hAnsiTheme="majorBidi" w:cstheme="majorBidi"/>
          <w:lang w:bidi="he-IL"/>
        </w:rPr>
        <w:t xml:space="preserve">, as Patton nicely describes; only after the event, after </w:t>
      </w:r>
      <w:r w:rsidR="00207236">
        <w:rPr>
          <w:rFonts w:asciiTheme="majorBidi" w:hAnsiTheme="majorBidi" w:cstheme="majorBidi"/>
          <w:lang w:bidi="he-IL"/>
        </w:rPr>
        <w:t xml:space="preserve">it is </w:t>
      </w:r>
      <w:r w:rsidR="007E7EC9">
        <w:rPr>
          <w:rFonts w:asciiTheme="majorBidi" w:hAnsiTheme="majorBidi" w:cstheme="majorBidi"/>
          <w:lang w:bidi="he-IL"/>
        </w:rPr>
        <w:t>c</w:t>
      </w:r>
      <w:r w:rsidR="00001D2E">
        <w:rPr>
          <w:rFonts w:asciiTheme="majorBidi" w:hAnsiTheme="majorBidi" w:cstheme="majorBidi"/>
          <w:lang w:bidi="he-IL"/>
        </w:rPr>
        <w:t>lear</w:t>
      </w:r>
      <w:r w:rsidR="007E7EC9">
        <w:rPr>
          <w:rFonts w:asciiTheme="majorBidi" w:hAnsiTheme="majorBidi" w:cstheme="majorBidi"/>
          <w:lang w:bidi="he-IL"/>
        </w:rPr>
        <w:t xml:space="preserve"> that injustice </w:t>
      </w:r>
      <w:r w:rsidR="00001D2E">
        <w:rPr>
          <w:rFonts w:asciiTheme="majorBidi" w:hAnsiTheme="majorBidi" w:cstheme="majorBidi"/>
          <w:lang w:bidi="he-IL"/>
        </w:rPr>
        <w:t>is proved to prevail</w:t>
      </w:r>
      <w:r w:rsidR="007E7EC9">
        <w:rPr>
          <w:rFonts w:asciiTheme="majorBidi" w:hAnsiTheme="majorBidi" w:cstheme="majorBidi"/>
          <w:lang w:bidi="he-IL"/>
        </w:rPr>
        <w:t>. The</w:t>
      </w:r>
      <w:r w:rsidR="00207236">
        <w:rPr>
          <w:rFonts w:asciiTheme="majorBidi" w:hAnsiTheme="majorBidi" w:cstheme="majorBidi"/>
          <w:lang w:bidi="he-IL"/>
        </w:rPr>
        <w:t xml:space="preserve"> Supreme Court</w:t>
      </w:r>
      <w:r w:rsidR="007E7EC9">
        <w:rPr>
          <w:rFonts w:asciiTheme="majorBidi" w:hAnsiTheme="majorBidi" w:cstheme="majorBidi"/>
          <w:lang w:bidi="he-IL"/>
        </w:rPr>
        <w:t xml:space="preserve"> will never propose changes on </w:t>
      </w:r>
      <w:r w:rsidR="00207236">
        <w:rPr>
          <w:rFonts w:asciiTheme="majorBidi" w:hAnsiTheme="majorBidi" w:cstheme="majorBidi"/>
          <w:lang w:bidi="he-IL"/>
        </w:rPr>
        <w:t>its</w:t>
      </w:r>
      <w:r w:rsidR="007E7EC9">
        <w:rPr>
          <w:rFonts w:asciiTheme="majorBidi" w:hAnsiTheme="majorBidi" w:cstheme="majorBidi"/>
          <w:lang w:bidi="he-IL"/>
        </w:rPr>
        <w:t xml:space="preserve"> own accord, as a result of debate and discussion. </w:t>
      </w:r>
      <w:r w:rsidR="00207236">
        <w:rPr>
          <w:rFonts w:asciiTheme="majorBidi" w:hAnsiTheme="majorBidi" w:cstheme="majorBidi"/>
          <w:lang w:bidi="he-IL"/>
        </w:rPr>
        <w:t>It</w:t>
      </w:r>
      <w:r w:rsidR="007E7EC9">
        <w:rPr>
          <w:rFonts w:asciiTheme="majorBidi" w:hAnsiTheme="majorBidi" w:cstheme="majorBidi"/>
          <w:lang w:bidi="he-IL"/>
        </w:rPr>
        <w:t xml:space="preserve"> certainly do</w:t>
      </w:r>
      <w:r w:rsidR="00207236">
        <w:rPr>
          <w:rFonts w:asciiTheme="majorBidi" w:hAnsiTheme="majorBidi" w:cstheme="majorBidi"/>
          <w:lang w:bidi="he-IL"/>
        </w:rPr>
        <w:t>es</w:t>
      </w:r>
      <w:r w:rsidR="007E7EC9">
        <w:rPr>
          <w:rFonts w:asciiTheme="majorBidi" w:hAnsiTheme="majorBidi" w:cstheme="majorBidi"/>
          <w:lang w:bidi="he-IL"/>
        </w:rPr>
        <w:t xml:space="preserve"> not actively seek </w:t>
      </w:r>
      <w:r w:rsidR="00207236">
        <w:rPr>
          <w:rFonts w:asciiTheme="majorBidi" w:hAnsiTheme="majorBidi" w:cstheme="majorBidi"/>
          <w:lang w:bidi="he-IL"/>
        </w:rPr>
        <w:t xml:space="preserve">external </w:t>
      </w:r>
      <w:r w:rsidR="007E7EC9">
        <w:rPr>
          <w:rFonts w:asciiTheme="majorBidi" w:hAnsiTheme="majorBidi" w:cstheme="majorBidi"/>
          <w:lang w:bidi="he-IL"/>
        </w:rPr>
        <w:t>critique. Patton is right in claiming that the only “trading zone” relevant to</w:t>
      </w:r>
      <w:r w:rsidR="00207236">
        <w:rPr>
          <w:rFonts w:asciiTheme="majorBidi" w:hAnsiTheme="majorBidi" w:cstheme="majorBidi"/>
          <w:lang w:bidi="he-IL"/>
        </w:rPr>
        <w:t xml:space="preserve"> a</w:t>
      </w:r>
      <w:r w:rsidR="007E7EC9">
        <w:rPr>
          <w:rFonts w:asciiTheme="majorBidi" w:hAnsiTheme="majorBidi" w:cstheme="majorBidi"/>
          <w:lang w:bidi="he-IL"/>
        </w:rPr>
        <w:t xml:space="preserve"> judicial change of mind is constituted by the cases brought</w:t>
      </w:r>
      <w:r w:rsidR="00001D2E">
        <w:rPr>
          <w:rFonts w:asciiTheme="majorBidi" w:hAnsiTheme="majorBidi" w:cstheme="majorBidi"/>
          <w:lang w:bidi="he-IL"/>
        </w:rPr>
        <w:t xml:space="preserve"> from the outside</w:t>
      </w:r>
      <w:r w:rsidR="007E7EC9">
        <w:rPr>
          <w:rFonts w:asciiTheme="majorBidi" w:hAnsiTheme="majorBidi" w:cstheme="majorBidi"/>
          <w:lang w:bidi="he-IL"/>
        </w:rPr>
        <w:t xml:space="preserve"> before </w:t>
      </w:r>
      <w:r w:rsidR="00207236">
        <w:rPr>
          <w:rFonts w:asciiTheme="majorBidi" w:hAnsiTheme="majorBidi" w:cstheme="majorBidi"/>
          <w:lang w:bidi="he-IL"/>
        </w:rPr>
        <w:t xml:space="preserve">the court – so very different from </w:t>
      </w:r>
      <w:r w:rsidR="00001D2E">
        <w:rPr>
          <w:rFonts w:asciiTheme="majorBidi" w:hAnsiTheme="majorBidi" w:cstheme="majorBidi"/>
          <w:lang w:bidi="he-IL"/>
        </w:rPr>
        <w:t>the active and proactive testing and questioning in</w:t>
      </w:r>
      <w:r w:rsidR="00207236">
        <w:rPr>
          <w:rFonts w:asciiTheme="majorBidi" w:hAnsiTheme="majorBidi" w:cstheme="majorBidi"/>
          <w:lang w:bidi="he-IL"/>
        </w:rPr>
        <w:t xml:space="preserve"> other interpretive enterprise</w:t>
      </w:r>
      <w:r w:rsidR="00001D2E">
        <w:rPr>
          <w:rFonts w:asciiTheme="majorBidi" w:hAnsiTheme="majorBidi" w:cstheme="majorBidi"/>
          <w:lang w:bidi="he-IL"/>
        </w:rPr>
        <w:t>s</w:t>
      </w:r>
      <w:r w:rsidR="00207236">
        <w:rPr>
          <w:rFonts w:asciiTheme="majorBidi" w:hAnsiTheme="majorBidi" w:cstheme="majorBidi"/>
          <w:lang w:bidi="he-IL"/>
        </w:rPr>
        <w:t>.</w:t>
      </w:r>
    </w:p>
    <w:p w14:paraId="0E525E07" w14:textId="77777777" w:rsidR="00755E6C" w:rsidRDefault="00755E6C" w:rsidP="002A0AC1">
      <w:pPr>
        <w:pStyle w:val="EndnoteText"/>
        <w:spacing w:after="60" w:line="360" w:lineRule="auto"/>
        <w:jc w:val="both"/>
        <w:rPr>
          <w:rFonts w:asciiTheme="majorBidi" w:hAnsiTheme="majorBidi" w:cstheme="majorBidi"/>
          <w:lang w:bidi="he-IL"/>
        </w:rPr>
      </w:pPr>
    </w:p>
    <w:p w14:paraId="69E81875" w14:textId="1AE7A258" w:rsidR="007872E7" w:rsidRDefault="00755E6C" w:rsidP="00A20D9C">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However,</w:t>
      </w:r>
      <w:r w:rsidR="00CF5621">
        <w:rPr>
          <w:rFonts w:asciiTheme="majorBidi" w:hAnsiTheme="majorBidi" w:cstheme="majorBidi"/>
          <w:lang w:bidi="he-IL"/>
        </w:rPr>
        <w:t xml:space="preserve"> </w:t>
      </w:r>
      <w:r w:rsidR="005B1F53">
        <w:rPr>
          <w:rFonts w:asciiTheme="majorBidi" w:hAnsiTheme="majorBidi" w:cstheme="majorBidi"/>
          <w:lang w:bidi="he-IL"/>
        </w:rPr>
        <w:t xml:space="preserve">the </w:t>
      </w:r>
      <w:r w:rsidR="00A20D9C">
        <w:rPr>
          <w:rFonts w:asciiTheme="majorBidi" w:hAnsiTheme="majorBidi" w:cstheme="majorBidi"/>
          <w:lang w:bidi="he-IL"/>
        </w:rPr>
        <w:t>most interesting</w:t>
      </w:r>
      <w:r w:rsidR="00CF5621">
        <w:rPr>
          <w:rFonts w:asciiTheme="majorBidi" w:hAnsiTheme="majorBidi" w:cstheme="majorBidi"/>
          <w:lang w:bidi="he-IL"/>
        </w:rPr>
        <w:t xml:space="preserve"> issue Patton raises</w:t>
      </w:r>
      <w:r w:rsidR="00A20D9C">
        <w:rPr>
          <w:rFonts w:asciiTheme="majorBidi" w:hAnsiTheme="majorBidi" w:cstheme="majorBidi"/>
          <w:lang w:bidi="he-IL"/>
        </w:rPr>
        <w:t xml:space="preserve"> has to do with</w:t>
      </w:r>
      <w:r w:rsidR="00CF5621">
        <w:rPr>
          <w:rFonts w:asciiTheme="majorBidi" w:hAnsiTheme="majorBidi" w:cstheme="majorBidi"/>
          <w:lang w:bidi="he-IL"/>
        </w:rPr>
        <w:t xml:space="preserve"> religio</w:t>
      </w:r>
      <w:r w:rsidR="00A20D9C">
        <w:rPr>
          <w:rFonts w:asciiTheme="majorBidi" w:hAnsiTheme="majorBidi" w:cstheme="majorBidi"/>
          <w:lang w:bidi="he-IL"/>
        </w:rPr>
        <w:t>us moments in which</w:t>
      </w:r>
      <w:r>
        <w:rPr>
          <w:rFonts w:asciiTheme="majorBidi" w:hAnsiTheme="majorBidi" w:cstheme="majorBidi"/>
          <w:lang w:bidi="he-IL"/>
        </w:rPr>
        <w:t xml:space="preserve">, as she so nicely puts it, </w:t>
      </w:r>
      <w:r w:rsidR="00CF5621">
        <w:rPr>
          <w:rFonts w:asciiTheme="majorBidi" w:hAnsiTheme="majorBidi" w:cstheme="majorBidi"/>
          <w:lang w:bidi="he-IL"/>
        </w:rPr>
        <w:t xml:space="preserve">the image of the trading zone gives way to that of beyond the pale; when a transformative effect is achieved by practitioners knowingly venturing out, not merely to </w:t>
      </w:r>
      <w:r w:rsidR="00934F11">
        <w:rPr>
          <w:rFonts w:asciiTheme="majorBidi" w:hAnsiTheme="majorBidi" w:cstheme="majorBidi"/>
          <w:lang w:bidi="he-IL"/>
        </w:rPr>
        <w:t>liminal</w:t>
      </w:r>
      <w:r w:rsidR="00CF5621">
        <w:rPr>
          <w:rFonts w:asciiTheme="majorBidi" w:hAnsiTheme="majorBidi" w:cstheme="majorBidi"/>
          <w:lang w:bidi="he-IL"/>
        </w:rPr>
        <w:t xml:space="preserve"> sites of religious exchange and borrowing, but into regions of extreme transgression.</w:t>
      </w:r>
      <w:r w:rsidR="005B1F53">
        <w:rPr>
          <w:rFonts w:asciiTheme="majorBidi" w:hAnsiTheme="majorBidi" w:cstheme="majorBidi"/>
          <w:lang w:bidi="he-IL"/>
        </w:rPr>
        <w:t xml:space="preserve"> Not just any transgression, though. Not to areas of carefree </w:t>
      </w:r>
      <w:r w:rsidR="00F07E47">
        <w:rPr>
          <w:rFonts w:asciiTheme="majorBidi" w:hAnsiTheme="majorBidi" w:cstheme="majorBidi"/>
          <w:lang w:bidi="he-IL"/>
        </w:rPr>
        <w:t>inobservance</w:t>
      </w:r>
      <w:r w:rsidR="005B1F53">
        <w:rPr>
          <w:rFonts w:asciiTheme="majorBidi" w:hAnsiTheme="majorBidi" w:cstheme="majorBidi"/>
          <w:lang w:bidi="he-IL"/>
        </w:rPr>
        <w:t xml:space="preserve"> or unruliness, but of </w:t>
      </w:r>
      <w:r>
        <w:rPr>
          <w:rFonts w:asciiTheme="majorBidi" w:hAnsiTheme="majorBidi" w:cstheme="majorBidi"/>
          <w:lang w:bidi="he-IL"/>
        </w:rPr>
        <w:t xml:space="preserve">those of </w:t>
      </w:r>
      <w:r w:rsidR="005B1F53">
        <w:rPr>
          <w:rFonts w:asciiTheme="majorBidi" w:hAnsiTheme="majorBidi" w:cstheme="majorBidi"/>
          <w:lang w:bidi="he-IL"/>
        </w:rPr>
        <w:t>religious crossdressing, if we be allowed the term; when lines are crossed not for the sake of heaven</w:t>
      </w:r>
      <w:r>
        <w:rPr>
          <w:rFonts w:asciiTheme="majorBidi" w:hAnsiTheme="majorBidi" w:cstheme="majorBidi"/>
          <w:lang w:bidi="he-IL"/>
        </w:rPr>
        <w:t xml:space="preserve"> or self</w:t>
      </w:r>
      <w:r w:rsidR="005B1F53">
        <w:rPr>
          <w:rFonts w:asciiTheme="majorBidi" w:hAnsiTheme="majorBidi" w:cstheme="majorBidi"/>
          <w:lang w:bidi="he-IL"/>
        </w:rPr>
        <w:t xml:space="preserve">, but for that of a member of a different faith. </w:t>
      </w:r>
    </w:p>
    <w:p w14:paraId="1670218A" w14:textId="3DCD2BC3" w:rsidR="002A0AC1" w:rsidRPr="00087CA2" w:rsidRDefault="008B558D" w:rsidP="007200AD">
      <w:pPr>
        <w:spacing w:after="60" w:line="360" w:lineRule="auto"/>
        <w:jc w:val="both"/>
        <w:rPr>
          <w:rFonts w:asciiTheme="majorBidi" w:hAnsiTheme="majorBidi" w:cstheme="majorBidi"/>
          <w:color w:val="000000" w:themeColor="text1"/>
        </w:rPr>
      </w:pPr>
      <w:r>
        <w:rPr>
          <w:rFonts w:asciiTheme="majorBidi" w:hAnsiTheme="majorBidi" w:cstheme="majorBidi"/>
          <w:lang w:bidi="he-IL"/>
        </w:rPr>
        <w:t xml:space="preserve">Two biblical (counter) examples will help </w:t>
      </w:r>
      <w:r w:rsidR="004971FA">
        <w:rPr>
          <w:rFonts w:asciiTheme="majorBidi" w:hAnsiTheme="majorBidi" w:cstheme="majorBidi"/>
          <w:lang w:bidi="he-IL"/>
        </w:rPr>
        <w:t xml:space="preserve">better </w:t>
      </w:r>
      <w:r>
        <w:rPr>
          <w:rFonts w:asciiTheme="majorBidi" w:hAnsiTheme="majorBidi" w:cstheme="majorBidi"/>
          <w:lang w:bidi="he-IL"/>
        </w:rPr>
        <w:t>make the point</w:t>
      </w:r>
      <w:r w:rsidR="002A0AC1">
        <w:rPr>
          <w:rFonts w:asciiTheme="majorBidi" w:hAnsiTheme="majorBidi" w:cstheme="majorBidi"/>
          <w:lang w:bidi="he-IL"/>
        </w:rPr>
        <w:t xml:space="preserve"> – one explicit and one implicit</w:t>
      </w:r>
      <w:r>
        <w:rPr>
          <w:rFonts w:asciiTheme="majorBidi" w:hAnsiTheme="majorBidi" w:cstheme="majorBidi"/>
          <w:lang w:bidi="he-IL"/>
        </w:rPr>
        <w:t>.</w:t>
      </w:r>
      <w:r w:rsidR="004971FA">
        <w:rPr>
          <w:rFonts w:asciiTheme="majorBidi" w:hAnsiTheme="majorBidi" w:cstheme="majorBidi"/>
          <w:lang w:bidi="he-IL"/>
        </w:rPr>
        <w:t xml:space="preserve"> </w:t>
      </w:r>
      <w:r w:rsidR="002A0AC1">
        <w:rPr>
          <w:rFonts w:asciiTheme="majorBidi" w:hAnsiTheme="majorBidi" w:cstheme="majorBidi"/>
          <w:lang w:bidi="he-IL"/>
        </w:rPr>
        <w:t xml:space="preserve">The first </w:t>
      </w:r>
      <w:r w:rsidR="002A0AC1">
        <w:rPr>
          <w:rFonts w:asciiTheme="majorBidi" w:hAnsiTheme="majorBidi" w:cstheme="majorBidi"/>
          <w:color w:val="000000" w:themeColor="text1"/>
        </w:rPr>
        <w:t xml:space="preserve">concerns the Torah’s intriguing vision and command with </w:t>
      </w:r>
      <w:r w:rsidR="00A20D9C">
        <w:rPr>
          <w:rFonts w:asciiTheme="majorBidi" w:hAnsiTheme="majorBidi" w:cstheme="majorBidi"/>
          <w:color w:val="000000" w:themeColor="text1"/>
        </w:rPr>
        <w:t>respect</w:t>
      </w:r>
      <w:r w:rsidR="002A0AC1">
        <w:rPr>
          <w:rFonts w:asciiTheme="majorBidi" w:hAnsiTheme="majorBidi" w:cstheme="majorBidi"/>
          <w:color w:val="000000" w:themeColor="text1"/>
        </w:rPr>
        <w:t xml:space="preserve"> to the “stranger”, the </w:t>
      </w:r>
      <w:r w:rsidR="002A0AC1" w:rsidRPr="001015FC">
        <w:rPr>
          <w:rFonts w:asciiTheme="majorBidi" w:hAnsiTheme="majorBidi" w:cstheme="majorBidi"/>
          <w:i/>
          <w:iCs/>
          <w:color w:val="000000" w:themeColor="text1"/>
        </w:rPr>
        <w:t>ge</w:t>
      </w:r>
      <w:r w:rsidR="002A0AC1">
        <w:rPr>
          <w:rFonts w:asciiTheme="majorBidi" w:hAnsiTheme="majorBidi" w:cstheme="majorBidi"/>
          <w:i/>
          <w:iCs/>
          <w:color w:val="000000" w:themeColor="text1"/>
        </w:rPr>
        <w:t>r</w:t>
      </w:r>
      <w:r w:rsidR="002A0AC1">
        <w:rPr>
          <w:rFonts w:asciiTheme="majorBidi" w:hAnsiTheme="majorBidi" w:cstheme="majorBidi"/>
          <w:color w:val="000000" w:themeColor="text1"/>
        </w:rPr>
        <w:t>, the gentile minorities who will dwell amongst thee when you reach land. In sharp contrast to the ethnically cleansed Jerusalem of Ezra-Nehemiah, the</w:t>
      </w:r>
      <w:r w:rsidR="002A0AC1" w:rsidRPr="00C633B2">
        <w:rPr>
          <w:rFonts w:asciiTheme="majorBidi" w:hAnsiTheme="majorBidi" w:cstheme="majorBidi"/>
          <w:color w:val="000000" w:themeColor="text1"/>
        </w:rPr>
        <w:t xml:space="preserve"> Torah envisag</w:t>
      </w:r>
      <w:r w:rsidR="002A0AC1">
        <w:rPr>
          <w:rFonts w:asciiTheme="majorBidi" w:hAnsiTheme="majorBidi" w:cstheme="majorBidi"/>
          <w:color w:val="000000" w:themeColor="text1"/>
        </w:rPr>
        <w:t xml:space="preserve">es </w:t>
      </w:r>
      <w:r w:rsidR="009C76EB">
        <w:rPr>
          <w:rFonts w:asciiTheme="majorBidi" w:hAnsiTheme="majorBidi" w:cstheme="majorBidi"/>
          <w:color w:val="000000" w:themeColor="text1"/>
        </w:rPr>
        <w:t>sovereign Israel as</w:t>
      </w:r>
      <w:r w:rsidR="00DD09C5">
        <w:rPr>
          <w:rFonts w:asciiTheme="majorBidi" w:hAnsiTheme="majorBidi" w:cstheme="majorBidi"/>
          <w:color w:val="000000" w:themeColor="text1"/>
        </w:rPr>
        <w:t xml:space="preserve"> a multi-ethnic </w:t>
      </w:r>
      <w:r w:rsidR="002A0AC1" w:rsidRPr="00C633B2">
        <w:rPr>
          <w:rFonts w:asciiTheme="majorBidi" w:hAnsiTheme="majorBidi" w:cstheme="majorBidi"/>
          <w:color w:val="000000" w:themeColor="text1"/>
        </w:rPr>
        <w:t xml:space="preserve">national collective </w:t>
      </w:r>
      <w:r w:rsidR="002A0AC1">
        <w:rPr>
          <w:rFonts w:asciiTheme="majorBidi" w:hAnsiTheme="majorBidi" w:cstheme="majorBidi"/>
          <w:color w:val="000000" w:themeColor="text1"/>
        </w:rPr>
        <w:t>that far transcends</w:t>
      </w:r>
      <w:r w:rsidR="002A0AC1" w:rsidRPr="00C633B2">
        <w:rPr>
          <w:rFonts w:asciiTheme="majorBidi" w:hAnsiTheme="majorBidi" w:cstheme="majorBidi"/>
          <w:color w:val="000000" w:themeColor="text1"/>
        </w:rPr>
        <w:t xml:space="preserve"> the boundaries of </w:t>
      </w:r>
      <w:r w:rsidR="009C76EB">
        <w:rPr>
          <w:rFonts w:asciiTheme="majorBidi" w:hAnsiTheme="majorBidi" w:cstheme="majorBidi"/>
          <w:color w:val="000000" w:themeColor="text1"/>
        </w:rPr>
        <w:t>Jewish</w:t>
      </w:r>
      <w:r w:rsidR="002A0AC1">
        <w:rPr>
          <w:rFonts w:asciiTheme="majorBidi" w:hAnsiTheme="majorBidi" w:cstheme="majorBidi"/>
          <w:color w:val="000000" w:themeColor="text1"/>
        </w:rPr>
        <w:t xml:space="preserve"> </w:t>
      </w:r>
      <w:r w:rsidR="00DD09C5">
        <w:rPr>
          <w:rFonts w:asciiTheme="majorBidi" w:hAnsiTheme="majorBidi" w:cstheme="majorBidi"/>
          <w:color w:val="000000" w:themeColor="text1"/>
        </w:rPr>
        <w:t>peoplehood</w:t>
      </w:r>
      <w:r w:rsidR="002A0AC1" w:rsidRPr="00C633B2">
        <w:rPr>
          <w:rFonts w:asciiTheme="majorBidi" w:hAnsiTheme="majorBidi" w:cstheme="majorBidi"/>
          <w:color w:val="000000" w:themeColor="text1"/>
        </w:rPr>
        <w:t xml:space="preserve"> establishe</w:t>
      </w:r>
      <w:r w:rsidR="002A0AC1">
        <w:rPr>
          <w:rFonts w:asciiTheme="majorBidi" w:hAnsiTheme="majorBidi" w:cstheme="majorBidi"/>
          <w:color w:val="000000" w:themeColor="text1"/>
        </w:rPr>
        <w:t>d at Sinai</w:t>
      </w:r>
      <w:r w:rsidR="00886B19">
        <w:rPr>
          <w:rFonts w:asciiTheme="majorBidi" w:hAnsiTheme="majorBidi" w:cstheme="majorBidi"/>
          <w:color w:val="000000" w:themeColor="text1"/>
        </w:rPr>
        <w:t xml:space="preserve">. </w:t>
      </w:r>
      <w:r w:rsidR="007200AD">
        <w:rPr>
          <w:rFonts w:asciiTheme="majorBidi" w:hAnsiTheme="majorBidi" w:cstheme="majorBidi"/>
          <w:color w:val="000000" w:themeColor="text1"/>
        </w:rPr>
        <w:t>For a</w:t>
      </w:r>
      <w:r w:rsidR="00886B19">
        <w:rPr>
          <w:rFonts w:asciiTheme="majorBidi" w:hAnsiTheme="majorBidi" w:cstheme="majorBidi"/>
          <w:color w:val="000000" w:themeColor="text1"/>
        </w:rPr>
        <w:t xml:space="preserve">lthough the </w:t>
      </w:r>
      <w:r w:rsidR="00886B19">
        <w:rPr>
          <w:rFonts w:asciiTheme="majorBidi" w:hAnsiTheme="majorBidi" w:cstheme="majorBidi"/>
          <w:color w:val="000000" w:themeColor="text1"/>
        </w:rPr>
        <w:lastRenderedPageBreak/>
        <w:t>Hebrew Bible recognizes the adoption and desertion of Gods and cult</w:t>
      </w:r>
      <w:r w:rsidR="009C76EB">
        <w:rPr>
          <w:rFonts w:asciiTheme="majorBidi" w:hAnsiTheme="majorBidi" w:cstheme="majorBidi"/>
          <w:color w:val="000000" w:themeColor="text1"/>
        </w:rPr>
        <w:t>s</w:t>
      </w:r>
      <w:r w:rsidR="00886B19">
        <w:rPr>
          <w:rFonts w:asciiTheme="majorBidi" w:hAnsiTheme="majorBidi" w:cstheme="majorBidi"/>
          <w:color w:val="000000" w:themeColor="text1"/>
        </w:rPr>
        <w:t xml:space="preserve">, it </w:t>
      </w:r>
      <w:r w:rsidR="002A0AC1" w:rsidRPr="00087CA2">
        <w:rPr>
          <w:rFonts w:asciiTheme="majorBidi" w:hAnsiTheme="majorBidi" w:cstheme="majorBidi"/>
          <w:color w:val="000000" w:themeColor="text1"/>
        </w:rPr>
        <w:t>does not recognize conversion</w:t>
      </w:r>
      <w:r w:rsidR="00886B19">
        <w:rPr>
          <w:rFonts w:asciiTheme="majorBidi" w:hAnsiTheme="majorBidi" w:cstheme="majorBidi"/>
          <w:color w:val="000000" w:themeColor="text1"/>
        </w:rPr>
        <w:t>s of</w:t>
      </w:r>
      <w:r w:rsidR="002A0AC1" w:rsidRPr="00087CA2">
        <w:rPr>
          <w:rFonts w:asciiTheme="majorBidi" w:hAnsiTheme="majorBidi" w:cstheme="majorBidi"/>
          <w:color w:val="000000" w:themeColor="text1"/>
        </w:rPr>
        <w:t xml:space="preserve"> </w:t>
      </w:r>
      <w:r w:rsidR="00886B19">
        <w:rPr>
          <w:rFonts w:asciiTheme="majorBidi" w:hAnsiTheme="majorBidi" w:cstheme="majorBidi"/>
          <w:color w:val="000000" w:themeColor="text1"/>
        </w:rPr>
        <w:t>peoplehood.</w:t>
      </w:r>
      <w:r w:rsidR="007200AD">
        <w:rPr>
          <w:rStyle w:val="FootnoteReference"/>
          <w:rFonts w:asciiTheme="majorBidi" w:hAnsiTheme="majorBidi" w:cstheme="majorBidi"/>
          <w:color w:val="000000" w:themeColor="text1"/>
        </w:rPr>
        <w:footnoteReference w:id="4"/>
      </w:r>
      <w:r w:rsidR="00886B19">
        <w:rPr>
          <w:rFonts w:asciiTheme="majorBidi" w:hAnsiTheme="majorBidi" w:cstheme="majorBidi"/>
          <w:color w:val="000000" w:themeColor="text1"/>
        </w:rPr>
        <w:t xml:space="preserve">  </w:t>
      </w:r>
      <w:r w:rsidR="002A0AC1" w:rsidRPr="00087CA2">
        <w:rPr>
          <w:rFonts w:asciiTheme="majorBidi" w:hAnsiTheme="majorBidi" w:cstheme="majorBidi"/>
          <w:color w:val="000000" w:themeColor="text1"/>
        </w:rPr>
        <w:t xml:space="preserve"> </w:t>
      </w:r>
    </w:p>
    <w:p w14:paraId="72B1FA14" w14:textId="5233537A" w:rsidR="002A0AC1" w:rsidRDefault="002A0AC1" w:rsidP="007200AD">
      <w:pPr>
        <w:spacing w:after="60" w:line="360" w:lineRule="auto"/>
        <w:jc w:val="both"/>
        <w:rPr>
          <w:rFonts w:asciiTheme="majorBidi" w:hAnsiTheme="majorBidi" w:cstheme="majorBidi"/>
        </w:rPr>
      </w:pPr>
      <w:r w:rsidRPr="00C633B2">
        <w:rPr>
          <w:rFonts w:asciiTheme="majorBidi" w:hAnsiTheme="majorBidi" w:cstheme="majorBidi"/>
          <w:color w:val="000000" w:themeColor="text1"/>
        </w:rPr>
        <w:t>The</w:t>
      </w:r>
      <w:r>
        <w:rPr>
          <w:rFonts w:asciiTheme="majorBidi" w:hAnsiTheme="majorBidi" w:cstheme="majorBidi"/>
          <w:color w:val="000000" w:themeColor="text1"/>
        </w:rPr>
        <w:t xml:space="preserve"> </w:t>
      </w:r>
      <w:r w:rsidRPr="00FA29E1">
        <w:rPr>
          <w:rFonts w:asciiTheme="majorBidi" w:hAnsiTheme="majorBidi" w:cstheme="majorBidi"/>
          <w:i/>
          <w:iCs/>
          <w:color w:val="000000" w:themeColor="text1"/>
        </w:rPr>
        <w:t>ger</w:t>
      </w:r>
      <w:r>
        <w:rPr>
          <w:rFonts w:asciiTheme="majorBidi" w:hAnsiTheme="majorBidi" w:cstheme="majorBidi"/>
          <w:color w:val="000000" w:themeColor="text1"/>
        </w:rPr>
        <w:t>’s</w:t>
      </w:r>
      <w:r w:rsidRPr="00C633B2">
        <w:rPr>
          <w:rFonts w:asciiTheme="majorBidi" w:hAnsiTheme="majorBidi" w:cstheme="majorBidi"/>
          <w:color w:val="000000" w:themeColor="text1"/>
        </w:rPr>
        <w:t xml:space="preserve"> status</w:t>
      </w:r>
      <w:r>
        <w:rPr>
          <w:rFonts w:asciiTheme="majorBidi" w:hAnsiTheme="majorBidi" w:cstheme="majorBidi"/>
          <w:color w:val="000000" w:themeColor="text1"/>
        </w:rPr>
        <w:t>, the Torah commands</w:t>
      </w:r>
      <w:r w:rsidR="00724546">
        <w:rPr>
          <w:rFonts w:asciiTheme="majorBidi" w:hAnsiTheme="majorBidi" w:cstheme="majorBidi"/>
          <w:color w:val="000000" w:themeColor="text1"/>
        </w:rPr>
        <w:t>,</w:t>
      </w:r>
      <w:r w:rsidRPr="00C633B2">
        <w:rPr>
          <w:rFonts w:asciiTheme="majorBidi" w:hAnsiTheme="majorBidi" w:cstheme="majorBidi"/>
          <w:color w:val="000000" w:themeColor="text1"/>
        </w:rPr>
        <w:t xml:space="preserve"> will be identical to your</w:t>
      </w:r>
      <w:r w:rsidR="00724546">
        <w:rPr>
          <w:rFonts w:asciiTheme="majorBidi" w:hAnsiTheme="majorBidi" w:cstheme="majorBidi"/>
          <w:color w:val="000000" w:themeColor="text1"/>
        </w:rPr>
        <w:t xml:space="preserve"> own</w:t>
      </w:r>
      <w:r w:rsidRPr="00C633B2">
        <w:rPr>
          <w:rFonts w:asciiTheme="majorBidi" w:hAnsiTheme="majorBidi" w:cstheme="majorBidi"/>
          <w:color w:val="000000" w:themeColor="text1"/>
        </w:rPr>
        <w:t>: “</w:t>
      </w:r>
      <w:r w:rsidRPr="00C633B2">
        <w:rPr>
          <w:rStyle w:val="text"/>
          <w:rFonts w:asciiTheme="majorBidi" w:hAnsiTheme="majorBidi" w:cstheme="majorBidi"/>
          <w:color w:val="000000" w:themeColor="text1"/>
          <w:shd w:val="clear" w:color="auto" w:fill="FFFFFF"/>
        </w:rPr>
        <w:t xml:space="preserve">you shall not </w:t>
      </w:r>
      <w:r>
        <w:rPr>
          <w:rStyle w:val="text"/>
          <w:rFonts w:asciiTheme="majorBidi" w:hAnsiTheme="majorBidi" w:cstheme="majorBidi"/>
          <w:color w:val="000000" w:themeColor="text1"/>
          <w:shd w:val="clear" w:color="auto" w:fill="FFFFFF"/>
        </w:rPr>
        <w:t>wrong</w:t>
      </w:r>
      <w:r w:rsidRPr="00C633B2">
        <w:rPr>
          <w:rStyle w:val="text"/>
          <w:rFonts w:asciiTheme="majorBidi" w:hAnsiTheme="majorBidi" w:cstheme="majorBidi"/>
          <w:color w:val="000000" w:themeColor="text1"/>
          <w:shd w:val="clear" w:color="auto" w:fill="FFFFFF"/>
        </w:rPr>
        <w:t xml:space="preserve"> </w:t>
      </w:r>
      <w:r>
        <w:rPr>
          <w:rStyle w:val="text"/>
          <w:rFonts w:asciiTheme="majorBidi" w:hAnsiTheme="majorBidi" w:cstheme="majorBidi"/>
          <w:color w:val="000000" w:themeColor="text1"/>
          <w:shd w:val="clear" w:color="auto" w:fill="FFFFFF"/>
        </w:rPr>
        <w:t>him</w:t>
      </w:r>
      <w:r w:rsidRPr="00C633B2">
        <w:rPr>
          <w:rStyle w:val="text"/>
          <w:rFonts w:asciiTheme="majorBidi" w:hAnsiTheme="majorBidi" w:cstheme="majorBidi"/>
          <w:color w:val="000000" w:themeColor="text1"/>
          <w:shd w:val="clear" w:color="auto" w:fill="FFFFFF"/>
        </w:rPr>
        <w:t>.</w:t>
      </w:r>
      <w:r w:rsidRPr="00C633B2">
        <w:rPr>
          <w:rFonts w:asciiTheme="majorBidi" w:hAnsiTheme="majorBidi" w:cstheme="majorBidi"/>
          <w:color w:val="000000" w:themeColor="text1"/>
          <w:shd w:val="clear" w:color="auto" w:fill="FFFFFF"/>
        </w:rPr>
        <w:t> </w:t>
      </w:r>
      <w:r>
        <w:rPr>
          <w:rStyle w:val="text"/>
          <w:rFonts w:asciiTheme="majorBidi" w:hAnsiTheme="majorBidi" w:cstheme="majorBidi"/>
          <w:color w:val="000000" w:themeColor="text1"/>
          <w:shd w:val="clear" w:color="auto" w:fill="FFFFFF"/>
        </w:rPr>
        <w:t>But t</w:t>
      </w:r>
      <w:r w:rsidRPr="00C633B2">
        <w:rPr>
          <w:rStyle w:val="text"/>
          <w:rFonts w:asciiTheme="majorBidi" w:hAnsiTheme="majorBidi" w:cstheme="majorBidi"/>
          <w:color w:val="000000" w:themeColor="text1"/>
          <w:shd w:val="clear" w:color="auto" w:fill="FFFFFF"/>
        </w:rPr>
        <w:t xml:space="preserve">he stranger dwelling among </w:t>
      </w:r>
      <w:r>
        <w:rPr>
          <w:rStyle w:val="text"/>
          <w:rFonts w:asciiTheme="majorBidi" w:hAnsiTheme="majorBidi" w:cstheme="majorBidi"/>
          <w:color w:val="000000" w:themeColor="text1"/>
          <w:shd w:val="clear" w:color="auto" w:fill="FFFFFF"/>
        </w:rPr>
        <w:t>you shall be to you</w:t>
      </w:r>
      <w:r w:rsidRPr="00C633B2">
        <w:rPr>
          <w:rStyle w:val="text"/>
          <w:rFonts w:asciiTheme="majorBidi" w:hAnsiTheme="majorBidi" w:cstheme="majorBidi"/>
          <w:color w:val="000000" w:themeColor="text1"/>
          <w:shd w:val="clear" w:color="auto" w:fill="FFFFFF"/>
        </w:rPr>
        <w:t xml:space="preserve"> as your native-born</w:t>
      </w:r>
      <w:r>
        <w:rPr>
          <w:rStyle w:val="text"/>
          <w:rFonts w:asciiTheme="majorBidi" w:hAnsiTheme="majorBidi" w:cstheme="majorBidi"/>
          <w:color w:val="000000" w:themeColor="text1"/>
          <w:shd w:val="clear" w:color="auto" w:fill="FFFFFF"/>
        </w:rPr>
        <w:t>”</w:t>
      </w:r>
      <w:r w:rsidRPr="00C633B2">
        <w:rPr>
          <w:rStyle w:val="text"/>
          <w:rFonts w:asciiTheme="majorBidi" w:hAnsiTheme="majorBidi" w:cstheme="majorBidi"/>
          <w:color w:val="000000" w:themeColor="text1"/>
          <w:shd w:val="clear" w:color="auto" w:fill="FFFFFF"/>
        </w:rPr>
        <w:t> (Lev</w:t>
      </w:r>
      <w:r>
        <w:rPr>
          <w:rStyle w:val="text"/>
          <w:rFonts w:asciiTheme="majorBidi" w:hAnsiTheme="majorBidi" w:cstheme="majorBidi"/>
          <w:color w:val="000000" w:themeColor="text1"/>
          <w:shd w:val="clear" w:color="auto" w:fill="FFFFFF"/>
        </w:rPr>
        <w:t>iticus</w:t>
      </w:r>
      <w:r w:rsidRPr="00C633B2">
        <w:rPr>
          <w:rStyle w:val="text"/>
          <w:rFonts w:asciiTheme="majorBidi" w:hAnsiTheme="majorBidi" w:cstheme="majorBidi"/>
          <w:color w:val="000000" w:themeColor="text1"/>
          <w:shd w:val="clear" w:color="auto" w:fill="FFFFFF"/>
        </w:rPr>
        <w:t xml:space="preserve"> 19:33</w:t>
      </w:r>
      <w:r>
        <w:rPr>
          <w:rStyle w:val="text"/>
          <w:rFonts w:asciiTheme="majorBidi" w:hAnsiTheme="majorBidi" w:cstheme="majorBidi"/>
          <w:color w:val="000000" w:themeColor="text1"/>
          <w:shd w:val="clear" w:color="auto" w:fill="FFFFFF"/>
        </w:rPr>
        <w:t>-34</w:t>
      </w:r>
      <w:r w:rsidRPr="00C633B2">
        <w:rPr>
          <w:rStyle w:val="text"/>
          <w:rFonts w:asciiTheme="majorBidi" w:hAnsiTheme="majorBidi" w:cstheme="majorBidi"/>
          <w:color w:val="000000" w:themeColor="text1"/>
          <w:shd w:val="clear" w:color="auto" w:fill="FFFFFF"/>
        </w:rPr>
        <w:t xml:space="preserve">). </w:t>
      </w:r>
      <w:r w:rsidR="00724546">
        <w:rPr>
          <w:rStyle w:val="text"/>
          <w:rFonts w:asciiTheme="majorBidi" w:hAnsiTheme="majorBidi" w:cstheme="majorBidi"/>
          <w:color w:val="000000" w:themeColor="text1"/>
          <w:shd w:val="clear" w:color="auto" w:fill="FFFFFF"/>
        </w:rPr>
        <w:t>(</w:t>
      </w:r>
      <w:r w:rsidRPr="00C633B2">
        <w:rPr>
          <w:rStyle w:val="text"/>
          <w:rFonts w:asciiTheme="majorBidi" w:hAnsiTheme="majorBidi" w:cstheme="majorBidi"/>
          <w:color w:val="000000" w:themeColor="text1"/>
          <w:shd w:val="clear" w:color="auto" w:fill="FFFFFF"/>
        </w:rPr>
        <w:t xml:space="preserve">The </w:t>
      </w:r>
      <w:r w:rsidR="00886B19">
        <w:rPr>
          <w:rStyle w:val="text"/>
          <w:rFonts w:asciiTheme="majorBidi" w:hAnsiTheme="majorBidi" w:cstheme="majorBidi"/>
          <w:color w:val="000000" w:themeColor="text1"/>
          <w:shd w:val="clear" w:color="auto" w:fill="FFFFFF"/>
        </w:rPr>
        <w:t xml:space="preserve">biblical </w:t>
      </w:r>
      <w:r>
        <w:rPr>
          <w:rStyle w:val="text"/>
          <w:rFonts w:asciiTheme="majorBidi" w:hAnsiTheme="majorBidi" w:cstheme="majorBidi"/>
          <w:color w:val="000000" w:themeColor="text1"/>
          <w:shd w:val="clear" w:color="auto" w:fill="FFFFFF"/>
        </w:rPr>
        <w:t>term</w:t>
      </w:r>
      <w:r w:rsidRPr="00C633B2">
        <w:rPr>
          <w:rStyle w:val="text"/>
          <w:rFonts w:asciiTheme="majorBidi" w:hAnsiTheme="majorBidi" w:cstheme="majorBidi"/>
          <w:color w:val="000000" w:themeColor="text1"/>
          <w:shd w:val="clear" w:color="auto" w:fill="FFFFFF"/>
        </w:rPr>
        <w:t xml:space="preserve"> for “native born” is </w:t>
      </w:r>
      <w:r w:rsidRPr="009830C4">
        <w:rPr>
          <w:rStyle w:val="text"/>
          <w:rFonts w:asciiTheme="majorBidi" w:hAnsiTheme="majorBidi" w:cstheme="majorBidi"/>
          <w:i/>
          <w:iCs/>
          <w:color w:val="000000" w:themeColor="text1"/>
          <w:shd w:val="clear" w:color="auto" w:fill="FFFFFF"/>
        </w:rPr>
        <w:t>ezrach</w:t>
      </w:r>
      <w:r w:rsidRPr="00C633B2">
        <w:rPr>
          <w:rStyle w:val="text"/>
          <w:rFonts w:asciiTheme="majorBidi" w:hAnsiTheme="majorBidi" w:cstheme="majorBidi"/>
          <w:color w:val="000000" w:themeColor="text1"/>
          <w:shd w:val="clear" w:color="auto" w:fill="FFFFFF"/>
        </w:rPr>
        <w:t>, t</w:t>
      </w:r>
      <w:r>
        <w:rPr>
          <w:rStyle w:val="text"/>
          <w:rFonts w:asciiTheme="majorBidi" w:hAnsiTheme="majorBidi" w:cstheme="majorBidi"/>
          <w:color w:val="000000" w:themeColor="text1"/>
          <w:shd w:val="clear" w:color="auto" w:fill="FFFFFF"/>
        </w:rPr>
        <w:t xml:space="preserve">he word </w:t>
      </w:r>
      <w:r w:rsidR="00886B19">
        <w:rPr>
          <w:rStyle w:val="text"/>
          <w:rFonts w:asciiTheme="majorBidi" w:hAnsiTheme="majorBidi" w:cstheme="majorBidi"/>
          <w:color w:val="000000" w:themeColor="text1"/>
          <w:shd w:val="clear" w:color="auto" w:fill="FFFFFF"/>
        </w:rPr>
        <w:t xml:space="preserve">we </w:t>
      </w:r>
      <w:r>
        <w:rPr>
          <w:rStyle w:val="text"/>
          <w:rFonts w:asciiTheme="majorBidi" w:hAnsiTheme="majorBidi" w:cstheme="majorBidi"/>
          <w:color w:val="000000" w:themeColor="text1"/>
          <w:shd w:val="clear" w:color="auto" w:fill="FFFFFF"/>
        </w:rPr>
        <w:t>use today for citizen: ‘</w:t>
      </w:r>
      <w:r w:rsidRPr="00C633B2">
        <w:rPr>
          <w:rStyle w:val="text"/>
          <w:rFonts w:asciiTheme="majorBidi" w:hAnsiTheme="majorBidi" w:cstheme="majorBidi"/>
          <w:color w:val="000000" w:themeColor="text1"/>
          <w:shd w:val="clear" w:color="auto" w:fill="FFFFFF"/>
        </w:rPr>
        <w:t xml:space="preserve">A citizen </w:t>
      </w:r>
      <w:r>
        <w:rPr>
          <w:rStyle w:val="text"/>
          <w:rFonts w:asciiTheme="majorBidi" w:hAnsiTheme="majorBidi" w:cstheme="majorBidi"/>
          <w:color w:val="000000" w:themeColor="text1"/>
          <w:shd w:val="clear" w:color="auto" w:fill="FFFFFF"/>
        </w:rPr>
        <w:t xml:space="preserve">just </w:t>
      </w:r>
      <w:r w:rsidRPr="00C633B2">
        <w:rPr>
          <w:rStyle w:val="text"/>
          <w:rFonts w:asciiTheme="majorBidi" w:hAnsiTheme="majorBidi" w:cstheme="majorBidi"/>
          <w:color w:val="000000" w:themeColor="text1"/>
          <w:shd w:val="clear" w:color="auto" w:fill="FFFFFF"/>
        </w:rPr>
        <w:t>like yourself</w:t>
      </w:r>
      <w:r>
        <w:rPr>
          <w:rStyle w:val="text"/>
          <w:rFonts w:asciiTheme="majorBidi" w:hAnsiTheme="majorBidi" w:cstheme="majorBidi"/>
          <w:color w:val="000000" w:themeColor="text1"/>
          <w:shd w:val="clear" w:color="auto" w:fill="FFFFFF"/>
        </w:rPr>
        <w:t>’</w:t>
      </w:r>
      <w:r w:rsidRPr="00C633B2">
        <w:rPr>
          <w:rStyle w:val="text"/>
          <w:rFonts w:asciiTheme="majorBidi" w:hAnsiTheme="majorBidi" w:cstheme="majorBidi"/>
          <w:color w:val="000000" w:themeColor="text1"/>
          <w:shd w:val="clear" w:color="auto" w:fill="FFFFFF"/>
        </w:rPr>
        <w:t xml:space="preserve">, </w:t>
      </w:r>
      <w:r>
        <w:rPr>
          <w:rStyle w:val="text"/>
          <w:rFonts w:asciiTheme="majorBidi" w:hAnsiTheme="majorBidi" w:cstheme="majorBidi"/>
          <w:color w:val="000000" w:themeColor="text1"/>
          <w:shd w:val="clear" w:color="auto" w:fill="FFFFFF"/>
        </w:rPr>
        <w:t>we would now say, ‘</w:t>
      </w:r>
      <w:r w:rsidRPr="00C633B2">
        <w:rPr>
          <w:rStyle w:val="text"/>
          <w:rFonts w:asciiTheme="majorBidi" w:hAnsiTheme="majorBidi" w:cstheme="majorBidi"/>
          <w:color w:val="000000" w:themeColor="text1"/>
          <w:shd w:val="clear" w:color="auto" w:fill="FFFFFF"/>
        </w:rPr>
        <w:t>shall be the stranger who dwells amongst you</w:t>
      </w:r>
      <w:r>
        <w:rPr>
          <w:rStyle w:val="text"/>
          <w:rFonts w:asciiTheme="majorBidi" w:hAnsiTheme="majorBidi" w:cstheme="majorBidi"/>
          <w:color w:val="000000" w:themeColor="text1"/>
          <w:shd w:val="clear" w:color="auto" w:fill="FFFFFF"/>
        </w:rPr>
        <w:t>’</w:t>
      </w:r>
      <w:r w:rsidRPr="00C633B2">
        <w:rPr>
          <w:rStyle w:val="text"/>
          <w:rFonts w:asciiTheme="majorBidi" w:hAnsiTheme="majorBidi" w:cstheme="majorBidi"/>
          <w:color w:val="000000" w:themeColor="text1"/>
          <w:shd w:val="clear" w:color="auto" w:fill="FFFFFF"/>
        </w:rPr>
        <w:t>.</w:t>
      </w:r>
      <w:r w:rsidR="007200AD">
        <w:rPr>
          <w:rStyle w:val="text"/>
          <w:rFonts w:asciiTheme="majorBidi" w:hAnsiTheme="majorBidi" w:cstheme="majorBidi"/>
          <w:color w:val="000000" w:themeColor="text1"/>
          <w:shd w:val="clear" w:color="auto" w:fill="FFFFFF"/>
        </w:rPr>
        <w:t>)</w:t>
      </w:r>
      <w:r w:rsidRPr="00C633B2">
        <w:rPr>
          <w:rStyle w:val="text"/>
          <w:rFonts w:asciiTheme="majorBidi" w:hAnsiTheme="majorBidi" w:cstheme="majorBidi"/>
          <w:color w:val="000000" w:themeColor="text1"/>
          <w:shd w:val="clear" w:color="auto" w:fill="FFFFFF"/>
        </w:rPr>
        <w:t xml:space="preserve"> </w:t>
      </w:r>
      <w:r>
        <w:rPr>
          <w:rStyle w:val="text"/>
          <w:rFonts w:asciiTheme="majorBidi" w:hAnsiTheme="majorBidi" w:cstheme="majorBidi"/>
          <w:color w:val="000000" w:themeColor="text1"/>
          <w:shd w:val="clear" w:color="auto" w:fill="FFFFFF"/>
        </w:rPr>
        <w:t>The next verse, however, go</w:t>
      </w:r>
      <w:r w:rsidR="007200AD">
        <w:rPr>
          <w:rStyle w:val="text"/>
          <w:rFonts w:asciiTheme="majorBidi" w:hAnsiTheme="majorBidi" w:cstheme="majorBidi"/>
          <w:color w:val="000000" w:themeColor="text1"/>
          <w:shd w:val="clear" w:color="auto" w:fill="FFFFFF"/>
        </w:rPr>
        <w:t>ing</w:t>
      </w:r>
      <w:r>
        <w:rPr>
          <w:rStyle w:val="text"/>
          <w:rFonts w:asciiTheme="majorBidi" w:hAnsiTheme="majorBidi" w:cstheme="majorBidi"/>
          <w:color w:val="000000" w:themeColor="text1"/>
          <w:shd w:val="clear" w:color="auto" w:fill="FFFFFF"/>
        </w:rPr>
        <w:t xml:space="preserve"> an important </w:t>
      </w:r>
      <w:r w:rsidR="00B714C5">
        <w:rPr>
          <w:rStyle w:val="text"/>
          <w:rFonts w:asciiTheme="majorBidi" w:hAnsiTheme="majorBidi" w:cstheme="majorBidi"/>
          <w:color w:val="000000" w:themeColor="text1"/>
          <w:shd w:val="clear" w:color="auto" w:fill="FFFFFF"/>
        </w:rPr>
        <w:t xml:space="preserve">step </w:t>
      </w:r>
      <w:r>
        <w:rPr>
          <w:rStyle w:val="text"/>
          <w:rFonts w:asciiTheme="majorBidi" w:hAnsiTheme="majorBidi" w:cstheme="majorBidi"/>
          <w:color w:val="000000" w:themeColor="text1"/>
          <w:shd w:val="clear" w:color="auto" w:fill="FFFFFF"/>
        </w:rPr>
        <w:t xml:space="preserve">beyond the formalities of </w:t>
      </w:r>
      <w:r w:rsidR="00886B19">
        <w:rPr>
          <w:rStyle w:val="text"/>
          <w:rFonts w:asciiTheme="majorBidi" w:hAnsiTheme="majorBidi" w:cstheme="majorBidi"/>
          <w:color w:val="000000" w:themeColor="text1"/>
          <w:shd w:val="clear" w:color="auto" w:fill="FFFFFF"/>
        </w:rPr>
        <w:t xml:space="preserve">freedom and </w:t>
      </w:r>
      <w:r>
        <w:rPr>
          <w:rStyle w:val="text"/>
          <w:rFonts w:asciiTheme="majorBidi" w:hAnsiTheme="majorBidi" w:cstheme="majorBidi"/>
          <w:color w:val="000000" w:themeColor="text1"/>
          <w:shd w:val="clear" w:color="auto" w:fill="FFFFFF"/>
        </w:rPr>
        <w:t>equal citizenship</w:t>
      </w:r>
      <w:r w:rsidR="00B714C5">
        <w:rPr>
          <w:rStyle w:val="text"/>
          <w:rFonts w:asciiTheme="majorBidi" w:hAnsiTheme="majorBidi" w:cstheme="majorBidi"/>
          <w:color w:val="000000" w:themeColor="text1"/>
          <w:shd w:val="clear" w:color="auto" w:fill="FFFFFF"/>
        </w:rPr>
        <w:t>, command</w:t>
      </w:r>
      <w:r w:rsidR="007200AD">
        <w:rPr>
          <w:rStyle w:val="text"/>
          <w:rFonts w:asciiTheme="majorBidi" w:hAnsiTheme="majorBidi" w:cstheme="majorBidi"/>
          <w:color w:val="000000" w:themeColor="text1"/>
          <w:shd w:val="clear" w:color="auto" w:fill="FFFFFF"/>
        </w:rPr>
        <w:t>s further</w:t>
      </w:r>
      <w:r w:rsidR="00B714C5">
        <w:rPr>
          <w:rStyle w:val="text"/>
          <w:rFonts w:asciiTheme="majorBidi" w:hAnsiTheme="majorBidi" w:cstheme="majorBidi"/>
          <w:color w:val="000000" w:themeColor="text1"/>
          <w:shd w:val="clear" w:color="auto" w:fill="FFFFFF"/>
        </w:rPr>
        <w:t xml:space="preserve">, as if </w:t>
      </w:r>
      <w:r w:rsidR="00110FDA">
        <w:rPr>
          <w:rStyle w:val="text"/>
          <w:rFonts w:asciiTheme="majorBidi" w:hAnsiTheme="majorBidi" w:cstheme="majorBidi"/>
          <w:color w:val="000000" w:themeColor="text1"/>
          <w:shd w:val="clear" w:color="auto" w:fill="FFFFFF"/>
        </w:rPr>
        <w:t>anticipating</w:t>
      </w:r>
      <w:r w:rsidR="00B714C5">
        <w:rPr>
          <w:rStyle w:val="text"/>
          <w:rFonts w:asciiTheme="majorBidi" w:hAnsiTheme="majorBidi" w:cstheme="majorBidi"/>
          <w:color w:val="000000" w:themeColor="text1"/>
          <w:shd w:val="clear" w:color="auto" w:fill="FFFFFF"/>
        </w:rPr>
        <w:t xml:space="preserve"> Martha Nussbaum’s recent work</w:t>
      </w:r>
      <w:r w:rsidR="00B714C5">
        <w:rPr>
          <w:rStyle w:val="FootnoteReference"/>
          <w:rFonts w:asciiTheme="majorBidi" w:hAnsiTheme="majorBidi" w:cstheme="majorBidi"/>
          <w:color w:val="000000" w:themeColor="text1"/>
          <w:shd w:val="clear" w:color="auto" w:fill="FFFFFF"/>
        </w:rPr>
        <w:footnoteReference w:id="5"/>
      </w:r>
      <w:r>
        <w:rPr>
          <w:rStyle w:val="text"/>
          <w:rFonts w:asciiTheme="majorBidi" w:hAnsiTheme="majorBidi" w:cstheme="majorBidi"/>
          <w:color w:val="000000" w:themeColor="text1"/>
          <w:shd w:val="clear" w:color="auto" w:fill="FFFFFF"/>
        </w:rPr>
        <w:t>:</w:t>
      </w:r>
      <w:r w:rsidRPr="00C633B2">
        <w:rPr>
          <w:rStyle w:val="text"/>
          <w:rFonts w:asciiTheme="majorBidi" w:hAnsiTheme="majorBidi" w:cstheme="majorBidi"/>
          <w:color w:val="000000" w:themeColor="text1"/>
          <w:shd w:val="clear" w:color="auto" w:fill="FFFFFF"/>
        </w:rPr>
        <w:t xml:space="preserve"> </w:t>
      </w:r>
      <w:r>
        <w:rPr>
          <w:rStyle w:val="text"/>
          <w:rFonts w:asciiTheme="majorBidi" w:hAnsiTheme="majorBidi" w:cstheme="majorBidi"/>
          <w:color w:val="000000" w:themeColor="text1"/>
          <w:shd w:val="clear" w:color="auto" w:fill="FFFFFF"/>
        </w:rPr>
        <w:t>“</w:t>
      </w:r>
      <w:r>
        <w:rPr>
          <w:rStyle w:val="text"/>
          <w:rFonts w:asciiTheme="majorBidi" w:hAnsiTheme="majorBidi" w:cstheme="majorBidi"/>
          <w:i/>
          <w:iCs/>
          <w:color w:val="000000" w:themeColor="text1"/>
          <w:shd w:val="clear" w:color="auto" w:fill="FFFFFF"/>
        </w:rPr>
        <w:t>And thou shalt l</w:t>
      </w:r>
      <w:r w:rsidRPr="00C633B2">
        <w:rPr>
          <w:rStyle w:val="text"/>
          <w:rFonts w:asciiTheme="majorBidi" w:hAnsiTheme="majorBidi" w:cstheme="majorBidi"/>
          <w:i/>
          <w:iCs/>
          <w:color w:val="000000" w:themeColor="text1"/>
          <w:shd w:val="clear" w:color="auto" w:fill="FFFFFF"/>
        </w:rPr>
        <w:t xml:space="preserve">ove </w:t>
      </w:r>
      <w:r>
        <w:rPr>
          <w:rStyle w:val="text"/>
          <w:rFonts w:asciiTheme="majorBidi" w:hAnsiTheme="majorBidi" w:cstheme="majorBidi"/>
          <w:i/>
          <w:iCs/>
          <w:color w:val="000000" w:themeColor="text1"/>
          <w:shd w:val="clear" w:color="auto" w:fill="FFFFFF"/>
        </w:rPr>
        <w:t xml:space="preserve">[the stranger] </w:t>
      </w:r>
      <w:r w:rsidRPr="00C633B2">
        <w:rPr>
          <w:rStyle w:val="text"/>
          <w:rFonts w:asciiTheme="majorBidi" w:hAnsiTheme="majorBidi" w:cstheme="majorBidi"/>
          <w:i/>
          <w:iCs/>
          <w:color w:val="000000" w:themeColor="text1"/>
          <w:shd w:val="clear" w:color="auto" w:fill="FFFFFF"/>
        </w:rPr>
        <w:t xml:space="preserve">as </w:t>
      </w:r>
      <w:r>
        <w:rPr>
          <w:rStyle w:val="text"/>
          <w:rFonts w:asciiTheme="majorBidi" w:hAnsiTheme="majorBidi" w:cstheme="majorBidi"/>
          <w:i/>
          <w:iCs/>
          <w:color w:val="000000" w:themeColor="text1"/>
          <w:shd w:val="clear" w:color="auto" w:fill="FFFFFF"/>
        </w:rPr>
        <w:t>thy</w:t>
      </w:r>
      <w:r w:rsidRPr="00C633B2">
        <w:rPr>
          <w:rStyle w:val="text"/>
          <w:rFonts w:asciiTheme="majorBidi" w:hAnsiTheme="majorBidi" w:cstheme="majorBidi"/>
          <w:i/>
          <w:iCs/>
          <w:color w:val="000000" w:themeColor="text1"/>
          <w:shd w:val="clear" w:color="auto" w:fill="FFFFFF"/>
        </w:rPr>
        <w:t>self</w:t>
      </w:r>
      <w:r>
        <w:rPr>
          <w:rStyle w:val="text"/>
          <w:rFonts w:asciiTheme="majorBidi" w:hAnsiTheme="majorBidi" w:cstheme="majorBidi"/>
          <w:i/>
          <w:iCs/>
          <w:color w:val="000000" w:themeColor="text1"/>
          <w:shd w:val="clear" w:color="auto" w:fill="FFFFFF"/>
        </w:rPr>
        <w:t>,</w:t>
      </w:r>
      <w:r w:rsidR="00B714C5">
        <w:rPr>
          <w:rStyle w:val="text"/>
          <w:rFonts w:asciiTheme="majorBidi" w:hAnsiTheme="majorBidi" w:cstheme="majorBidi"/>
          <w:color w:val="000000" w:themeColor="text1"/>
          <w:shd w:val="clear" w:color="auto" w:fill="FFFFFF"/>
        </w:rPr>
        <w:t xml:space="preserve"> </w:t>
      </w:r>
      <w:r w:rsidRPr="00C633B2">
        <w:rPr>
          <w:rStyle w:val="text"/>
          <w:rFonts w:asciiTheme="majorBidi" w:hAnsiTheme="majorBidi" w:cstheme="majorBidi"/>
          <w:color w:val="000000" w:themeColor="text1"/>
          <w:shd w:val="clear" w:color="auto" w:fill="FFFFFF"/>
        </w:rPr>
        <w:t>for you were</w:t>
      </w:r>
      <w:r>
        <w:rPr>
          <w:rStyle w:val="text"/>
          <w:rFonts w:asciiTheme="majorBidi" w:hAnsiTheme="majorBidi" w:cstheme="majorBidi"/>
          <w:color w:val="000000" w:themeColor="text1"/>
          <w:shd w:val="clear" w:color="auto" w:fill="FFFFFF"/>
        </w:rPr>
        <w:t xml:space="preserve"> strangers in the land of Egypt</w:t>
      </w:r>
      <w:r w:rsidRPr="00C633B2">
        <w:rPr>
          <w:rStyle w:val="text"/>
          <w:rFonts w:asciiTheme="majorBidi" w:hAnsiTheme="majorBidi" w:cstheme="majorBidi"/>
          <w:color w:val="000000" w:themeColor="text1"/>
          <w:shd w:val="clear" w:color="auto" w:fill="FFFFFF"/>
        </w:rPr>
        <w:t>”</w:t>
      </w:r>
      <w:r>
        <w:rPr>
          <w:rStyle w:val="text"/>
          <w:rFonts w:asciiTheme="majorBidi" w:hAnsiTheme="majorBidi" w:cstheme="majorBidi"/>
          <w:color w:val="000000" w:themeColor="text1"/>
          <w:shd w:val="clear" w:color="auto" w:fill="FFFFFF"/>
        </w:rPr>
        <w:t xml:space="preserve"> (Leviticus 19:34, and Deuteronomy. 10:19). </w:t>
      </w:r>
    </w:p>
    <w:p w14:paraId="7D13E855" w14:textId="11B6DDE5" w:rsidR="005B57CE" w:rsidRDefault="005B57CE" w:rsidP="008F377F">
      <w:pPr>
        <w:pStyle w:val="EndnoteText"/>
        <w:spacing w:after="60" w:line="360" w:lineRule="auto"/>
        <w:jc w:val="both"/>
        <w:rPr>
          <w:rFonts w:asciiTheme="majorBidi" w:hAnsiTheme="majorBidi" w:cstheme="majorBidi"/>
        </w:rPr>
      </w:pPr>
      <w:r>
        <w:rPr>
          <w:rFonts w:asciiTheme="majorBidi" w:hAnsiTheme="majorBidi" w:cstheme="majorBidi"/>
          <w:lang w:bidi="he-IL"/>
        </w:rPr>
        <w:t xml:space="preserve">But how can love be rendered a prescribed willful act? </w:t>
      </w:r>
      <w:r>
        <w:rPr>
          <w:rFonts w:asciiTheme="majorBidi" w:hAnsiTheme="majorBidi" w:cstheme="majorBidi"/>
        </w:rPr>
        <w:t xml:space="preserve">Nussbaum’s solution involves cultivating </w:t>
      </w:r>
      <w:r w:rsidR="008F377F">
        <w:rPr>
          <w:rFonts w:asciiTheme="majorBidi" w:hAnsiTheme="majorBidi" w:cstheme="majorBidi"/>
        </w:rPr>
        <w:t>patriotic</w:t>
      </w:r>
      <w:r>
        <w:rPr>
          <w:rFonts w:asciiTheme="majorBidi" w:hAnsiTheme="majorBidi" w:cstheme="majorBidi"/>
        </w:rPr>
        <w:t xml:space="preserve"> feelings of patriotism by means of inclusive rituals of civic religion: “Shared grief – whether on the Gettysburg battlefield or at the Vietnam Veterans Memorial … </w:t>
      </w:r>
      <w:r w:rsidR="008F377F">
        <w:rPr>
          <w:rFonts w:asciiTheme="majorBidi" w:hAnsiTheme="majorBidi" w:cstheme="majorBidi"/>
        </w:rPr>
        <w:t>[and] s</w:t>
      </w:r>
      <w:r>
        <w:rPr>
          <w:rFonts w:asciiTheme="majorBidi" w:hAnsiTheme="majorBidi" w:cstheme="majorBidi"/>
        </w:rPr>
        <w:t xml:space="preserve">ongs of national pride and aspiration have a </w:t>
      </w:r>
      <w:r w:rsidR="008F377F">
        <w:rPr>
          <w:rFonts w:asciiTheme="majorBidi" w:hAnsiTheme="majorBidi" w:cstheme="majorBidi"/>
        </w:rPr>
        <w:t>…</w:t>
      </w:r>
      <w:r>
        <w:rPr>
          <w:rFonts w:asciiTheme="majorBidi" w:hAnsiTheme="majorBidi" w:cstheme="majorBidi"/>
        </w:rPr>
        <w:t xml:space="preserve"> capacity to forge or re</w:t>
      </w:r>
      <w:r w:rsidR="00F07E47">
        <w:rPr>
          <w:rFonts w:asciiTheme="majorBidi" w:hAnsiTheme="majorBidi" w:cstheme="majorBidi"/>
        </w:rPr>
        <w:t>-</w:t>
      </w:r>
      <w:r>
        <w:rPr>
          <w:rFonts w:asciiTheme="majorBidi" w:hAnsiTheme="majorBidi" w:cstheme="majorBidi"/>
        </w:rPr>
        <w:t>forge identity.”</w:t>
      </w:r>
      <w:r>
        <w:rPr>
          <w:rStyle w:val="FootnoteReference"/>
          <w:rFonts w:asciiTheme="majorBidi" w:hAnsiTheme="majorBidi" w:cstheme="majorBidi"/>
        </w:rPr>
        <w:footnoteReference w:id="6"/>
      </w:r>
      <w:r w:rsidR="008F377F">
        <w:rPr>
          <w:rFonts w:asciiTheme="majorBidi" w:hAnsiTheme="majorBidi" w:cstheme="majorBidi"/>
        </w:rPr>
        <w:t xml:space="preserve"> The Torah adopts a similar approach</w:t>
      </w:r>
      <w:r>
        <w:rPr>
          <w:rFonts w:asciiTheme="majorBidi" w:hAnsiTheme="majorBidi" w:cstheme="majorBidi"/>
        </w:rPr>
        <w:t xml:space="preserve"> by </w:t>
      </w:r>
      <w:r w:rsidR="008F377F">
        <w:rPr>
          <w:rFonts w:asciiTheme="majorBidi" w:hAnsiTheme="majorBidi" w:cstheme="majorBidi"/>
        </w:rPr>
        <w:t>inviting</w:t>
      </w:r>
      <w:r>
        <w:rPr>
          <w:rFonts w:asciiTheme="majorBidi" w:hAnsiTheme="majorBidi" w:cstheme="majorBidi"/>
        </w:rPr>
        <w:t xml:space="preserve"> gentile Israeli</w:t>
      </w:r>
      <w:r w:rsidR="008F377F">
        <w:rPr>
          <w:rFonts w:asciiTheme="majorBidi" w:hAnsiTheme="majorBidi" w:cstheme="majorBidi"/>
        </w:rPr>
        <w:t>s</w:t>
      </w:r>
      <w:r>
        <w:rPr>
          <w:rFonts w:asciiTheme="majorBidi" w:hAnsiTheme="majorBidi" w:cstheme="majorBidi"/>
        </w:rPr>
        <w:t xml:space="preserve"> into the </w:t>
      </w:r>
      <w:r w:rsidR="008F377F">
        <w:rPr>
          <w:rFonts w:asciiTheme="majorBidi" w:hAnsiTheme="majorBidi" w:cstheme="majorBidi"/>
        </w:rPr>
        <w:t xml:space="preserve">Jewish </w:t>
      </w:r>
      <w:r>
        <w:rPr>
          <w:rFonts w:asciiTheme="majorBidi" w:hAnsiTheme="majorBidi" w:cstheme="majorBidi"/>
        </w:rPr>
        <w:t xml:space="preserve">Temple to offer personal sacrifices </w:t>
      </w:r>
      <w:r w:rsidR="008F377F">
        <w:rPr>
          <w:rFonts w:asciiTheme="majorBidi" w:hAnsiTheme="majorBidi" w:cstheme="majorBidi"/>
        </w:rPr>
        <w:t>of gratitude or</w:t>
      </w:r>
      <w:r w:rsidR="00CB402B">
        <w:rPr>
          <w:rFonts w:asciiTheme="majorBidi" w:hAnsiTheme="majorBidi" w:cstheme="majorBidi"/>
        </w:rPr>
        <w:t xml:space="preserve"> regret</w:t>
      </w:r>
      <w:r>
        <w:rPr>
          <w:rFonts w:asciiTheme="majorBidi" w:hAnsiTheme="majorBidi" w:cstheme="majorBidi"/>
        </w:rPr>
        <w:t xml:space="preserve"> or to solemnly make a vow in accord with the exact same protocols as Jewish</w:t>
      </w:r>
      <w:r w:rsidR="002340DD">
        <w:rPr>
          <w:rFonts w:asciiTheme="majorBidi" w:hAnsiTheme="majorBidi" w:cstheme="majorBidi"/>
        </w:rPr>
        <w:t xml:space="preserve"> Israelis (Num. 15:13-16). </w:t>
      </w:r>
      <w:r w:rsidR="008F377F">
        <w:rPr>
          <w:rFonts w:asciiTheme="majorBidi" w:hAnsiTheme="majorBidi" w:cstheme="majorBidi"/>
        </w:rPr>
        <w:t>H</w:t>
      </w:r>
      <w:r>
        <w:rPr>
          <w:rFonts w:asciiTheme="majorBidi" w:hAnsiTheme="majorBidi" w:cstheme="majorBidi"/>
        </w:rPr>
        <w:t xml:space="preserve">ere too the term </w:t>
      </w:r>
      <w:r w:rsidRPr="00F4535E">
        <w:rPr>
          <w:rFonts w:asciiTheme="majorBidi" w:hAnsiTheme="majorBidi" w:cstheme="majorBidi"/>
          <w:i/>
          <w:iCs/>
        </w:rPr>
        <w:t>ezrach</w:t>
      </w:r>
      <w:r>
        <w:rPr>
          <w:rFonts w:asciiTheme="majorBidi" w:hAnsiTheme="majorBidi" w:cstheme="majorBidi"/>
        </w:rPr>
        <w:t xml:space="preserve">, citizen, is </w:t>
      </w:r>
      <w:r w:rsidR="008F377F">
        <w:rPr>
          <w:rFonts w:asciiTheme="majorBidi" w:hAnsiTheme="majorBidi" w:cstheme="majorBidi"/>
        </w:rPr>
        <w:t>used</w:t>
      </w:r>
      <w:r>
        <w:rPr>
          <w:rFonts w:asciiTheme="majorBidi" w:hAnsiTheme="majorBidi" w:cstheme="majorBidi"/>
        </w:rPr>
        <w:t xml:space="preserve"> to jointly denote Israelite Jews and gentiles.</w:t>
      </w:r>
      <w:r w:rsidR="002340DD">
        <w:rPr>
          <w:rFonts w:asciiTheme="majorBidi" w:hAnsiTheme="majorBidi" w:cstheme="majorBidi"/>
        </w:rPr>
        <w:t xml:space="preserve"> </w:t>
      </w:r>
    </w:p>
    <w:p w14:paraId="100C79E3" w14:textId="555E47B4" w:rsidR="002340DD" w:rsidRPr="00320A39" w:rsidRDefault="002340DD" w:rsidP="008F377F">
      <w:pPr>
        <w:pStyle w:val="EndnoteText"/>
        <w:spacing w:after="60" w:line="360" w:lineRule="auto"/>
        <w:jc w:val="both"/>
        <w:rPr>
          <w:rFonts w:asciiTheme="majorBidi" w:hAnsiTheme="majorBidi" w:cstheme="majorBidi"/>
        </w:rPr>
      </w:pPr>
      <w:r>
        <w:rPr>
          <w:rFonts w:asciiTheme="majorBidi" w:hAnsiTheme="majorBidi" w:cstheme="majorBidi"/>
        </w:rPr>
        <w:lastRenderedPageBreak/>
        <w:t xml:space="preserve">Love of the other </w:t>
      </w:r>
      <w:r w:rsidR="00090ECD">
        <w:rPr>
          <w:rFonts w:asciiTheme="majorBidi" w:hAnsiTheme="majorBidi" w:cstheme="majorBidi"/>
        </w:rPr>
        <w:t>is thus expressed</w:t>
      </w:r>
      <w:r>
        <w:rPr>
          <w:rFonts w:asciiTheme="majorBidi" w:hAnsiTheme="majorBidi" w:cstheme="majorBidi"/>
        </w:rPr>
        <w:t xml:space="preserve"> in </w:t>
      </w:r>
      <w:r w:rsidR="001C187D">
        <w:rPr>
          <w:rFonts w:asciiTheme="majorBidi" w:hAnsiTheme="majorBidi" w:cstheme="majorBidi"/>
        </w:rPr>
        <w:t xml:space="preserve">a Torah-sanctioned </w:t>
      </w:r>
      <w:r>
        <w:rPr>
          <w:rFonts w:asciiTheme="majorBidi" w:hAnsiTheme="majorBidi" w:cstheme="majorBidi"/>
        </w:rPr>
        <w:t>transgression of a</w:t>
      </w:r>
      <w:r w:rsidR="001C187D" w:rsidRPr="001C187D">
        <w:rPr>
          <w:rFonts w:asciiTheme="majorBidi" w:hAnsiTheme="majorBidi" w:cstheme="majorBidi"/>
        </w:rPr>
        <w:t xml:space="preserve"> </w:t>
      </w:r>
      <w:r w:rsidR="001C187D">
        <w:rPr>
          <w:rFonts w:asciiTheme="majorBidi" w:hAnsiTheme="majorBidi" w:cstheme="majorBidi"/>
        </w:rPr>
        <w:t>significant</w:t>
      </w:r>
      <w:r>
        <w:rPr>
          <w:rFonts w:asciiTheme="majorBidi" w:hAnsiTheme="majorBidi" w:cstheme="majorBidi"/>
        </w:rPr>
        <w:t xml:space="preserve"> religious boundary</w:t>
      </w:r>
      <w:r w:rsidR="001C187D">
        <w:rPr>
          <w:rFonts w:asciiTheme="majorBidi" w:hAnsiTheme="majorBidi" w:cstheme="majorBidi"/>
        </w:rPr>
        <w:t xml:space="preserve">. </w:t>
      </w:r>
      <w:r w:rsidR="008F377F">
        <w:rPr>
          <w:rFonts w:asciiTheme="majorBidi" w:hAnsiTheme="majorBidi" w:cstheme="majorBidi"/>
        </w:rPr>
        <w:t>The picture of gentile</w:t>
      </w:r>
      <w:r w:rsidR="001C187D">
        <w:rPr>
          <w:rFonts w:asciiTheme="majorBidi" w:hAnsiTheme="majorBidi" w:cstheme="majorBidi"/>
        </w:rPr>
        <w:t xml:space="preserve"> Israeli idol worshippers</w:t>
      </w:r>
      <w:r w:rsidR="001C187D">
        <w:rPr>
          <w:rStyle w:val="FootnoteReference"/>
          <w:rFonts w:asciiTheme="majorBidi" w:hAnsiTheme="majorBidi" w:cstheme="majorBidi"/>
        </w:rPr>
        <w:footnoteReference w:id="7"/>
      </w:r>
      <w:r w:rsidR="001C187D">
        <w:rPr>
          <w:rFonts w:asciiTheme="majorBidi" w:hAnsiTheme="majorBidi" w:cstheme="majorBidi"/>
        </w:rPr>
        <w:t xml:space="preserve"> partak</w:t>
      </w:r>
      <w:r w:rsidR="008F377F">
        <w:rPr>
          <w:rFonts w:asciiTheme="majorBidi" w:hAnsiTheme="majorBidi" w:cstheme="majorBidi"/>
        </w:rPr>
        <w:t>ing</w:t>
      </w:r>
      <w:r w:rsidR="001C187D">
        <w:rPr>
          <w:rFonts w:asciiTheme="majorBidi" w:hAnsiTheme="majorBidi" w:cstheme="majorBidi"/>
        </w:rPr>
        <w:t xml:space="preserve"> in Jewish ritual sacrifices as a</w:t>
      </w:r>
      <w:r w:rsidR="00090ECD">
        <w:rPr>
          <w:rFonts w:asciiTheme="majorBidi" w:hAnsiTheme="majorBidi" w:cstheme="majorBidi"/>
        </w:rPr>
        <w:t xml:space="preserve"> supreme expression of</w:t>
      </w:r>
      <w:r w:rsidR="001C187D">
        <w:rPr>
          <w:rFonts w:asciiTheme="majorBidi" w:hAnsiTheme="majorBidi" w:cstheme="majorBidi"/>
        </w:rPr>
        <w:t xml:space="preserve"> </w:t>
      </w:r>
      <w:r w:rsidR="00090ECD">
        <w:rPr>
          <w:rFonts w:asciiTheme="majorBidi" w:hAnsiTheme="majorBidi" w:cstheme="majorBidi"/>
        </w:rPr>
        <w:t xml:space="preserve">national </w:t>
      </w:r>
      <w:r w:rsidR="001C187D">
        <w:rPr>
          <w:rFonts w:asciiTheme="majorBidi" w:hAnsiTheme="majorBidi" w:cstheme="majorBidi"/>
        </w:rPr>
        <w:t>fraternit</w:t>
      </w:r>
      <w:r w:rsidR="00090ECD">
        <w:rPr>
          <w:rFonts w:asciiTheme="majorBidi" w:hAnsiTheme="majorBidi" w:cstheme="majorBidi"/>
        </w:rPr>
        <w:t>é steers close to what Patton is getting at, but not quite. A major boundary is indeed transgressed, but with no sense at all of it constituting a religious concession</w:t>
      </w:r>
      <w:r w:rsidR="00090ECD" w:rsidRPr="00320A39">
        <w:rPr>
          <w:rFonts w:asciiTheme="majorBidi" w:hAnsiTheme="majorBidi" w:cstheme="majorBidi"/>
        </w:rPr>
        <w:t>. Quite the opposite!</w:t>
      </w:r>
    </w:p>
    <w:p w14:paraId="76BA416F" w14:textId="3F62C3FE" w:rsidR="00CA7D2B" w:rsidRPr="00E57F7F" w:rsidRDefault="00CA7D2B" w:rsidP="00E64295">
      <w:pPr>
        <w:pStyle w:val="MDPI11articletype"/>
        <w:spacing w:before="0" w:after="60" w:line="360" w:lineRule="auto"/>
        <w:jc w:val="both"/>
        <w:rPr>
          <w:rFonts w:asciiTheme="majorBidi" w:hAnsiTheme="majorBidi" w:cstheme="majorBidi"/>
          <w:i w:val="0"/>
          <w:spacing w:val="-2"/>
          <w:sz w:val="24"/>
          <w:szCs w:val="24"/>
          <w:lang w:bidi="he-IL"/>
        </w:rPr>
      </w:pPr>
      <w:r w:rsidRPr="00320A39">
        <w:rPr>
          <w:rFonts w:asciiTheme="majorBidi" w:hAnsiTheme="majorBidi" w:cstheme="majorBidi"/>
          <w:i w:val="0"/>
          <w:sz w:val="24"/>
          <w:szCs w:val="24"/>
        </w:rPr>
        <w:t>The second, biblical boundary</w:t>
      </w:r>
      <w:r w:rsidR="003D7D34">
        <w:rPr>
          <w:rFonts w:asciiTheme="majorBidi" w:hAnsiTheme="majorBidi" w:cstheme="majorBidi"/>
          <w:i w:val="0"/>
          <w:sz w:val="24"/>
          <w:szCs w:val="24"/>
        </w:rPr>
        <w:t xml:space="preserve"> crossing</w:t>
      </w:r>
      <w:r w:rsidRPr="00320A39">
        <w:rPr>
          <w:rFonts w:asciiTheme="majorBidi" w:hAnsiTheme="majorBidi" w:cstheme="majorBidi"/>
          <w:i w:val="0"/>
          <w:sz w:val="24"/>
          <w:szCs w:val="24"/>
        </w:rPr>
        <w:t xml:space="preserve"> of this kind goes in the exact opposite direction.</w:t>
      </w:r>
      <w:r w:rsidR="00656DAD" w:rsidRPr="00320A39">
        <w:rPr>
          <w:rFonts w:asciiTheme="majorBidi" w:hAnsiTheme="majorBidi" w:cstheme="majorBidi"/>
          <w:i w:val="0"/>
          <w:sz w:val="24"/>
          <w:szCs w:val="24"/>
          <w:lang w:bidi="he-IL"/>
        </w:rPr>
        <w:t xml:space="preserve"> </w:t>
      </w:r>
      <w:r w:rsidR="00CE40FB" w:rsidRPr="00320A39">
        <w:rPr>
          <w:rFonts w:asciiTheme="majorBidi" w:hAnsiTheme="majorBidi" w:cstheme="majorBidi"/>
          <w:i w:val="0"/>
          <w:sz w:val="24"/>
          <w:szCs w:val="24"/>
          <w:lang w:bidi="he-IL"/>
        </w:rPr>
        <w:t>T</w:t>
      </w:r>
      <w:r w:rsidR="00656DAD" w:rsidRPr="00320A39">
        <w:rPr>
          <w:rFonts w:asciiTheme="majorBidi" w:hAnsiTheme="majorBidi" w:cstheme="majorBidi"/>
          <w:i w:val="0"/>
          <w:sz w:val="24"/>
          <w:szCs w:val="24"/>
          <w:lang w:bidi="he-IL"/>
        </w:rPr>
        <w:t>he young King Solomon’s first act of state after</w:t>
      </w:r>
      <w:r w:rsidR="004F1602" w:rsidRPr="00320A39">
        <w:rPr>
          <w:rFonts w:asciiTheme="majorBidi" w:hAnsiTheme="majorBidi" w:cstheme="majorBidi"/>
          <w:i w:val="0"/>
          <w:sz w:val="24"/>
          <w:szCs w:val="24"/>
          <w:lang w:bidi="he-IL"/>
        </w:rPr>
        <w:t xml:space="preserve"> “the kingdom was established in his hands” (1Kings 2:46), was to </w:t>
      </w:r>
      <w:r w:rsidR="00320A39">
        <w:rPr>
          <w:rFonts w:asciiTheme="majorBidi" w:hAnsiTheme="majorBidi" w:cstheme="majorBidi"/>
          <w:i w:val="0"/>
          <w:sz w:val="24"/>
          <w:szCs w:val="24"/>
        </w:rPr>
        <w:t>ally himself in marriage to</w:t>
      </w:r>
      <w:r w:rsidR="00320A39" w:rsidRPr="00320A39">
        <w:rPr>
          <w:rFonts w:asciiTheme="majorBidi" w:hAnsiTheme="majorBidi" w:cstheme="majorBidi"/>
          <w:i w:val="0"/>
          <w:sz w:val="24"/>
          <w:szCs w:val="24"/>
        </w:rPr>
        <w:t xml:space="preserve"> Pharaoh King of Egypt by </w:t>
      </w:r>
      <w:r w:rsidR="008F377F">
        <w:rPr>
          <w:rFonts w:asciiTheme="majorBidi" w:hAnsiTheme="majorBidi" w:cstheme="majorBidi"/>
          <w:i w:val="0"/>
          <w:sz w:val="24"/>
          <w:szCs w:val="24"/>
        </w:rPr>
        <w:t>marrying</w:t>
      </w:r>
      <w:r w:rsidR="00320A39" w:rsidRPr="00320A39">
        <w:rPr>
          <w:rFonts w:asciiTheme="majorBidi" w:hAnsiTheme="majorBidi" w:cstheme="majorBidi"/>
          <w:i w:val="0"/>
          <w:sz w:val="24"/>
          <w:szCs w:val="24"/>
        </w:rPr>
        <w:t xml:space="preserve"> his daughter (I Kings 3:1)</w:t>
      </w:r>
      <w:r w:rsidR="00320A39">
        <w:rPr>
          <w:rFonts w:asciiTheme="majorBidi" w:hAnsiTheme="majorBidi" w:cstheme="majorBidi"/>
          <w:i w:val="0"/>
          <w:sz w:val="24"/>
          <w:szCs w:val="24"/>
        </w:rPr>
        <w:t xml:space="preserve"> - </w:t>
      </w:r>
      <w:r w:rsidR="00320A39" w:rsidRPr="00320A39">
        <w:rPr>
          <w:rFonts w:asciiTheme="majorBidi" w:hAnsiTheme="majorBidi" w:cstheme="majorBidi"/>
          <w:i w:val="0"/>
          <w:sz w:val="24"/>
          <w:szCs w:val="24"/>
        </w:rPr>
        <w:t>a move that paid off handsomely when Egypt went to war a few chapters later (9:15</w:t>
      </w:r>
      <w:r w:rsidR="00320A39" w:rsidRPr="00320A39">
        <w:rPr>
          <w:rFonts w:asciiTheme="majorBidi" w:hAnsiTheme="majorBidi" w:cstheme="majorBidi"/>
          <w:i w:val="0"/>
          <w:color w:val="000000" w:themeColor="text1"/>
          <w:sz w:val="24"/>
          <w:szCs w:val="24"/>
        </w:rPr>
        <w:t>–</w:t>
      </w:r>
      <w:r w:rsidR="00320A39" w:rsidRPr="00320A39">
        <w:rPr>
          <w:rFonts w:asciiTheme="majorBidi" w:hAnsiTheme="majorBidi" w:cstheme="majorBidi"/>
          <w:i w:val="0"/>
          <w:sz w:val="24"/>
          <w:szCs w:val="24"/>
        </w:rPr>
        <w:t xml:space="preserve">16). </w:t>
      </w:r>
      <w:r w:rsidR="00E64295">
        <w:rPr>
          <w:rFonts w:asciiTheme="majorBidi" w:hAnsiTheme="majorBidi" w:cstheme="majorBidi"/>
          <w:i w:val="0"/>
          <w:sz w:val="24"/>
          <w:szCs w:val="24"/>
        </w:rPr>
        <w:t>His</w:t>
      </w:r>
      <w:r w:rsidR="00320A39" w:rsidRPr="00320A39">
        <w:rPr>
          <w:rFonts w:asciiTheme="majorBidi" w:hAnsiTheme="majorBidi" w:cstheme="majorBidi"/>
          <w:i w:val="0"/>
          <w:sz w:val="24"/>
          <w:szCs w:val="24"/>
        </w:rPr>
        <w:t xml:space="preserve"> fierce</w:t>
      </w:r>
      <w:r w:rsidR="00E64295">
        <w:rPr>
          <w:rFonts w:asciiTheme="majorBidi" w:hAnsiTheme="majorBidi" w:cstheme="majorBidi"/>
          <w:i w:val="0"/>
          <w:sz w:val="24"/>
          <w:szCs w:val="24"/>
        </w:rPr>
        <w:t>ly</w:t>
      </w:r>
      <w:r w:rsidR="00320A39" w:rsidRPr="00320A39">
        <w:rPr>
          <w:rFonts w:asciiTheme="majorBidi" w:hAnsiTheme="majorBidi" w:cstheme="majorBidi"/>
          <w:i w:val="0"/>
          <w:sz w:val="24"/>
          <w:szCs w:val="24"/>
        </w:rPr>
        <w:t xml:space="preserve"> antinomian overriding of Torah law by political consideration was not </w:t>
      </w:r>
      <w:r w:rsidR="00E64295">
        <w:rPr>
          <w:rFonts w:asciiTheme="majorBidi" w:hAnsiTheme="majorBidi" w:cstheme="majorBidi"/>
          <w:i w:val="0"/>
          <w:sz w:val="24"/>
          <w:szCs w:val="24"/>
        </w:rPr>
        <w:t>to</w:t>
      </w:r>
      <w:r w:rsidR="00320A39" w:rsidRPr="00320A39">
        <w:rPr>
          <w:rFonts w:asciiTheme="majorBidi" w:hAnsiTheme="majorBidi" w:cstheme="majorBidi"/>
          <w:i w:val="0"/>
          <w:sz w:val="24"/>
          <w:szCs w:val="24"/>
        </w:rPr>
        <w:t xml:space="preserve"> marr</w:t>
      </w:r>
      <w:r w:rsidR="00E64295">
        <w:rPr>
          <w:rFonts w:asciiTheme="majorBidi" w:hAnsiTheme="majorBidi" w:cstheme="majorBidi"/>
          <w:i w:val="0"/>
          <w:sz w:val="24"/>
          <w:szCs w:val="24"/>
        </w:rPr>
        <w:t>y</w:t>
      </w:r>
      <w:r w:rsidR="00320A39" w:rsidRPr="00320A39">
        <w:rPr>
          <w:rFonts w:asciiTheme="majorBidi" w:hAnsiTheme="majorBidi" w:cstheme="majorBidi"/>
          <w:i w:val="0"/>
          <w:sz w:val="24"/>
          <w:szCs w:val="24"/>
        </w:rPr>
        <w:t xml:space="preserve"> a gentile</w:t>
      </w:r>
      <w:r w:rsidR="00E64295">
        <w:rPr>
          <w:rFonts w:asciiTheme="majorBidi" w:hAnsiTheme="majorBidi" w:cstheme="majorBidi"/>
          <w:i w:val="0"/>
          <w:sz w:val="24"/>
          <w:szCs w:val="24"/>
        </w:rPr>
        <w:t>, which</w:t>
      </w:r>
      <w:r w:rsidR="00320A39" w:rsidRPr="00320A39">
        <w:rPr>
          <w:rFonts w:asciiTheme="majorBidi" w:hAnsiTheme="majorBidi" w:cstheme="majorBidi"/>
          <w:i w:val="0"/>
          <w:sz w:val="24"/>
          <w:szCs w:val="24"/>
        </w:rPr>
        <w:t xml:space="preserve"> is </w:t>
      </w:r>
      <w:r w:rsidR="00E64295">
        <w:rPr>
          <w:rFonts w:asciiTheme="majorBidi" w:hAnsiTheme="majorBidi" w:cstheme="majorBidi"/>
          <w:i w:val="0"/>
          <w:sz w:val="24"/>
          <w:szCs w:val="24"/>
        </w:rPr>
        <w:t xml:space="preserve">a biblical </w:t>
      </w:r>
      <w:r w:rsidR="00320A39" w:rsidRPr="00320A39">
        <w:rPr>
          <w:rFonts w:asciiTheme="majorBidi" w:hAnsiTheme="majorBidi" w:cstheme="majorBidi"/>
          <w:i w:val="0"/>
          <w:sz w:val="24"/>
          <w:szCs w:val="24"/>
        </w:rPr>
        <w:t xml:space="preserve">commonplace. Diplomatic marriages are different. The Egyptian Princess is not married to be incorporated into an Israelite household, as </w:t>
      </w:r>
      <w:r w:rsidR="00E64295">
        <w:rPr>
          <w:rFonts w:asciiTheme="majorBidi" w:hAnsiTheme="majorBidi" w:cstheme="majorBidi"/>
          <w:i w:val="0"/>
          <w:sz w:val="24"/>
          <w:szCs w:val="24"/>
        </w:rPr>
        <w:t>when</w:t>
      </w:r>
      <w:r w:rsidR="00320A39" w:rsidRPr="00320A39">
        <w:rPr>
          <w:rFonts w:asciiTheme="majorBidi" w:hAnsiTheme="majorBidi" w:cstheme="majorBidi"/>
          <w:i w:val="0"/>
          <w:sz w:val="24"/>
          <w:szCs w:val="24"/>
        </w:rPr>
        <w:t xml:space="preserve"> Zipporah</w:t>
      </w:r>
      <w:r w:rsidR="00E64295">
        <w:rPr>
          <w:rFonts w:asciiTheme="majorBidi" w:hAnsiTheme="majorBidi" w:cstheme="majorBidi"/>
          <w:i w:val="0"/>
          <w:sz w:val="24"/>
          <w:szCs w:val="24"/>
        </w:rPr>
        <w:t xml:space="preserve"> married</w:t>
      </w:r>
      <w:r w:rsidR="00320A39" w:rsidRPr="00320A39">
        <w:rPr>
          <w:rFonts w:asciiTheme="majorBidi" w:hAnsiTheme="majorBidi" w:cstheme="majorBidi"/>
          <w:i w:val="0"/>
          <w:sz w:val="24"/>
          <w:szCs w:val="24"/>
        </w:rPr>
        <w:t xml:space="preserve"> Moses or Boaz</w:t>
      </w:r>
      <w:r w:rsidR="00E64295">
        <w:rPr>
          <w:rFonts w:asciiTheme="majorBidi" w:hAnsiTheme="majorBidi" w:cstheme="majorBidi"/>
          <w:i w:val="0"/>
          <w:sz w:val="24"/>
          <w:szCs w:val="24"/>
        </w:rPr>
        <w:t>,</w:t>
      </w:r>
      <w:r w:rsidR="00320A39" w:rsidRPr="00320A39">
        <w:rPr>
          <w:rFonts w:asciiTheme="majorBidi" w:hAnsiTheme="majorBidi" w:cstheme="majorBidi"/>
          <w:i w:val="0"/>
          <w:sz w:val="24"/>
          <w:szCs w:val="24"/>
        </w:rPr>
        <w:t xml:space="preserve"> Ruth. The union here is </w:t>
      </w:r>
      <w:r w:rsidR="00E64295">
        <w:rPr>
          <w:rFonts w:asciiTheme="majorBidi" w:hAnsiTheme="majorBidi" w:cstheme="majorBidi"/>
          <w:i w:val="0"/>
          <w:sz w:val="24"/>
          <w:szCs w:val="24"/>
        </w:rPr>
        <w:t>supposed</w:t>
      </w:r>
      <w:r w:rsidR="00320A39" w:rsidRPr="00320A39">
        <w:rPr>
          <w:rFonts w:asciiTheme="majorBidi" w:hAnsiTheme="majorBidi" w:cstheme="majorBidi"/>
          <w:i w:val="0"/>
          <w:sz w:val="24"/>
          <w:szCs w:val="24"/>
        </w:rPr>
        <w:t xml:space="preserve"> to symbolize and clinch the pact between the two </w:t>
      </w:r>
      <w:r w:rsidR="00E64295">
        <w:rPr>
          <w:rFonts w:asciiTheme="majorBidi" w:hAnsiTheme="majorBidi" w:cstheme="majorBidi"/>
          <w:i w:val="0"/>
          <w:sz w:val="24"/>
          <w:szCs w:val="24"/>
        </w:rPr>
        <w:t>peoples</w:t>
      </w:r>
      <w:r w:rsidR="00320A39" w:rsidRPr="00320A39">
        <w:rPr>
          <w:rFonts w:asciiTheme="majorBidi" w:hAnsiTheme="majorBidi" w:cstheme="majorBidi"/>
          <w:i w:val="0"/>
          <w:sz w:val="24"/>
          <w:szCs w:val="24"/>
        </w:rPr>
        <w:t xml:space="preserve">. To this end, Pharaoh’s daughter </w:t>
      </w:r>
      <w:r w:rsidR="00E64295">
        <w:rPr>
          <w:rFonts w:asciiTheme="majorBidi" w:hAnsiTheme="majorBidi" w:cstheme="majorBidi"/>
          <w:i w:val="0"/>
          <w:sz w:val="24"/>
          <w:szCs w:val="24"/>
        </w:rPr>
        <w:t>was</w:t>
      </w:r>
      <w:r w:rsidR="00320A39" w:rsidRPr="00320A39">
        <w:rPr>
          <w:rFonts w:asciiTheme="majorBidi" w:hAnsiTheme="majorBidi" w:cstheme="majorBidi"/>
          <w:i w:val="0"/>
          <w:sz w:val="24"/>
          <w:szCs w:val="24"/>
        </w:rPr>
        <w:t xml:space="preserve"> to remain Egyptian and represent Egypt in Jerusalem in custom, dress, and especially creed. Her palace and entourage were to </w:t>
      </w:r>
      <w:r w:rsidR="00320A39" w:rsidRPr="00E57F7F">
        <w:rPr>
          <w:rFonts w:asciiTheme="majorBidi" w:hAnsiTheme="majorBidi" w:cstheme="majorBidi"/>
          <w:i w:val="0"/>
          <w:sz w:val="24"/>
          <w:szCs w:val="24"/>
        </w:rPr>
        <w:t xml:space="preserve">maintain Egyptian </w:t>
      </w:r>
      <w:r w:rsidR="00E64295">
        <w:rPr>
          <w:rFonts w:asciiTheme="majorBidi" w:hAnsiTheme="majorBidi" w:cstheme="majorBidi"/>
          <w:i w:val="0"/>
          <w:sz w:val="24"/>
          <w:szCs w:val="24"/>
        </w:rPr>
        <w:t>culture</w:t>
      </w:r>
      <w:r w:rsidR="00320A39" w:rsidRPr="00E57F7F">
        <w:rPr>
          <w:rFonts w:asciiTheme="majorBidi" w:hAnsiTheme="majorBidi" w:cstheme="majorBidi"/>
          <w:i w:val="0"/>
          <w:sz w:val="24"/>
          <w:szCs w:val="24"/>
        </w:rPr>
        <w:t xml:space="preserve"> and cult, </w:t>
      </w:r>
      <w:r w:rsidR="00E64295">
        <w:rPr>
          <w:rFonts w:asciiTheme="majorBidi" w:hAnsiTheme="majorBidi" w:cstheme="majorBidi"/>
          <w:i w:val="0"/>
          <w:sz w:val="24"/>
          <w:szCs w:val="24"/>
        </w:rPr>
        <w:t>to function as the</w:t>
      </w:r>
      <w:r w:rsidR="00320A39" w:rsidRPr="00E57F7F">
        <w:rPr>
          <w:rFonts w:asciiTheme="majorBidi" w:hAnsiTheme="majorBidi" w:cstheme="majorBidi"/>
          <w:i w:val="0"/>
          <w:sz w:val="24"/>
          <w:szCs w:val="24"/>
        </w:rPr>
        <w:t xml:space="preserve"> Egyptian embassy in </w:t>
      </w:r>
      <w:r w:rsidR="00320A39" w:rsidRPr="00E57F7F">
        <w:rPr>
          <w:rFonts w:asciiTheme="majorBidi" w:hAnsiTheme="majorBidi" w:cstheme="majorBidi"/>
          <w:i w:val="0"/>
          <w:spacing w:val="-2"/>
          <w:sz w:val="24"/>
          <w:szCs w:val="24"/>
        </w:rPr>
        <w:t xml:space="preserve">Jerusalem, as it were. </w:t>
      </w:r>
      <w:r w:rsidR="003D7D34">
        <w:rPr>
          <w:rFonts w:asciiTheme="majorBidi" w:hAnsiTheme="majorBidi" w:cstheme="majorBidi"/>
          <w:i w:val="0"/>
          <w:spacing w:val="-2"/>
          <w:sz w:val="24"/>
          <w:szCs w:val="24"/>
        </w:rPr>
        <w:t>Diplomatic marriages</w:t>
      </w:r>
      <w:r w:rsidR="00320A39" w:rsidRPr="00E57F7F">
        <w:rPr>
          <w:rFonts w:asciiTheme="majorBidi" w:hAnsiTheme="majorBidi" w:cstheme="majorBidi"/>
          <w:i w:val="0"/>
          <w:spacing w:val="-2"/>
          <w:sz w:val="24"/>
          <w:szCs w:val="24"/>
        </w:rPr>
        <w:t xml:space="preserve"> necessarily introduced small, exterritorial idolatrous institution</w:t>
      </w:r>
      <w:r w:rsidR="003D7D34">
        <w:rPr>
          <w:rFonts w:asciiTheme="majorBidi" w:hAnsiTheme="majorBidi" w:cstheme="majorBidi"/>
          <w:i w:val="0"/>
          <w:spacing w:val="-2"/>
          <w:sz w:val="24"/>
          <w:szCs w:val="24"/>
        </w:rPr>
        <w:t>s</w:t>
      </w:r>
      <w:r w:rsidR="00320A39" w:rsidRPr="00E57F7F">
        <w:rPr>
          <w:rFonts w:asciiTheme="majorBidi" w:hAnsiTheme="majorBidi" w:cstheme="majorBidi"/>
          <w:i w:val="0"/>
          <w:spacing w:val="-2"/>
          <w:sz w:val="24"/>
          <w:szCs w:val="24"/>
        </w:rPr>
        <w:t xml:space="preserve"> in the city, where protocol might well oblige the king to participate on occasion, although this is nowhere mentioned explicitly.</w:t>
      </w:r>
      <w:r w:rsidR="00320A39" w:rsidRPr="00E57F7F">
        <w:rPr>
          <w:rStyle w:val="FootnoteReference"/>
          <w:rFonts w:asciiTheme="majorBidi" w:hAnsiTheme="majorBidi" w:cstheme="majorBidi"/>
          <w:i w:val="0"/>
          <w:color w:val="000000" w:themeColor="text1"/>
          <w:spacing w:val="-2"/>
          <w:sz w:val="24"/>
          <w:szCs w:val="24"/>
        </w:rPr>
        <w:footnoteReference w:id="8"/>
      </w:r>
    </w:p>
    <w:p w14:paraId="031AFEAE" w14:textId="5540A6F7" w:rsidR="00E57F7F" w:rsidRDefault="00E64295" w:rsidP="0027285A">
      <w:pPr>
        <w:pStyle w:val="MDPI31text"/>
        <w:spacing w:after="60" w:line="360" w:lineRule="auto"/>
        <w:ind w:firstLine="0"/>
        <w:rPr>
          <w:rFonts w:asciiTheme="majorBidi" w:hAnsiTheme="majorBidi" w:cstheme="majorBidi"/>
          <w:sz w:val="24"/>
          <w:szCs w:val="24"/>
          <w:lang w:bidi="he-IL"/>
        </w:rPr>
      </w:pPr>
      <w:r>
        <w:rPr>
          <w:rFonts w:asciiTheme="majorBidi" w:hAnsiTheme="majorBidi" w:cstheme="majorBidi"/>
          <w:sz w:val="24"/>
          <w:szCs w:val="24"/>
          <w:lang w:bidi="he-IL"/>
        </w:rPr>
        <w:t>This, t</w:t>
      </w:r>
      <w:r w:rsidR="00E57F7F">
        <w:rPr>
          <w:rFonts w:asciiTheme="majorBidi" w:hAnsiTheme="majorBidi" w:cstheme="majorBidi"/>
          <w:sz w:val="24"/>
          <w:szCs w:val="24"/>
          <w:lang w:bidi="he-IL"/>
        </w:rPr>
        <w:t>ogether</w:t>
      </w:r>
      <w:r w:rsidR="00E57F7F" w:rsidRPr="00E57F7F">
        <w:rPr>
          <w:rFonts w:asciiTheme="majorBidi" w:hAnsiTheme="majorBidi" w:cstheme="majorBidi"/>
          <w:sz w:val="24"/>
          <w:szCs w:val="24"/>
          <w:lang w:bidi="he-IL"/>
        </w:rPr>
        <w:t xml:space="preserve"> with Solomon’s other</w:t>
      </w:r>
      <w:r w:rsidR="00084821">
        <w:rPr>
          <w:rFonts w:asciiTheme="majorBidi" w:hAnsiTheme="majorBidi" w:cstheme="majorBidi"/>
          <w:sz w:val="24"/>
          <w:szCs w:val="24"/>
          <w:lang w:bidi="he-IL"/>
        </w:rPr>
        <w:t xml:space="preserve"> major</w:t>
      </w:r>
      <w:r w:rsidR="00E57F7F" w:rsidRPr="00E57F7F">
        <w:rPr>
          <w:rFonts w:asciiTheme="majorBidi" w:hAnsiTheme="majorBidi" w:cstheme="majorBidi"/>
          <w:sz w:val="24"/>
          <w:szCs w:val="24"/>
          <w:lang w:bidi="he-IL"/>
        </w:rPr>
        <w:t xml:space="preserve"> antinomian act of state – </w:t>
      </w:r>
      <w:r w:rsidR="00E57F7F">
        <w:rPr>
          <w:rFonts w:asciiTheme="majorBidi" w:hAnsiTheme="majorBidi" w:cstheme="majorBidi"/>
          <w:sz w:val="24"/>
          <w:szCs w:val="24"/>
          <w:lang w:bidi="he-IL"/>
        </w:rPr>
        <w:t>granting royal patronage</w:t>
      </w:r>
      <w:r w:rsidR="00084821">
        <w:rPr>
          <w:rFonts w:asciiTheme="majorBidi" w:hAnsiTheme="majorBidi" w:cstheme="majorBidi"/>
          <w:sz w:val="24"/>
          <w:szCs w:val="24"/>
          <w:lang w:bidi="he-IL"/>
        </w:rPr>
        <w:t xml:space="preserve"> to</w:t>
      </w:r>
      <w:r w:rsidR="00E57F7F" w:rsidRPr="00E57F7F">
        <w:rPr>
          <w:rFonts w:asciiTheme="majorBidi" w:hAnsiTheme="majorBidi" w:cstheme="majorBidi"/>
          <w:sz w:val="24"/>
          <w:szCs w:val="24"/>
        </w:rPr>
        <w:t xml:space="preserve"> the mass sacrificing at “the great high place” in Gibeon,</w:t>
      </w:r>
      <w:r w:rsidR="00E57F7F">
        <w:rPr>
          <w:rFonts w:asciiTheme="majorBidi" w:hAnsiTheme="majorBidi" w:cstheme="majorBidi"/>
          <w:sz w:val="24"/>
          <w:szCs w:val="24"/>
        </w:rPr>
        <w:t xml:space="preserve"> </w:t>
      </w:r>
      <w:r>
        <w:rPr>
          <w:rFonts w:asciiTheme="majorBidi" w:hAnsiTheme="majorBidi" w:cstheme="majorBidi"/>
          <w:sz w:val="24"/>
          <w:szCs w:val="24"/>
        </w:rPr>
        <w:t>prior to building</w:t>
      </w:r>
      <w:r w:rsidR="00EA43FE">
        <w:rPr>
          <w:rFonts w:asciiTheme="majorBidi" w:hAnsiTheme="majorBidi" w:cstheme="majorBidi"/>
          <w:sz w:val="24"/>
          <w:szCs w:val="24"/>
        </w:rPr>
        <w:t xml:space="preserve"> </w:t>
      </w:r>
      <w:r w:rsidR="00EA43FE">
        <w:rPr>
          <w:rFonts w:asciiTheme="majorBidi" w:hAnsiTheme="majorBidi" w:cstheme="majorBidi"/>
          <w:sz w:val="24"/>
          <w:szCs w:val="24"/>
        </w:rPr>
        <w:lastRenderedPageBreak/>
        <w:t xml:space="preserve">the Temple </w:t>
      </w:r>
      <w:r w:rsidR="00E57F7F" w:rsidRPr="00E57F7F">
        <w:rPr>
          <w:rFonts w:asciiTheme="majorBidi" w:hAnsiTheme="majorBidi" w:cstheme="majorBidi"/>
          <w:sz w:val="24"/>
          <w:szCs w:val="24"/>
        </w:rPr>
        <w:t>(3:2</w:t>
      </w:r>
      <w:r w:rsidR="00E57F7F" w:rsidRPr="00E57F7F">
        <w:rPr>
          <w:rFonts w:asciiTheme="majorBidi" w:hAnsiTheme="majorBidi" w:cstheme="majorBidi"/>
          <w:color w:val="000000" w:themeColor="text1"/>
          <w:sz w:val="24"/>
          <w:szCs w:val="24"/>
        </w:rPr>
        <w:t>–</w:t>
      </w:r>
      <w:r w:rsidR="00E57F7F" w:rsidRPr="00E57F7F">
        <w:rPr>
          <w:rFonts w:asciiTheme="majorBidi" w:hAnsiTheme="majorBidi" w:cstheme="majorBidi"/>
          <w:sz w:val="24"/>
          <w:szCs w:val="24"/>
        </w:rPr>
        <w:t>4)</w:t>
      </w:r>
      <w:r w:rsidR="00E57F7F">
        <w:rPr>
          <w:rFonts w:asciiTheme="majorBidi" w:hAnsiTheme="majorBidi" w:cstheme="majorBidi"/>
          <w:sz w:val="24"/>
          <w:szCs w:val="24"/>
        </w:rPr>
        <w:t xml:space="preserve"> - </w:t>
      </w:r>
      <w:r w:rsidR="00E57F7F" w:rsidRPr="00E57F7F">
        <w:rPr>
          <w:rFonts w:asciiTheme="majorBidi" w:hAnsiTheme="majorBidi" w:cstheme="majorBidi"/>
          <w:sz w:val="24"/>
          <w:szCs w:val="24"/>
          <w:lang w:bidi="he-IL"/>
        </w:rPr>
        <w:t>steer</w:t>
      </w:r>
      <w:r>
        <w:rPr>
          <w:rFonts w:asciiTheme="majorBidi" w:hAnsiTheme="majorBidi" w:cstheme="majorBidi"/>
          <w:sz w:val="24"/>
          <w:szCs w:val="24"/>
          <w:lang w:bidi="he-IL"/>
        </w:rPr>
        <w:t>s</w:t>
      </w:r>
      <w:r w:rsidR="00E57F7F" w:rsidRPr="00E57F7F">
        <w:rPr>
          <w:rFonts w:asciiTheme="majorBidi" w:hAnsiTheme="majorBidi" w:cstheme="majorBidi"/>
          <w:sz w:val="24"/>
          <w:szCs w:val="24"/>
          <w:lang w:bidi="he-IL"/>
        </w:rPr>
        <w:t xml:space="preserve"> even closer to Patton’s examples, yet again not quite. </w:t>
      </w:r>
      <w:r w:rsidR="008060C2">
        <w:rPr>
          <w:rFonts w:asciiTheme="majorBidi" w:hAnsiTheme="majorBidi" w:cstheme="majorBidi"/>
          <w:sz w:val="24"/>
          <w:szCs w:val="24"/>
          <w:lang w:bidi="he-IL"/>
        </w:rPr>
        <w:t xml:space="preserve"> </w:t>
      </w:r>
      <w:r w:rsidR="00E57F7F">
        <w:rPr>
          <w:rFonts w:asciiTheme="majorBidi" w:hAnsiTheme="majorBidi" w:cstheme="majorBidi"/>
          <w:sz w:val="24"/>
          <w:szCs w:val="24"/>
          <w:lang w:bidi="he-IL"/>
        </w:rPr>
        <w:t>They</w:t>
      </w:r>
      <w:r w:rsidR="00E57F7F" w:rsidRPr="00E57F7F">
        <w:rPr>
          <w:rFonts w:asciiTheme="majorBidi" w:hAnsiTheme="majorBidi" w:cstheme="majorBidi"/>
          <w:sz w:val="24"/>
          <w:szCs w:val="24"/>
          <w:lang w:bidi="he-IL"/>
        </w:rPr>
        <w:t xml:space="preserve"> steer closer in </w:t>
      </w:r>
      <w:r w:rsidR="0027285A">
        <w:rPr>
          <w:rFonts w:asciiTheme="majorBidi" w:hAnsiTheme="majorBidi" w:cstheme="majorBidi"/>
          <w:sz w:val="24"/>
          <w:szCs w:val="24"/>
          <w:lang w:bidi="he-IL"/>
        </w:rPr>
        <w:t>being divinely approved</w:t>
      </w:r>
      <w:r w:rsidR="00662959">
        <w:rPr>
          <w:rFonts w:asciiTheme="majorBidi" w:hAnsiTheme="majorBidi" w:cstheme="majorBidi"/>
          <w:sz w:val="24"/>
          <w:szCs w:val="24"/>
          <w:lang w:bidi="he-IL"/>
        </w:rPr>
        <w:t xml:space="preserve">. </w:t>
      </w:r>
      <w:r w:rsidR="00EA43FE">
        <w:rPr>
          <w:rFonts w:asciiTheme="majorBidi" w:hAnsiTheme="majorBidi" w:cstheme="majorBidi"/>
          <w:sz w:val="24"/>
          <w:szCs w:val="24"/>
          <w:lang w:bidi="he-IL"/>
        </w:rPr>
        <w:t>W</w:t>
      </w:r>
      <w:r w:rsidR="00662959">
        <w:rPr>
          <w:rFonts w:asciiTheme="majorBidi" w:hAnsiTheme="majorBidi" w:cstheme="majorBidi"/>
          <w:sz w:val="24"/>
          <w:szCs w:val="24"/>
          <w:lang w:bidi="he-IL"/>
        </w:rPr>
        <w:t>hile still sacrificing at Gibeon, God</w:t>
      </w:r>
      <w:r w:rsidR="0027285A">
        <w:rPr>
          <w:rFonts w:asciiTheme="majorBidi" w:hAnsiTheme="majorBidi" w:cstheme="majorBidi"/>
          <w:sz w:val="24"/>
          <w:szCs w:val="24"/>
          <w:lang w:bidi="he-IL"/>
        </w:rPr>
        <w:t xml:space="preserve"> appeared</w:t>
      </w:r>
      <w:r w:rsidR="00662959">
        <w:rPr>
          <w:rFonts w:asciiTheme="majorBidi" w:hAnsiTheme="majorBidi" w:cstheme="majorBidi"/>
          <w:sz w:val="24"/>
          <w:szCs w:val="24"/>
          <w:lang w:bidi="he-IL"/>
        </w:rPr>
        <w:t xml:space="preserve"> to </w:t>
      </w:r>
      <w:r w:rsidR="0027285A">
        <w:rPr>
          <w:rFonts w:asciiTheme="majorBidi" w:hAnsiTheme="majorBidi" w:cstheme="majorBidi"/>
          <w:sz w:val="24"/>
          <w:szCs w:val="24"/>
          <w:lang w:bidi="he-IL"/>
        </w:rPr>
        <w:t xml:space="preserve">the </w:t>
      </w:r>
      <w:r w:rsidR="00EA43FE">
        <w:rPr>
          <w:rFonts w:asciiTheme="majorBidi" w:hAnsiTheme="majorBidi" w:cstheme="majorBidi"/>
          <w:sz w:val="24"/>
          <w:szCs w:val="24"/>
          <w:lang w:bidi="he-IL"/>
        </w:rPr>
        <w:t>young king</w:t>
      </w:r>
      <w:r w:rsidR="00662959">
        <w:rPr>
          <w:rFonts w:asciiTheme="majorBidi" w:hAnsiTheme="majorBidi" w:cstheme="majorBidi"/>
          <w:sz w:val="24"/>
          <w:szCs w:val="24"/>
          <w:lang w:bidi="he-IL"/>
        </w:rPr>
        <w:t xml:space="preserve"> rewarding him with</w:t>
      </w:r>
      <w:r w:rsidR="00EA43FE">
        <w:rPr>
          <w:rFonts w:asciiTheme="majorBidi" w:hAnsiTheme="majorBidi" w:cstheme="majorBidi"/>
          <w:sz w:val="24"/>
          <w:szCs w:val="24"/>
          <w:lang w:bidi="he-IL"/>
        </w:rPr>
        <w:t xml:space="preserve"> the gift of</w:t>
      </w:r>
      <w:r w:rsidR="00662959">
        <w:rPr>
          <w:rFonts w:asciiTheme="majorBidi" w:hAnsiTheme="majorBidi" w:cstheme="majorBidi"/>
          <w:sz w:val="24"/>
          <w:szCs w:val="24"/>
          <w:lang w:bidi="he-IL"/>
        </w:rPr>
        <w:t xml:space="preserve"> supreme wisdom and unmatched riches. </w:t>
      </w:r>
      <w:r w:rsidR="0027285A">
        <w:rPr>
          <w:rFonts w:asciiTheme="majorBidi" w:hAnsiTheme="majorBidi" w:cstheme="majorBidi"/>
          <w:sz w:val="24"/>
          <w:szCs w:val="24"/>
          <w:lang w:bidi="he-IL"/>
        </w:rPr>
        <w:t xml:space="preserve">But </w:t>
      </w:r>
      <w:r w:rsidR="00662959">
        <w:rPr>
          <w:rFonts w:asciiTheme="majorBidi" w:hAnsiTheme="majorBidi" w:cstheme="majorBidi"/>
          <w:sz w:val="24"/>
          <w:szCs w:val="24"/>
          <w:lang w:bidi="he-IL"/>
        </w:rPr>
        <w:t xml:space="preserve">unlike Patton’s examples, they are not acts of self-sacrifice for the sake of others, but deemed by Solomon to be </w:t>
      </w:r>
      <w:r w:rsidR="00EA43FE">
        <w:rPr>
          <w:rFonts w:asciiTheme="majorBidi" w:hAnsiTheme="majorBidi" w:cstheme="majorBidi"/>
          <w:sz w:val="24"/>
          <w:szCs w:val="24"/>
          <w:lang w:bidi="he-IL"/>
        </w:rPr>
        <w:t xml:space="preserve">of </w:t>
      </w:r>
      <w:r w:rsidR="00662959">
        <w:rPr>
          <w:rFonts w:asciiTheme="majorBidi" w:hAnsiTheme="majorBidi" w:cstheme="majorBidi"/>
          <w:sz w:val="24"/>
          <w:szCs w:val="24"/>
          <w:lang w:bidi="he-IL"/>
        </w:rPr>
        <w:t>political necess</w:t>
      </w:r>
      <w:r w:rsidR="00EA43FE">
        <w:rPr>
          <w:rFonts w:asciiTheme="majorBidi" w:hAnsiTheme="majorBidi" w:cstheme="majorBidi"/>
          <w:sz w:val="24"/>
          <w:szCs w:val="24"/>
          <w:lang w:bidi="he-IL"/>
        </w:rPr>
        <w:t>ity</w:t>
      </w:r>
      <w:r w:rsidR="00662959">
        <w:rPr>
          <w:rFonts w:asciiTheme="majorBidi" w:hAnsiTheme="majorBidi" w:cstheme="majorBidi"/>
          <w:sz w:val="24"/>
          <w:szCs w:val="24"/>
          <w:lang w:bidi="he-IL"/>
        </w:rPr>
        <w:t>.</w:t>
      </w:r>
    </w:p>
    <w:p w14:paraId="22B0616A" w14:textId="7DBB12B5" w:rsidR="00662959" w:rsidRDefault="00662959" w:rsidP="00B44830">
      <w:pPr>
        <w:pStyle w:val="MDPI31text"/>
        <w:spacing w:after="60" w:line="360" w:lineRule="auto"/>
        <w:ind w:firstLine="0"/>
        <w:rPr>
          <w:rFonts w:asciiTheme="majorBidi" w:hAnsiTheme="majorBidi" w:cstheme="majorBidi"/>
          <w:sz w:val="24"/>
          <w:szCs w:val="24"/>
          <w:lang w:bidi="he-IL"/>
        </w:rPr>
      </w:pPr>
      <w:r>
        <w:rPr>
          <w:rFonts w:asciiTheme="majorBidi" w:hAnsiTheme="majorBidi" w:cstheme="majorBidi"/>
          <w:sz w:val="24"/>
          <w:szCs w:val="24"/>
          <w:lang w:bidi="he-IL"/>
        </w:rPr>
        <w:t>More</w:t>
      </w:r>
      <w:r w:rsidR="0027285A">
        <w:rPr>
          <w:rFonts w:asciiTheme="majorBidi" w:hAnsiTheme="majorBidi" w:cstheme="majorBidi"/>
          <w:sz w:val="24"/>
          <w:szCs w:val="24"/>
          <w:lang w:bidi="he-IL"/>
        </w:rPr>
        <w:t>over</w:t>
      </w:r>
      <w:r>
        <w:rPr>
          <w:rFonts w:asciiTheme="majorBidi" w:hAnsiTheme="majorBidi" w:cstheme="majorBidi"/>
          <w:sz w:val="24"/>
          <w:szCs w:val="24"/>
          <w:lang w:bidi="he-IL"/>
        </w:rPr>
        <w:t xml:space="preserve">, none of the three biblical </w:t>
      </w:r>
      <w:r w:rsidR="00D40A5D">
        <w:rPr>
          <w:rFonts w:asciiTheme="majorBidi" w:hAnsiTheme="majorBidi" w:cstheme="majorBidi"/>
          <w:sz w:val="24"/>
          <w:szCs w:val="24"/>
          <w:lang w:bidi="he-IL"/>
        </w:rPr>
        <w:t xml:space="preserve">boundary </w:t>
      </w:r>
      <w:r>
        <w:rPr>
          <w:rFonts w:asciiTheme="majorBidi" w:hAnsiTheme="majorBidi" w:cstheme="majorBidi"/>
          <w:sz w:val="24"/>
          <w:szCs w:val="24"/>
          <w:lang w:bidi="he-IL"/>
        </w:rPr>
        <w:t xml:space="preserve">transgressions </w:t>
      </w:r>
      <w:r w:rsidR="0027285A">
        <w:rPr>
          <w:rFonts w:asciiTheme="majorBidi" w:hAnsiTheme="majorBidi" w:cstheme="majorBidi"/>
          <w:sz w:val="24"/>
          <w:szCs w:val="24"/>
          <w:lang w:bidi="he-IL"/>
        </w:rPr>
        <w:t>aim to</w:t>
      </w:r>
      <w:r w:rsidR="00D40A5D">
        <w:rPr>
          <w:rFonts w:asciiTheme="majorBidi" w:hAnsiTheme="majorBidi" w:cstheme="majorBidi"/>
          <w:sz w:val="24"/>
          <w:szCs w:val="24"/>
          <w:lang w:bidi="he-IL"/>
        </w:rPr>
        <w:t xml:space="preserve"> </w:t>
      </w:r>
      <w:r w:rsidR="00571BEA">
        <w:rPr>
          <w:rFonts w:asciiTheme="majorBidi" w:hAnsiTheme="majorBidi" w:cstheme="majorBidi"/>
          <w:sz w:val="24"/>
          <w:szCs w:val="24"/>
          <w:lang w:bidi="he-IL"/>
        </w:rPr>
        <w:t>ambivalat</w:t>
      </w:r>
      <w:r w:rsidR="0027285A">
        <w:rPr>
          <w:rFonts w:asciiTheme="majorBidi" w:hAnsiTheme="majorBidi" w:cstheme="majorBidi"/>
          <w:sz w:val="24"/>
          <w:szCs w:val="24"/>
          <w:lang w:bidi="he-IL"/>
        </w:rPr>
        <w:t>e</w:t>
      </w:r>
      <w:r w:rsidR="00D40A5D">
        <w:rPr>
          <w:rFonts w:asciiTheme="majorBidi" w:hAnsiTheme="majorBidi" w:cstheme="majorBidi"/>
          <w:sz w:val="24"/>
          <w:szCs w:val="24"/>
          <w:lang w:bidi="he-IL"/>
        </w:rPr>
        <w:t xml:space="preserve">. All of Patton’s examples do. </w:t>
      </w:r>
      <w:r w:rsidR="0027285A">
        <w:rPr>
          <w:rFonts w:asciiTheme="majorBidi" w:hAnsiTheme="majorBidi" w:cstheme="majorBidi"/>
          <w:sz w:val="24"/>
          <w:szCs w:val="24"/>
          <w:lang w:bidi="he-IL"/>
        </w:rPr>
        <w:t>T</w:t>
      </w:r>
      <w:r w:rsidR="00D40A5D">
        <w:rPr>
          <w:rFonts w:asciiTheme="majorBidi" w:hAnsiTheme="majorBidi" w:cstheme="majorBidi"/>
          <w:sz w:val="24"/>
          <w:szCs w:val="24"/>
          <w:lang w:bidi="he-IL"/>
        </w:rPr>
        <w:t xml:space="preserve">hey </w:t>
      </w:r>
      <w:r w:rsidR="008F7775">
        <w:rPr>
          <w:rFonts w:asciiTheme="majorBidi" w:hAnsiTheme="majorBidi" w:cstheme="majorBidi"/>
          <w:sz w:val="24"/>
          <w:szCs w:val="24"/>
          <w:lang w:bidi="he-IL"/>
        </w:rPr>
        <w:t xml:space="preserve">all </w:t>
      </w:r>
      <w:r w:rsidR="00D40A5D">
        <w:rPr>
          <w:rFonts w:asciiTheme="majorBidi" w:hAnsiTheme="majorBidi" w:cstheme="majorBidi"/>
          <w:sz w:val="24"/>
          <w:szCs w:val="24"/>
          <w:lang w:bidi="he-IL"/>
        </w:rPr>
        <w:t xml:space="preserve">have </w:t>
      </w:r>
      <w:r w:rsidR="0027285A">
        <w:rPr>
          <w:rFonts w:asciiTheme="majorBidi" w:hAnsiTheme="majorBidi" w:cstheme="majorBidi"/>
          <w:sz w:val="24"/>
          <w:szCs w:val="24"/>
          <w:lang w:bidi="he-IL"/>
        </w:rPr>
        <w:t xml:space="preserve">an element of </w:t>
      </w:r>
      <w:r w:rsidR="0027285A" w:rsidRPr="007B313B">
        <w:rPr>
          <w:rFonts w:asciiTheme="majorBidi" w:hAnsiTheme="majorBidi" w:cstheme="majorBidi"/>
          <w:i/>
          <w:iCs/>
          <w:sz w:val="24"/>
          <w:szCs w:val="24"/>
          <w:lang w:bidi="he-IL"/>
        </w:rPr>
        <w:t>avoda zara</w:t>
      </w:r>
      <w:r w:rsidR="0027285A">
        <w:rPr>
          <w:rFonts w:asciiTheme="majorBidi" w:hAnsiTheme="majorBidi" w:cstheme="majorBidi"/>
          <w:i/>
          <w:iCs/>
          <w:sz w:val="24"/>
          <w:szCs w:val="24"/>
          <w:lang w:bidi="he-IL"/>
        </w:rPr>
        <w:t xml:space="preserve"> </w:t>
      </w:r>
      <w:r w:rsidR="00D40A5D">
        <w:rPr>
          <w:rFonts w:asciiTheme="majorBidi" w:hAnsiTheme="majorBidi" w:cstheme="majorBidi"/>
          <w:sz w:val="24"/>
          <w:szCs w:val="24"/>
          <w:lang w:bidi="he-IL"/>
        </w:rPr>
        <w:t>in common</w:t>
      </w:r>
      <w:r w:rsidR="0027285A">
        <w:rPr>
          <w:rFonts w:asciiTheme="majorBidi" w:hAnsiTheme="majorBidi" w:cstheme="majorBidi"/>
          <w:sz w:val="24"/>
          <w:szCs w:val="24"/>
          <w:lang w:bidi="he-IL"/>
        </w:rPr>
        <w:t>,</w:t>
      </w:r>
      <w:r w:rsidR="00D40A5D">
        <w:rPr>
          <w:rFonts w:asciiTheme="majorBidi" w:hAnsiTheme="majorBidi" w:cstheme="majorBidi"/>
          <w:sz w:val="24"/>
          <w:szCs w:val="24"/>
          <w:lang w:bidi="he-IL"/>
        </w:rPr>
        <w:t xml:space="preserve"> in the literal sense of</w:t>
      </w:r>
      <w:r w:rsidR="008F7775">
        <w:rPr>
          <w:rFonts w:asciiTheme="majorBidi" w:hAnsiTheme="majorBidi" w:cstheme="majorBidi"/>
          <w:sz w:val="24"/>
          <w:szCs w:val="24"/>
          <w:lang w:bidi="he-IL"/>
        </w:rPr>
        <w:t xml:space="preserve"> </w:t>
      </w:r>
      <w:r w:rsidR="008F7775" w:rsidRPr="008F7775">
        <w:rPr>
          <w:rFonts w:asciiTheme="majorBidi" w:hAnsiTheme="majorBidi" w:cstheme="majorBidi"/>
          <w:i/>
          <w:iCs/>
          <w:sz w:val="24"/>
          <w:szCs w:val="24"/>
          <w:lang w:bidi="he-IL"/>
        </w:rPr>
        <w:t>strange</w:t>
      </w:r>
      <w:r w:rsidR="008F7775">
        <w:rPr>
          <w:rFonts w:asciiTheme="majorBidi" w:hAnsiTheme="majorBidi" w:cstheme="majorBidi"/>
          <w:sz w:val="24"/>
          <w:szCs w:val="24"/>
          <w:lang w:bidi="he-IL"/>
        </w:rPr>
        <w:t xml:space="preserve">, or </w:t>
      </w:r>
      <w:r w:rsidR="00D40A5D" w:rsidRPr="00D40A5D">
        <w:rPr>
          <w:rFonts w:asciiTheme="majorBidi" w:hAnsiTheme="majorBidi" w:cstheme="majorBidi"/>
          <w:i/>
          <w:iCs/>
          <w:sz w:val="24"/>
          <w:szCs w:val="24"/>
          <w:lang w:bidi="he-IL"/>
        </w:rPr>
        <w:t>foreign</w:t>
      </w:r>
      <w:r w:rsidR="00D40A5D">
        <w:rPr>
          <w:rFonts w:asciiTheme="majorBidi" w:hAnsiTheme="majorBidi" w:cstheme="majorBidi"/>
          <w:sz w:val="24"/>
          <w:szCs w:val="24"/>
          <w:lang w:bidi="he-IL"/>
        </w:rPr>
        <w:t xml:space="preserve"> worship. And what seems to be </w:t>
      </w:r>
      <w:r w:rsidR="003D3400">
        <w:rPr>
          <w:rFonts w:asciiTheme="majorBidi" w:hAnsiTheme="majorBidi" w:cstheme="majorBidi"/>
          <w:sz w:val="24"/>
          <w:szCs w:val="24"/>
          <w:lang w:bidi="he-IL"/>
        </w:rPr>
        <w:t>doing the</w:t>
      </w:r>
      <w:r w:rsidR="00D40A5D">
        <w:rPr>
          <w:rFonts w:asciiTheme="majorBidi" w:hAnsiTheme="majorBidi" w:cstheme="majorBidi"/>
          <w:sz w:val="24"/>
          <w:szCs w:val="24"/>
          <w:lang w:bidi="he-IL"/>
        </w:rPr>
        <w:t xml:space="preserve"> work </w:t>
      </w:r>
      <w:r w:rsidR="007B313B">
        <w:rPr>
          <w:rFonts w:asciiTheme="majorBidi" w:hAnsiTheme="majorBidi" w:cstheme="majorBidi"/>
          <w:sz w:val="24"/>
          <w:szCs w:val="24"/>
          <w:lang w:bidi="he-IL"/>
        </w:rPr>
        <w:t>owes more to</w:t>
      </w:r>
      <w:r w:rsidR="00D40A5D">
        <w:rPr>
          <w:rFonts w:asciiTheme="majorBidi" w:hAnsiTheme="majorBidi" w:cstheme="majorBidi"/>
          <w:sz w:val="24"/>
          <w:szCs w:val="24"/>
          <w:lang w:bidi="he-IL"/>
        </w:rPr>
        <w:t xml:space="preserve"> </w:t>
      </w:r>
      <w:r w:rsidR="0027285A">
        <w:rPr>
          <w:rFonts w:asciiTheme="majorBidi" w:hAnsiTheme="majorBidi" w:cstheme="majorBidi"/>
          <w:sz w:val="24"/>
          <w:szCs w:val="24"/>
          <w:lang w:bidi="he-IL"/>
        </w:rPr>
        <w:t>their</w:t>
      </w:r>
      <w:r w:rsidR="003D3400">
        <w:rPr>
          <w:rFonts w:asciiTheme="majorBidi" w:hAnsiTheme="majorBidi" w:cstheme="majorBidi"/>
          <w:sz w:val="24"/>
          <w:szCs w:val="24"/>
          <w:lang w:bidi="he-IL"/>
        </w:rPr>
        <w:t xml:space="preserve"> </w:t>
      </w:r>
      <w:r w:rsidR="008F7775">
        <w:rPr>
          <w:rFonts w:asciiTheme="majorBidi" w:hAnsiTheme="majorBidi" w:cstheme="majorBidi"/>
          <w:sz w:val="24"/>
          <w:szCs w:val="24"/>
          <w:lang w:bidi="he-IL"/>
        </w:rPr>
        <w:t>foreignness</w:t>
      </w:r>
      <w:r w:rsidR="00D40A5D">
        <w:rPr>
          <w:rFonts w:asciiTheme="majorBidi" w:hAnsiTheme="majorBidi" w:cstheme="majorBidi"/>
          <w:sz w:val="24"/>
          <w:szCs w:val="24"/>
          <w:lang w:bidi="he-IL"/>
        </w:rPr>
        <w:t>,</w:t>
      </w:r>
      <w:r w:rsidR="008F7775">
        <w:rPr>
          <w:rFonts w:asciiTheme="majorBidi" w:hAnsiTheme="majorBidi" w:cstheme="majorBidi"/>
          <w:sz w:val="24"/>
          <w:szCs w:val="24"/>
          <w:lang w:bidi="he-IL"/>
        </w:rPr>
        <w:t xml:space="preserve"> </w:t>
      </w:r>
      <w:r w:rsidR="007B313B">
        <w:rPr>
          <w:rFonts w:asciiTheme="majorBidi" w:hAnsiTheme="majorBidi" w:cstheme="majorBidi"/>
          <w:sz w:val="24"/>
          <w:szCs w:val="24"/>
          <w:lang w:bidi="he-IL"/>
        </w:rPr>
        <w:t xml:space="preserve">than to </w:t>
      </w:r>
      <w:r w:rsidR="0027285A">
        <w:rPr>
          <w:rFonts w:asciiTheme="majorBidi" w:hAnsiTheme="majorBidi" w:cstheme="majorBidi"/>
          <w:sz w:val="24"/>
          <w:szCs w:val="24"/>
          <w:lang w:bidi="he-IL"/>
        </w:rPr>
        <w:t>them</w:t>
      </w:r>
      <w:r w:rsidR="007B313B">
        <w:rPr>
          <w:rFonts w:asciiTheme="majorBidi" w:hAnsiTheme="majorBidi" w:cstheme="majorBidi"/>
          <w:sz w:val="24"/>
          <w:szCs w:val="24"/>
          <w:lang w:bidi="he-IL"/>
        </w:rPr>
        <w:t xml:space="preserve"> being </w:t>
      </w:r>
      <w:r w:rsidR="009F507A">
        <w:rPr>
          <w:rFonts w:asciiTheme="majorBidi" w:hAnsiTheme="majorBidi" w:cstheme="majorBidi"/>
          <w:sz w:val="24"/>
          <w:szCs w:val="24"/>
          <w:lang w:bidi="he-IL"/>
        </w:rPr>
        <w:t>sinful</w:t>
      </w:r>
      <w:r w:rsidR="003D3400">
        <w:rPr>
          <w:rFonts w:asciiTheme="majorBidi" w:hAnsiTheme="majorBidi" w:cstheme="majorBidi"/>
          <w:sz w:val="24"/>
          <w:szCs w:val="24"/>
          <w:lang w:bidi="he-IL"/>
        </w:rPr>
        <w:t xml:space="preserve">. </w:t>
      </w:r>
      <w:r w:rsidR="00870B75">
        <w:rPr>
          <w:rFonts w:asciiTheme="majorBidi" w:hAnsiTheme="majorBidi" w:cstheme="majorBidi"/>
          <w:sz w:val="24"/>
          <w:szCs w:val="24"/>
          <w:lang w:bidi="he-IL"/>
        </w:rPr>
        <w:t xml:space="preserve">But </w:t>
      </w:r>
      <w:r w:rsidR="0027285A">
        <w:rPr>
          <w:rFonts w:asciiTheme="majorBidi" w:hAnsiTheme="majorBidi" w:cstheme="majorBidi"/>
          <w:sz w:val="24"/>
          <w:szCs w:val="24"/>
          <w:lang w:bidi="he-IL"/>
        </w:rPr>
        <w:t>their</w:t>
      </w:r>
      <w:r w:rsidR="00870B75">
        <w:rPr>
          <w:rFonts w:asciiTheme="majorBidi" w:hAnsiTheme="majorBidi" w:cstheme="majorBidi"/>
          <w:sz w:val="24"/>
          <w:szCs w:val="24"/>
          <w:lang w:bidi="he-IL"/>
        </w:rPr>
        <w:t xml:space="preserve"> </w:t>
      </w:r>
      <w:r w:rsidR="009F507A">
        <w:rPr>
          <w:rFonts w:asciiTheme="majorBidi" w:hAnsiTheme="majorBidi" w:cstheme="majorBidi"/>
          <w:sz w:val="24"/>
          <w:szCs w:val="24"/>
          <w:lang w:bidi="he-IL"/>
        </w:rPr>
        <w:t>sinfulness</w:t>
      </w:r>
      <w:r w:rsidR="00870B75">
        <w:rPr>
          <w:rFonts w:asciiTheme="majorBidi" w:hAnsiTheme="majorBidi" w:cstheme="majorBidi"/>
          <w:sz w:val="24"/>
          <w:szCs w:val="24"/>
          <w:lang w:bidi="he-IL"/>
        </w:rPr>
        <w:t xml:space="preserve"> is a factor too. </w:t>
      </w:r>
      <w:r w:rsidR="007B313B">
        <w:rPr>
          <w:rFonts w:asciiTheme="majorBidi" w:hAnsiTheme="majorBidi" w:cstheme="majorBidi"/>
          <w:sz w:val="24"/>
          <w:szCs w:val="24"/>
          <w:lang w:bidi="he-IL"/>
        </w:rPr>
        <w:t>According to Patton, God seems to be moved</w:t>
      </w:r>
      <w:r w:rsidR="009F507A">
        <w:rPr>
          <w:rFonts w:asciiTheme="majorBidi" w:hAnsiTheme="majorBidi" w:cstheme="majorBidi"/>
          <w:sz w:val="24"/>
          <w:szCs w:val="24"/>
          <w:lang w:bidi="he-IL"/>
        </w:rPr>
        <w:t xml:space="preserve"> and</w:t>
      </w:r>
      <w:r w:rsidR="007B313B">
        <w:rPr>
          <w:rFonts w:asciiTheme="majorBidi" w:hAnsiTheme="majorBidi" w:cstheme="majorBidi"/>
          <w:sz w:val="24"/>
          <w:szCs w:val="24"/>
          <w:lang w:bidi="he-IL"/>
        </w:rPr>
        <w:t xml:space="preserve"> ambivalated by the self-</w:t>
      </w:r>
      <w:r w:rsidR="00870B75">
        <w:rPr>
          <w:rFonts w:asciiTheme="majorBidi" w:hAnsiTheme="majorBidi" w:cstheme="majorBidi"/>
          <w:sz w:val="24"/>
          <w:szCs w:val="24"/>
          <w:lang w:bidi="he-IL"/>
        </w:rPr>
        <w:t>sacrifice</w:t>
      </w:r>
      <w:r w:rsidR="007B313B">
        <w:rPr>
          <w:rFonts w:asciiTheme="majorBidi" w:hAnsiTheme="majorBidi" w:cstheme="majorBidi"/>
          <w:sz w:val="24"/>
          <w:szCs w:val="24"/>
          <w:lang w:bidi="he-IL"/>
        </w:rPr>
        <w:t xml:space="preserve"> involved in going out beyond the pale of one’s own </w:t>
      </w:r>
      <w:r w:rsidR="00870B75">
        <w:rPr>
          <w:rFonts w:asciiTheme="majorBidi" w:hAnsiTheme="majorBidi" w:cstheme="majorBidi"/>
          <w:sz w:val="24"/>
          <w:szCs w:val="24"/>
          <w:lang w:bidi="he-IL"/>
        </w:rPr>
        <w:t>religion</w:t>
      </w:r>
      <w:r w:rsidR="009F507A">
        <w:rPr>
          <w:rFonts w:asciiTheme="majorBidi" w:hAnsiTheme="majorBidi" w:cstheme="majorBidi"/>
          <w:sz w:val="24"/>
          <w:szCs w:val="24"/>
          <w:lang w:bidi="he-IL"/>
        </w:rPr>
        <w:t xml:space="preserve"> in support of </w:t>
      </w:r>
      <w:r w:rsidR="007B313B">
        <w:rPr>
          <w:rFonts w:asciiTheme="majorBidi" w:hAnsiTheme="majorBidi" w:cstheme="majorBidi"/>
          <w:sz w:val="24"/>
          <w:szCs w:val="24"/>
          <w:lang w:bidi="he-IL"/>
        </w:rPr>
        <w:t xml:space="preserve">a member of a different </w:t>
      </w:r>
      <w:r w:rsidR="00870B75">
        <w:rPr>
          <w:rFonts w:asciiTheme="majorBidi" w:hAnsiTheme="majorBidi" w:cstheme="majorBidi"/>
          <w:sz w:val="24"/>
          <w:szCs w:val="24"/>
          <w:lang w:bidi="he-IL"/>
        </w:rPr>
        <w:t>faith tradition, in places and ways deemed</w:t>
      </w:r>
      <w:r w:rsidR="009C2FB9" w:rsidRPr="009C2FB9">
        <w:rPr>
          <w:rFonts w:asciiTheme="majorBidi" w:hAnsiTheme="majorBidi" w:cstheme="majorBidi"/>
          <w:sz w:val="24"/>
          <w:szCs w:val="24"/>
          <w:lang w:bidi="he-IL"/>
        </w:rPr>
        <w:t xml:space="preserve"> </w:t>
      </w:r>
      <w:r w:rsidR="009C2FB9">
        <w:rPr>
          <w:rFonts w:asciiTheme="majorBidi" w:hAnsiTheme="majorBidi" w:cstheme="majorBidi"/>
          <w:sz w:val="24"/>
          <w:szCs w:val="24"/>
          <w:lang w:bidi="he-IL"/>
        </w:rPr>
        <w:t>idolatrous</w:t>
      </w:r>
      <w:r w:rsidR="00870B75">
        <w:rPr>
          <w:rFonts w:asciiTheme="majorBidi" w:hAnsiTheme="majorBidi" w:cstheme="majorBidi"/>
          <w:sz w:val="24"/>
          <w:szCs w:val="24"/>
          <w:lang w:bidi="he-IL"/>
        </w:rPr>
        <w:t xml:space="preserve"> </w:t>
      </w:r>
      <w:r w:rsidR="009C2FB9">
        <w:rPr>
          <w:rFonts w:asciiTheme="majorBidi" w:hAnsiTheme="majorBidi" w:cstheme="majorBidi"/>
          <w:sz w:val="24"/>
          <w:szCs w:val="24"/>
          <w:lang w:bidi="he-IL"/>
        </w:rPr>
        <w:t>by</w:t>
      </w:r>
      <w:r w:rsidR="00870B75">
        <w:rPr>
          <w:rFonts w:asciiTheme="majorBidi" w:hAnsiTheme="majorBidi" w:cstheme="majorBidi"/>
          <w:sz w:val="24"/>
          <w:szCs w:val="24"/>
          <w:lang w:bidi="he-IL"/>
        </w:rPr>
        <w:t xml:space="preserve"> </w:t>
      </w:r>
      <w:r w:rsidR="009C2FB9">
        <w:rPr>
          <w:rFonts w:asciiTheme="majorBidi" w:hAnsiTheme="majorBidi" w:cstheme="majorBidi"/>
          <w:sz w:val="24"/>
          <w:szCs w:val="24"/>
          <w:lang w:bidi="he-IL"/>
        </w:rPr>
        <w:t xml:space="preserve">the </w:t>
      </w:r>
      <w:r w:rsidR="009F507A">
        <w:rPr>
          <w:rFonts w:asciiTheme="majorBidi" w:hAnsiTheme="majorBidi" w:cstheme="majorBidi"/>
          <w:sz w:val="24"/>
          <w:szCs w:val="24"/>
          <w:lang w:bidi="he-IL"/>
        </w:rPr>
        <w:t>eyes</w:t>
      </w:r>
      <w:r w:rsidR="009C2FB9">
        <w:rPr>
          <w:rFonts w:asciiTheme="majorBidi" w:hAnsiTheme="majorBidi" w:cstheme="majorBidi"/>
          <w:sz w:val="24"/>
          <w:szCs w:val="24"/>
          <w:lang w:bidi="he-IL"/>
        </w:rPr>
        <w:t xml:space="preserve"> of </w:t>
      </w:r>
      <w:r w:rsidR="00870B75">
        <w:rPr>
          <w:rFonts w:asciiTheme="majorBidi" w:hAnsiTheme="majorBidi" w:cstheme="majorBidi"/>
          <w:sz w:val="24"/>
          <w:szCs w:val="24"/>
          <w:lang w:bidi="he-IL"/>
        </w:rPr>
        <w:t xml:space="preserve">one’s own. </w:t>
      </w:r>
      <w:r w:rsidR="009C2FB9">
        <w:rPr>
          <w:rFonts w:asciiTheme="majorBidi" w:hAnsiTheme="majorBidi" w:cstheme="majorBidi"/>
          <w:sz w:val="24"/>
          <w:szCs w:val="24"/>
          <w:lang w:bidi="he-IL"/>
        </w:rPr>
        <w:t>Theologically speaking</w:t>
      </w:r>
      <w:r w:rsidR="009F507A">
        <w:rPr>
          <w:rFonts w:asciiTheme="majorBidi" w:hAnsiTheme="majorBidi" w:cstheme="majorBidi"/>
          <w:sz w:val="24"/>
          <w:szCs w:val="24"/>
          <w:lang w:bidi="he-IL"/>
        </w:rPr>
        <w:t>,</w:t>
      </w:r>
      <w:r w:rsidR="009C2FB9">
        <w:rPr>
          <w:rFonts w:asciiTheme="majorBidi" w:hAnsiTheme="majorBidi" w:cstheme="majorBidi"/>
          <w:sz w:val="24"/>
          <w:szCs w:val="24"/>
          <w:lang w:bidi="he-IL"/>
        </w:rPr>
        <w:t xml:space="preserve"> such cases reverse the logic of the </w:t>
      </w:r>
      <w:r w:rsidR="009C2FB9" w:rsidRPr="009C2FB9">
        <w:rPr>
          <w:rFonts w:asciiTheme="majorBidi" w:hAnsiTheme="majorBidi" w:cstheme="majorBidi"/>
          <w:i/>
          <w:iCs/>
          <w:sz w:val="24"/>
          <w:szCs w:val="24"/>
          <w:lang w:bidi="he-IL"/>
        </w:rPr>
        <w:t>Aqedah</w:t>
      </w:r>
      <w:r w:rsidR="009C2FB9">
        <w:rPr>
          <w:rFonts w:asciiTheme="majorBidi" w:hAnsiTheme="majorBidi" w:cstheme="majorBidi"/>
          <w:sz w:val="24"/>
          <w:szCs w:val="24"/>
          <w:lang w:bidi="he-IL"/>
        </w:rPr>
        <w:t xml:space="preserve">, </w:t>
      </w:r>
      <w:r w:rsidR="00A2580E">
        <w:rPr>
          <w:rFonts w:asciiTheme="majorBidi" w:hAnsiTheme="majorBidi" w:cstheme="majorBidi"/>
          <w:sz w:val="24"/>
          <w:szCs w:val="24"/>
          <w:lang w:bidi="he-IL"/>
        </w:rPr>
        <w:t xml:space="preserve">as </w:t>
      </w:r>
      <w:r w:rsidR="009C2FB9">
        <w:rPr>
          <w:rFonts w:asciiTheme="majorBidi" w:hAnsiTheme="majorBidi" w:cstheme="majorBidi"/>
          <w:sz w:val="24"/>
          <w:szCs w:val="24"/>
          <w:lang w:bidi="he-IL"/>
        </w:rPr>
        <w:t xml:space="preserve">one proves willing to </w:t>
      </w:r>
      <w:r w:rsidR="00710A75">
        <w:rPr>
          <w:rFonts w:asciiTheme="majorBidi" w:hAnsiTheme="majorBidi" w:cstheme="majorBidi"/>
          <w:sz w:val="24"/>
          <w:szCs w:val="24"/>
          <w:lang w:bidi="he-IL"/>
        </w:rPr>
        <w:t xml:space="preserve">knowingly </w:t>
      </w:r>
      <w:r w:rsidR="009C2FB9">
        <w:rPr>
          <w:rFonts w:asciiTheme="majorBidi" w:hAnsiTheme="majorBidi" w:cstheme="majorBidi"/>
          <w:sz w:val="24"/>
          <w:szCs w:val="24"/>
          <w:lang w:bidi="he-IL"/>
        </w:rPr>
        <w:t xml:space="preserve">sin against </w:t>
      </w:r>
      <w:r w:rsidR="00710A75">
        <w:rPr>
          <w:rFonts w:asciiTheme="majorBidi" w:hAnsiTheme="majorBidi" w:cstheme="majorBidi"/>
          <w:sz w:val="24"/>
          <w:szCs w:val="24"/>
          <w:lang w:bidi="he-IL"/>
        </w:rPr>
        <w:t xml:space="preserve">God along the vertical </w:t>
      </w:r>
      <w:r w:rsidR="00B44830">
        <w:rPr>
          <w:rFonts w:asciiTheme="majorBidi" w:hAnsiTheme="majorBidi" w:cstheme="majorBidi"/>
          <w:sz w:val="24"/>
          <w:szCs w:val="24"/>
          <w:lang w:bidi="he-IL"/>
        </w:rPr>
        <w:t>in the service</w:t>
      </w:r>
      <w:r w:rsidR="00710A75">
        <w:rPr>
          <w:rFonts w:asciiTheme="majorBidi" w:hAnsiTheme="majorBidi" w:cstheme="majorBidi"/>
          <w:sz w:val="24"/>
          <w:szCs w:val="24"/>
          <w:lang w:bidi="he-IL"/>
        </w:rPr>
        <w:t xml:space="preserve"> of horizontal compassion for a fellow human. </w:t>
      </w:r>
    </w:p>
    <w:p w14:paraId="760E8D65" w14:textId="10D98128" w:rsidR="00B44830" w:rsidRDefault="00710A75" w:rsidP="00D5037B">
      <w:pPr>
        <w:pStyle w:val="MDPI31text"/>
        <w:spacing w:after="60" w:line="360" w:lineRule="auto"/>
        <w:ind w:firstLine="0"/>
        <w:rPr>
          <w:rFonts w:asciiTheme="majorBidi" w:hAnsiTheme="majorBidi" w:cstheme="majorBidi"/>
          <w:sz w:val="24"/>
          <w:szCs w:val="24"/>
          <w:lang w:bidi="he-IL"/>
        </w:rPr>
      </w:pPr>
      <w:r>
        <w:rPr>
          <w:rFonts w:asciiTheme="majorBidi" w:hAnsiTheme="majorBidi" w:cstheme="majorBidi"/>
          <w:sz w:val="24"/>
          <w:szCs w:val="24"/>
          <w:lang w:bidi="he-IL"/>
        </w:rPr>
        <w:t>However, the philosophical lesson for us lies in the foreignness rather than the w</w:t>
      </w:r>
      <w:r w:rsidR="00CE5847">
        <w:rPr>
          <w:rFonts w:asciiTheme="majorBidi" w:hAnsiTheme="majorBidi" w:cstheme="majorBidi"/>
          <w:sz w:val="24"/>
          <w:szCs w:val="24"/>
          <w:lang w:bidi="he-IL"/>
        </w:rPr>
        <w:t>ro</w:t>
      </w:r>
      <w:r>
        <w:rPr>
          <w:rFonts w:asciiTheme="majorBidi" w:hAnsiTheme="majorBidi" w:cstheme="majorBidi"/>
          <w:sz w:val="24"/>
          <w:szCs w:val="24"/>
          <w:lang w:bidi="he-IL"/>
        </w:rPr>
        <w:t xml:space="preserve">ngness of such acts. </w:t>
      </w:r>
      <w:r w:rsidR="00A2580E">
        <w:rPr>
          <w:rFonts w:asciiTheme="majorBidi" w:hAnsiTheme="majorBidi" w:cstheme="majorBidi"/>
          <w:sz w:val="24"/>
          <w:szCs w:val="24"/>
          <w:lang w:bidi="he-IL"/>
        </w:rPr>
        <w:t>To be meaningful and moving r</w:t>
      </w:r>
      <w:r w:rsidR="00CE5847">
        <w:rPr>
          <w:rFonts w:asciiTheme="majorBidi" w:hAnsiTheme="majorBidi" w:cstheme="majorBidi"/>
          <w:sz w:val="24"/>
          <w:szCs w:val="24"/>
          <w:lang w:bidi="he-IL"/>
        </w:rPr>
        <w:t>eligious ritual</w:t>
      </w:r>
      <w:r w:rsidR="00A2580E">
        <w:rPr>
          <w:rFonts w:asciiTheme="majorBidi" w:hAnsiTheme="majorBidi" w:cstheme="majorBidi"/>
          <w:sz w:val="24"/>
          <w:szCs w:val="24"/>
          <w:lang w:bidi="he-IL"/>
        </w:rPr>
        <w:t xml:space="preserve"> and prayer require familiar settings</w:t>
      </w:r>
      <w:r w:rsidR="00CE5847">
        <w:rPr>
          <w:rFonts w:asciiTheme="majorBidi" w:hAnsiTheme="majorBidi" w:cstheme="majorBidi"/>
          <w:sz w:val="24"/>
          <w:szCs w:val="24"/>
          <w:lang w:bidi="he-IL"/>
        </w:rPr>
        <w:t>. N</w:t>
      </w:r>
      <w:r w:rsidR="00CA4A91">
        <w:rPr>
          <w:rFonts w:asciiTheme="majorBidi" w:hAnsiTheme="majorBidi" w:cstheme="majorBidi"/>
          <w:sz w:val="24"/>
          <w:szCs w:val="24"/>
          <w:lang w:bidi="he-IL"/>
        </w:rPr>
        <w:t>ovelty</w:t>
      </w:r>
      <w:r w:rsidR="00CE5847">
        <w:rPr>
          <w:rFonts w:asciiTheme="majorBidi" w:hAnsiTheme="majorBidi" w:cstheme="majorBidi"/>
          <w:sz w:val="24"/>
          <w:szCs w:val="24"/>
          <w:lang w:bidi="he-IL"/>
        </w:rPr>
        <w:t xml:space="preserve"> and strangeness </w:t>
      </w:r>
      <w:r w:rsidR="00A2580E">
        <w:rPr>
          <w:rFonts w:asciiTheme="majorBidi" w:hAnsiTheme="majorBidi" w:cstheme="majorBidi"/>
          <w:sz w:val="24"/>
          <w:szCs w:val="24"/>
          <w:lang w:bidi="he-IL"/>
        </w:rPr>
        <w:t xml:space="preserve">of place and liturgy </w:t>
      </w:r>
      <w:r w:rsidR="00CE5847">
        <w:rPr>
          <w:rFonts w:asciiTheme="majorBidi" w:hAnsiTheme="majorBidi" w:cstheme="majorBidi"/>
          <w:sz w:val="24"/>
          <w:szCs w:val="24"/>
          <w:lang w:bidi="he-IL"/>
        </w:rPr>
        <w:t>are inevitable sources of distraction.</w:t>
      </w:r>
      <w:r w:rsidR="007B5FD7">
        <w:rPr>
          <w:rFonts w:asciiTheme="majorBidi" w:hAnsiTheme="majorBidi" w:cstheme="majorBidi"/>
          <w:sz w:val="24"/>
          <w:szCs w:val="24"/>
          <w:lang w:bidi="he-IL"/>
        </w:rPr>
        <w:t xml:space="preserve"> It</w:t>
      </w:r>
      <w:r w:rsidR="00A2580E">
        <w:rPr>
          <w:rFonts w:asciiTheme="majorBidi" w:hAnsiTheme="majorBidi" w:cstheme="majorBidi"/>
          <w:sz w:val="24"/>
          <w:szCs w:val="24"/>
          <w:lang w:bidi="he-IL"/>
        </w:rPr>
        <w:t xml:space="preserve"> i</w:t>
      </w:r>
      <w:r w:rsidR="007B5FD7">
        <w:rPr>
          <w:rFonts w:asciiTheme="majorBidi" w:hAnsiTheme="majorBidi" w:cstheme="majorBidi"/>
          <w:sz w:val="24"/>
          <w:szCs w:val="24"/>
          <w:lang w:bidi="he-IL"/>
        </w:rPr>
        <w:t xml:space="preserve">s against complex backdrops of </w:t>
      </w:r>
      <w:r w:rsidR="006A5CE3">
        <w:rPr>
          <w:rFonts w:asciiTheme="majorBidi" w:hAnsiTheme="majorBidi" w:cstheme="majorBidi"/>
          <w:sz w:val="24"/>
          <w:szCs w:val="24"/>
          <w:lang w:bidi="he-IL"/>
        </w:rPr>
        <w:t xml:space="preserve">second-nature </w:t>
      </w:r>
      <w:r w:rsidR="007B5FD7">
        <w:rPr>
          <w:rFonts w:asciiTheme="majorBidi" w:hAnsiTheme="majorBidi" w:cstheme="majorBidi"/>
          <w:sz w:val="24"/>
          <w:szCs w:val="24"/>
          <w:lang w:bidi="he-IL"/>
        </w:rPr>
        <w:t>repetition and familiarity, the intimacy of the recognizable</w:t>
      </w:r>
      <w:r w:rsidR="006A5CE3">
        <w:rPr>
          <w:rFonts w:asciiTheme="majorBidi" w:hAnsiTheme="majorBidi" w:cstheme="majorBidi"/>
          <w:sz w:val="24"/>
          <w:szCs w:val="24"/>
          <w:lang w:bidi="he-IL"/>
        </w:rPr>
        <w:t>, the recurring formats and habitual idiom, that we are able to focus</w:t>
      </w:r>
      <w:r w:rsidR="00983952">
        <w:rPr>
          <w:rFonts w:asciiTheme="majorBidi" w:hAnsiTheme="majorBidi" w:cstheme="majorBidi"/>
          <w:sz w:val="24"/>
          <w:szCs w:val="24"/>
          <w:lang w:bidi="he-IL"/>
        </w:rPr>
        <w:t xml:space="preserve"> in </w:t>
      </w:r>
      <w:r w:rsidR="00F07E47">
        <w:rPr>
          <w:rFonts w:asciiTheme="majorBidi" w:hAnsiTheme="majorBidi" w:cstheme="majorBidi"/>
          <w:sz w:val="24"/>
          <w:szCs w:val="24"/>
          <w:lang w:bidi="he-IL"/>
        </w:rPr>
        <w:t>contemplative</w:t>
      </w:r>
      <w:r w:rsidR="00983952">
        <w:rPr>
          <w:rFonts w:asciiTheme="majorBidi" w:hAnsiTheme="majorBidi" w:cstheme="majorBidi"/>
          <w:sz w:val="24"/>
          <w:szCs w:val="24"/>
          <w:lang w:bidi="he-IL"/>
        </w:rPr>
        <w:t xml:space="preserve"> </w:t>
      </w:r>
      <w:r w:rsidR="00810B8B">
        <w:rPr>
          <w:rFonts w:asciiTheme="majorBidi" w:hAnsiTheme="majorBidi" w:cstheme="majorBidi"/>
          <w:sz w:val="24"/>
          <w:szCs w:val="24"/>
          <w:lang w:bidi="he-IL"/>
        </w:rPr>
        <w:t>devot</w:t>
      </w:r>
      <w:r w:rsidR="00983952">
        <w:rPr>
          <w:rFonts w:asciiTheme="majorBidi" w:hAnsiTheme="majorBidi" w:cstheme="majorBidi"/>
          <w:sz w:val="24"/>
          <w:szCs w:val="24"/>
          <w:lang w:bidi="he-IL"/>
        </w:rPr>
        <w:t>ion</w:t>
      </w:r>
      <w:r w:rsidR="00810B8B">
        <w:rPr>
          <w:rFonts w:asciiTheme="majorBidi" w:hAnsiTheme="majorBidi" w:cstheme="majorBidi"/>
          <w:sz w:val="24"/>
          <w:szCs w:val="24"/>
          <w:lang w:bidi="he-IL"/>
        </w:rPr>
        <w:t xml:space="preserve"> </w:t>
      </w:r>
      <w:r w:rsidR="006A5CE3">
        <w:rPr>
          <w:rFonts w:asciiTheme="majorBidi" w:hAnsiTheme="majorBidi" w:cstheme="majorBidi"/>
          <w:sz w:val="24"/>
          <w:szCs w:val="24"/>
          <w:lang w:bidi="he-IL"/>
        </w:rPr>
        <w:t>and transport and transcend ourselves in prayer.</w:t>
      </w:r>
      <w:r w:rsidR="00B22957">
        <w:rPr>
          <w:rFonts w:asciiTheme="majorBidi" w:hAnsiTheme="majorBidi" w:cstheme="majorBidi"/>
          <w:sz w:val="24"/>
          <w:szCs w:val="24"/>
          <w:lang w:bidi="he-IL"/>
        </w:rPr>
        <w:t xml:space="preserve"> </w:t>
      </w:r>
    </w:p>
    <w:p w14:paraId="7D5B5CCC" w14:textId="08AD7387" w:rsidR="00710A75" w:rsidRPr="00E57F7F" w:rsidRDefault="00B22957" w:rsidP="00B44830">
      <w:pPr>
        <w:pStyle w:val="MDPI31text"/>
        <w:spacing w:after="60" w:line="360" w:lineRule="auto"/>
        <w:ind w:firstLine="0"/>
        <w:rPr>
          <w:rFonts w:asciiTheme="majorBidi" w:hAnsiTheme="majorBidi" w:cstheme="majorBidi"/>
          <w:sz w:val="24"/>
          <w:szCs w:val="24"/>
          <w:lang w:bidi="he-IL"/>
        </w:rPr>
      </w:pPr>
      <w:r>
        <w:rPr>
          <w:rFonts w:asciiTheme="majorBidi" w:hAnsiTheme="majorBidi" w:cstheme="majorBidi"/>
          <w:sz w:val="24"/>
          <w:szCs w:val="24"/>
          <w:lang w:bidi="he-IL"/>
        </w:rPr>
        <w:t>But in the type of boundary crossing Patton describes the opposite occurs.</w:t>
      </w:r>
      <w:r w:rsidR="00810B8B">
        <w:rPr>
          <w:rFonts w:asciiTheme="majorBidi" w:hAnsiTheme="majorBidi" w:cstheme="majorBidi"/>
          <w:sz w:val="24"/>
          <w:szCs w:val="24"/>
          <w:lang w:bidi="he-IL"/>
        </w:rPr>
        <w:t xml:space="preserve"> Regardless of questions of religious inappropriateness, </w:t>
      </w:r>
      <w:r w:rsidR="00983952">
        <w:rPr>
          <w:rFonts w:asciiTheme="majorBidi" w:hAnsiTheme="majorBidi" w:cstheme="majorBidi"/>
          <w:sz w:val="24"/>
          <w:szCs w:val="24"/>
          <w:lang w:bidi="he-IL"/>
        </w:rPr>
        <w:t xml:space="preserve">when </w:t>
      </w:r>
      <w:r w:rsidR="00810B8B">
        <w:rPr>
          <w:rFonts w:asciiTheme="majorBidi" w:hAnsiTheme="majorBidi" w:cstheme="majorBidi"/>
          <w:sz w:val="24"/>
          <w:szCs w:val="24"/>
          <w:lang w:bidi="he-IL"/>
        </w:rPr>
        <w:t>p</w:t>
      </w:r>
      <w:r>
        <w:rPr>
          <w:rFonts w:asciiTheme="majorBidi" w:hAnsiTheme="majorBidi" w:cstheme="majorBidi"/>
          <w:sz w:val="24"/>
          <w:szCs w:val="24"/>
          <w:lang w:bidi="he-IL"/>
        </w:rPr>
        <w:t>raying “away from home</w:t>
      </w:r>
      <w:r w:rsidR="00810B8B">
        <w:rPr>
          <w:rFonts w:asciiTheme="majorBidi" w:hAnsiTheme="majorBidi" w:cstheme="majorBidi"/>
          <w:sz w:val="24"/>
          <w:szCs w:val="24"/>
          <w:lang w:bidi="he-IL"/>
        </w:rPr>
        <w:t>,</w:t>
      </w:r>
      <w:r>
        <w:rPr>
          <w:rFonts w:asciiTheme="majorBidi" w:hAnsiTheme="majorBidi" w:cstheme="majorBidi"/>
          <w:sz w:val="24"/>
          <w:szCs w:val="24"/>
          <w:lang w:bidi="he-IL"/>
        </w:rPr>
        <w:t>”</w:t>
      </w:r>
      <w:r w:rsidR="00810B8B">
        <w:rPr>
          <w:rFonts w:asciiTheme="majorBidi" w:hAnsiTheme="majorBidi" w:cstheme="majorBidi"/>
          <w:sz w:val="24"/>
          <w:szCs w:val="24"/>
          <w:lang w:bidi="he-IL"/>
        </w:rPr>
        <w:t xml:space="preserve"> especially beyond the pale, </w:t>
      </w:r>
      <w:r w:rsidR="00360ECC">
        <w:rPr>
          <w:rFonts w:asciiTheme="majorBidi" w:hAnsiTheme="majorBidi" w:cstheme="majorBidi"/>
          <w:sz w:val="24"/>
          <w:szCs w:val="24"/>
          <w:lang w:bidi="he-IL"/>
        </w:rPr>
        <w:t xml:space="preserve">we </w:t>
      </w:r>
      <w:r w:rsidR="00983952">
        <w:rPr>
          <w:rFonts w:asciiTheme="majorBidi" w:hAnsiTheme="majorBidi" w:cstheme="majorBidi"/>
          <w:sz w:val="24"/>
          <w:szCs w:val="24"/>
          <w:lang w:bidi="he-IL"/>
        </w:rPr>
        <w:t>find ourselves</w:t>
      </w:r>
      <w:r w:rsidR="00810B8B">
        <w:rPr>
          <w:rFonts w:asciiTheme="majorBidi" w:hAnsiTheme="majorBidi" w:cstheme="majorBidi"/>
          <w:sz w:val="24"/>
          <w:szCs w:val="24"/>
          <w:lang w:bidi="he-IL"/>
        </w:rPr>
        <w:t xml:space="preserve"> drastically deprived</w:t>
      </w:r>
      <w:r w:rsidR="00360ECC">
        <w:rPr>
          <w:rFonts w:asciiTheme="majorBidi" w:hAnsiTheme="majorBidi" w:cstheme="majorBidi"/>
          <w:sz w:val="24"/>
          <w:szCs w:val="24"/>
          <w:lang w:bidi="he-IL"/>
        </w:rPr>
        <w:t xml:space="preserve"> of </w:t>
      </w:r>
      <w:r w:rsidR="00983952">
        <w:rPr>
          <w:rFonts w:asciiTheme="majorBidi" w:hAnsiTheme="majorBidi" w:cstheme="majorBidi"/>
          <w:sz w:val="24"/>
          <w:szCs w:val="24"/>
          <w:lang w:bidi="he-IL"/>
        </w:rPr>
        <w:t>what have become for us the necessary conditions</w:t>
      </w:r>
      <w:r w:rsidR="00360ECC">
        <w:rPr>
          <w:rFonts w:asciiTheme="majorBidi" w:hAnsiTheme="majorBidi" w:cstheme="majorBidi"/>
          <w:sz w:val="24"/>
          <w:szCs w:val="24"/>
          <w:lang w:bidi="he-IL"/>
        </w:rPr>
        <w:t xml:space="preserve"> </w:t>
      </w:r>
      <w:r w:rsidR="00983952">
        <w:rPr>
          <w:rFonts w:asciiTheme="majorBidi" w:hAnsiTheme="majorBidi" w:cstheme="majorBidi"/>
          <w:sz w:val="24"/>
          <w:szCs w:val="24"/>
          <w:lang w:bidi="he-IL"/>
        </w:rPr>
        <w:t xml:space="preserve">of </w:t>
      </w:r>
      <w:r w:rsidR="00360ECC">
        <w:rPr>
          <w:rFonts w:asciiTheme="majorBidi" w:hAnsiTheme="majorBidi" w:cstheme="majorBidi"/>
          <w:sz w:val="24"/>
          <w:szCs w:val="24"/>
          <w:lang w:bidi="he-IL"/>
        </w:rPr>
        <w:t>religious expression, radically out of place, and lost</w:t>
      </w:r>
      <w:r w:rsidR="00CC7443">
        <w:rPr>
          <w:rFonts w:asciiTheme="majorBidi" w:hAnsiTheme="majorBidi" w:cstheme="majorBidi"/>
          <w:sz w:val="24"/>
          <w:szCs w:val="24"/>
          <w:lang w:bidi="he-IL"/>
        </w:rPr>
        <w:t xml:space="preserve"> for words, forc</w:t>
      </w:r>
      <w:r w:rsidR="00983952">
        <w:rPr>
          <w:rFonts w:asciiTheme="majorBidi" w:hAnsiTheme="majorBidi" w:cstheme="majorBidi"/>
          <w:sz w:val="24"/>
          <w:szCs w:val="24"/>
          <w:lang w:bidi="he-IL"/>
        </w:rPr>
        <w:t>ed</w:t>
      </w:r>
      <w:r w:rsidR="00CC7443">
        <w:rPr>
          <w:rFonts w:asciiTheme="majorBidi" w:hAnsiTheme="majorBidi" w:cstheme="majorBidi"/>
          <w:sz w:val="24"/>
          <w:szCs w:val="24"/>
          <w:lang w:bidi="he-IL"/>
        </w:rPr>
        <w:t xml:space="preserve"> to think about what we’re doing and saying in ways never called for </w:t>
      </w:r>
      <w:r w:rsidR="00B44830">
        <w:rPr>
          <w:rFonts w:asciiTheme="majorBidi" w:hAnsiTheme="majorBidi" w:cstheme="majorBidi"/>
          <w:sz w:val="24"/>
          <w:szCs w:val="24"/>
          <w:lang w:bidi="he-IL"/>
        </w:rPr>
        <w:t>when at</w:t>
      </w:r>
      <w:r w:rsidR="00CC7443">
        <w:rPr>
          <w:rFonts w:asciiTheme="majorBidi" w:hAnsiTheme="majorBidi" w:cstheme="majorBidi"/>
          <w:sz w:val="24"/>
          <w:szCs w:val="24"/>
          <w:lang w:bidi="he-IL"/>
        </w:rPr>
        <w:t xml:space="preserve"> home. Patton’s insightful portrayal of the </w:t>
      </w:r>
      <w:r w:rsidR="00983952">
        <w:rPr>
          <w:rFonts w:asciiTheme="majorBidi" w:hAnsiTheme="majorBidi" w:cstheme="majorBidi"/>
          <w:sz w:val="24"/>
          <w:szCs w:val="24"/>
          <w:lang w:bidi="he-IL"/>
        </w:rPr>
        <w:t>transgressor’s</w:t>
      </w:r>
      <w:r w:rsidR="001B60A3">
        <w:rPr>
          <w:rFonts w:asciiTheme="majorBidi" w:hAnsiTheme="majorBidi" w:cstheme="majorBidi"/>
          <w:sz w:val="24"/>
          <w:szCs w:val="24"/>
          <w:lang w:bidi="he-IL"/>
        </w:rPr>
        <w:t xml:space="preserve"> </w:t>
      </w:r>
      <w:r w:rsidR="00CC7443">
        <w:rPr>
          <w:rFonts w:asciiTheme="majorBidi" w:hAnsiTheme="majorBidi" w:cstheme="majorBidi"/>
          <w:sz w:val="24"/>
          <w:szCs w:val="24"/>
          <w:lang w:bidi="he-IL"/>
        </w:rPr>
        <w:t xml:space="preserve">awkwardness of expression and struggle to articulate </w:t>
      </w:r>
      <w:r w:rsidR="001B60A3">
        <w:rPr>
          <w:rFonts w:asciiTheme="majorBidi" w:hAnsiTheme="majorBidi" w:cstheme="majorBidi"/>
          <w:sz w:val="24"/>
          <w:szCs w:val="24"/>
          <w:lang w:bidi="he-IL"/>
        </w:rPr>
        <w:t xml:space="preserve">as a kind of one-sided religious pidgin, capable of grabbing God’s attention </w:t>
      </w:r>
      <w:r w:rsidR="001B60A3" w:rsidRPr="001B60A3">
        <w:rPr>
          <w:rFonts w:asciiTheme="majorBidi" w:hAnsiTheme="majorBidi" w:cstheme="majorBidi"/>
          <w:i/>
          <w:iCs/>
          <w:sz w:val="24"/>
          <w:szCs w:val="24"/>
          <w:lang w:bidi="he-IL"/>
        </w:rPr>
        <w:t>by virtue</w:t>
      </w:r>
      <w:r w:rsidR="001B60A3">
        <w:rPr>
          <w:rFonts w:asciiTheme="majorBidi" w:hAnsiTheme="majorBidi" w:cstheme="majorBidi"/>
          <w:sz w:val="24"/>
          <w:szCs w:val="24"/>
          <w:lang w:bidi="he-IL"/>
        </w:rPr>
        <w:t xml:space="preserve"> </w:t>
      </w:r>
      <w:r w:rsidR="001B60A3" w:rsidRPr="001B60A3">
        <w:rPr>
          <w:rFonts w:asciiTheme="majorBidi" w:hAnsiTheme="majorBidi" w:cstheme="majorBidi"/>
          <w:i/>
          <w:iCs/>
          <w:sz w:val="24"/>
          <w:szCs w:val="24"/>
          <w:lang w:bidi="he-IL"/>
        </w:rPr>
        <w:t>of</w:t>
      </w:r>
      <w:r w:rsidR="001B60A3">
        <w:rPr>
          <w:rFonts w:asciiTheme="majorBidi" w:hAnsiTheme="majorBidi" w:cstheme="majorBidi"/>
          <w:sz w:val="24"/>
          <w:szCs w:val="24"/>
          <w:lang w:bidi="he-IL"/>
        </w:rPr>
        <w:t xml:space="preserve"> its ungainly inadequacy, has much to teach us regarding the</w:t>
      </w:r>
      <w:r w:rsidR="0072427E">
        <w:rPr>
          <w:rFonts w:asciiTheme="majorBidi" w:hAnsiTheme="majorBidi" w:cstheme="majorBidi"/>
          <w:sz w:val="24"/>
          <w:szCs w:val="24"/>
          <w:lang w:bidi="he-IL"/>
        </w:rPr>
        <w:t xml:space="preserve"> potentially self-</w:t>
      </w:r>
      <w:r w:rsidR="00F07E47">
        <w:rPr>
          <w:rFonts w:asciiTheme="majorBidi" w:hAnsiTheme="majorBidi" w:cstheme="majorBidi"/>
          <w:sz w:val="24"/>
          <w:szCs w:val="24"/>
          <w:lang w:bidi="he-IL"/>
        </w:rPr>
        <w:t>destabilizing</w:t>
      </w:r>
      <w:r w:rsidR="0072427E">
        <w:rPr>
          <w:rFonts w:asciiTheme="majorBidi" w:hAnsiTheme="majorBidi" w:cstheme="majorBidi"/>
          <w:sz w:val="24"/>
          <w:szCs w:val="24"/>
          <w:lang w:bidi="he-IL"/>
        </w:rPr>
        <w:t xml:space="preserve">, even ambivalating effect that trying to express ourselves in the company of strangers to our </w:t>
      </w:r>
      <w:r w:rsidR="00B44830">
        <w:rPr>
          <w:rFonts w:asciiTheme="majorBidi" w:hAnsiTheme="majorBidi" w:cstheme="majorBidi"/>
          <w:sz w:val="24"/>
          <w:szCs w:val="24"/>
          <w:lang w:bidi="he-IL"/>
        </w:rPr>
        <w:t xml:space="preserve">own </w:t>
      </w:r>
      <w:r w:rsidR="0072427E">
        <w:rPr>
          <w:rFonts w:asciiTheme="majorBidi" w:hAnsiTheme="majorBidi" w:cstheme="majorBidi"/>
          <w:sz w:val="24"/>
          <w:szCs w:val="24"/>
          <w:lang w:bidi="he-IL"/>
        </w:rPr>
        <w:t xml:space="preserve">world can have. </w:t>
      </w:r>
      <w:r w:rsidR="00C875C9">
        <w:rPr>
          <w:rFonts w:asciiTheme="majorBidi" w:hAnsiTheme="majorBidi" w:cstheme="majorBidi"/>
          <w:sz w:val="24"/>
          <w:szCs w:val="24"/>
          <w:lang w:bidi="he-IL"/>
        </w:rPr>
        <w:t>Searc</w:t>
      </w:r>
      <w:r w:rsidR="00D5037B">
        <w:rPr>
          <w:rFonts w:asciiTheme="majorBidi" w:hAnsiTheme="majorBidi" w:cstheme="majorBidi"/>
          <w:sz w:val="24"/>
          <w:szCs w:val="24"/>
          <w:lang w:bidi="he-IL"/>
        </w:rPr>
        <w:t>h</w:t>
      </w:r>
      <w:r w:rsidR="00C875C9">
        <w:rPr>
          <w:rFonts w:asciiTheme="majorBidi" w:hAnsiTheme="majorBidi" w:cstheme="majorBidi"/>
          <w:sz w:val="24"/>
          <w:szCs w:val="24"/>
          <w:lang w:bidi="he-IL"/>
        </w:rPr>
        <w:t>ing</w:t>
      </w:r>
      <w:r w:rsidR="0072427E">
        <w:rPr>
          <w:rFonts w:asciiTheme="majorBidi" w:hAnsiTheme="majorBidi" w:cstheme="majorBidi"/>
          <w:sz w:val="24"/>
          <w:szCs w:val="24"/>
          <w:lang w:bidi="he-IL"/>
        </w:rPr>
        <w:t xml:space="preserve"> for </w:t>
      </w:r>
      <w:r w:rsidR="00983952">
        <w:rPr>
          <w:rFonts w:asciiTheme="majorBidi" w:hAnsiTheme="majorBidi" w:cstheme="majorBidi"/>
          <w:sz w:val="24"/>
          <w:szCs w:val="24"/>
          <w:lang w:bidi="he-IL"/>
        </w:rPr>
        <w:t xml:space="preserve">the </w:t>
      </w:r>
      <w:r w:rsidR="0072427E">
        <w:rPr>
          <w:rFonts w:asciiTheme="majorBidi" w:hAnsiTheme="majorBidi" w:cstheme="majorBidi"/>
          <w:sz w:val="24"/>
          <w:szCs w:val="24"/>
          <w:lang w:bidi="he-IL"/>
        </w:rPr>
        <w:t xml:space="preserve">words </w:t>
      </w:r>
      <w:r w:rsidR="00D5037B">
        <w:rPr>
          <w:rFonts w:asciiTheme="majorBidi" w:hAnsiTheme="majorBidi" w:cstheme="majorBidi"/>
          <w:sz w:val="24"/>
          <w:szCs w:val="24"/>
          <w:lang w:bidi="he-IL"/>
        </w:rPr>
        <w:t xml:space="preserve">of a strange and foreign language – pidgin or other - </w:t>
      </w:r>
      <w:r w:rsidR="0072427E">
        <w:rPr>
          <w:rFonts w:asciiTheme="majorBidi" w:hAnsiTheme="majorBidi" w:cstheme="majorBidi"/>
          <w:sz w:val="24"/>
          <w:szCs w:val="24"/>
          <w:lang w:bidi="he-IL"/>
        </w:rPr>
        <w:t xml:space="preserve">to </w:t>
      </w:r>
      <w:r w:rsidR="00983952">
        <w:rPr>
          <w:rFonts w:asciiTheme="majorBidi" w:hAnsiTheme="majorBidi" w:cstheme="majorBidi"/>
          <w:sz w:val="24"/>
          <w:szCs w:val="24"/>
          <w:lang w:bidi="he-IL"/>
        </w:rPr>
        <w:t xml:space="preserve">best </w:t>
      </w:r>
      <w:r w:rsidR="0072427E">
        <w:rPr>
          <w:rFonts w:asciiTheme="majorBidi" w:hAnsiTheme="majorBidi" w:cstheme="majorBidi"/>
          <w:sz w:val="24"/>
          <w:szCs w:val="24"/>
          <w:lang w:bidi="he-IL"/>
        </w:rPr>
        <w:t xml:space="preserve">explain </w:t>
      </w:r>
      <w:r w:rsidR="0072427E">
        <w:rPr>
          <w:rFonts w:asciiTheme="majorBidi" w:hAnsiTheme="majorBidi" w:cstheme="majorBidi"/>
          <w:sz w:val="24"/>
          <w:szCs w:val="24"/>
          <w:lang w:bidi="he-IL"/>
        </w:rPr>
        <w:lastRenderedPageBreak/>
        <w:t>ourselves</w:t>
      </w:r>
      <w:r w:rsidR="003862F4">
        <w:rPr>
          <w:rFonts w:asciiTheme="majorBidi" w:hAnsiTheme="majorBidi" w:cstheme="majorBidi"/>
          <w:sz w:val="24"/>
          <w:szCs w:val="24"/>
          <w:lang w:bidi="he-IL"/>
        </w:rPr>
        <w:t xml:space="preserve"> </w:t>
      </w:r>
      <w:r w:rsidR="00933F3E">
        <w:rPr>
          <w:rFonts w:asciiTheme="majorBidi" w:hAnsiTheme="majorBidi" w:cstheme="majorBidi"/>
          <w:sz w:val="24"/>
          <w:szCs w:val="24"/>
          <w:lang w:bidi="he-IL"/>
        </w:rPr>
        <w:t xml:space="preserve">is liable to give rise to </w:t>
      </w:r>
      <w:r w:rsidR="003862F4">
        <w:rPr>
          <w:rFonts w:asciiTheme="majorBidi" w:hAnsiTheme="majorBidi" w:cstheme="majorBidi"/>
          <w:sz w:val="24"/>
          <w:szCs w:val="24"/>
          <w:lang w:bidi="he-IL"/>
        </w:rPr>
        <w:t>a form of self-reckoning</w:t>
      </w:r>
      <w:r w:rsidR="00933F3E">
        <w:rPr>
          <w:rFonts w:asciiTheme="majorBidi" w:hAnsiTheme="majorBidi" w:cstheme="majorBidi"/>
          <w:sz w:val="24"/>
          <w:szCs w:val="24"/>
          <w:lang w:bidi="he-IL"/>
        </w:rPr>
        <w:t xml:space="preserve"> we rarely encounter in </w:t>
      </w:r>
      <w:r w:rsidR="00B44830">
        <w:rPr>
          <w:rFonts w:asciiTheme="majorBidi" w:hAnsiTheme="majorBidi" w:cstheme="majorBidi"/>
          <w:sz w:val="24"/>
          <w:szCs w:val="24"/>
          <w:lang w:bidi="he-IL"/>
        </w:rPr>
        <w:t xml:space="preserve">the </w:t>
      </w:r>
      <w:r w:rsidR="00933F3E">
        <w:rPr>
          <w:rFonts w:asciiTheme="majorBidi" w:hAnsiTheme="majorBidi" w:cstheme="majorBidi"/>
          <w:sz w:val="24"/>
          <w:szCs w:val="24"/>
          <w:lang w:bidi="he-IL"/>
        </w:rPr>
        <w:t>comfort zones of our home settings.</w:t>
      </w:r>
      <w:r w:rsidR="0072427E">
        <w:rPr>
          <w:rFonts w:asciiTheme="majorBidi" w:hAnsiTheme="majorBidi" w:cstheme="majorBidi"/>
          <w:sz w:val="24"/>
          <w:szCs w:val="24"/>
          <w:lang w:bidi="he-IL"/>
        </w:rPr>
        <w:t xml:space="preserve"> </w:t>
      </w:r>
    </w:p>
    <w:sectPr w:rsidR="00710A75" w:rsidRPr="00E57F7F" w:rsidSect="00B17997">
      <w:headerReference w:type="even" r:id="rId7"/>
      <w:headerReference w:type="default" r:id="rId8"/>
      <w:endnotePr>
        <w:numFmt w:val="decimal"/>
      </w:endnotePr>
      <w:pgSz w:w="11907" w:h="16839"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2AA9A8" w14:textId="77777777" w:rsidR="00200C2F" w:rsidRDefault="00200C2F" w:rsidP="004E5D24">
      <w:r>
        <w:separator/>
      </w:r>
    </w:p>
  </w:endnote>
  <w:endnote w:type="continuationSeparator" w:id="0">
    <w:p w14:paraId="7F9F58C7" w14:textId="77777777" w:rsidR="00200C2F" w:rsidRDefault="00200C2F" w:rsidP="004E5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auto"/>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9AB8E" w14:textId="77777777" w:rsidR="00200C2F" w:rsidRDefault="00200C2F" w:rsidP="00CC63E1">
      <w:pPr>
        <w:spacing w:after="60" w:line="360" w:lineRule="auto"/>
      </w:pPr>
      <w:r>
        <w:separator/>
      </w:r>
    </w:p>
  </w:footnote>
  <w:footnote w:type="continuationSeparator" w:id="0">
    <w:p w14:paraId="6C534C33" w14:textId="77777777" w:rsidR="00200C2F" w:rsidRDefault="00200C2F" w:rsidP="00CC63E1">
      <w:pPr>
        <w:spacing w:after="60" w:line="360" w:lineRule="auto"/>
      </w:pPr>
      <w:r>
        <w:continuationSeparator/>
      </w:r>
    </w:p>
  </w:footnote>
  <w:footnote w:id="1">
    <w:p w14:paraId="69EC9A7C" w14:textId="79E55AA5" w:rsidR="001B067C" w:rsidRPr="008F7775" w:rsidRDefault="001B067C" w:rsidP="000538BA">
      <w:pPr>
        <w:autoSpaceDE w:val="0"/>
        <w:autoSpaceDN w:val="0"/>
        <w:adjustRightInd w:val="0"/>
        <w:spacing w:after="60" w:line="360" w:lineRule="auto"/>
        <w:ind w:left="288" w:hanging="288"/>
        <w:jc w:val="both"/>
        <w:rPr>
          <w:rFonts w:asciiTheme="majorBidi" w:hAnsiTheme="majorBidi" w:cstheme="majorBidi"/>
          <w:sz w:val="22"/>
          <w:szCs w:val="22"/>
        </w:rPr>
      </w:pPr>
      <w:r w:rsidRPr="008F7775">
        <w:rPr>
          <w:rStyle w:val="FootnoteReference"/>
          <w:rFonts w:asciiTheme="majorBidi" w:hAnsiTheme="majorBidi" w:cstheme="majorBidi"/>
          <w:sz w:val="22"/>
          <w:szCs w:val="22"/>
        </w:rPr>
        <w:footnoteRef/>
      </w:r>
      <w:r w:rsidRPr="008F7775">
        <w:rPr>
          <w:rFonts w:asciiTheme="majorBidi" w:hAnsiTheme="majorBidi" w:cstheme="majorBidi"/>
          <w:sz w:val="22"/>
          <w:szCs w:val="22"/>
        </w:rPr>
        <w:t xml:space="preserve"> </w:t>
      </w:r>
      <w:r w:rsidRPr="008F7775">
        <w:rPr>
          <w:rFonts w:asciiTheme="majorBidi" w:hAnsiTheme="majorBidi" w:cstheme="majorBidi"/>
          <w:sz w:val="22"/>
          <w:szCs w:val="22"/>
        </w:rPr>
        <w:tab/>
      </w:r>
      <w:r w:rsidR="00E37A39" w:rsidRPr="008F7775">
        <w:rPr>
          <w:rFonts w:asciiTheme="majorBidi" w:hAnsiTheme="majorBidi" w:cstheme="majorBidi"/>
          <w:sz w:val="22"/>
          <w:szCs w:val="22"/>
        </w:rPr>
        <w:t>As if to take up Patton’s recommendation, l</w:t>
      </w:r>
      <w:r w:rsidRPr="008F7775">
        <w:rPr>
          <w:rFonts w:asciiTheme="majorBidi" w:hAnsiTheme="majorBidi" w:cstheme="majorBidi"/>
          <w:sz w:val="22"/>
          <w:szCs w:val="22"/>
        </w:rPr>
        <w:t>eading re</w:t>
      </w:r>
      <w:r w:rsidR="00E37A39" w:rsidRPr="008F7775">
        <w:rPr>
          <w:rFonts w:asciiTheme="majorBidi" w:hAnsiTheme="majorBidi" w:cstheme="majorBidi"/>
          <w:sz w:val="22"/>
          <w:szCs w:val="22"/>
        </w:rPr>
        <w:t>la</w:t>
      </w:r>
      <w:r w:rsidRPr="008F7775">
        <w:rPr>
          <w:rFonts w:asciiTheme="majorBidi" w:hAnsiTheme="majorBidi" w:cstheme="majorBidi"/>
          <w:sz w:val="22"/>
          <w:szCs w:val="22"/>
        </w:rPr>
        <w:t xml:space="preserve">tional </w:t>
      </w:r>
      <w:r w:rsidR="00F07E47" w:rsidRPr="008F7775">
        <w:rPr>
          <w:rFonts w:asciiTheme="majorBidi" w:hAnsiTheme="majorBidi" w:cstheme="majorBidi"/>
          <w:sz w:val="22"/>
          <w:szCs w:val="22"/>
        </w:rPr>
        <w:t>psychoanalyst</w:t>
      </w:r>
      <w:r w:rsidRPr="008F7775">
        <w:rPr>
          <w:rFonts w:asciiTheme="majorBidi" w:hAnsiTheme="majorBidi" w:cstheme="majorBidi"/>
          <w:sz w:val="22"/>
          <w:szCs w:val="22"/>
        </w:rPr>
        <w:t>, Lewis Aron</w:t>
      </w:r>
      <w:r w:rsidR="00E37A39" w:rsidRPr="008F7775">
        <w:rPr>
          <w:rFonts w:asciiTheme="majorBidi" w:hAnsiTheme="majorBidi" w:cstheme="majorBidi"/>
          <w:sz w:val="22"/>
          <w:szCs w:val="22"/>
        </w:rPr>
        <w:t>’s “</w:t>
      </w:r>
      <w:r w:rsidR="00E37A39" w:rsidRPr="008F7775">
        <w:rPr>
          <w:rFonts w:asciiTheme="majorBidi" w:hAnsiTheme="majorBidi" w:cstheme="majorBidi"/>
          <w:sz w:val="22"/>
          <w:szCs w:val="22"/>
          <w:lang w:bidi="he-IL"/>
        </w:rPr>
        <w:t xml:space="preserve">Beyond Tolerance in Psychoanalytic Communities: Reflexive Skepticism and Critical Pluralism”, </w:t>
      </w:r>
      <w:r w:rsidR="00E37A39" w:rsidRPr="008F7775">
        <w:rPr>
          <w:rFonts w:asciiTheme="majorBidi" w:hAnsiTheme="majorBidi" w:cstheme="majorBidi"/>
          <w:i/>
          <w:iCs/>
          <w:sz w:val="22"/>
          <w:szCs w:val="22"/>
          <w:lang w:bidi="he-IL"/>
        </w:rPr>
        <w:t>Psychoanalytic Perspectives</w:t>
      </w:r>
      <w:r w:rsidR="00E37A39" w:rsidRPr="008F7775">
        <w:rPr>
          <w:rFonts w:asciiTheme="majorBidi" w:hAnsiTheme="majorBidi" w:cstheme="majorBidi"/>
          <w:sz w:val="22"/>
          <w:szCs w:val="22"/>
          <w:lang w:bidi="he-IL"/>
        </w:rPr>
        <w:t>, 14 (2017), pp. 271–282</w:t>
      </w:r>
      <w:r w:rsidRPr="008F7775">
        <w:rPr>
          <w:rFonts w:asciiTheme="majorBidi" w:hAnsiTheme="majorBidi" w:cstheme="majorBidi"/>
          <w:sz w:val="22"/>
          <w:szCs w:val="22"/>
        </w:rPr>
        <w:t xml:space="preserve"> </w:t>
      </w:r>
      <w:r w:rsidR="00FC130B" w:rsidRPr="008F7775">
        <w:rPr>
          <w:rFonts w:asciiTheme="majorBidi" w:hAnsiTheme="majorBidi" w:cstheme="majorBidi"/>
          <w:sz w:val="22"/>
          <w:szCs w:val="22"/>
        </w:rPr>
        <w:t>is the first serious attempt to explore from within the relevance of our work to the field</w:t>
      </w:r>
      <w:r w:rsidR="00E37A39" w:rsidRPr="008F7775">
        <w:rPr>
          <w:rFonts w:asciiTheme="majorBidi" w:hAnsiTheme="majorBidi" w:cstheme="majorBidi"/>
          <w:sz w:val="22"/>
          <w:szCs w:val="22"/>
        </w:rPr>
        <w:t xml:space="preserve">. </w:t>
      </w:r>
      <w:r w:rsidR="00FC130B" w:rsidRPr="008F7775">
        <w:rPr>
          <w:rFonts w:asciiTheme="majorBidi" w:hAnsiTheme="majorBidi" w:cstheme="majorBidi"/>
          <w:sz w:val="22"/>
          <w:szCs w:val="22"/>
        </w:rPr>
        <w:t>Unfortunately, h</w:t>
      </w:r>
      <w:r w:rsidR="00E37A39" w:rsidRPr="008F7775">
        <w:rPr>
          <w:rFonts w:asciiTheme="majorBidi" w:hAnsiTheme="majorBidi" w:cstheme="majorBidi"/>
          <w:sz w:val="22"/>
          <w:szCs w:val="22"/>
        </w:rPr>
        <w:t xml:space="preserve">is untimely death </w:t>
      </w:r>
      <w:r w:rsidR="00FC130B" w:rsidRPr="008F7775">
        <w:rPr>
          <w:rFonts w:asciiTheme="majorBidi" w:hAnsiTheme="majorBidi" w:cstheme="majorBidi"/>
          <w:sz w:val="22"/>
          <w:szCs w:val="22"/>
        </w:rPr>
        <w:t xml:space="preserve">in 2019 </w:t>
      </w:r>
      <w:r w:rsidR="00E37A39" w:rsidRPr="008F7775">
        <w:rPr>
          <w:rFonts w:asciiTheme="majorBidi" w:hAnsiTheme="majorBidi" w:cstheme="majorBidi"/>
          <w:sz w:val="22"/>
          <w:szCs w:val="22"/>
        </w:rPr>
        <w:t xml:space="preserve">brought </w:t>
      </w:r>
      <w:r w:rsidR="00FC130B" w:rsidRPr="008F7775">
        <w:rPr>
          <w:rFonts w:asciiTheme="majorBidi" w:hAnsiTheme="majorBidi" w:cstheme="majorBidi"/>
          <w:sz w:val="22"/>
          <w:szCs w:val="22"/>
        </w:rPr>
        <w:t>our conversation to a premature end.</w:t>
      </w:r>
    </w:p>
  </w:footnote>
  <w:footnote w:id="2">
    <w:p w14:paraId="4A8D7EDA" w14:textId="7B3C0733" w:rsidR="00213061" w:rsidRPr="008F7775" w:rsidRDefault="00213061" w:rsidP="008F7775">
      <w:pPr>
        <w:pStyle w:val="FootnoteText"/>
        <w:spacing w:after="60" w:line="360" w:lineRule="auto"/>
        <w:ind w:left="288" w:hanging="288"/>
        <w:jc w:val="both"/>
        <w:rPr>
          <w:rFonts w:asciiTheme="majorBidi" w:hAnsiTheme="majorBidi" w:cstheme="majorBidi"/>
          <w:sz w:val="22"/>
          <w:szCs w:val="22"/>
        </w:rPr>
      </w:pPr>
      <w:r w:rsidRPr="008F7775">
        <w:rPr>
          <w:rStyle w:val="FootnoteReference"/>
          <w:rFonts w:asciiTheme="majorBidi" w:hAnsiTheme="majorBidi" w:cstheme="majorBidi"/>
          <w:sz w:val="22"/>
          <w:szCs w:val="22"/>
        </w:rPr>
        <w:footnoteRef/>
      </w:r>
      <w:r w:rsidRPr="008F7775">
        <w:rPr>
          <w:rFonts w:asciiTheme="majorBidi" w:hAnsiTheme="majorBidi" w:cstheme="majorBidi"/>
          <w:sz w:val="22"/>
          <w:szCs w:val="22"/>
        </w:rPr>
        <w:t xml:space="preserve"> </w:t>
      </w:r>
      <w:r w:rsidRPr="008F7775">
        <w:rPr>
          <w:rFonts w:asciiTheme="majorBidi" w:hAnsiTheme="majorBidi" w:cstheme="majorBidi"/>
          <w:sz w:val="22"/>
          <w:szCs w:val="22"/>
        </w:rPr>
        <w:tab/>
      </w:r>
      <w:r w:rsidR="00A170ED" w:rsidRPr="008F7775">
        <w:rPr>
          <w:rFonts w:asciiTheme="majorBidi" w:hAnsiTheme="majorBidi" w:cstheme="majorBidi"/>
          <w:sz w:val="22"/>
          <w:szCs w:val="22"/>
        </w:rPr>
        <w:t xml:space="preserve">Our use of “manifest” knowingly echoes Wilfrid Sellar’s classic study of the fundamental incongruity between the manifest and scientific “images of man”: “Philosophy and the Scientific Image of Man”, in R.G. Colodny (ed.) </w:t>
      </w:r>
      <w:r w:rsidR="00A170ED" w:rsidRPr="008F7775">
        <w:rPr>
          <w:rFonts w:asciiTheme="majorBidi" w:hAnsiTheme="majorBidi" w:cstheme="majorBidi"/>
          <w:i/>
          <w:iCs/>
          <w:sz w:val="22"/>
          <w:szCs w:val="22"/>
        </w:rPr>
        <w:t>Frontiers of Science and Philosophy</w:t>
      </w:r>
      <w:r w:rsidR="00A170ED" w:rsidRPr="008F7775">
        <w:rPr>
          <w:rFonts w:asciiTheme="majorBidi" w:hAnsiTheme="majorBidi" w:cstheme="majorBidi"/>
          <w:sz w:val="22"/>
          <w:szCs w:val="22"/>
        </w:rPr>
        <w:t>, Pittsburgh: University of Pittsburgh Press, 1962, pp. 35-78.</w:t>
      </w:r>
    </w:p>
  </w:footnote>
  <w:footnote w:id="3">
    <w:p w14:paraId="6D734E4D" w14:textId="7E4190C7" w:rsidR="00520C27" w:rsidRPr="008F7775" w:rsidRDefault="00520C27" w:rsidP="008F7775">
      <w:pPr>
        <w:pStyle w:val="FootnoteText"/>
        <w:spacing w:after="60" w:line="360" w:lineRule="auto"/>
        <w:ind w:left="288" w:hanging="288"/>
        <w:jc w:val="both"/>
        <w:rPr>
          <w:rFonts w:asciiTheme="majorBidi" w:hAnsiTheme="majorBidi" w:cstheme="majorBidi"/>
          <w:sz w:val="22"/>
          <w:szCs w:val="22"/>
          <w:rtl/>
          <w:lang w:bidi="he-IL"/>
        </w:rPr>
      </w:pPr>
      <w:r w:rsidRPr="008F7775">
        <w:rPr>
          <w:rStyle w:val="FootnoteReference"/>
          <w:rFonts w:asciiTheme="majorBidi" w:hAnsiTheme="majorBidi" w:cstheme="majorBidi"/>
          <w:sz w:val="22"/>
          <w:szCs w:val="22"/>
        </w:rPr>
        <w:footnoteRef/>
      </w:r>
      <w:r w:rsidRPr="008F7775">
        <w:rPr>
          <w:rFonts w:asciiTheme="majorBidi" w:hAnsiTheme="majorBidi" w:cstheme="majorBidi"/>
          <w:sz w:val="22"/>
          <w:szCs w:val="22"/>
        </w:rPr>
        <w:t xml:space="preserve"> </w:t>
      </w:r>
      <w:r w:rsidRPr="008F7775">
        <w:rPr>
          <w:rFonts w:asciiTheme="majorBidi" w:hAnsiTheme="majorBidi" w:cstheme="majorBidi"/>
          <w:sz w:val="22"/>
          <w:szCs w:val="22"/>
        </w:rPr>
        <w:tab/>
        <w:t xml:space="preserve">The definitive work in this regard is Daniel Dennett’s </w:t>
      </w:r>
      <w:r w:rsidRPr="008F7775">
        <w:rPr>
          <w:rFonts w:asciiTheme="majorBidi" w:hAnsiTheme="majorBidi" w:cstheme="majorBidi"/>
          <w:i/>
          <w:iCs/>
          <w:sz w:val="22"/>
          <w:szCs w:val="22"/>
        </w:rPr>
        <w:t>The Intentional Stance</w:t>
      </w:r>
      <w:r w:rsidRPr="008F7775">
        <w:rPr>
          <w:rFonts w:asciiTheme="majorBidi" w:hAnsiTheme="majorBidi" w:cstheme="majorBidi"/>
          <w:sz w:val="22"/>
          <w:szCs w:val="22"/>
        </w:rPr>
        <w:t xml:space="preserve">, </w:t>
      </w:r>
      <w:r w:rsidR="00235868" w:rsidRPr="008F7775">
        <w:rPr>
          <w:rFonts w:asciiTheme="majorBidi" w:hAnsiTheme="majorBidi" w:cstheme="majorBidi"/>
          <w:sz w:val="22"/>
          <w:szCs w:val="22"/>
        </w:rPr>
        <w:t>Cambridge MA: The MI</w:t>
      </w:r>
      <w:r w:rsidR="0043090F" w:rsidRPr="008F7775">
        <w:rPr>
          <w:rFonts w:asciiTheme="majorBidi" w:hAnsiTheme="majorBidi" w:cstheme="majorBidi"/>
          <w:sz w:val="22"/>
          <w:szCs w:val="22"/>
        </w:rPr>
        <w:t>T Press, 1989.</w:t>
      </w:r>
    </w:p>
  </w:footnote>
  <w:footnote w:id="4">
    <w:p w14:paraId="72106E64" w14:textId="77777777" w:rsidR="007200AD" w:rsidRPr="008F7775" w:rsidRDefault="007200AD" w:rsidP="007200AD">
      <w:pPr>
        <w:pStyle w:val="FootnoteText"/>
        <w:spacing w:after="60" w:line="360" w:lineRule="auto"/>
        <w:ind w:left="288" w:hanging="288"/>
        <w:jc w:val="both"/>
        <w:rPr>
          <w:rFonts w:asciiTheme="majorBidi" w:hAnsiTheme="majorBidi" w:cstheme="majorBidi"/>
          <w:sz w:val="22"/>
          <w:szCs w:val="22"/>
        </w:rPr>
      </w:pPr>
      <w:r w:rsidRPr="008F7775">
        <w:rPr>
          <w:rStyle w:val="FootnoteReference"/>
          <w:rFonts w:asciiTheme="majorBidi" w:hAnsiTheme="majorBidi" w:cstheme="majorBidi"/>
          <w:sz w:val="22"/>
          <w:szCs w:val="22"/>
        </w:rPr>
        <w:footnoteRef/>
      </w:r>
      <w:r w:rsidRPr="008F7775">
        <w:rPr>
          <w:rFonts w:asciiTheme="majorBidi" w:hAnsiTheme="majorBidi" w:cstheme="majorBidi"/>
          <w:sz w:val="22"/>
          <w:szCs w:val="22"/>
        </w:rPr>
        <w:t xml:space="preserve"> </w:t>
      </w:r>
      <w:r w:rsidRPr="008F7775">
        <w:rPr>
          <w:rFonts w:asciiTheme="majorBidi" w:hAnsiTheme="majorBidi" w:cstheme="majorBidi"/>
          <w:sz w:val="22"/>
          <w:szCs w:val="22"/>
        </w:rPr>
        <w:tab/>
      </w:r>
      <w:r>
        <w:rPr>
          <w:rFonts w:asciiTheme="majorBidi" w:hAnsiTheme="majorBidi" w:cstheme="majorBidi" w:hint="cs"/>
          <w:sz w:val="22"/>
          <w:szCs w:val="22"/>
        </w:rPr>
        <w:t>S</w:t>
      </w:r>
      <w:r>
        <w:rPr>
          <w:rFonts w:asciiTheme="majorBidi" w:hAnsiTheme="majorBidi" w:cstheme="majorBidi"/>
          <w:sz w:val="22"/>
          <w:szCs w:val="22"/>
          <w:lang w:bidi="he-IL"/>
        </w:rPr>
        <w:t xml:space="preserve">ee for example, </w:t>
      </w:r>
      <w:r w:rsidRPr="008F7775">
        <w:rPr>
          <w:rFonts w:asciiTheme="majorBidi" w:hAnsiTheme="majorBidi" w:cstheme="majorBidi"/>
          <w:sz w:val="22"/>
          <w:szCs w:val="22"/>
        </w:rPr>
        <w:t xml:space="preserve">Sarah Japhet, </w:t>
      </w:r>
      <w:r w:rsidRPr="008F7775">
        <w:rPr>
          <w:rFonts w:asciiTheme="majorBidi" w:hAnsiTheme="majorBidi" w:cstheme="majorBidi"/>
          <w:noProof/>
          <w:sz w:val="22"/>
          <w:szCs w:val="22"/>
        </w:rPr>
        <w:t xml:space="preserve">"The Term </w:t>
      </w:r>
      <w:r w:rsidRPr="008F7775">
        <w:rPr>
          <w:rFonts w:asciiTheme="majorBidi" w:hAnsiTheme="majorBidi" w:cstheme="majorBidi"/>
          <w:i/>
          <w:iCs/>
          <w:noProof/>
          <w:sz w:val="22"/>
          <w:szCs w:val="22"/>
        </w:rPr>
        <w:t>Ger</w:t>
      </w:r>
      <w:r w:rsidRPr="008F7775">
        <w:rPr>
          <w:rFonts w:asciiTheme="majorBidi" w:hAnsiTheme="majorBidi" w:cstheme="majorBidi"/>
          <w:noProof/>
          <w:sz w:val="22"/>
          <w:szCs w:val="22"/>
        </w:rPr>
        <w:t xml:space="preserve"> and the Concept of Conversion in the Hebrew Bible," in T. Dunkelgrün and P. Maciejko (eds.), </w:t>
      </w:r>
      <w:r w:rsidRPr="008F7775">
        <w:rPr>
          <w:rFonts w:asciiTheme="majorBidi" w:hAnsiTheme="majorBidi" w:cstheme="majorBidi"/>
          <w:i/>
          <w:iCs/>
          <w:noProof/>
          <w:sz w:val="22"/>
          <w:szCs w:val="22"/>
        </w:rPr>
        <w:t>Bastards and Believers: Jewish Converts and Conversion from the Bible to the Present</w:t>
      </w:r>
      <w:r w:rsidRPr="008F7775">
        <w:rPr>
          <w:rFonts w:asciiTheme="majorBidi" w:hAnsiTheme="majorBidi" w:cstheme="majorBidi"/>
          <w:noProof/>
          <w:sz w:val="22"/>
          <w:szCs w:val="22"/>
        </w:rPr>
        <w:t>, Philadelphia: University of Pennsylvania Press, 2020, pp. 26-41</w:t>
      </w:r>
    </w:p>
  </w:footnote>
  <w:footnote w:id="5">
    <w:p w14:paraId="64B5B6C6" w14:textId="37FE768A" w:rsidR="00B714C5" w:rsidRPr="008F7775" w:rsidRDefault="00B714C5" w:rsidP="008F7775">
      <w:pPr>
        <w:pStyle w:val="FootnoteText"/>
        <w:spacing w:after="60" w:line="360" w:lineRule="auto"/>
        <w:ind w:left="288" w:hanging="288"/>
        <w:jc w:val="both"/>
        <w:rPr>
          <w:rFonts w:asciiTheme="majorBidi" w:hAnsiTheme="majorBidi" w:cstheme="majorBidi"/>
          <w:sz w:val="22"/>
          <w:szCs w:val="22"/>
        </w:rPr>
      </w:pPr>
      <w:r w:rsidRPr="008F7775">
        <w:rPr>
          <w:rStyle w:val="FootnoteReference"/>
          <w:rFonts w:asciiTheme="majorBidi" w:hAnsiTheme="majorBidi" w:cstheme="majorBidi"/>
          <w:sz w:val="22"/>
          <w:szCs w:val="22"/>
        </w:rPr>
        <w:footnoteRef/>
      </w:r>
      <w:r w:rsidRPr="008F7775">
        <w:rPr>
          <w:rFonts w:asciiTheme="majorBidi" w:hAnsiTheme="majorBidi" w:cstheme="majorBidi"/>
          <w:sz w:val="22"/>
          <w:szCs w:val="22"/>
        </w:rPr>
        <w:t xml:space="preserve"> </w:t>
      </w:r>
      <w:r w:rsidRPr="008F7775">
        <w:rPr>
          <w:rFonts w:asciiTheme="majorBidi" w:hAnsiTheme="majorBidi" w:cstheme="majorBidi"/>
          <w:sz w:val="22"/>
          <w:szCs w:val="22"/>
        </w:rPr>
        <w:tab/>
        <w:t xml:space="preserve">Martha C. Nussbaum, </w:t>
      </w:r>
      <w:r w:rsidRPr="008F7775">
        <w:rPr>
          <w:rFonts w:asciiTheme="majorBidi" w:hAnsiTheme="majorBidi" w:cstheme="majorBidi"/>
          <w:i/>
          <w:iCs/>
          <w:sz w:val="22"/>
          <w:szCs w:val="22"/>
        </w:rPr>
        <w:t xml:space="preserve">Political Emotions: Why Love Matters </w:t>
      </w:r>
      <w:r w:rsidR="00CB402B" w:rsidRPr="008F7775">
        <w:rPr>
          <w:rFonts w:asciiTheme="majorBidi" w:hAnsiTheme="majorBidi" w:cstheme="majorBidi"/>
          <w:i/>
          <w:iCs/>
          <w:sz w:val="22"/>
          <w:szCs w:val="22"/>
        </w:rPr>
        <w:t>t</w:t>
      </w:r>
      <w:r w:rsidRPr="008F7775">
        <w:rPr>
          <w:rFonts w:asciiTheme="majorBidi" w:hAnsiTheme="majorBidi" w:cstheme="majorBidi"/>
          <w:i/>
          <w:iCs/>
          <w:sz w:val="22"/>
          <w:szCs w:val="22"/>
        </w:rPr>
        <w:t>o Justice</w:t>
      </w:r>
      <w:r w:rsidRPr="008F7775">
        <w:rPr>
          <w:rFonts w:asciiTheme="majorBidi" w:hAnsiTheme="majorBidi" w:cstheme="majorBidi"/>
          <w:sz w:val="22"/>
          <w:szCs w:val="22"/>
        </w:rPr>
        <w:t>, Cambrid</w:t>
      </w:r>
      <w:r w:rsidR="00D76B3F" w:rsidRPr="008F7775">
        <w:rPr>
          <w:rFonts w:asciiTheme="majorBidi" w:hAnsiTheme="majorBidi" w:cstheme="majorBidi"/>
          <w:sz w:val="22"/>
          <w:szCs w:val="22"/>
          <w:lang w:bidi="he-IL"/>
        </w:rPr>
        <w:t>g</w:t>
      </w:r>
      <w:r w:rsidRPr="008F7775">
        <w:rPr>
          <w:rFonts w:asciiTheme="majorBidi" w:hAnsiTheme="majorBidi" w:cstheme="majorBidi"/>
          <w:sz w:val="22"/>
          <w:szCs w:val="22"/>
        </w:rPr>
        <w:t>e MA: Harvard University Press, 2013.</w:t>
      </w:r>
      <w:r w:rsidR="00D76B3F" w:rsidRPr="008F7775">
        <w:rPr>
          <w:rFonts w:asciiTheme="majorBidi" w:hAnsiTheme="majorBidi" w:cstheme="majorBidi"/>
          <w:sz w:val="22"/>
          <w:szCs w:val="22"/>
        </w:rPr>
        <w:t xml:space="preserve"> For an </w:t>
      </w:r>
      <w:r w:rsidR="000538BA" w:rsidRPr="008F7775">
        <w:rPr>
          <w:rFonts w:asciiTheme="majorBidi" w:hAnsiTheme="majorBidi" w:cstheme="majorBidi"/>
          <w:sz w:val="22"/>
          <w:szCs w:val="22"/>
        </w:rPr>
        <w:t>appraisal</w:t>
      </w:r>
      <w:r w:rsidR="00D76B3F" w:rsidRPr="008F7775">
        <w:rPr>
          <w:rFonts w:asciiTheme="majorBidi" w:hAnsiTheme="majorBidi" w:cstheme="majorBidi"/>
          <w:sz w:val="22"/>
          <w:szCs w:val="22"/>
        </w:rPr>
        <w:t xml:space="preserve"> and critique of her approach see Menachem Fisch, </w:t>
      </w:r>
      <w:r w:rsidR="00D76B3F" w:rsidRPr="008F7775">
        <w:rPr>
          <w:rFonts w:asciiTheme="majorBidi" w:hAnsiTheme="majorBidi" w:cstheme="majorBidi"/>
          <w:color w:val="000000" w:themeColor="text1"/>
          <w:sz w:val="22"/>
          <w:szCs w:val="22"/>
        </w:rPr>
        <w:t xml:space="preserve">“Epistemic Humility, or What Political Theory can Learn from Talmudic Judaism”, </w:t>
      </w:r>
      <w:r w:rsidR="00D76B3F" w:rsidRPr="008F7775">
        <w:rPr>
          <w:rFonts w:asciiTheme="majorBidi" w:hAnsiTheme="majorBidi" w:cstheme="majorBidi"/>
          <w:color w:val="000000" w:themeColor="text1"/>
          <w:sz w:val="22"/>
          <w:szCs w:val="22"/>
          <w:shd w:val="clear" w:color="auto" w:fill="FFFFFF"/>
        </w:rPr>
        <w:t>in H. Schulz, M. Fritz and R. Barth (eds</w:t>
      </w:r>
      <w:r w:rsidR="000538BA">
        <w:rPr>
          <w:rFonts w:asciiTheme="majorBidi" w:hAnsiTheme="majorBidi" w:cstheme="majorBidi"/>
          <w:color w:val="000000" w:themeColor="text1"/>
          <w:sz w:val="22"/>
          <w:szCs w:val="22"/>
          <w:shd w:val="clear" w:color="auto" w:fill="FFFFFF"/>
        </w:rPr>
        <w:t>.</w:t>
      </w:r>
      <w:r w:rsidR="00D76B3F" w:rsidRPr="008F7775">
        <w:rPr>
          <w:rFonts w:asciiTheme="majorBidi" w:hAnsiTheme="majorBidi" w:cstheme="majorBidi"/>
          <w:color w:val="000000" w:themeColor="text1"/>
          <w:sz w:val="22"/>
          <w:szCs w:val="22"/>
          <w:shd w:val="clear" w:color="auto" w:fill="FFFFFF"/>
        </w:rPr>
        <w:t xml:space="preserve">), </w:t>
      </w:r>
      <w:r w:rsidR="00D76B3F" w:rsidRPr="008F7775">
        <w:rPr>
          <w:rFonts w:asciiTheme="majorBidi" w:hAnsiTheme="majorBidi" w:cstheme="majorBidi"/>
          <w:i/>
          <w:iCs/>
          <w:color w:val="000000" w:themeColor="text1"/>
          <w:sz w:val="22"/>
          <w:szCs w:val="22"/>
          <w:shd w:val="clear" w:color="auto" w:fill="FFFFFF"/>
        </w:rPr>
        <w:t>Stolz und Demut. Zur emotionalen Ambivalenz religiöser Positionierungen</w:t>
      </w:r>
      <w:r w:rsidR="00D76B3F" w:rsidRPr="008F7775">
        <w:rPr>
          <w:rFonts w:asciiTheme="majorBidi" w:hAnsiTheme="majorBidi" w:cstheme="majorBidi"/>
          <w:color w:val="000000" w:themeColor="text1"/>
          <w:sz w:val="22"/>
          <w:szCs w:val="22"/>
          <w:shd w:val="clear" w:color="auto" w:fill="FFFFFF"/>
        </w:rPr>
        <w:t xml:space="preserve">, </w:t>
      </w:r>
      <w:r w:rsidR="00D76B3F" w:rsidRPr="008F7775">
        <w:rPr>
          <w:rFonts w:asciiTheme="majorBidi" w:hAnsiTheme="majorBidi" w:cstheme="majorBidi"/>
          <w:color w:val="000000"/>
          <w:sz w:val="22"/>
          <w:szCs w:val="22"/>
        </w:rPr>
        <w:t>Tübingen</w:t>
      </w:r>
      <w:r w:rsidR="00D76B3F" w:rsidRPr="008F7775">
        <w:rPr>
          <w:rFonts w:asciiTheme="majorBidi" w:hAnsiTheme="majorBidi" w:cstheme="majorBidi"/>
          <w:color w:val="000000" w:themeColor="text1"/>
          <w:sz w:val="22"/>
          <w:szCs w:val="22"/>
          <w:shd w:val="clear" w:color="auto" w:fill="FFFFFF"/>
        </w:rPr>
        <w:t>: Mohr Siebeck</w:t>
      </w:r>
      <w:bookmarkStart w:id="0" w:name="_GoBack"/>
      <w:bookmarkEnd w:id="0"/>
      <w:r w:rsidR="00D76B3F" w:rsidRPr="008F7775">
        <w:rPr>
          <w:rFonts w:asciiTheme="majorBidi" w:hAnsiTheme="majorBidi" w:cstheme="majorBidi"/>
          <w:color w:val="000000" w:themeColor="text1"/>
          <w:sz w:val="22"/>
          <w:szCs w:val="22"/>
          <w:shd w:val="clear" w:color="auto" w:fill="FFFFFF"/>
        </w:rPr>
        <w:t>, (forthcoming) 2020</w:t>
      </w:r>
    </w:p>
  </w:footnote>
  <w:footnote w:id="6">
    <w:p w14:paraId="0D1D06B8" w14:textId="1819B3B7" w:rsidR="005B57CE" w:rsidRPr="008F7775" w:rsidRDefault="005B57CE" w:rsidP="008F7775">
      <w:pPr>
        <w:pStyle w:val="FootnoteText"/>
        <w:spacing w:after="60" w:line="360" w:lineRule="auto"/>
        <w:ind w:left="288" w:hanging="288"/>
        <w:jc w:val="both"/>
        <w:rPr>
          <w:rFonts w:asciiTheme="majorBidi" w:hAnsiTheme="majorBidi" w:cstheme="majorBidi"/>
          <w:sz w:val="22"/>
          <w:szCs w:val="22"/>
        </w:rPr>
      </w:pPr>
      <w:r w:rsidRPr="008F7775">
        <w:rPr>
          <w:rStyle w:val="FootnoteReference"/>
          <w:rFonts w:asciiTheme="majorBidi" w:hAnsiTheme="majorBidi" w:cstheme="majorBidi"/>
          <w:sz w:val="22"/>
          <w:szCs w:val="22"/>
        </w:rPr>
        <w:footnoteRef/>
      </w:r>
      <w:r w:rsidRPr="008F7775">
        <w:rPr>
          <w:rFonts w:asciiTheme="majorBidi" w:hAnsiTheme="majorBidi" w:cstheme="majorBidi"/>
          <w:sz w:val="22"/>
          <w:szCs w:val="22"/>
        </w:rPr>
        <w:t xml:space="preserve"> </w:t>
      </w:r>
      <w:r w:rsidRPr="008F7775">
        <w:rPr>
          <w:rFonts w:asciiTheme="majorBidi" w:hAnsiTheme="majorBidi" w:cstheme="majorBidi"/>
          <w:sz w:val="22"/>
          <w:szCs w:val="22"/>
        </w:rPr>
        <w:tab/>
        <w:t xml:space="preserve">Nussbaum, </w:t>
      </w:r>
      <w:r w:rsidRPr="008F7775">
        <w:rPr>
          <w:rFonts w:asciiTheme="majorBidi" w:hAnsiTheme="majorBidi" w:cstheme="majorBidi"/>
          <w:i/>
          <w:iCs/>
          <w:sz w:val="22"/>
          <w:szCs w:val="22"/>
        </w:rPr>
        <w:t>Political; Emotions</w:t>
      </w:r>
      <w:r w:rsidRPr="008F7775">
        <w:rPr>
          <w:rFonts w:asciiTheme="majorBidi" w:hAnsiTheme="majorBidi" w:cstheme="majorBidi"/>
          <w:sz w:val="22"/>
          <w:szCs w:val="22"/>
        </w:rPr>
        <w:t>, p.388.</w:t>
      </w:r>
    </w:p>
  </w:footnote>
  <w:footnote w:id="7">
    <w:p w14:paraId="5D939022" w14:textId="1EFA5C20" w:rsidR="001C187D" w:rsidRPr="008F7775" w:rsidRDefault="001C187D" w:rsidP="008F7775">
      <w:pPr>
        <w:pStyle w:val="FootnoteText"/>
        <w:spacing w:after="60" w:line="360" w:lineRule="auto"/>
        <w:ind w:left="288" w:hanging="288"/>
        <w:jc w:val="both"/>
        <w:rPr>
          <w:rFonts w:asciiTheme="majorBidi" w:hAnsiTheme="majorBidi" w:cstheme="majorBidi"/>
          <w:sz w:val="22"/>
          <w:szCs w:val="22"/>
        </w:rPr>
      </w:pPr>
      <w:r w:rsidRPr="008F7775">
        <w:rPr>
          <w:rStyle w:val="FootnoteReference"/>
          <w:rFonts w:asciiTheme="majorBidi" w:hAnsiTheme="majorBidi" w:cstheme="majorBidi"/>
          <w:sz w:val="22"/>
          <w:szCs w:val="22"/>
        </w:rPr>
        <w:footnoteRef/>
      </w:r>
      <w:r w:rsidRPr="008F7775">
        <w:rPr>
          <w:rFonts w:asciiTheme="majorBidi" w:hAnsiTheme="majorBidi" w:cstheme="majorBidi"/>
          <w:sz w:val="22"/>
          <w:szCs w:val="22"/>
        </w:rPr>
        <w:t xml:space="preserve"> </w:t>
      </w:r>
      <w:r w:rsidRPr="008F7775">
        <w:rPr>
          <w:rFonts w:asciiTheme="majorBidi" w:hAnsiTheme="majorBidi" w:cstheme="majorBidi"/>
          <w:sz w:val="22"/>
          <w:szCs w:val="22"/>
        </w:rPr>
        <w:tab/>
      </w:r>
      <w:r w:rsidR="00090ECD" w:rsidRPr="008F7775">
        <w:rPr>
          <w:rFonts w:asciiTheme="majorBidi" w:hAnsiTheme="majorBidi" w:cstheme="majorBidi"/>
          <w:sz w:val="22"/>
          <w:szCs w:val="22"/>
        </w:rPr>
        <w:t>The</w:t>
      </w:r>
      <w:r w:rsidRPr="008F7775">
        <w:rPr>
          <w:rFonts w:asciiTheme="majorBidi" w:hAnsiTheme="majorBidi" w:cstheme="majorBidi"/>
          <w:sz w:val="22"/>
          <w:szCs w:val="22"/>
        </w:rPr>
        <w:t xml:space="preserve"> insightful portrayal</w:t>
      </w:r>
      <w:r w:rsidR="00090ECD" w:rsidRPr="008F7775">
        <w:rPr>
          <w:rFonts w:asciiTheme="majorBidi" w:hAnsiTheme="majorBidi" w:cstheme="majorBidi"/>
          <w:sz w:val="22"/>
          <w:szCs w:val="22"/>
        </w:rPr>
        <w:t xml:space="preserve"> of gentile God-worshippers</w:t>
      </w:r>
      <w:r w:rsidRPr="008F7775">
        <w:rPr>
          <w:rFonts w:asciiTheme="majorBidi" w:hAnsiTheme="majorBidi" w:cstheme="majorBidi"/>
          <w:sz w:val="22"/>
          <w:szCs w:val="22"/>
        </w:rPr>
        <w:t xml:space="preserve"> </w:t>
      </w:r>
      <w:r w:rsidR="00090ECD" w:rsidRPr="008F7775">
        <w:rPr>
          <w:rFonts w:asciiTheme="majorBidi" w:hAnsiTheme="majorBidi" w:cstheme="majorBidi"/>
          <w:sz w:val="22"/>
          <w:szCs w:val="22"/>
        </w:rPr>
        <w:t>in 2Kings 17</w:t>
      </w:r>
      <w:r w:rsidRPr="008F7775">
        <w:rPr>
          <w:rFonts w:asciiTheme="majorBidi" w:hAnsiTheme="majorBidi" w:cstheme="majorBidi"/>
          <w:sz w:val="22"/>
          <w:szCs w:val="22"/>
        </w:rPr>
        <w:t xml:space="preserve"> </w:t>
      </w:r>
      <w:r w:rsidR="00090ECD" w:rsidRPr="008F7775">
        <w:rPr>
          <w:rFonts w:asciiTheme="majorBidi" w:hAnsiTheme="majorBidi" w:cstheme="majorBidi"/>
          <w:sz w:val="22"/>
          <w:szCs w:val="22"/>
        </w:rPr>
        <w:t>describes them as remaining</w:t>
      </w:r>
      <w:r w:rsidRPr="008F7775">
        <w:rPr>
          <w:rFonts w:asciiTheme="majorBidi" w:hAnsiTheme="majorBidi" w:cstheme="majorBidi"/>
          <w:sz w:val="22"/>
          <w:szCs w:val="22"/>
        </w:rPr>
        <w:t xml:space="preserve"> understandably faithful also to “the Gods of their </w:t>
      </w:r>
      <w:r w:rsidR="00090ECD" w:rsidRPr="008F7775">
        <w:rPr>
          <w:rFonts w:asciiTheme="majorBidi" w:hAnsiTheme="majorBidi" w:cstheme="majorBidi"/>
          <w:sz w:val="22"/>
          <w:szCs w:val="22"/>
        </w:rPr>
        <w:t>ancestors”.</w:t>
      </w:r>
    </w:p>
  </w:footnote>
  <w:footnote w:id="8">
    <w:p w14:paraId="290369E1" w14:textId="638698C4" w:rsidR="00320A39" w:rsidRPr="008F7775" w:rsidRDefault="00320A39" w:rsidP="008F7775">
      <w:pPr>
        <w:pStyle w:val="FootnoteText"/>
        <w:adjustRightInd w:val="0"/>
        <w:snapToGrid w:val="0"/>
        <w:spacing w:after="60" w:line="360" w:lineRule="auto"/>
        <w:ind w:left="288" w:hanging="288"/>
        <w:jc w:val="both"/>
        <w:rPr>
          <w:rFonts w:asciiTheme="majorBidi" w:hAnsiTheme="majorBidi" w:cstheme="majorBidi"/>
          <w:color w:val="000000" w:themeColor="text1"/>
          <w:sz w:val="22"/>
          <w:szCs w:val="22"/>
        </w:rPr>
      </w:pPr>
      <w:r w:rsidRPr="008F7775">
        <w:rPr>
          <w:rStyle w:val="FootnoteReference"/>
          <w:rFonts w:asciiTheme="majorBidi" w:hAnsiTheme="majorBidi" w:cstheme="majorBidi"/>
          <w:color w:val="000000" w:themeColor="text1"/>
          <w:sz w:val="22"/>
          <w:szCs w:val="22"/>
        </w:rPr>
        <w:footnoteRef/>
      </w:r>
      <w:r w:rsidRPr="008F7775">
        <w:rPr>
          <w:rFonts w:asciiTheme="majorBidi" w:hAnsiTheme="majorBidi" w:cstheme="majorBidi"/>
          <w:color w:val="000000" w:themeColor="text1"/>
          <w:sz w:val="22"/>
          <w:szCs w:val="22"/>
        </w:rPr>
        <w:tab/>
        <w:t xml:space="preserve">And yet, the fact that the princess’s palace was to function as an Egyptian temple is </w:t>
      </w:r>
      <w:r w:rsidR="003D7D34" w:rsidRPr="008F7775">
        <w:rPr>
          <w:rFonts w:asciiTheme="majorBidi" w:hAnsiTheme="majorBidi" w:cstheme="majorBidi"/>
          <w:color w:val="000000" w:themeColor="text1"/>
          <w:sz w:val="22"/>
          <w:szCs w:val="22"/>
        </w:rPr>
        <w:t>strongly implied</w:t>
      </w:r>
      <w:r w:rsidRPr="008F7775">
        <w:rPr>
          <w:rFonts w:asciiTheme="majorBidi" w:hAnsiTheme="majorBidi" w:cstheme="majorBidi"/>
          <w:color w:val="000000" w:themeColor="text1"/>
          <w:sz w:val="22"/>
          <w:szCs w:val="22"/>
        </w:rPr>
        <w:t xml:space="preserve"> by the second part of the verse: “</w:t>
      </w:r>
      <w:r w:rsidRPr="008F7775">
        <w:rPr>
          <w:rFonts w:asciiTheme="majorBidi" w:hAnsiTheme="majorBidi" w:cstheme="majorBidi"/>
          <w:color w:val="000000" w:themeColor="text1"/>
          <w:sz w:val="22"/>
          <w:szCs w:val="22"/>
          <w:shd w:val="clear" w:color="auto" w:fill="FFFFFF"/>
        </w:rPr>
        <w:t xml:space="preserve">And Solomon became allied by marriage with Pharaoh king of Egypt, and took Pharaoh’s daughter, and brought her into the city of David, </w:t>
      </w:r>
      <w:r w:rsidRPr="008F7775">
        <w:rPr>
          <w:rFonts w:asciiTheme="majorBidi" w:hAnsiTheme="majorBidi" w:cstheme="majorBidi"/>
          <w:i/>
          <w:color w:val="000000" w:themeColor="text1"/>
          <w:sz w:val="22"/>
          <w:szCs w:val="22"/>
          <w:shd w:val="clear" w:color="auto" w:fill="FFFFFF"/>
        </w:rPr>
        <w:t xml:space="preserve">until he had made an end of building his own house, and the house of the </w:t>
      </w:r>
      <w:r w:rsidRPr="008F7775">
        <w:rPr>
          <w:rStyle w:val="small-caps"/>
          <w:rFonts w:asciiTheme="majorBidi" w:hAnsiTheme="majorBidi" w:cstheme="majorBidi"/>
          <w:i/>
          <w:smallCaps/>
          <w:color w:val="000000" w:themeColor="text1"/>
          <w:sz w:val="22"/>
          <w:szCs w:val="22"/>
          <w:shd w:val="clear" w:color="auto" w:fill="FFFFFF"/>
        </w:rPr>
        <w:t>Lord</w:t>
      </w:r>
      <w:r w:rsidRPr="008F7775">
        <w:rPr>
          <w:rFonts w:asciiTheme="majorBidi" w:hAnsiTheme="majorBidi" w:cstheme="majorBidi"/>
          <w:i/>
          <w:color w:val="000000" w:themeColor="text1"/>
          <w:sz w:val="22"/>
          <w:szCs w:val="22"/>
          <w:shd w:val="clear" w:color="auto" w:fill="FFFFFF"/>
        </w:rPr>
        <w:t>, and the wall of Jerusalem round about</w:t>
      </w:r>
      <w:r w:rsidRPr="008F7775">
        <w:rPr>
          <w:rFonts w:asciiTheme="majorBidi" w:hAnsiTheme="majorBidi" w:cstheme="majorBidi"/>
          <w:color w:val="000000" w:themeColor="text1"/>
          <w:sz w:val="22"/>
          <w:szCs w:val="22"/>
          <w:shd w:val="clear" w:color="auto" w:fill="FFFFFF"/>
        </w:rPr>
        <w:t>” (3:1). There would have been no reason for her place of residence to be moved outside the city walls once the Temple was built and functioning, and the boundaries of the city set, unless there was something religiously objectionable about it. The verse clearly implies that Solomon was aware of this from the start.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75DB5" w14:textId="77777777" w:rsidR="007F74AD" w:rsidRDefault="007F74AD" w:rsidP="00EA0AA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29E588" w14:textId="77777777" w:rsidR="007F74AD" w:rsidRDefault="007F74AD" w:rsidP="00EA0AAA">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BC97E" w14:textId="58C1C321" w:rsidR="007F74AD" w:rsidRPr="001D6862" w:rsidRDefault="007F74AD" w:rsidP="001D6862">
    <w:pPr>
      <w:pStyle w:val="Header"/>
      <w:framePr w:wrap="around" w:vAnchor="text" w:hAnchor="page" w:x="10092" w:y="1"/>
      <w:rPr>
        <w:rStyle w:val="PageNumber"/>
        <w:sz w:val="18"/>
        <w:szCs w:val="18"/>
      </w:rPr>
    </w:pPr>
    <w:r w:rsidRPr="001D6862">
      <w:rPr>
        <w:rStyle w:val="PageNumber"/>
        <w:sz w:val="18"/>
        <w:szCs w:val="18"/>
      </w:rPr>
      <w:fldChar w:fldCharType="begin"/>
    </w:r>
    <w:r w:rsidRPr="001D6862">
      <w:rPr>
        <w:rStyle w:val="PageNumber"/>
        <w:sz w:val="18"/>
        <w:szCs w:val="18"/>
      </w:rPr>
      <w:instrText xml:space="preserve">PAGE  </w:instrText>
    </w:r>
    <w:r w:rsidRPr="001D6862">
      <w:rPr>
        <w:rStyle w:val="PageNumber"/>
        <w:sz w:val="18"/>
        <w:szCs w:val="18"/>
      </w:rPr>
      <w:fldChar w:fldCharType="separate"/>
    </w:r>
    <w:r w:rsidR="000538BA">
      <w:rPr>
        <w:rStyle w:val="PageNumber"/>
        <w:noProof/>
        <w:sz w:val="18"/>
        <w:szCs w:val="18"/>
      </w:rPr>
      <w:t>7</w:t>
    </w:r>
    <w:r w:rsidRPr="001D6862">
      <w:rPr>
        <w:rStyle w:val="PageNumber"/>
        <w:sz w:val="18"/>
        <w:szCs w:val="18"/>
      </w:rPr>
      <w:fldChar w:fldCharType="end"/>
    </w:r>
  </w:p>
  <w:p w14:paraId="1507CE8E" w14:textId="77777777" w:rsidR="007F74AD" w:rsidRDefault="007F74AD" w:rsidP="00EA0AAA">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D24"/>
    <w:rsid w:val="00000485"/>
    <w:rsid w:val="00001D2E"/>
    <w:rsid w:val="000031B2"/>
    <w:rsid w:val="00003EF4"/>
    <w:rsid w:val="000050DF"/>
    <w:rsid w:val="000140EC"/>
    <w:rsid w:val="00014E05"/>
    <w:rsid w:val="00023BF4"/>
    <w:rsid w:val="00026903"/>
    <w:rsid w:val="0003093A"/>
    <w:rsid w:val="00030CE3"/>
    <w:rsid w:val="00032A58"/>
    <w:rsid w:val="0003461C"/>
    <w:rsid w:val="00046B81"/>
    <w:rsid w:val="00053372"/>
    <w:rsid w:val="000538BA"/>
    <w:rsid w:val="00054F91"/>
    <w:rsid w:val="00067EEB"/>
    <w:rsid w:val="00070D3C"/>
    <w:rsid w:val="00073F15"/>
    <w:rsid w:val="0008162D"/>
    <w:rsid w:val="00084821"/>
    <w:rsid w:val="00085CD9"/>
    <w:rsid w:val="00090ECD"/>
    <w:rsid w:val="00091204"/>
    <w:rsid w:val="0009170A"/>
    <w:rsid w:val="00095DAE"/>
    <w:rsid w:val="00096F75"/>
    <w:rsid w:val="00097E3F"/>
    <w:rsid w:val="000A6D1D"/>
    <w:rsid w:val="000B10E1"/>
    <w:rsid w:val="000B1123"/>
    <w:rsid w:val="000B6008"/>
    <w:rsid w:val="000B7851"/>
    <w:rsid w:val="000D3A23"/>
    <w:rsid w:val="000D5EC1"/>
    <w:rsid w:val="000D6A14"/>
    <w:rsid w:val="000E2F37"/>
    <w:rsid w:val="000E3DCF"/>
    <w:rsid w:val="000F6C7B"/>
    <w:rsid w:val="00103108"/>
    <w:rsid w:val="001059AA"/>
    <w:rsid w:val="0010773F"/>
    <w:rsid w:val="00107B49"/>
    <w:rsid w:val="00110FDA"/>
    <w:rsid w:val="00111FC4"/>
    <w:rsid w:val="00121A54"/>
    <w:rsid w:val="0012299A"/>
    <w:rsid w:val="00123838"/>
    <w:rsid w:val="00124C2A"/>
    <w:rsid w:val="00127268"/>
    <w:rsid w:val="00131A31"/>
    <w:rsid w:val="00132E2D"/>
    <w:rsid w:val="001330AB"/>
    <w:rsid w:val="00140AAA"/>
    <w:rsid w:val="0014633C"/>
    <w:rsid w:val="00147C1E"/>
    <w:rsid w:val="0015177D"/>
    <w:rsid w:val="0015789C"/>
    <w:rsid w:val="00166F28"/>
    <w:rsid w:val="00171F94"/>
    <w:rsid w:val="00173545"/>
    <w:rsid w:val="00173A5E"/>
    <w:rsid w:val="00175B16"/>
    <w:rsid w:val="00180120"/>
    <w:rsid w:val="001872B2"/>
    <w:rsid w:val="001A1761"/>
    <w:rsid w:val="001B067C"/>
    <w:rsid w:val="001B3EAC"/>
    <w:rsid w:val="001B60A3"/>
    <w:rsid w:val="001B6FEE"/>
    <w:rsid w:val="001C1119"/>
    <w:rsid w:val="001C187D"/>
    <w:rsid w:val="001C2991"/>
    <w:rsid w:val="001D0171"/>
    <w:rsid w:val="001D1566"/>
    <w:rsid w:val="001D49F4"/>
    <w:rsid w:val="001D622D"/>
    <w:rsid w:val="001D6862"/>
    <w:rsid w:val="001D7038"/>
    <w:rsid w:val="001E0DB7"/>
    <w:rsid w:val="001E4F35"/>
    <w:rsid w:val="001F39D3"/>
    <w:rsid w:val="00200C2F"/>
    <w:rsid w:val="00203CEA"/>
    <w:rsid w:val="00207236"/>
    <w:rsid w:val="00212530"/>
    <w:rsid w:val="00213061"/>
    <w:rsid w:val="00215A9A"/>
    <w:rsid w:val="00225FA8"/>
    <w:rsid w:val="002314F0"/>
    <w:rsid w:val="0023173C"/>
    <w:rsid w:val="00232D29"/>
    <w:rsid w:val="002340DD"/>
    <w:rsid w:val="00235548"/>
    <w:rsid w:val="00235868"/>
    <w:rsid w:val="00240ABC"/>
    <w:rsid w:val="002451E5"/>
    <w:rsid w:val="002457F1"/>
    <w:rsid w:val="00251CF2"/>
    <w:rsid w:val="0025457C"/>
    <w:rsid w:val="0027285A"/>
    <w:rsid w:val="002775AE"/>
    <w:rsid w:val="0028395F"/>
    <w:rsid w:val="00290CE3"/>
    <w:rsid w:val="0029480F"/>
    <w:rsid w:val="002A0AC1"/>
    <w:rsid w:val="002A1DF9"/>
    <w:rsid w:val="002B0CCC"/>
    <w:rsid w:val="002B35A7"/>
    <w:rsid w:val="002B35F5"/>
    <w:rsid w:val="002B74FE"/>
    <w:rsid w:val="002C120A"/>
    <w:rsid w:val="002D20E4"/>
    <w:rsid w:val="002E15AD"/>
    <w:rsid w:val="002F6F50"/>
    <w:rsid w:val="003015B3"/>
    <w:rsid w:val="00305202"/>
    <w:rsid w:val="0030524E"/>
    <w:rsid w:val="00305813"/>
    <w:rsid w:val="00305940"/>
    <w:rsid w:val="00320A39"/>
    <w:rsid w:val="003256E1"/>
    <w:rsid w:val="00336544"/>
    <w:rsid w:val="0033669C"/>
    <w:rsid w:val="00343346"/>
    <w:rsid w:val="00343A42"/>
    <w:rsid w:val="0035190C"/>
    <w:rsid w:val="0035226F"/>
    <w:rsid w:val="00355242"/>
    <w:rsid w:val="00355F54"/>
    <w:rsid w:val="003569B0"/>
    <w:rsid w:val="00360ECC"/>
    <w:rsid w:val="003633B7"/>
    <w:rsid w:val="00363B69"/>
    <w:rsid w:val="00364A17"/>
    <w:rsid w:val="00365ECE"/>
    <w:rsid w:val="00366141"/>
    <w:rsid w:val="00367849"/>
    <w:rsid w:val="00370B97"/>
    <w:rsid w:val="00382E2A"/>
    <w:rsid w:val="0038538E"/>
    <w:rsid w:val="00385488"/>
    <w:rsid w:val="003862F4"/>
    <w:rsid w:val="003A0801"/>
    <w:rsid w:val="003A201D"/>
    <w:rsid w:val="003A6844"/>
    <w:rsid w:val="003A697B"/>
    <w:rsid w:val="003B34B4"/>
    <w:rsid w:val="003B4A30"/>
    <w:rsid w:val="003B7C01"/>
    <w:rsid w:val="003C21BC"/>
    <w:rsid w:val="003D2B94"/>
    <w:rsid w:val="003D3400"/>
    <w:rsid w:val="003D65A1"/>
    <w:rsid w:val="003D6F06"/>
    <w:rsid w:val="003D7D34"/>
    <w:rsid w:val="003E3AAD"/>
    <w:rsid w:val="003E6F1E"/>
    <w:rsid w:val="003F0CAF"/>
    <w:rsid w:val="003F560D"/>
    <w:rsid w:val="003F736D"/>
    <w:rsid w:val="0040074B"/>
    <w:rsid w:val="00404366"/>
    <w:rsid w:val="004045D3"/>
    <w:rsid w:val="00405790"/>
    <w:rsid w:val="00413C6F"/>
    <w:rsid w:val="004202E7"/>
    <w:rsid w:val="0042603B"/>
    <w:rsid w:val="004277C6"/>
    <w:rsid w:val="0043090F"/>
    <w:rsid w:val="0043129B"/>
    <w:rsid w:val="004342C8"/>
    <w:rsid w:val="00437645"/>
    <w:rsid w:val="00441386"/>
    <w:rsid w:val="00444041"/>
    <w:rsid w:val="00447E0F"/>
    <w:rsid w:val="004508D8"/>
    <w:rsid w:val="00455E1A"/>
    <w:rsid w:val="00464DE5"/>
    <w:rsid w:val="00471D9B"/>
    <w:rsid w:val="00474B13"/>
    <w:rsid w:val="004804F9"/>
    <w:rsid w:val="00487D6C"/>
    <w:rsid w:val="0049592D"/>
    <w:rsid w:val="004971FA"/>
    <w:rsid w:val="004A0793"/>
    <w:rsid w:val="004A3BB2"/>
    <w:rsid w:val="004A5466"/>
    <w:rsid w:val="004B03DC"/>
    <w:rsid w:val="004B7ED7"/>
    <w:rsid w:val="004C27D4"/>
    <w:rsid w:val="004C3C61"/>
    <w:rsid w:val="004C538C"/>
    <w:rsid w:val="004C6E38"/>
    <w:rsid w:val="004D0171"/>
    <w:rsid w:val="004D0C5E"/>
    <w:rsid w:val="004D4F63"/>
    <w:rsid w:val="004E1C21"/>
    <w:rsid w:val="004E2D84"/>
    <w:rsid w:val="004E3035"/>
    <w:rsid w:val="004E431B"/>
    <w:rsid w:val="004E5D24"/>
    <w:rsid w:val="004E6CC4"/>
    <w:rsid w:val="004E7475"/>
    <w:rsid w:val="004F1602"/>
    <w:rsid w:val="004F586D"/>
    <w:rsid w:val="004F6EB9"/>
    <w:rsid w:val="00500734"/>
    <w:rsid w:val="0050758D"/>
    <w:rsid w:val="00516ECE"/>
    <w:rsid w:val="0052004E"/>
    <w:rsid w:val="00520C27"/>
    <w:rsid w:val="00520E94"/>
    <w:rsid w:val="00520F5E"/>
    <w:rsid w:val="00522C71"/>
    <w:rsid w:val="00524502"/>
    <w:rsid w:val="005270A6"/>
    <w:rsid w:val="00531CC7"/>
    <w:rsid w:val="0053755A"/>
    <w:rsid w:val="00543351"/>
    <w:rsid w:val="00543BB7"/>
    <w:rsid w:val="00544BF1"/>
    <w:rsid w:val="005620C2"/>
    <w:rsid w:val="005630DA"/>
    <w:rsid w:val="0056679B"/>
    <w:rsid w:val="005703AD"/>
    <w:rsid w:val="00571BEA"/>
    <w:rsid w:val="00572310"/>
    <w:rsid w:val="00584440"/>
    <w:rsid w:val="00592B23"/>
    <w:rsid w:val="00594D70"/>
    <w:rsid w:val="005968B9"/>
    <w:rsid w:val="005973BE"/>
    <w:rsid w:val="00597551"/>
    <w:rsid w:val="005B1F53"/>
    <w:rsid w:val="005B3C5B"/>
    <w:rsid w:val="005B4EDF"/>
    <w:rsid w:val="005B57CE"/>
    <w:rsid w:val="005B70B1"/>
    <w:rsid w:val="005C20A1"/>
    <w:rsid w:val="005D3D76"/>
    <w:rsid w:val="005D401A"/>
    <w:rsid w:val="005D43C5"/>
    <w:rsid w:val="005E6494"/>
    <w:rsid w:val="005E75CC"/>
    <w:rsid w:val="005F0A97"/>
    <w:rsid w:val="005F4308"/>
    <w:rsid w:val="005F523E"/>
    <w:rsid w:val="00605A38"/>
    <w:rsid w:val="00605D41"/>
    <w:rsid w:val="006105E4"/>
    <w:rsid w:val="0061076F"/>
    <w:rsid w:val="00616905"/>
    <w:rsid w:val="00616D11"/>
    <w:rsid w:val="00616D6F"/>
    <w:rsid w:val="00620579"/>
    <w:rsid w:val="00623C20"/>
    <w:rsid w:val="00624021"/>
    <w:rsid w:val="00627BF7"/>
    <w:rsid w:val="00635D8D"/>
    <w:rsid w:val="0063687B"/>
    <w:rsid w:val="00650BDC"/>
    <w:rsid w:val="00651751"/>
    <w:rsid w:val="00656DAD"/>
    <w:rsid w:val="0065700C"/>
    <w:rsid w:val="00657DD4"/>
    <w:rsid w:val="00661CE2"/>
    <w:rsid w:val="00662959"/>
    <w:rsid w:val="0067510A"/>
    <w:rsid w:val="00676691"/>
    <w:rsid w:val="00685368"/>
    <w:rsid w:val="00685603"/>
    <w:rsid w:val="006874E4"/>
    <w:rsid w:val="006927FF"/>
    <w:rsid w:val="00694041"/>
    <w:rsid w:val="00694D68"/>
    <w:rsid w:val="006956A8"/>
    <w:rsid w:val="00696361"/>
    <w:rsid w:val="006A5CE3"/>
    <w:rsid w:val="006A7009"/>
    <w:rsid w:val="006B47B0"/>
    <w:rsid w:val="006C1338"/>
    <w:rsid w:val="006C579B"/>
    <w:rsid w:val="006C76AD"/>
    <w:rsid w:val="006D7251"/>
    <w:rsid w:val="006E2BEE"/>
    <w:rsid w:val="006E4979"/>
    <w:rsid w:val="0070081F"/>
    <w:rsid w:val="00701F8E"/>
    <w:rsid w:val="0070243E"/>
    <w:rsid w:val="00710A75"/>
    <w:rsid w:val="00713716"/>
    <w:rsid w:val="0071552A"/>
    <w:rsid w:val="00715F43"/>
    <w:rsid w:val="00716B9F"/>
    <w:rsid w:val="007200AD"/>
    <w:rsid w:val="0072353B"/>
    <w:rsid w:val="0072427E"/>
    <w:rsid w:val="00724546"/>
    <w:rsid w:val="007314FF"/>
    <w:rsid w:val="00733A83"/>
    <w:rsid w:val="00737F53"/>
    <w:rsid w:val="007454F4"/>
    <w:rsid w:val="007514D8"/>
    <w:rsid w:val="007551ED"/>
    <w:rsid w:val="00755E6C"/>
    <w:rsid w:val="00762931"/>
    <w:rsid w:val="0076405C"/>
    <w:rsid w:val="00765FB7"/>
    <w:rsid w:val="00767564"/>
    <w:rsid w:val="00772F05"/>
    <w:rsid w:val="007752DD"/>
    <w:rsid w:val="007759F3"/>
    <w:rsid w:val="007776FF"/>
    <w:rsid w:val="00780323"/>
    <w:rsid w:val="00783665"/>
    <w:rsid w:val="007872E7"/>
    <w:rsid w:val="00787B04"/>
    <w:rsid w:val="00791943"/>
    <w:rsid w:val="007969F9"/>
    <w:rsid w:val="00797571"/>
    <w:rsid w:val="007A078B"/>
    <w:rsid w:val="007A2CB0"/>
    <w:rsid w:val="007B1410"/>
    <w:rsid w:val="007B2A1D"/>
    <w:rsid w:val="007B313B"/>
    <w:rsid w:val="007B5FD7"/>
    <w:rsid w:val="007B7AC9"/>
    <w:rsid w:val="007B7F8F"/>
    <w:rsid w:val="007C1AF0"/>
    <w:rsid w:val="007C2ECF"/>
    <w:rsid w:val="007C3A67"/>
    <w:rsid w:val="007C3D98"/>
    <w:rsid w:val="007C7D30"/>
    <w:rsid w:val="007D0098"/>
    <w:rsid w:val="007E1A12"/>
    <w:rsid w:val="007E6CE9"/>
    <w:rsid w:val="007E7EC9"/>
    <w:rsid w:val="007F4928"/>
    <w:rsid w:val="007F74AD"/>
    <w:rsid w:val="0080234E"/>
    <w:rsid w:val="008060C2"/>
    <w:rsid w:val="00810B8B"/>
    <w:rsid w:val="008113B5"/>
    <w:rsid w:val="0082752C"/>
    <w:rsid w:val="00830023"/>
    <w:rsid w:val="0083761B"/>
    <w:rsid w:val="008409C3"/>
    <w:rsid w:val="00843E73"/>
    <w:rsid w:val="0084730A"/>
    <w:rsid w:val="00847AC0"/>
    <w:rsid w:val="00850D2D"/>
    <w:rsid w:val="00851F33"/>
    <w:rsid w:val="00852521"/>
    <w:rsid w:val="00857B39"/>
    <w:rsid w:val="00861DD7"/>
    <w:rsid w:val="008628B4"/>
    <w:rsid w:val="008666BF"/>
    <w:rsid w:val="00870B75"/>
    <w:rsid w:val="00871D6D"/>
    <w:rsid w:val="00873171"/>
    <w:rsid w:val="0087347F"/>
    <w:rsid w:val="008848BD"/>
    <w:rsid w:val="00885B2B"/>
    <w:rsid w:val="00886B19"/>
    <w:rsid w:val="00890011"/>
    <w:rsid w:val="00893FD2"/>
    <w:rsid w:val="008B558D"/>
    <w:rsid w:val="008C030F"/>
    <w:rsid w:val="008C5D9A"/>
    <w:rsid w:val="008C7547"/>
    <w:rsid w:val="008D144F"/>
    <w:rsid w:val="008E2669"/>
    <w:rsid w:val="008E59A5"/>
    <w:rsid w:val="008E646A"/>
    <w:rsid w:val="008E7CFA"/>
    <w:rsid w:val="008F377F"/>
    <w:rsid w:val="008F578A"/>
    <w:rsid w:val="008F7775"/>
    <w:rsid w:val="008F7FF7"/>
    <w:rsid w:val="0090274D"/>
    <w:rsid w:val="00907C04"/>
    <w:rsid w:val="00910F10"/>
    <w:rsid w:val="00916F2D"/>
    <w:rsid w:val="009253B5"/>
    <w:rsid w:val="00926AD1"/>
    <w:rsid w:val="00931545"/>
    <w:rsid w:val="00931BC0"/>
    <w:rsid w:val="00933F3E"/>
    <w:rsid w:val="00934807"/>
    <w:rsid w:val="00934F11"/>
    <w:rsid w:val="00936475"/>
    <w:rsid w:val="009370CA"/>
    <w:rsid w:val="009424FB"/>
    <w:rsid w:val="00943C61"/>
    <w:rsid w:val="00946CB9"/>
    <w:rsid w:val="0095237D"/>
    <w:rsid w:val="00953647"/>
    <w:rsid w:val="00954C77"/>
    <w:rsid w:val="00960773"/>
    <w:rsid w:val="00960AC6"/>
    <w:rsid w:val="009619BA"/>
    <w:rsid w:val="009640CF"/>
    <w:rsid w:val="0096521D"/>
    <w:rsid w:val="00972900"/>
    <w:rsid w:val="009773C1"/>
    <w:rsid w:val="009802A1"/>
    <w:rsid w:val="00983952"/>
    <w:rsid w:val="0099227B"/>
    <w:rsid w:val="009934CB"/>
    <w:rsid w:val="009A43D9"/>
    <w:rsid w:val="009A5263"/>
    <w:rsid w:val="009C2FB9"/>
    <w:rsid w:val="009C351E"/>
    <w:rsid w:val="009C76EB"/>
    <w:rsid w:val="009C7DEB"/>
    <w:rsid w:val="009D05AF"/>
    <w:rsid w:val="009D54A8"/>
    <w:rsid w:val="009D5C0C"/>
    <w:rsid w:val="009D6829"/>
    <w:rsid w:val="009E4116"/>
    <w:rsid w:val="009E57C0"/>
    <w:rsid w:val="009E7D0C"/>
    <w:rsid w:val="009F456B"/>
    <w:rsid w:val="009F507A"/>
    <w:rsid w:val="00A01500"/>
    <w:rsid w:val="00A03494"/>
    <w:rsid w:val="00A03A32"/>
    <w:rsid w:val="00A0572B"/>
    <w:rsid w:val="00A10BDD"/>
    <w:rsid w:val="00A11DF9"/>
    <w:rsid w:val="00A1268B"/>
    <w:rsid w:val="00A1308C"/>
    <w:rsid w:val="00A16170"/>
    <w:rsid w:val="00A170ED"/>
    <w:rsid w:val="00A20D9C"/>
    <w:rsid w:val="00A2580E"/>
    <w:rsid w:val="00A314DC"/>
    <w:rsid w:val="00A31B5F"/>
    <w:rsid w:val="00A36850"/>
    <w:rsid w:val="00A42E0B"/>
    <w:rsid w:val="00A4415C"/>
    <w:rsid w:val="00A4760B"/>
    <w:rsid w:val="00A56193"/>
    <w:rsid w:val="00A57F50"/>
    <w:rsid w:val="00A61F8F"/>
    <w:rsid w:val="00A62C14"/>
    <w:rsid w:val="00A62F8D"/>
    <w:rsid w:val="00A71443"/>
    <w:rsid w:val="00A71CC3"/>
    <w:rsid w:val="00A752BB"/>
    <w:rsid w:val="00A811EA"/>
    <w:rsid w:val="00A83183"/>
    <w:rsid w:val="00A83CDC"/>
    <w:rsid w:val="00A85E79"/>
    <w:rsid w:val="00A91F9D"/>
    <w:rsid w:val="00AA1482"/>
    <w:rsid w:val="00AA1764"/>
    <w:rsid w:val="00AB0311"/>
    <w:rsid w:val="00AB34A4"/>
    <w:rsid w:val="00AC17AB"/>
    <w:rsid w:val="00AC3017"/>
    <w:rsid w:val="00AC3D99"/>
    <w:rsid w:val="00AC7DD2"/>
    <w:rsid w:val="00AD11CE"/>
    <w:rsid w:val="00AD2CE6"/>
    <w:rsid w:val="00AE4778"/>
    <w:rsid w:val="00AF0512"/>
    <w:rsid w:val="00AF26A1"/>
    <w:rsid w:val="00AF5687"/>
    <w:rsid w:val="00AF6997"/>
    <w:rsid w:val="00B12CA3"/>
    <w:rsid w:val="00B13504"/>
    <w:rsid w:val="00B15861"/>
    <w:rsid w:val="00B17997"/>
    <w:rsid w:val="00B206DC"/>
    <w:rsid w:val="00B22957"/>
    <w:rsid w:val="00B23268"/>
    <w:rsid w:val="00B30505"/>
    <w:rsid w:val="00B31E81"/>
    <w:rsid w:val="00B41216"/>
    <w:rsid w:val="00B44830"/>
    <w:rsid w:val="00B46385"/>
    <w:rsid w:val="00B476F8"/>
    <w:rsid w:val="00B47DDA"/>
    <w:rsid w:val="00B54B93"/>
    <w:rsid w:val="00B64302"/>
    <w:rsid w:val="00B6598E"/>
    <w:rsid w:val="00B67ED7"/>
    <w:rsid w:val="00B71283"/>
    <w:rsid w:val="00B714C5"/>
    <w:rsid w:val="00B81E14"/>
    <w:rsid w:val="00B8496C"/>
    <w:rsid w:val="00B90DAC"/>
    <w:rsid w:val="00B9713E"/>
    <w:rsid w:val="00BA607E"/>
    <w:rsid w:val="00BA7F2B"/>
    <w:rsid w:val="00BB1C8D"/>
    <w:rsid w:val="00BB3989"/>
    <w:rsid w:val="00BB66CE"/>
    <w:rsid w:val="00BB7578"/>
    <w:rsid w:val="00BB7CB3"/>
    <w:rsid w:val="00BC7584"/>
    <w:rsid w:val="00BD3A2E"/>
    <w:rsid w:val="00BD502F"/>
    <w:rsid w:val="00BD5E9F"/>
    <w:rsid w:val="00BD73FE"/>
    <w:rsid w:val="00BE1F09"/>
    <w:rsid w:val="00BE2BCB"/>
    <w:rsid w:val="00BE487B"/>
    <w:rsid w:val="00BE519D"/>
    <w:rsid w:val="00BE56ED"/>
    <w:rsid w:val="00BF03F0"/>
    <w:rsid w:val="00BF24FA"/>
    <w:rsid w:val="00C04896"/>
    <w:rsid w:val="00C05A6C"/>
    <w:rsid w:val="00C10C9D"/>
    <w:rsid w:val="00C361CA"/>
    <w:rsid w:val="00C40212"/>
    <w:rsid w:val="00C53FC4"/>
    <w:rsid w:val="00C55912"/>
    <w:rsid w:val="00C627C9"/>
    <w:rsid w:val="00C62DB6"/>
    <w:rsid w:val="00C74FF1"/>
    <w:rsid w:val="00C76183"/>
    <w:rsid w:val="00C875C9"/>
    <w:rsid w:val="00C87EF4"/>
    <w:rsid w:val="00C9059C"/>
    <w:rsid w:val="00C90EBA"/>
    <w:rsid w:val="00C91919"/>
    <w:rsid w:val="00C92274"/>
    <w:rsid w:val="00C9506C"/>
    <w:rsid w:val="00C95B61"/>
    <w:rsid w:val="00CA1A49"/>
    <w:rsid w:val="00CA4A91"/>
    <w:rsid w:val="00CA7D2B"/>
    <w:rsid w:val="00CB402B"/>
    <w:rsid w:val="00CB54F0"/>
    <w:rsid w:val="00CB61DF"/>
    <w:rsid w:val="00CC10B6"/>
    <w:rsid w:val="00CC1EF6"/>
    <w:rsid w:val="00CC4B43"/>
    <w:rsid w:val="00CC63E1"/>
    <w:rsid w:val="00CC7443"/>
    <w:rsid w:val="00CC757C"/>
    <w:rsid w:val="00CD2F8A"/>
    <w:rsid w:val="00CD49E7"/>
    <w:rsid w:val="00CD6D2B"/>
    <w:rsid w:val="00CE40FB"/>
    <w:rsid w:val="00CE5847"/>
    <w:rsid w:val="00CF085F"/>
    <w:rsid w:val="00CF3386"/>
    <w:rsid w:val="00CF4E42"/>
    <w:rsid w:val="00CF5621"/>
    <w:rsid w:val="00D003A4"/>
    <w:rsid w:val="00D03189"/>
    <w:rsid w:val="00D04BDB"/>
    <w:rsid w:val="00D05C85"/>
    <w:rsid w:val="00D05DFA"/>
    <w:rsid w:val="00D07757"/>
    <w:rsid w:val="00D13299"/>
    <w:rsid w:val="00D2132A"/>
    <w:rsid w:val="00D25EA3"/>
    <w:rsid w:val="00D2704D"/>
    <w:rsid w:val="00D275BD"/>
    <w:rsid w:val="00D3542B"/>
    <w:rsid w:val="00D36C0E"/>
    <w:rsid w:val="00D40A5D"/>
    <w:rsid w:val="00D5037B"/>
    <w:rsid w:val="00D52416"/>
    <w:rsid w:val="00D53667"/>
    <w:rsid w:val="00D64F19"/>
    <w:rsid w:val="00D672B0"/>
    <w:rsid w:val="00D731E5"/>
    <w:rsid w:val="00D76B3F"/>
    <w:rsid w:val="00D82D64"/>
    <w:rsid w:val="00D8551D"/>
    <w:rsid w:val="00DA2B87"/>
    <w:rsid w:val="00DA4E8C"/>
    <w:rsid w:val="00DB334D"/>
    <w:rsid w:val="00DB73FA"/>
    <w:rsid w:val="00DC2196"/>
    <w:rsid w:val="00DC2939"/>
    <w:rsid w:val="00DD09C5"/>
    <w:rsid w:val="00DD09F2"/>
    <w:rsid w:val="00DD2917"/>
    <w:rsid w:val="00DD5F16"/>
    <w:rsid w:val="00DD7E3F"/>
    <w:rsid w:val="00DF14F4"/>
    <w:rsid w:val="00DF41F1"/>
    <w:rsid w:val="00DF6210"/>
    <w:rsid w:val="00E05487"/>
    <w:rsid w:val="00E05633"/>
    <w:rsid w:val="00E10851"/>
    <w:rsid w:val="00E10BA6"/>
    <w:rsid w:val="00E12833"/>
    <w:rsid w:val="00E14D89"/>
    <w:rsid w:val="00E17B48"/>
    <w:rsid w:val="00E24DC5"/>
    <w:rsid w:val="00E37A39"/>
    <w:rsid w:val="00E411E7"/>
    <w:rsid w:val="00E466B0"/>
    <w:rsid w:val="00E478E1"/>
    <w:rsid w:val="00E505D5"/>
    <w:rsid w:val="00E55491"/>
    <w:rsid w:val="00E563D7"/>
    <w:rsid w:val="00E57F7F"/>
    <w:rsid w:val="00E63340"/>
    <w:rsid w:val="00E64295"/>
    <w:rsid w:val="00E6727B"/>
    <w:rsid w:val="00E7105B"/>
    <w:rsid w:val="00E7127A"/>
    <w:rsid w:val="00E728AA"/>
    <w:rsid w:val="00E777F2"/>
    <w:rsid w:val="00E82CB5"/>
    <w:rsid w:val="00E83C94"/>
    <w:rsid w:val="00E90CBC"/>
    <w:rsid w:val="00E9272D"/>
    <w:rsid w:val="00EA0AAA"/>
    <w:rsid w:val="00EA43FE"/>
    <w:rsid w:val="00EA6A68"/>
    <w:rsid w:val="00EB0EE8"/>
    <w:rsid w:val="00EB3296"/>
    <w:rsid w:val="00EB534A"/>
    <w:rsid w:val="00EB5842"/>
    <w:rsid w:val="00EC2941"/>
    <w:rsid w:val="00EC56A8"/>
    <w:rsid w:val="00EC778E"/>
    <w:rsid w:val="00EC7991"/>
    <w:rsid w:val="00EC7CA6"/>
    <w:rsid w:val="00ED391D"/>
    <w:rsid w:val="00ED6FB7"/>
    <w:rsid w:val="00EE3B78"/>
    <w:rsid w:val="00EE656E"/>
    <w:rsid w:val="00EF43A5"/>
    <w:rsid w:val="00F005D5"/>
    <w:rsid w:val="00F04044"/>
    <w:rsid w:val="00F04423"/>
    <w:rsid w:val="00F06DC0"/>
    <w:rsid w:val="00F07E47"/>
    <w:rsid w:val="00F14A93"/>
    <w:rsid w:val="00F14D8E"/>
    <w:rsid w:val="00F155DB"/>
    <w:rsid w:val="00F22F7F"/>
    <w:rsid w:val="00F23AEA"/>
    <w:rsid w:val="00F24FE5"/>
    <w:rsid w:val="00F30D17"/>
    <w:rsid w:val="00F40498"/>
    <w:rsid w:val="00F4467B"/>
    <w:rsid w:val="00F46DAC"/>
    <w:rsid w:val="00F64150"/>
    <w:rsid w:val="00F72643"/>
    <w:rsid w:val="00F73DDC"/>
    <w:rsid w:val="00F773B8"/>
    <w:rsid w:val="00F80099"/>
    <w:rsid w:val="00F80647"/>
    <w:rsid w:val="00F85F7B"/>
    <w:rsid w:val="00F87926"/>
    <w:rsid w:val="00F9178F"/>
    <w:rsid w:val="00F9186A"/>
    <w:rsid w:val="00F923CF"/>
    <w:rsid w:val="00F95804"/>
    <w:rsid w:val="00F971C0"/>
    <w:rsid w:val="00F977D8"/>
    <w:rsid w:val="00FB52FC"/>
    <w:rsid w:val="00FB7FC6"/>
    <w:rsid w:val="00FC0B6A"/>
    <w:rsid w:val="00FC130B"/>
    <w:rsid w:val="00FC14DD"/>
    <w:rsid w:val="00FC2D29"/>
    <w:rsid w:val="00FC3BDF"/>
    <w:rsid w:val="00FD1447"/>
    <w:rsid w:val="00FD7B29"/>
    <w:rsid w:val="00FD7F42"/>
    <w:rsid w:val="00FE4C48"/>
    <w:rsid w:val="00FF51E6"/>
    <w:rsid w:val="00FF5829"/>
    <w:rsid w:val="00FF64C0"/>
    <w:rsid w:val="00FF7F26"/>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929278"/>
  <w14:defaultImageDpi w14:val="330"/>
  <w15:docId w15:val="{06E0336C-8E3A-4082-80E9-F7059F14A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4E5D24"/>
  </w:style>
  <w:style w:type="character" w:customStyle="1" w:styleId="EndnoteTextChar">
    <w:name w:val="Endnote Text Char"/>
    <w:basedOn w:val="DefaultParagraphFont"/>
    <w:link w:val="EndnoteText"/>
    <w:uiPriority w:val="99"/>
    <w:rsid w:val="004E5D24"/>
  </w:style>
  <w:style w:type="character" w:styleId="EndnoteReference">
    <w:name w:val="endnote reference"/>
    <w:basedOn w:val="DefaultParagraphFont"/>
    <w:uiPriority w:val="99"/>
    <w:unhideWhenUsed/>
    <w:rsid w:val="004E5D24"/>
    <w:rPr>
      <w:vertAlign w:val="superscript"/>
    </w:rPr>
  </w:style>
  <w:style w:type="character" w:styleId="Hyperlink">
    <w:name w:val="Hyperlink"/>
    <w:basedOn w:val="DefaultParagraphFont"/>
    <w:uiPriority w:val="99"/>
    <w:unhideWhenUsed/>
    <w:rsid w:val="00FB52FC"/>
    <w:rPr>
      <w:color w:val="0000FF" w:themeColor="hyperlink"/>
      <w:u w:val="single"/>
    </w:rPr>
  </w:style>
  <w:style w:type="paragraph" w:styleId="Header">
    <w:name w:val="header"/>
    <w:basedOn w:val="Normal"/>
    <w:link w:val="HeaderChar"/>
    <w:uiPriority w:val="99"/>
    <w:unhideWhenUsed/>
    <w:rsid w:val="00EA0AAA"/>
    <w:pPr>
      <w:tabs>
        <w:tab w:val="center" w:pos="4320"/>
        <w:tab w:val="right" w:pos="8640"/>
      </w:tabs>
    </w:pPr>
  </w:style>
  <w:style w:type="character" w:customStyle="1" w:styleId="HeaderChar">
    <w:name w:val="Header Char"/>
    <w:basedOn w:val="DefaultParagraphFont"/>
    <w:link w:val="Header"/>
    <w:uiPriority w:val="99"/>
    <w:rsid w:val="00EA0AAA"/>
  </w:style>
  <w:style w:type="character" w:styleId="PageNumber">
    <w:name w:val="page number"/>
    <w:basedOn w:val="DefaultParagraphFont"/>
    <w:uiPriority w:val="99"/>
    <w:semiHidden/>
    <w:unhideWhenUsed/>
    <w:rsid w:val="00EA0AAA"/>
  </w:style>
  <w:style w:type="paragraph" w:styleId="FootnoteText">
    <w:name w:val="footnote text"/>
    <w:basedOn w:val="Normal"/>
    <w:link w:val="FootnoteTextChar"/>
    <w:uiPriority w:val="99"/>
    <w:unhideWhenUsed/>
    <w:rsid w:val="00701F8E"/>
  </w:style>
  <w:style w:type="character" w:customStyle="1" w:styleId="FootnoteTextChar">
    <w:name w:val="Footnote Text Char"/>
    <w:basedOn w:val="DefaultParagraphFont"/>
    <w:link w:val="FootnoteText"/>
    <w:uiPriority w:val="99"/>
    <w:rsid w:val="00701F8E"/>
  </w:style>
  <w:style w:type="character" w:styleId="FootnoteReference">
    <w:name w:val="footnote reference"/>
    <w:basedOn w:val="DefaultParagraphFont"/>
    <w:uiPriority w:val="99"/>
    <w:unhideWhenUsed/>
    <w:rsid w:val="00701F8E"/>
    <w:rPr>
      <w:vertAlign w:val="superscript"/>
    </w:rPr>
  </w:style>
  <w:style w:type="paragraph" w:styleId="BalloonText">
    <w:name w:val="Balloon Text"/>
    <w:basedOn w:val="Normal"/>
    <w:link w:val="BalloonTextChar"/>
    <w:uiPriority w:val="99"/>
    <w:semiHidden/>
    <w:unhideWhenUsed/>
    <w:rsid w:val="007759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59F3"/>
    <w:rPr>
      <w:rFonts w:ascii="Lucida Grande" w:hAnsi="Lucida Grande" w:cs="Lucida Grande"/>
      <w:sz w:val="18"/>
      <w:szCs w:val="18"/>
    </w:rPr>
  </w:style>
  <w:style w:type="character" w:styleId="CommentReference">
    <w:name w:val="annotation reference"/>
    <w:basedOn w:val="DefaultParagraphFont"/>
    <w:uiPriority w:val="99"/>
    <w:semiHidden/>
    <w:unhideWhenUsed/>
    <w:rsid w:val="001F39D3"/>
    <w:rPr>
      <w:sz w:val="16"/>
      <w:szCs w:val="16"/>
    </w:rPr>
  </w:style>
  <w:style w:type="paragraph" w:styleId="CommentText">
    <w:name w:val="annotation text"/>
    <w:basedOn w:val="Normal"/>
    <w:link w:val="CommentTextChar"/>
    <w:uiPriority w:val="99"/>
    <w:semiHidden/>
    <w:unhideWhenUsed/>
    <w:rsid w:val="001F39D3"/>
    <w:rPr>
      <w:sz w:val="20"/>
      <w:szCs w:val="20"/>
    </w:rPr>
  </w:style>
  <w:style w:type="character" w:customStyle="1" w:styleId="CommentTextChar">
    <w:name w:val="Comment Text Char"/>
    <w:basedOn w:val="DefaultParagraphFont"/>
    <w:link w:val="CommentText"/>
    <w:uiPriority w:val="99"/>
    <w:semiHidden/>
    <w:rsid w:val="001F39D3"/>
    <w:rPr>
      <w:sz w:val="20"/>
      <w:szCs w:val="20"/>
    </w:rPr>
  </w:style>
  <w:style w:type="paragraph" w:styleId="CommentSubject">
    <w:name w:val="annotation subject"/>
    <w:basedOn w:val="CommentText"/>
    <w:next w:val="CommentText"/>
    <w:link w:val="CommentSubjectChar"/>
    <w:uiPriority w:val="99"/>
    <w:semiHidden/>
    <w:unhideWhenUsed/>
    <w:rsid w:val="001F39D3"/>
    <w:rPr>
      <w:b/>
      <w:bCs/>
    </w:rPr>
  </w:style>
  <w:style w:type="character" w:customStyle="1" w:styleId="CommentSubjectChar">
    <w:name w:val="Comment Subject Char"/>
    <w:basedOn w:val="CommentTextChar"/>
    <w:link w:val="CommentSubject"/>
    <w:uiPriority w:val="99"/>
    <w:semiHidden/>
    <w:rsid w:val="001F39D3"/>
    <w:rPr>
      <w:b/>
      <w:bCs/>
      <w:sz w:val="20"/>
      <w:szCs w:val="20"/>
    </w:rPr>
  </w:style>
  <w:style w:type="paragraph" w:styleId="Footer">
    <w:name w:val="footer"/>
    <w:basedOn w:val="Normal"/>
    <w:link w:val="FooterChar"/>
    <w:uiPriority w:val="99"/>
    <w:unhideWhenUsed/>
    <w:rsid w:val="001D6862"/>
    <w:pPr>
      <w:tabs>
        <w:tab w:val="center" w:pos="4680"/>
        <w:tab w:val="right" w:pos="9360"/>
      </w:tabs>
    </w:pPr>
  </w:style>
  <w:style w:type="character" w:customStyle="1" w:styleId="FooterChar">
    <w:name w:val="Footer Char"/>
    <w:basedOn w:val="DefaultParagraphFont"/>
    <w:link w:val="Footer"/>
    <w:uiPriority w:val="99"/>
    <w:rsid w:val="001D6862"/>
  </w:style>
  <w:style w:type="character" w:styleId="Emphasis">
    <w:name w:val="Emphasis"/>
    <w:uiPriority w:val="20"/>
    <w:qFormat/>
    <w:rsid w:val="006C1338"/>
    <w:rPr>
      <w:i/>
      <w:iCs/>
    </w:rPr>
  </w:style>
  <w:style w:type="character" w:customStyle="1" w:styleId="text">
    <w:name w:val="text"/>
    <w:basedOn w:val="DefaultParagraphFont"/>
    <w:rsid w:val="002A0AC1"/>
  </w:style>
  <w:style w:type="paragraph" w:customStyle="1" w:styleId="MDPI11articletype">
    <w:name w:val="MDPI_1.1_article_type"/>
    <w:next w:val="Normal"/>
    <w:qFormat/>
    <w:rsid w:val="00320A39"/>
    <w:pPr>
      <w:adjustRightInd w:val="0"/>
      <w:snapToGrid w:val="0"/>
      <w:spacing w:before="240"/>
    </w:pPr>
    <w:rPr>
      <w:rFonts w:ascii="Palatino Linotype" w:eastAsia="Times New Roman" w:hAnsi="Palatino Linotype" w:cs="Times New Roman"/>
      <w:i/>
      <w:snapToGrid w:val="0"/>
      <w:color w:val="000000"/>
      <w:sz w:val="20"/>
      <w:szCs w:val="22"/>
      <w:lang w:eastAsia="de-DE" w:bidi="en-US"/>
    </w:rPr>
  </w:style>
  <w:style w:type="character" w:customStyle="1" w:styleId="small-caps">
    <w:name w:val="small-caps"/>
    <w:basedOn w:val="DefaultParagraphFont"/>
    <w:rsid w:val="00320A39"/>
  </w:style>
  <w:style w:type="paragraph" w:customStyle="1" w:styleId="MDPI31text">
    <w:name w:val="MDPI_3.1_text"/>
    <w:qFormat/>
    <w:rsid w:val="00E57F7F"/>
    <w:pPr>
      <w:adjustRightInd w:val="0"/>
      <w:snapToGrid w:val="0"/>
      <w:spacing w:line="260" w:lineRule="atLeast"/>
      <w:ind w:firstLine="425"/>
      <w:jc w:val="both"/>
    </w:pPr>
    <w:rPr>
      <w:rFonts w:ascii="Palatino Linotype" w:eastAsia="Times New Roman" w:hAnsi="Palatino Linotype" w:cs="Times New Roman"/>
      <w:snapToGrid w:val="0"/>
      <w:color w:val="000000"/>
      <w:sz w:val="20"/>
      <w:szCs w:val="22"/>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1586CFF8-F13E-43D2-828B-8E8111E2A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2613</TotalTime>
  <Pages>7</Pages>
  <Words>2001</Words>
  <Characters>10851</Characters>
  <Application>Microsoft Office Word</Application>
  <DocSecurity>0</DocSecurity>
  <Lines>164</Lines>
  <Paragraphs>23</Paragraphs>
  <ScaleCrop>false</ScaleCrop>
  <HeadingPairs>
    <vt:vector size="2" baseType="variant">
      <vt:variant>
        <vt:lpstr>Title</vt:lpstr>
      </vt:variant>
      <vt:variant>
        <vt:i4>1</vt:i4>
      </vt:variant>
    </vt:vector>
  </HeadingPairs>
  <TitlesOfParts>
    <vt:vector size="1" baseType="lpstr">
      <vt:lpstr/>
    </vt:vector>
  </TitlesOfParts>
  <Company>NYU Gallatin</Company>
  <LinksUpToDate>false</LinksUpToDate>
  <CharactersWithSpaces>12829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Myles Jackson</dc:creator>
  <cp:lastModifiedBy>Menachem Fisch</cp:lastModifiedBy>
  <cp:revision>67</cp:revision>
  <cp:lastPrinted>2020-07-23T05:09:00Z</cp:lastPrinted>
  <dcterms:created xsi:type="dcterms:W3CDTF">2020-08-05T09:01:00Z</dcterms:created>
  <dcterms:modified xsi:type="dcterms:W3CDTF">2020-09-14T13:02:00Z</dcterms:modified>
</cp:coreProperties>
</file>