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EDAB7" w14:textId="77777777" w:rsidR="009428EF" w:rsidRPr="00913232" w:rsidRDefault="008065BD" w:rsidP="008D7538">
      <w:pPr>
        <w:spacing w:line="360" w:lineRule="auto"/>
        <w:jc w:val="center"/>
        <w:rPr>
          <w:rFonts w:ascii="Minion Pro Med" w:hAnsi="Minion Pro Med"/>
          <w:b/>
        </w:rPr>
      </w:pPr>
      <w:bookmarkStart w:id="0" w:name="_GoBack"/>
      <w:bookmarkEnd w:id="0"/>
      <w:r w:rsidRPr="00913232">
        <w:rPr>
          <w:rFonts w:ascii="Minion Pro Med" w:hAnsi="Minion Pro Med"/>
          <w:b/>
        </w:rPr>
        <w:t>ON CHANGING YOUR MIND</w:t>
      </w:r>
    </w:p>
    <w:p w14:paraId="3C497938" w14:textId="77777777" w:rsidR="009428EF" w:rsidRPr="00913232" w:rsidRDefault="009428EF" w:rsidP="009428EF">
      <w:pPr>
        <w:spacing w:line="360" w:lineRule="auto"/>
        <w:jc w:val="center"/>
        <w:rPr>
          <w:rFonts w:ascii="Minion Pro Med" w:hAnsi="Minion Pro Med"/>
        </w:rPr>
      </w:pPr>
      <w:r w:rsidRPr="00913232">
        <w:rPr>
          <w:rFonts w:ascii="Minion Pro Med" w:hAnsi="Minion Pro Med"/>
        </w:rPr>
        <w:t>Jeremy Wanderer, University of Massachusetts-Boston</w:t>
      </w:r>
    </w:p>
    <w:p w14:paraId="69BC31E8" w14:textId="77777777" w:rsidR="009428EF" w:rsidRPr="00913232" w:rsidRDefault="009428EF" w:rsidP="0037390D">
      <w:pPr>
        <w:spacing w:line="360" w:lineRule="auto"/>
        <w:rPr>
          <w:rFonts w:ascii="Minion Pro Med" w:hAnsi="Minion Pro Med"/>
        </w:rPr>
      </w:pPr>
    </w:p>
    <w:p w14:paraId="73D385F1" w14:textId="77777777" w:rsidR="00C37899" w:rsidRPr="00913232" w:rsidRDefault="00C37899" w:rsidP="0037390D">
      <w:pPr>
        <w:spacing w:line="360" w:lineRule="auto"/>
        <w:rPr>
          <w:rFonts w:ascii="Minion Pro Med" w:hAnsi="Minion Pro Med"/>
        </w:rPr>
      </w:pPr>
      <w:r w:rsidRPr="00913232">
        <w:rPr>
          <w:rFonts w:ascii="Minion Pro Med" w:hAnsi="Minion Pro Med"/>
        </w:rPr>
        <w:t>I</w:t>
      </w:r>
    </w:p>
    <w:p w14:paraId="14C667A3" w14:textId="77777777" w:rsidR="00FA22DE" w:rsidRPr="00913232" w:rsidRDefault="00FA22DE" w:rsidP="0037390D">
      <w:pPr>
        <w:spacing w:line="360" w:lineRule="auto"/>
        <w:rPr>
          <w:rFonts w:ascii="Minion Pro Med" w:hAnsi="Minion Pro Med"/>
        </w:rPr>
      </w:pPr>
      <w:r w:rsidRPr="00913232">
        <w:rPr>
          <w:rFonts w:ascii="Minion Pro Med" w:hAnsi="Minion Pro Med"/>
        </w:rPr>
        <w:t>If you have been schooled in contemporary</w:t>
      </w:r>
      <w:r w:rsidR="00362A04" w:rsidRPr="00913232">
        <w:rPr>
          <w:rFonts w:ascii="Minion Pro Med" w:hAnsi="Minion Pro Med"/>
        </w:rPr>
        <w:t xml:space="preserve"> </w:t>
      </w:r>
      <w:r w:rsidRPr="00913232">
        <w:rPr>
          <w:rFonts w:ascii="Minion Pro Med" w:hAnsi="Minion Pro Med"/>
        </w:rPr>
        <w:t>Anglophone philosophy, I suspect that you may have unwittingly glossed the second-personal possessive pronoun</w:t>
      </w:r>
      <w:r w:rsidR="003607FB" w:rsidRPr="00913232">
        <w:rPr>
          <w:rFonts w:ascii="Minion Pro Med" w:hAnsi="Minion Pro Med"/>
        </w:rPr>
        <w:t xml:space="preserve"> in the title of this</w:t>
      </w:r>
      <w:r w:rsidRPr="00913232">
        <w:rPr>
          <w:rFonts w:ascii="Minion Pro Med" w:hAnsi="Minion Pro Med"/>
        </w:rPr>
        <w:t xml:space="preserve"> paper </w:t>
      </w:r>
      <w:r w:rsidR="0073487F" w:rsidRPr="00913232">
        <w:rPr>
          <w:rFonts w:ascii="Minion Pro Med" w:hAnsi="Minion Pro Med"/>
        </w:rPr>
        <w:t xml:space="preserve">(‘On changing </w:t>
      </w:r>
      <w:r w:rsidR="0073487F" w:rsidRPr="00913232">
        <w:rPr>
          <w:rFonts w:ascii="Minion Pro Med" w:hAnsi="Minion Pro Med"/>
          <w:i/>
        </w:rPr>
        <w:t>your</w:t>
      </w:r>
      <w:r w:rsidR="0073487F" w:rsidRPr="00913232">
        <w:rPr>
          <w:rFonts w:ascii="Minion Pro Med" w:hAnsi="Minion Pro Med"/>
        </w:rPr>
        <w:t xml:space="preserve"> mind’) </w:t>
      </w:r>
      <w:r w:rsidRPr="00913232">
        <w:rPr>
          <w:rFonts w:ascii="Minion Pro Med" w:hAnsi="Minion Pro Med"/>
        </w:rPr>
        <w:t>as either a first</w:t>
      </w:r>
      <w:r w:rsidR="00BC07B6" w:rsidRPr="00913232">
        <w:rPr>
          <w:rFonts w:ascii="Minion Pro Med" w:hAnsi="Minion Pro Med"/>
        </w:rPr>
        <w:t>-</w:t>
      </w:r>
      <w:r w:rsidRPr="00913232">
        <w:rPr>
          <w:rFonts w:ascii="Minion Pro Med" w:hAnsi="Minion Pro Med"/>
        </w:rPr>
        <w:t xml:space="preserve">personal possessive pronoun (‘On changing </w:t>
      </w:r>
      <w:r w:rsidRPr="00913232">
        <w:rPr>
          <w:rFonts w:ascii="Minion Pro Med" w:hAnsi="Minion Pro Med"/>
          <w:i/>
        </w:rPr>
        <w:t>my</w:t>
      </w:r>
      <w:r w:rsidRPr="00913232">
        <w:rPr>
          <w:rFonts w:ascii="Minion Pro Med" w:hAnsi="Minion Pro Med"/>
        </w:rPr>
        <w:t xml:space="preserve"> mind’) or an impersonal one (‘On changing </w:t>
      </w:r>
      <w:r w:rsidRPr="00913232">
        <w:rPr>
          <w:rFonts w:ascii="Minion Pro Med" w:hAnsi="Minion Pro Med"/>
          <w:i/>
        </w:rPr>
        <w:t>one’s</w:t>
      </w:r>
      <w:r w:rsidRPr="00913232">
        <w:rPr>
          <w:rFonts w:ascii="Minion Pro Med" w:hAnsi="Minion Pro Med"/>
        </w:rPr>
        <w:t xml:space="preserve"> mind’). This is because recent </w:t>
      </w:r>
      <w:r w:rsidR="003607FB" w:rsidRPr="00913232">
        <w:rPr>
          <w:rFonts w:ascii="Minion Pro Med" w:hAnsi="Minion Pro Med"/>
        </w:rPr>
        <w:t xml:space="preserve">Anglophone </w:t>
      </w:r>
      <w:r w:rsidR="00FC638B" w:rsidRPr="00913232">
        <w:rPr>
          <w:rFonts w:ascii="Minion Pro Med" w:hAnsi="Minion Pro Med"/>
        </w:rPr>
        <w:t xml:space="preserve">philosophical </w:t>
      </w:r>
      <w:r w:rsidRPr="00913232">
        <w:rPr>
          <w:rFonts w:ascii="Minion Pro Med" w:hAnsi="Minion Pro Med"/>
        </w:rPr>
        <w:t>discussion of normative aspects of opinion-change</w:t>
      </w:r>
      <w:r w:rsidR="0073487F" w:rsidRPr="00913232">
        <w:rPr>
          <w:rFonts w:ascii="Minion Pro Med" w:hAnsi="Minion Pro Med"/>
        </w:rPr>
        <w:t xml:space="preserve"> </w:t>
      </w:r>
      <w:r w:rsidRPr="00913232">
        <w:rPr>
          <w:rFonts w:ascii="Minion Pro Med" w:hAnsi="Minion Pro Med"/>
        </w:rPr>
        <w:t xml:space="preserve">typically has a strong individualistic flavor, </w:t>
      </w:r>
      <w:r w:rsidR="00FC638B" w:rsidRPr="00913232">
        <w:rPr>
          <w:rFonts w:ascii="Minion Pro Med" w:hAnsi="Minion Pro Med"/>
        </w:rPr>
        <w:t>tending to focus</w:t>
      </w:r>
      <w:r w:rsidRPr="00913232">
        <w:rPr>
          <w:rFonts w:ascii="Minion Pro Med" w:hAnsi="Minion Pro Med"/>
        </w:rPr>
        <w:t xml:space="preserve"> on how </w:t>
      </w:r>
      <w:r w:rsidR="00FC638B" w:rsidRPr="00913232">
        <w:rPr>
          <w:rFonts w:ascii="Minion Pro Med" w:hAnsi="Minion Pro Med"/>
        </w:rPr>
        <w:t>a person</w:t>
      </w:r>
      <w:r w:rsidRPr="00913232">
        <w:rPr>
          <w:rFonts w:ascii="Minion Pro Med" w:hAnsi="Minion Pro Med"/>
        </w:rPr>
        <w:t xml:space="preserve"> ought to revise their </w:t>
      </w:r>
      <w:r w:rsidR="00FC638B" w:rsidRPr="00913232">
        <w:rPr>
          <w:rFonts w:ascii="Minion Pro Med" w:hAnsi="Minion Pro Med"/>
        </w:rPr>
        <w:t xml:space="preserve">own </w:t>
      </w:r>
      <w:r w:rsidRPr="00913232">
        <w:rPr>
          <w:rFonts w:ascii="Minion Pro Med" w:hAnsi="Minion Pro Med"/>
        </w:rPr>
        <w:t xml:space="preserve">beliefs </w:t>
      </w:r>
      <w:r w:rsidR="00105250" w:rsidRPr="00913232">
        <w:rPr>
          <w:rFonts w:ascii="Minion Pro Med" w:hAnsi="Minion Pro Med"/>
        </w:rPr>
        <w:t>in light of</w:t>
      </w:r>
      <w:r w:rsidRPr="00913232">
        <w:rPr>
          <w:rFonts w:ascii="Minion Pro Med" w:hAnsi="Minion Pro Med"/>
        </w:rPr>
        <w:t xml:space="preserve"> </w:t>
      </w:r>
      <w:r w:rsidR="00F77500" w:rsidRPr="00913232">
        <w:rPr>
          <w:rFonts w:ascii="Minion Pro Med" w:hAnsi="Minion Pro Med"/>
        </w:rPr>
        <w:t>alterations in</w:t>
      </w:r>
      <w:r w:rsidR="00FC638B" w:rsidRPr="00913232">
        <w:rPr>
          <w:rFonts w:ascii="Minion Pro Med" w:hAnsi="Minion Pro Med"/>
        </w:rPr>
        <w:t xml:space="preserve"> their epistemic </w:t>
      </w:r>
      <w:r w:rsidR="00F77500" w:rsidRPr="00913232">
        <w:rPr>
          <w:rFonts w:ascii="Minion Pro Med" w:hAnsi="Minion Pro Med"/>
        </w:rPr>
        <w:t>context</w:t>
      </w:r>
      <w:r w:rsidR="00A97B89" w:rsidRPr="00913232">
        <w:rPr>
          <w:rFonts w:ascii="Minion Pro Med" w:hAnsi="Minion Pro Med"/>
        </w:rPr>
        <w:t>. If other people</w:t>
      </w:r>
      <w:r w:rsidRPr="00913232">
        <w:rPr>
          <w:rFonts w:ascii="Minion Pro Med" w:hAnsi="Minion Pro Med"/>
        </w:rPr>
        <w:t xml:space="preserve"> feature in such discussions, </w:t>
      </w:r>
      <w:r w:rsidR="008B6054" w:rsidRPr="00913232">
        <w:rPr>
          <w:rFonts w:ascii="Minion Pro Med" w:hAnsi="Minion Pro Med"/>
        </w:rPr>
        <w:t xml:space="preserve">such as </w:t>
      </w:r>
      <w:r w:rsidR="002909A1" w:rsidRPr="00913232">
        <w:rPr>
          <w:rFonts w:ascii="Minion Pro Med" w:hAnsi="Minion Pro Med"/>
        </w:rPr>
        <w:t>much</w:t>
      </w:r>
      <w:r w:rsidR="00FC638B" w:rsidRPr="00913232">
        <w:rPr>
          <w:rFonts w:ascii="Minion Pro Med" w:hAnsi="Minion Pro Med"/>
        </w:rPr>
        <w:t>-</w:t>
      </w:r>
      <w:r w:rsidR="008B6054" w:rsidRPr="00913232">
        <w:rPr>
          <w:rFonts w:ascii="Minion Pro Med" w:hAnsi="Minion Pro Med"/>
        </w:rPr>
        <w:t xml:space="preserve">discussed cases involving peer disagreement, </w:t>
      </w:r>
      <w:r w:rsidRPr="00913232">
        <w:rPr>
          <w:rFonts w:ascii="Minion Pro Med" w:hAnsi="Minion Pro Med"/>
        </w:rPr>
        <w:t xml:space="preserve">they tend to feature as </w:t>
      </w:r>
      <w:r w:rsidR="00FC638B" w:rsidRPr="00913232">
        <w:rPr>
          <w:rFonts w:ascii="Minion Pro Med" w:hAnsi="Minion Pro Med"/>
        </w:rPr>
        <w:t xml:space="preserve">incidental </w:t>
      </w:r>
      <w:r w:rsidR="00F77500" w:rsidRPr="00913232">
        <w:rPr>
          <w:rFonts w:ascii="Minion Pro Med" w:hAnsi="Minion Pro Med"/>
        </w:rPr>
        <w:t>providers of input to those alterations.</w:t>
      </w:r>
    </w:p>
    <w:p w14:paraId="1A82A013" w14:textId="77777777" w:rsidR="00EF6874" w:rsidRPr="00913232" w:rsidRDefault="004D637E" w:rsidP="00F77500">
      <w:pPr>
        <w:spacing w:line="360" w:lineRule="auto"/>
        <w:rPr>
          <w:rFonts w:ascii="Minion Pro Med" w:hAnsi="Minion Pro Med"/>
        </w:rPr>
      </w:pPr>
      <w:r w:rsidRPr="00913232">
        <w:rPr>
          <w:rFonts w:ascii="Minion Pro Med" w:hAnsi="Minion Pro Med"/>
        </w:rPr>
        <w:t>This individualistic flavor</w:t>
      </w:r>
      <w:r w:rsidR="00A97B89" w:rsidRPr="00913232">
        <w:rPr>
          <w:rFonts w:ascii="Minion Pro Med" w:hAnsi="Minion Pro Med"/>
        </w:rPr>
        <w:t xml:space="preserve"> extends</w:t>
      </w:r>
      <w:r w:rsidR="007845B2" w:rsidRPr="00913232">
        <w:rPr>
          <w:rFonts w:ascii="Minion Pro Med" w:hAnsi="Minion Pro Med"/>
        </w:rPr>
        <w:t xml:space="preserve"> </w:t>
      </w:r>
      <w:r w:rsidRPr="00913232">
        <w:rPr>
          <w:rFonts w:ascii="Minion Pro Med" w:hAnsi="Minion Pro Med"/>
        </w:rPr>
        <w:t xml:space="preserve">even </w:t>
      </w:r>
      <w:r w:rsidR="007845B2" w:rsidRPr="00913232">
        <w:rPr>
          <w:rFonts w:ascii="Minion Pro Med" w:hAnsi="Minion Pro Med"/>
        </w:rPr>
        <w:t xml:space="preserve">to those philosophical discussions that </w:t>
      </w:r>
      <w:r w:rsidR="00EA40C9" w:rsidRPr="00913232">
        <w:rPr>
          <w:rFonts w:ascii="Minion Pro Med" w:hAnsi="Minion Pro Med"/>
        </w:rPr>
        <w:t xml:space="preserve">do </w:t>
      </w:r>
      <w:r w:rsidR="007845B2" w:rsidRPr="00913232">
        <w:rPr>
          <w:rFonts w:ascii="Minion Pro Med" w:hAnsi="Minion Pro Med"/>
        </w:rPr>
        <w:t xml:space="preserve">take an overt interest in the interpersonal exchange of reasons, </w:t>
      </w:r>
      <w:r w:rsidR="00EA40C9" w:rsidRPr="00913232">
        <w:rPr>
          <w:rFonts w:ascii="Minion Pro Med" w:hAnsi="Minion Pro Med"/>
        </w:rPr>
        <w:t xml:space="preserve">such as </w:t>
      </w:r>
      <w:r w:rsidR="00A5184F" w:rsidRPr="00913232">
        <w:rPr>
          <w:rFonts w:ascii="Minion Pro Med" w:hAnsi="Minion Pro Med"/>
        </w:rPr>
        <w:t xml:space="preserve">those that focus </w:t>
      </w:r>
      <w:r w:rsidR="00D1115F" w:rsidRPr="00913232">
        <w:rPr>
          <w:rFonts w:ascii="Minion Pro Med" w:hAnsi="Minion Pro Med"/>
        </w:rPr>
        <w:t xml:space="preserve">– as we shall here - </w:t>
      </w:r>
      <w:r w:rsidR="00EA40C9" w:rsidRPr="00913232">
        <w:rPr>
          <w:rFonts w:ascii="Minion Pro Med" w:hAnsi="Minion Pro Med"/>
        </w:rPr>
        <w:t>on</w:t>
      </w:r>
      <w:r w:rsidR="0056662E" w:rsidRPr="00913232">
        <w:rPr>
          <w:rFonts w:ascii="Minion Pro Med" w:hAnsi="Minion Pro Med"/>
        </w:rPr>
        <w:t xml:space="preserve"> c</w:t>
      </w:r>
      <w:r w:rsidR="007845B2" w:rsidRPr="00913232">
        <w:rPr>
          <w:rFonts w:ascii="Minion Pro Med" w:hAnsi="Minion Pro Med"/>
        </w:rPr>
        <w:t xml:space="preserve">ases where one agent </w:t>
      </w:r>
      <w:r w:rsidR="0056662E" w:rsidRPr="00913232">
        <w:rPr>
          <w:rFonts w:ascii="Minion Pro Med" w:hAnsi="Minion Pro Med"/>
        </w:rPr>
        <w:t xml:space="preserve">A </w:t>
      </w:r>
      <w:r w:rsidR="007845B2" w:rsidRPr="00913232">
        <w:rPr>
          <w:rFonts w:ascii="Minion Pro Med" w:hAnsi="Minion Pro Med"/>
        </w:rPr>
        <w:t xml:space="preserve">performs </w:t>
      </w:r>
      <w:r w:rsidR="00E55567" w:rsidRPr="00913232">
        <w:rPr>
          <w:rFonts w:ascii="Minion Pro Med" w:hAnsi="Minion Pro Med"/>
        </w:rPr>
        <w:t xml:space="preserve">a </w:t>
      </w:r>
      <w:r w:rsidR="00FF1170" w:rsidRPr="00913232">
        <w:rPr>
          <w:rFonts w:ascii="Minion Pro Med" w:hAnsi="Minion Pro Med"/>
        </w:rPr>
        <w:t>speech act</w:t>
      </w:r>
      <w:r w:rsidR="007845B2" w:rsidRPr="00913232">
        <w:rPr>
          <w:rFonts w:ascii="Minion Pro Med" w:hAnsi="Minion Pro Med"/>
        </w:rPr>
        <w:t xml:space="preserve"> </w:t>
      </w:r>
      <w:r w:rsidR="0056662E" w:rsidRPr="00913232">
        <w:rPr>
          <w:rFonts w:ascii="Minion Pro Med" w:hAnsi="Minion Pro Med"/>
        </w:rPr>
        <w:t>addressed towards another agent</w:t>
      </w:r>
      <w:r w:rsidR="007845B2" w:rsidRPr="00913232">
        <w:rPr>
          <w:rFonts w:ascii="Minion Pro Med" w:hAnsi="Minion Pro Med"/>
        </w:rPr>
        <w:t xml:space="preserve"> </w:t>
      </w:r>
      <w:r w:rsidR="00D1115F" w:rsidRPr="00913232">
        <w:rPr>
          <w:rFonts w:ascii="Minion Pro Med" w:hAnsi="Minion Pro Med"/>
        </w:rPr>
        <w:t xml:space="preserve">B </w:t>
      </w:r>
      <w:r w:rsidR="00395470" w:rsidRPr="00913232">
        <w:rPr>
          <w:rFonts w:ascii="Minion Pro Med" w:hAnsi="Minion Pro Med"/>
        </w:rPr>
        <w:t xml:space="preserve">with </w:t>
      </w:r>
      <w:r w:rsidR="0056662E" w:rsidRPr="00913232">
        <w:rPr>
          <w:rFonts w:ascii="Minion Pro Med" w:hAnsi="Minion Pro Med"/>
        </w:rPr>
        <w:t xml:space="preserve">the intention of changing B’s </w:t>
      </w:r>
      <w:r w:rsidR="007845B2" w:rsidRPr="00913232">
        <w:rPr>
          <w:rFonts w:ascii="Minion Pro Med" w:hAnsi="Minion Pro Med"/>
        </w:rPr>
        <w:t xml:space="preserve">mind </w:t>
      </w:r>
      <w:r w:rsidR="0056662E" w:rsidRPr="00913232">
        <w:rPr>
          <w:rFonts w:ascii="Minion Pro Med" w:hAnsi="Minion Pro Med"/>
        </w:rPr>
        <w:t xml:space="preserve">regarding a matter </w:t>
      </w:r>
      <w:r w:rsidR="00CF3EA2" w:rsidRPr="00913232">
        <w:rPr>
          <w:rFonts w:ascii="Minion Pro Med" w:hAnsi="Minion Pro Med"/>
        </w:rPr>
        <w:t xml:space="preserve">on which A thinks </w:t>
      </w:r>
      <w:r w:rsidR="0056662E" w:rsidRPr="00913232">
        <w:rPr>
          <w:rFonts w:ascii="Minion Pro Med" w:hAnsi="Minion Pro Med"/>
        </w:rPr>
        <w:t xml:space="preserve">B is in error. </w:t>
      </w:r>
      <w:r w:rsidR="00D13ACA" w:rsidRPr="00913232">
        <w:rPr>
          <w:rFonts w:ascii="Minion Pro Med" w:hAnsi="Minion Pro Med"/>
        </w:rPr>
        <w:t>A</w:t>
      </w:r>
      <w:r w:rsidR="00395470" w:rsidRPr="00913232">
        <w:rPr>
          <w:rFonts w:ascii="Minion Pro Med" w:hAnsi="Minion Pro Med"/>
        </w:rPr>
        <w:t xml:space="preserve"> tacit assumption in some</w:t>
      </w:r>
      <w:r w:rsidR="00A5184F" w:rsidRPr="00913232">
        <w:rPr>
          <w:rFonts w:ascii="Minion Pro Med" w:hAnsi="Minion Pro Med"/>
        </w:rPr>
        <w:t xml:space="preserve"> </w:t>
      </w:r>
      <w:r w:rsidR="00395470" w:rsidRPr="00913232">
        <w:rPr>
          <w:rFonts w:ascii="Minion Pro Med" w:hAnsi="Minion Pro Med"/>
        </w:rPr>
        <w:t xml:space="preserve">recent </w:t>
      </w:r>
      <w:r w:rsidR="00A5184F" w:rsidRPr="00913232">
        <w:rPr>
          <w:rFonts w:ascii="Minion Pro Med" w:hAnsi="Minion Pro Med"/>
        </w:rPr>
        <w:t xml:space="preserve">discussions </w:t>
      </w:r>
      <w:r w:rsidR="00D13ACA" w:rsidRPr="00913232">
        <w:rPr>
          <w:rFonts w:ascii="Minion Pro Med" w:hAnsi="Minion Pro Med"/>
        </w:rPr>
        <w:t xml:space="preserve">of this speech act </w:t>
      </w:r>
      <w:r w:rsidR="00A5184F" w:rsidRPr="00913232">
        <w:rPr>
          <w:rFonts w:ascii="Minion Pro Med" w:hAnsi="Minion Pro Med"/>
        </w:rPr>
        <w:t xml:space="preserve">is to view </w:t>
      </w:r>
      <w:r w:rsidR="0056662E" w:rsidRPr="00913232">
        <w:rPr>
          <w:rFonts w:ascii="Minion Pro Med" w:hAnsi="Minion Pro Med"/>
        </w:rPr>
        <w:t xml:space="preserve">A’s performance </w:t>
      </w:r>
      <w:r w:rsidR="00A5184F" w:rsidRPr="00913232">
        <w:rPr>
          <w:rFonts w:ascii="Minion Pro Med" w:hAnsi="Minion Pro Med"/>
        </w:rPr>
        <w:t xml:space="preserve">as an instance </w:t>
      </w:r>
      <w:r w:rsidR="0056662E" w:rsidRPr="00913232">
        <w:rPr>
          <w:rFonts w:ascii="Minion Pro Med" w:hAnsi="Minion Pro Med"/>
        </w:rPr>
        <w:t xml:space="preserve">of </w:t>
      </w:r>
      <w:r w:rsidR="00A0259E" w:rsidRPr="00913232">
        <w:rPr>
          <w:rFonts w:ascii="Minion Pro Med" w:hAnsi="Minion Pro Med"/>
        </w:rPr>
        <w:t>‘</w:t>
      </w:r>
      <w:r w:rsidR="0056662E" w:rsidRPr="00913232">
        <w:rPr>
          <w:rFonts w:ascii="Minion Pro Med" w:hAnsi="Minion Pro Med"/>
        </w:rPr>
        <w:t>informing</w:t>
      </w:r>
      <w:r w:rsidR="00A0259E" w:rsidRPr="00913232">
        <w:rPr>
          <w:rFonts w:ascii="Minion Pro Med" w:hAnsi="Minion Pro Med"/>
        </w:rPr>
        <w:t>’</w:t>
      </w:r>
      <w:r w:rsidR="00A5184F" w:rsidRPr="00913232">
        <w:rPr>
          <w:rFonts w:ascii="Minion Pro Med" w:hAnsi="Minion Pro Med"/>
        </w:rPr>
        <w:t xml:space="preserve"> B of reasons for her error, </w:t>
      </w:r>
      <w:r w:rsidR="005230C2" w:rsidRPr="00913232">
        <w:rPr>
          <w:rFonts w:ascii="Minion Pro Med" w:hAnsi="Minion Pro Med"/>
        </w:rPr>
        <w:t xml:space="preserve">by which I mean </w:t>
      </w:r>
      <w:r w:rsidR="0056662E" w:rsidRPr="00913232">
        <w:rPr>
          <w:rFonts w:ascii="Minion Pro Med" w:hAnsi="Minion Pro Med"/>
        </w:rPr>
        <w:t xml:space="preserve">the act of placing information before another in a manner that increases the likelihood that the other becomes aware of that information and alter her opinion in light of this. </w:t>
      </w:r>
      <w:r w:rsidR="00A97B89" w:rsidRPr="00913232">
        <w:rPr>
          <w:rFonts w:ascii="Minion Pro Med" w:hAnsi="Minion Pro Med"/>
        </w:rPr>
        <w:t>When v</w:t>
      </w:r>
      <w:r w:rsidR="00A5184F" w:rsidRPr="00913232">
        <w:rPr>
          <w:rFonts w:ascii="Minion Pro Med" w:hAnsi="Minion Pro Med"/>
        </w:rPr>
        <w:t>iewed</w:t>
      </w:r>
      <w:r w:rsidR="005230C2" w:rsidRPr="00913232">
        <w:rPr>
          <w:rFonts w:ascii="Minion Pro Med" w:hAnsi="Minion Pro Med"/>
        </w:rPr>
        <w:t xml:space="preserve"> </w:t>
      </w:r>
      <w:r w:rsidR="00A97B89" w:rsidRPr="00913232">
        <w:rPr>
          <w:rFonts w:ascii="Minion Pro Med" w:hAnsi="Minion Pro Med"/>
        </w:rPr>
        <w:t>as an instance of informing</w:t>
      </w:r>
      <w:r w:rsidR="00A5184F" w:rsidRPr="00913232">
        <w:rPr>
          <w:rFonts w:ascii="Minion Pro Med" w:hAnsi="Minion Pro Med"/>
        </w:rPr>
        <w:t xml:space="preserve">, </w:t>
      </w:r>
      <w:r w:rsidR="00A0259E" w:rsidRPr="00913232">
        <w:rPr>
          <w:rFonts w:ascii="Minion Pro Med" w:hAnsi="Minion Pro Med"/>
        </w:rPr>
        <w:t xml:space="preserve">the interpersonal exchange of reasons </w:t>
      </w:r>
      <w:r w:rsidR="00A5184F" w:rsidRPr="00913232">
        <w:rPr>
          <w:rFonts w:ascii="Minion Pro Med" w:hAnsi="Minion Pro Med"/>
        </w:rPr>
        <w:t>involve</w:t>
      </w:r>
      <w:r w:rsidR="00324136" w:rsidRPr="00913232">
        <w:rPr>
          <w:rFonts w:ascii="Minion Pro Med" w:hAnsi="Minion Pro Med"/>
        </w:rPr>
        <w:t>s</w:t>
      </w:r>
      <w:r w:rsidR="00A0259E" w:rsidRPr="00913232">
        <w:rPr>
          <w:rFonts w:ascii="Minion Pro Med" w:hAnsi="Minion Pro Med"/>
        </w:rPr>
        <w:t xml:space="preserve"> two separate activities performed </w:t>
      </w:r>
      <w:r w:rsidR="00A5184F" w:rsidRPr="00913232">
        <w:rPr>
          <w:rFonts w:ascii="Minion Pro Med" w:hAnsi="Minion Pro Med"/>
        </w:rPr>
        <w:t xml:space="preserve">in turn </w:t>
      </w:r>
      <w:r w:rsidR="00A0259E" w:rsidRPr="00913232">
        <w:rPr>
          <w:rFonts w:ascii="Minion Pro Med" w:hAnsi="Minion Pro Med"/>
        </w:rPr>
        <w:t>by different interlocutors</w:t>
      </w:r>
      <w:r w:rsidR="00EA40C9" w:rsidRPr="00913232">
        <w:rPr>
          <w:rFonts w:ascii="Minion Pro Med" w:hAnsi="Minion Pro Med"/>
        </w:rPr>
        <w:t xml:space="preserve">: </w:t>
      </w:r>
      <w:r w:rsidR="00A0259E" w:rsidRPr="00913232">
        <w:rPr>
          <w:rFonts w:ascii="Minion Pro Med" w:hAnsi="Minion Pro Med"/>
        </w:rPr>
        <w:t>one party places the information for the consumption of another</w:t>
      </w:r>
      <w:r w:rsidR="00A97B89" w:rsidRPr="00913232">
        <w:rPr>
          <w:rFonts w:ascii="Minion Pro Med" w:hAnsi="Minion Pro Med"/>
        </w:rPr>
        <w:t xml:space="preserve"> party</w:t>
      </w:r>
      <w:r w:rsidR="00A0259E" w:rsidRPr="00913232">
        <w:rPr>
          <w:rFonts w:ascii="Minion Pro Med" w:hAnsi="Minion Pro Med"/>
        </w:rPr>
        <w:t xml:space="preserve">, who in turn rationally evaluates its epistemic import. </w:t>
      </w:r>
      <w:r w:rsidR="00EF6874" w:rsidRPr="00913232">
        <w:rPr>
          <w:rFonts w:ascii="Minion Pro Med" w:hAnsi="Minion Pro Med"/>
        </w:rPr>
        <w:t xml:space="preserve">On this view, the interpersonal exchange of reasons is </w:t>
      </w:r>
      <w:r w:rsidR="004330D8" w:rsidRPr="00913232">
        <w:rPr>
          <w:rFonts w:ascii="Minion Pro Med" w:hAnsi="Minion Pro Med"/>
        </w:rPr>
        <w:t>not</w:t>
      </w:r>
      <w:r w:rsidR="00A97B89" w:rsidRPr="00913232">
        <w:rPr>
          <w:rFonts w:ascii="Minion Pro Med" w:hAnsi="Minion Pro Med"/>
        </w:rPr>
        <w:t xml:space="preserve"> conceived as a joint interaction;</w:t>
      </w:r>
      <w:r w:rsidR="00EF6874" w:rsidRPr="00913232">
        <w:rPr>
          <w:rFonts w:ascii="Minion Pro Med" w:hAnsi="Minion Pro Med"/>
        </w:rPr>
        <w:t xml:space="preserve"> it is not something that both parties do together. </w:t>
      </w:r>
    </w:p>
    <w:p w14:paraId="2043B3CC" w14:textId="77777777" w:rsidR="00822122" w:rsidRPr="00913232" w:rsidRDefault="00C170AE" w:rsidP="00496E73">
      <w:pPr>
        <w:spacing w:line="360" w:lineRule="auto"/>
        <w:rPr>
          <w:rFonts w:ascii="Minion Pro Med" w:hAnsi="Minion Pro Med"/>
        </w:rPr>
      </w:pPr>
      <w:r w:rsidRPr="00913232">
        <w:rPr>
          <w:rFonts w:ascii="Minion Pro Med" w:hAnsi="Minion Pro Med"/>
        </w:rPr>
        <w:t>A striking</w:t>
      </w:r>
      <w:r w:rsidR="00B42857" w:rsidRPr="00913232">
        <w:rPr>
          <w:rFonts w:ascii="Minion Pro Med" w:hAnsi="Minion Pro Med"/>
        </w:rPr>
        <w:t xml:space="preserve"> aspect of </w:t>
      </w:r>
      <w:r w:rsidR="00395470" w:rsidRPr="00913232">
        <w:rPr>
          <w:rFonts w:ascii="Minion Pro Med" w:hAnsi="Minion Pro Med"/>
        </w:rPr>
        <w:t>the</w:t>
      </w:r>
      <w:r w:rsidR="004330D8" w:rsidRPr="00913232">
        <w:rPr>
          <w:rFonts w:ascii="Minion Pro Med" w:hAnsi="Minion Pro Med"/>
        </w:rPr>
        <w:t xml:space="preserve"> </w:t>
      </w:r>
      <w:r w:rsidR="009A2EE6" w:rsidRPr="00913232">
        <w:rPr>
          <w:rFonts w:ascii="Minion Pro Med" w:hAnsi="Minion Pro Med"/>
        </w:rPr>
        <w:t>view</w:t>
      </w:r>
      <w:r w:rsidR="00EF6874" w:rsidRPr="00913232">
        <w:rPr>
          <w:rFonts w:ascii="Minion Pro Med" w:hAnsi="Minion Pro Med"/>
        </w:rPr>
        <w:t xml:space="preserve"> </w:t>
      </w:r>
      <w:r w:rsidR="004330D8" w:rsidRPr="00913232">
        <w:rPr>
          <w:rFonts w:ascii="Minion Pro Med" w:hAnsi="Minion Pro Med"/>
        </w:rPr>
        <w:t xml:space="preserve">just gestured at, </w:t>
      </w:r>
      <w:r w:rsidR="00EF6874" w:rsidRPr="00913232">
        <w:rPr>
          <w:rFonts w:ascii="Minion Pro Med" w:hAnsi="Minion Pro Med"/>
        </w:rPr>
        <w:t>of changing another’s mind as informing them of reasons for so doing</w:t>
      </w:r>
      <w:r w:rsidR="004330D8" w:rsidRPr="00913232">
        <w:rPr>
          <w:rFonts w:ascii="Minion Pro Med" w:hAnsi="Minion Pro Med"/>
        </w:rPr>
        <w:t>,</w:t>
      </w:r>
      <w:r w:rsidR="00EF6874" w:rsidRPr="00913232">
        <w:rPr>
          <w:rFonts w:ascii="Minion Pro Med" w:hAnsi="Minion Pro Med"/>
        </w:rPr>
        <w:t xml:space="preserve"> is the limited role it </w:t>
      </w:r>
      <w:r w:rsidR="00BC1AA3" w:rsidRPr="00913232">
        <w:rPr>
          <w:rFonts w:ascii="Minion Pro Med" w:hAnsi="Minion Pro Med"/>
        </w:rPr>
        <w:t xml:space="preserve">accords to the specifically linguistic dimension of the interaction. Informing </w:t>
      </w:r>
      <w:r w:rsidR="009A2EE6" w:rsidRPr="00913232">
        <w:rPr>
          <w:rFonts w:ascii="Minion Pro Med" w:hAnsi="Minion Pro Med"/>
        </w:rPr>
        <w:t xml:space="preserve">- </w:t>
      </w:r>
      <w:r w:rsidR="00BC1AA3" w:rsidRPr="00913232">
        <w:rPr>
          <w:rFonts w:ascii="Minion Pro Med" w:hAnsi="Minion Pro Med"/>
        </w:rPr>
        <w:t xml:space="preserve">as described above </w:t>
      </w:r>
      <w:r w:rsidR="009A2EE6" w:rsidRPr="00913232">
        <w:rPr>
          <w:rFonts w:ascii="Minion Pro Med" w:hAnsi="Minion Pro Med"/>
        </w:rPr>
        <w:t xml:space="preserve">- </w:t>
      </w:r>
      <w:r w:rsidR="00BC1AA3" w:rsidRPr="00913232">
        <w:rPr>
          <w:rFonts w:ascii="Minion Pro Med" w:hAnsi="Minion Pro Med"/>
        </w:rPr>
        <w:t xml:space="preserve">could </w:t>
      </w:r>
      <w:r w:rsidR="000133B5" w:rsidRPr="00913232">
        <w:rPr>
          <w:rFonts w:ascii="Minion Pro Med" w:hAnsi="Minion Pro Med"/>
        </w:rPr>
        <w:t xml:space="preserve">just as well </w:t>
      </w:r>
      <w:r w:rsidR="00BC1AA3" w:rsidRPr="00913232">
        <w:rPr>
          <w:rFonts w:ascii="Minion Pro Med" w:hAnsi="Minion Pro Med"/>
        </w:rPr>
        <w:t>take the form of one party making available evidence, say a photograph, designed to lead another to a given conclusion</w:t>
      </w:r>
      <w:r w:rsidR="00453D6D" w:rsidRPr="00913232">
        <w:rPr>
          <w:rFonts w:ascii="Minion Pro Med" w:hAnsi="Minion Pro Med"/>
        </w:rPr>
        <w:t xml:space="preserve">. A photograph is evidence for something whether or not anyone presents it as such and does so independent of the attitudes of the producer of that photograph to that photograph. In contrast, a central feature of linguistic activity is that </w:t>
      </w:r>
      <w:r w:rsidR="00B74648" w:rsidRPr="00913232">
        <w:rPr>
          <w:rFonts w:ascii="Minion Pro Med" w:hAnsi="Minion Pro Med"/>
        </w:rPr>
        <w:t xml:space="preserve">it is expressive, </w:t>
      </w:r>
      <w:r w:rsidR="00C9303E" w:rsidRPr="00913232">
        <w:rPr>
          <w:rFonts w:ascii="Minion Pro Med" w:hAnsi="Minion Pro Med"/>
        </w:rPr>
        <w:t>meaning here</w:t>
      </w:r>
      <w:r w:rsidR="00B74648" w:rsidRPr="00913232">
        <w:rPr>
          <w:rFonts w:ascii="Minion Pro Med" w:hAnsi="Minion Pro Med"/>
        </w:rPr>
        <w:t xml:space="preserve"> that </w:t>
      </w:r>
      <w:r w:rsidR="00453D6D" w:rsidRPr="00913232">
        <w:rPr>
          <w:rFonts w:ascii="Minion Pro Med" w:hAnsi="Minion Pro Med"/>
        </w:rPr>
        <w:t xml:space="preserve">the attitudes held by the performer of a speech act to that performance are essential to it </w:t>
      </w:r>
      <w:r w:rsidR="00453D6D" w:rsidRPr="00913232">
        <w:rPr>
          <w:rFonts w:ascii="Minion Pro Med" w:hAnsi="Minion Pro Med"/>
        </w:rPr>
        <w:lastRenderedPageBreak/>
        <w:t>being the kind of performance it is.</w:t>
      </w:r>
      <w:r w:rsidR="00C9303E" w:rsidRPr="00913232">
        <w:rPr>
          <w:rStyle w:val="FootnoteReference"/>
          <w:rFonts w:ascii="Minion Pro Med" w:hAnsi="Minion Pro Med"/>
        </w:rPr>
        <w:footnoteReference w:id="1"/>
      </w:r>
      <w:r w:rsidR="00453D6D" w:rsidRPr="00913232">
        <w:rPr>
          <w:rFonts w:ascii="Minion Pro Med" w:hAnsi="Minion Pro Med"/>
        </w:rPr>
        <w:t xml:space="preserve"> In</w:t>
      </w:r>
      <w:r w:rsidR="009A2EE6" w:rsidRPr="00913232">
        <w:rPr>
          <w:rFonts w:ascii="Minion Pro Med" w:hAnsi="Minion Pro Med"/>
        </w:rPr>
        <w:t xml:space="preserve"> construing the act of changing another’s mind as informing them of reasons, </w:t>
      </w:r>
      <w:r w:rsidR="00453D6D" w:rsidRPr="00913232">
        <w:rPr>
          <w:rFonts w:ascii="Minion Pro Med" w:hAnsi="Minion Pro Med"/>
        </w:rPr>
        <w:t>this view</w:t>
      </w:r>
      <w:r w:rsidR="009A2EE6" w:rsidRPr="00913232">
        <w:rPr>
          <w:rFonts w:ascii="Minion Pro Med" w:hAnsi="Minion Pro Med"/>
        </w:rPr>
        <w:t xml:space="preserve"> removes </w:t>
      </w:r>
      <w:r w:rsidR="008065BD" w:rsidRPr="00913232">
        <w:rPr>
          <w:rFonts w:ascii="Minion Pro Med" w:hAnsi="Minion Pro Med"/>
        </w:rPr>
        <w:t>the</w:t>
      </w:r>
      <w:r w:rsidR="009A2EE6" w:rsidRPr="00913232">
        <w:rPr>
          <w:rFonts w:ascii="Minion Pro Med" w:hAnsi="Minion Pro Med"/>
        </w:rPr>
        <w:t xml:space="preserve"> sense that the interpersonal exchange of reasons essentially </w:t>
      </w:r>
      <w:r w:rsidR="00453D6D" w:rsidRPr="00913232">
        <w:rPr>
          <w:rFonts w:ascii="Minion Pro Med" w:hAnsi="Minion Pro Med"/>
        </w:rPr>
        <w:t>involves distinctively expressive linguistic activity</w:t>
      </w:r>
      <w:r w:rsidR="00222273" w:rsidRPr="00913232">
        <w:rPr>
          <w:rFonts w:ascii="Minion Pro Med" w:hAnsi="Minion Pro Med"/>
        </w:rPr>
        <w:t xml:space="preserve">. </w:t>
      </w:r>
      <w:r w:rsidR="00453D6D" w:rsidRPr="00913232">
        <w:rPr>
          <w:rFonts w:ascii="Minion Pro Med" w:hAnsi="Minion Pro Med"/>
        </w:rPr>
        <w:t xml:space="preserve"> </w:t>
      </w:r>
    </w:p>
    <w:p w14:paraId="60556A1B" w14:textId="77777777" w:rsidR="00BC1AA3" w:rsidRPr="00913232" w:rsidRDefault="00395470" w:rsidP="00222273">
      <w:pPr>
        <w:spacing w:line="360" w:lineRule="auto"/>
        <w:rPr>
          <w:rFonts w:ascii="Minion Pro Med" w:hAnsi="Minion Pro Med"/>
        </w:rPr>
      </w:pPr>
      <w:r w:rsidRPr="00913232">
        <w:rPr>
          <w:rFonts w:ascii="Minion Pro Med" w:hAnsi="Minion Pro Med"/>
        </w:rPr>
        <w:t>Two features of</w:t>
      </w:r>
      <w:r w:rsidR="009A2EE6" w:rsidRPr="00913232">
        <w:rPr>
          <w:rFonts w:ascii="Minion Pro Med" w:hAnsi="Minion Pro Med"/>
        </w:rPr>
        <w:t xml:space="preserve"> the individualist flavor </w:t>
      </w:r>
      <w:r w:rsidRPr="00913232">
        <w:rPr>
          <w:rFonts w:ascii="Minion Pro Med" w:hAnsi="Minion Pro Med"/>
        </w:rPr>
        <w:t>of</w:t>
      </w:r>
      <w:r w:rsidR="009A2EE6" w:rsidRPr="00913232">
        <w:rPr>
          <w:rFonts w:ascii="Minion Pro Med" w:hAnsi="Minion Pro Med"/>
        </w:rPr>
        <w:t xml:space="preserve"> contemporary discussions of interpersonal exchange of reasons</w:t>
      </w:r>
      <w:r w:rsidRPr="00913232">
        <w:rPr>
          <w:rFonts w:ascii="Minion Pro Med" w:hAnsi="Minion Pro Med"/>
        </w:rPr>
        <w:t xml:space="preserve"> have been highlighted: </w:t>
      </w:r>
      <w:r w:rsidR="009A2EE6" w:rsidRPr="00913232">
        <w:rPr>
          <w:rFonts w:ascii="Minion Pro Med" w:hAnsi="Minion Pro Med"/>
        </w:rPr>
        <w:t xml:space="preserve">that it views </w:t>
      </w:r>
      <w:r w:rsidR="00222273" w:rsidRPr="00913232">
        <w:rPr>
          <w:rFonts w:ascii="Minion Pro Med" w:hAnsi="Minion Pro Med"/>
        </w:rPr>
        <w:t>such an exchange as</w:t>
      </w:r>
      <w:r w:rsidR="009A2EE6" w:rsidRPr="00913232">
        <w:rPr>
          <w:rFonts w:ascii="Minion Pro Med" w:hAnsi="Minion Pro Med"/>
        </w:rPr>
        <w:t xml:space="preserve"> involving two separate activities performed in turn by different interlocutors, and </w:t>
      </w:r>
      <w:r w:rsidR="000133B5" w:rsidRPr="00913232">
        <w:rPr>
          <w:rFonts w:ascii="Minion Pro Med" w:hAnsi="Minion Pro Med"/>
        </w:rPr>
        <w:t xml:space="preserve">that it </w:t>
      </w:r>
      <w:r w:rsidR="00222273" w:rsidRPr="00913232">
        <w:rPr>
          <w:rFonts w:ascii="Minion Pro Med" w:hAnsi="Minion Pro Med"/>
        </w:rPr>
        <w:t xml:space="preserve">accords no special place to expressive linguistic activity. </w:t>
      </w:r>
      <w:r w:rsidR="00815023" w:rsidRPr="00913232">
        <w:rPr>
          <w:rFonts w:ascii="Minion Pro Med" w:hAnsi="Minion Pro Med"/>
        </w:rPr>
        <w:t>These two featu</w:t>
      </w:r>
      <w:r w:rsidR="00172607" w:rsidRPr="00913232">
        <w:rPr>
          <w:rFonts w:ascii="Minion Pro Med" w:hAnsi="Minion Pro Med"/>
        </w:rPr>
        <w:t>res may be</w:t>
      </w:r>
      <w:r w:rsidR="00815023" w:rsidRPr="00913232">
        <w:rPr>
          <w:rFonts w:ascii="Minion Pro Med" w:hAnsi="Minion Pro Med"/>
        </w:rPr>
        <w:t xml:space="preserve"> </w:t>
      </w:r>
      <w:r w:rsidR="009A2EE6" w:rsidRPr="00913232">
        <w:rPr>
          <w:rFonts w:ascii="Minion Pro Med" w:hAnsi="Minion Pro Med"/>
        </w:rPr>
        <w:t xml:space="preserve">connected, and it is by taking seriously </w:t>
      </w:r>
      <w:r w:rsidR="000133B5" w:rsidRPr="00913232">
        <w:rPr>
          <w:rFonts w:ascii="Minion Pro Med" w:hAnsi="Minion Pro Med"/>
        </w:rPr>
        <w:t xml:space="preserve">the </w:t>
      </w:r>
      <w:r w:rsidR="00BC07B6" w:rsidRPr="00913232">
        <w:rPr>
          <w:rFonts w:ascii="Minion Pro Med" w:hAnsi="Minion Pro Med"/>
        </w:rPr>
        <w:t>distinctive character</w:t>
      </w:r>
      <w:r w:rsidRPr="00913232">
        <w:rPr>
          <w:rFonts w:ascii="Minion Pro Med" w:hAnsi="Minion Pro Med"/>
        </w:rPr>
        <w:t xml:space="preserve"> of </w:t>
      </w:r>
      <w:r w:rsidR="00FC198E" w:rsidRPr="00913232">
        <w:rPr>
          <w:rFonts w:ascii="Minion Pro Med" w:hAnsi="Minion Pro Med"/>
        </w:rPr>
        <w:t>expressive linguistic activity</w:t>
      </w:r>
      <w:r w:rsidRPr="00913232">
        <w:rPr>
          <w:rFonts w:ascii="Minion Pro Med" w:hAnsi="Minion Pro Med"/>
        </w:rPr>
        <w:t xml:space="preserve"> that one is able to</w:t>
      </w:r>
      <w:r w:rsidR="003418A1" w:rsidRPr="00913232">
        <w:rPr>
          <w:rFonts w:ascii="Minion Pro Med" w:hAnsi="Minion Pro Med"/>
        </w:rPr>
        <w:t xml:space="preserve"> elaborate an</w:t>
      </w:r>
      <w:r w:rsidR="009A2EE6" w:rsidRPr="00913232">
        <w:rPr>
          <w:rFonts w:ascii="Minion Pro Med" w:hAnsi="Minion Pro Med"/>
        </w:rPr>
        <w:t xml:space="preserve"> alternative to viewing the exchange as involving two separate activities. At least, that is the claim I hope to </w:t>
      </w:r>
      <w:r w:rsidR="005F1FD3" w:rsidRPr="00913232">
        <w:rPr>
          <w:rFonts w:ascii="Minion Pro Med" w:hAnsi="Minion Pro Med"/>
        </w:rPr>
        <w:t>motivate</w:t>
      </w:r>
      <w:r w:rsidR="009A2EE6" w:rsidRPr="00913232">
        <w:rPr>
          <w:rFonts w:ascii="Minion Pro Med" w:hAnsi="Minion Pro Med"/>
        </w:rPr>
        <w:t xml:space="preserve"> in this </w:t>
      </w:r>
      <w:r w:rsidR="00BF6202" w:rsidRPr="00913232">
        <w:rPr>
          <w:rFonts w:ascii="Minion Pro Med" w:hAnsi="Minion Pro Med"/>
        </w:rPr>
        <w:t>essay</w:t>
      </w:r>
      <w:r w:rsidR="009A2EE6" w:rsidRPr="00913232">
        <w:rPr>
          <w:rFonts w:ascii="Minion Pro Med" w:hAnsi="Minion Pro Med"/>
        </w:rPr>
        <w:t xml:space="preserve">. </w:t>
      </w:r>
    </w:p>
    <w:p w14:paraId="47D47536" w14:textId="77777777" w:rsidR="00EF6874" w:rsidRPr="00913232" w:rsidRDefault="009A2EE6" w:rsidP="00F77500">
      <w:pPr>
        <w:spacing w:line="360" w:lineRule="auto"/>
        <w:rPr>
          <w:rFonts w:ascii="Minion Pro Med" w:hAnsi="Minion Pro Med"/>
        </w:rPr>
      </w:pPr>
      <w:r w:rsidRPr="00913232">
        <w:rPr>
          <w:rFonts w:ascii="Minion Pro Med" w:hAnsi="Minion Pro Med"/>
        </w:rPr>
        <w:t>II</w:t>
      </w:r>
    </w:p>
    <w:p w14:paraId="3CA16592" w14:textId="77777777" w:rsidR="007D7507" w:rsidRPr="00913232" w:rsidRDefault="00D201FE" w:rsidP="006C4D56">
      <w:pPr>
        <w:spacing w:line="360" w:lineRule="auto"/>
        <w:rPr>
          <w:rFonts w:ascii="Minion Pro Med" w:hAnsi="Minion Pro Med"/>
        </w:rPr>
      </w:pPr>
      <w:r w:rsidRPr="00913232">
        <w:rPr>
          <w:rFonts w:ascii="Minion Pro Med" w:hAnsi="Minion Pro Med"/>
        </w:rPr>
        <w:t xml:space="preserve">Before turning to a defense of this claim in the main body of the </w:t>
      </w:r>
      <w:r w:rsidR="00BF6202" w:rsidRPr="00913232">
        <w:rPr>
          <w:rFonts w:ascii="Minion Pro Med" w:hAnsi="Minion Pro Med"/>
        </w:rPr>
        <w:t>es</w:t>
      </w:r>
      <w:r w:rsidR="008065BD" w:rsidRPr="00913232">
        <w:rPr>
          <w:rFonts w:ascii="Minion Pro Med" w:hAnsi="Minion Pro Med"/>
        </w:rPr>
        <w:t>s</w:t>
      </w:r>
      <w:r w:rsidR="00BF6202" w:rsidRPr="00913232">
        <w:rPr>
          <w:rFonts w:ascii="Minion Pro Med" w:hAnsi="Minion Pro Med"/>
        </w:rPr>
        <w:t>ay</w:t>
      </w:r>
      <w:r w:rsidRPr="00913232">
        <w:rPr>
          <w:rFonts w:ascii="Minion Pro Med" w:hAnsi="Minion Pro Med"/>
        </w:rPr>
        <w:t xml:space="preserve">, it will help to have a more detailed example of the individualist flavor of recent philosophical discussions of interpersonal exchange of reasons in view. </w:t>
      </w:r>
      <w:r w:rsidR="008065BD" w:rsidRPr="00913232">
        <w:rPr>
          <w:rFonts w:ascii="Minion Pro Med" w:hAnsi="Minion Pro Med"/>
        </w:rPr>
        <w:t xml:space="preserve">One </w:t>
      </w:r>
      <w:r w:rsidR="00FC198E" w:rsidRPr="00913232">
        <w:rPr>
          <w:rFonts w:ascii="Minion Pro Med" w:hAnsi="Minion Pro Med"/>
        </w:rPr>
        <w:t>revealing case is</w:t>
      </w:r>
      <w:r w:rsidR="003273EC" w:rsidRPr="00913232">
        <w:rPr>
          <w:rFonts w:ascii="Minion Pro Med" w:hAnsi="Minion Pro Med"/>
        </w:rPr>
        <w:t xml:space="preserve"> Menachem Fisch and Yitzhak Benbaji’s recent book ‘</w:t>
      </w:r>
      <w:r w:rsidR="003273EC" w:rsidRPr="00913232">
        <w:rPr>
          <w:rFonts w:ascii="Minion Pro Med" w:hAnsi="Minion Pro Med"/>
          <w:u w:val="single"/>
        </w:rPr>
        <w:t>The View from Within’</w:t>
      </w:r>
      <w:r w:rsidR="003273EC" w:rsidRPr="00913232">
        <w:rPr>
          <w:rFonts w:ascii="Minion Pro Med" w:hAnsi="Minion Pro Med"/>
        </w:rPr>
        <w:t>.</w:t>
      </w:r>
      <w:r w:rsidR="009C7B7A" w:rsidRPr="00913232">
        <w:rPr>
          <w:rStyle w:val="FootnoteReference"/>
          <w:rFonts w:ascii="Minion Pro Med" w:hAnsi="Minion Pro Med"/>
        </w:rPr>
        <w:footnoteReference w:id="2"/>
      </w:r>
    </w:p>
    <w:p w14:paraId="16C25A6C" w14:textId="77777777" w:rsidR="007D7507" w:rsidRPr="00913232" w:rsidRDefault="00815023" w:rsidP="006C4D56">
      <w:pPr>
        <w:spacing w:line="360" w:lineRule="auto"/>
        <w:rPr>
          <w:rFonts w:ascii="Minion Pro Med" w:hAnsi="Minion Pro Med"/>
        </w:rPr>
      </w:pPr>
      <w:r w:rsidRPr="00913232">
        <w:rPr>
          <w:rFonts w:ascii="Minion Pro Med" w:hAnsi="Minion Pro Med"/>
        </w:rPr>
        <w:t>This</w:t>
      </w:r>
      <w:r w:rsidR="00900C10" w:rsidRPr="00913232">
        <w:rPr>
          <w:rFonts w:ascii="Minion Pro Med" w:hAnsi="Minion Pro Med"/>
        </w:rPr>
        <w:t xml:space="preserve"> may co</w:t>
      </w:r>
      <w:r w:rsidR="00EA573E" w:rsidRPr="00913232">
        <w:rPr>
          <w:rFonts w:ascii="Minion Pro Med" w:hAnsi="Minion Pro Med"/>
        </w:rPr>
        <w:t xml:space="preserve">me as a surprise, </w:t>
      </w:r>
      <w:r w:rsidR="003428A9" w:rsidRPr="00913232">
        <w:rPr>
          <w:rFonts w:ascii="Minion Pro Med" w:hAnsi="Minion Pro Med"/>
        </w:rPr>
        <w:t xml:space="preserve">especially given </w:t>
      </w:r>
      <w:r w:rsidR="00D201FE" w:rsidRPr="00913232">
        <w:rPr>
          <w:rFonts w:ascii="Minion Pro Med" w:hAnsi="Minion Pro Med"/>
        </w:rPr>
        <w:t>Fisch and Benbaji’s</w:t>
      </w:r>
      <w:r w:rsidR="003428A9" w:rsidRPr="00913232">
        <w:rPr>
          <w:rFonts w:ascii="Minion Pro Med" w:hAnsi="Minion Pro Med"/>
        </w:rPr>
        <w:t xml:space="preserve"> overt emphasis throughout the book on the central role played by interpersonal activities in rational belief revision. The central activity described in the book is </w:t>
      </w:r>
      <w:r w:rsidR="00101EA3" w:rsidRPr="00913232">
        <w:rPr>
          <w:rFonts w:ascii="Minion Pro Med" w:hAnsi="Minion Pro Med"/>
        </w:rPr>
        <w:t>the</w:t>
      </w:r>
      <w:r w:rsidR="00FB775B" w:rsidRPr="00913232">
        <w:rPr>
          <w:rFonts w:ascii="Minion Pro Med" w:hAnsi="Minion Pro Med"/>
        </w:rPr>
        <w:t xml:space="preserve"> speech act of criticizing</w:t>
      </w:r>
      <w:r w:rsidR="005230C2" w:rsidRPr="00913232">
        <w:rPr>
          <w:rFonts w:ascii="Minion Pro Med" w:hAnsi="Minion Pro Med"/>
        </w:rPr>
        <w:t xml:space="preserve">, by which they mean </w:t>
      </w:r>
      <w:r w:rsidR="00222273" w:rsidRPr="00913232">
        <w:rPr>
          <w:rFonts w:ascii="Minion Pro Med" w:hAnsi="Minion Pro Med"/>
        </w:rPr>
        <w:t>“</w:t>
      </w:r>
      <w:r w:rsidR="00382593" w:rsidRPr="00913232">
        <w:rPr>
          <w:rFonts w:ascii="Minion Pro Med" w:hAnsi="Minion Pro Med"/>
        </w:rPr>
        <w:t>fashioning an argument” that “</w:t>
      </w:r>
      <w:r w:rsidR="005230C2" w:rsidRPr="00913232">
        <w:rPr>
          <w:rFonts w:ascii="Minion Pro Med" w:hAnsi="Minion Pro Med"/>
        </w:rPr>
        <w:t>makes a</w:t>
      </w:r>
      <w:r w:rsidR="00222273" w:rsidRPr="00913232">
        <w:rPr>
          <w:rFonts w:ascii="Minion Pro Med" w:hAnsi="Minion Pro Med"/>
        </w:rPr>
        <w:t xml:space="preserve"> case for there being a problem” that falls “</w:t>
      </w:r>
      <w:r w:rsidR="006C4D56" w:rsidRPr="00913232">
        <w:rPr>
          <w:rFonts w:ascii="Minion Pro Med" w:hAnsi="Minion Pro Med"/>
        </w:rPr>
        <w:t>within the domain of [another’s] responsibility</w:t>
      </w:r>
      <w:r w:rsidR="00222273" w:rsidRPr="00913232">
        <w:rPr>
          <w:rFonts w:ascii="Minion Pro Med" w:hAnsi="Minion Pro Med"/>
        </w:rPr>
        <w:t>”</w:t>
      </w:r>
      <w:r w:rsidR="00382593" w:rsidRPr="00913232">
        <w:rPr>
          <w:rFonts w:ascii="Minion Pro Med" w:hAnsi="Minion Pro Med"/>
        </w:rPr>
        <w:t>,</w:t>
      </w:r>
      <w:r w:rsidR="005A6FFA" w:rsidRPr="00913232">
        <w:rPr>
          <w:rFonts w:ascii="Minion Pro Med" w:hAnsi="Minion Pro Med"/>
        </w:rPr>
        <w:t xml:space="preserve"> and presenting the</w:t>
      </w:r>
      <w:r w:rsidR="006C4D56" w:rsidRPr="00913232">
        <w:rPr>
          <w:rFonts w:ascii="Minion Pro Med" w:hAnsi="Minion Pro Med"/>
        </w:rPr>
        <w:t xml:space="preserve"> argument to this o</w:t>
      </w:r>
      <w:r w:rsidR="00222273" w:rsidRPr="00913232">
        <w:rPr>
          <w:rFonts w:ascii="Minion Pro Med" w:hAnsi="Minion Pro Med"/>
        </w:rPr>
        <w:t>ther as “</w:t>
      </w:r>
      <w:r w:rsidR="006C4D56" w:rsidRPr="00913232">
        <w:rPr>
          <w:rFonts w:ascii="Minion Pro Med" w:hAnsi="Minion Pro Med"/>
        </w:rPr>
        <w:t xml:space="preserve">a reasoned call aimed at motivating its addressees to acknowledge and respond to the </w:t>
      </w:r>
      <w:r w:rsidR="00222273" w:rsidRPr="00913232">
        <w:rPr>
          <w:rFonts w:ascii="Minion Pro Med" w:hAnsi="Minion Pro Med"/>
        </w:rPr>
        <w:t>problems it purports to expose”</w:t>
      </w:r>
      <w:r w:rsidR="006C4D56" w:rsidRPr="00913232">
        <w:rPr>
          <w:rFonts w:ascii="Minion Pro Med" w:hAnsi="Minion Pro Med"/>
        </w:rPr>
        <w:t xml:space="preserve"> </w:t>
      </w:r>
      <w:r w:rsidR="003273EC" w:rsidRPr="00913232">
        <w:rPr>
          <w:rFonts w:ascii="Minion Pro Med" w:hAnsi="Minion Pro Med"/>
        </w:rPr>
        <w:t>[</w:t>
      </w:r>
      <w:r w:rsidR="006C4D56" w:rsidRPr="00913232">
        <w:rPr>
          <w:rFonts w:ascii="Minion Pro Med" w:hAnsi="Minion Pro Med"/>
        </w:rPr>
        <w:t>202-205</w:t>
      </w:r>
      <w:r w:rsidR="003273EC" w:rsidRPr="00913232">
        <w:rPr>
          <w:rFonts w:ascii="Minion Pro Med" w:hAnsi="Minion Pro Med"/>
        </w:rPr>
        <w:t>]</w:t>
      </w:r>
      <w:r w:rsidR="0049499E" w:rsidRPr="00913232">
        <w:rPr>
          <w:rFonts w:ascii="Minion Pro Med" w:hAnsi="Minion Pro Med"/>
        </w:rPr>
        <w:t xml:space="preserve">. </w:t>
      </w:r>
      <w:r w:rsidR="00D5676D" w:rsidRPr="00913232">
        <w:rPr>
          <w:rFonts w:ascii="Minion Pro Med" w:hAnsi="Minion Pro Med"/>
        </w:rPr>
        <w:t xml:space="preserve">Indeed, in their description of </w:t>
      </w:r>
      <w:r w:rsidR="00382593" w:rsidRPr="00913232">
        <w:rPr>
          <w:rFonts w:ascii="Minion Pro Med" w:hAnsi="Minion Pro Med"/>
        </w:rPr>
        <w:t>the speech act</w:t>
      </w:r>
      <w:r w:rsidR="00D5676D" w:rsidRPr="00913232">
        <w:rPr>
          <w:rFonts w:ascii="Minion Pro Med" w:hAnsi="Minion Pro Med"/>
        </w:rPr>
        <w:t>, Fisch and Benbaji even note that criticizing “amounts to more than an attempt to stimulate someone to attend to a problem by merely pointing to it”, since this would miss out on the “inherent and defining element of rebuke” that introduces a normative dimension to the speech act [221]. Thus, through an extended focus on the role of the speech act of criticizing</w:t>
      </w:r>
      <w:r w:rsidR="003B7B96" w:rsidRPr="00913232">
        <w:rPr>
          <w:rFonts w:ascii="Minion Pro Med" w:hAnsi="Minion Pro Med"/>
        </w:rPr>
        <w:t xml:space="preserve"> in belief revision</w:t>
      </w:r>
      <w:r w:rsidR="00D5676D" w:rsidRPr="00913232">
        <w:rPr>
          <w:rFonts w:ascii="Minion Pro Med" w:hAnsi="Minion Pro Med"/>
        </w:rPr>
        <w:t xml:space="preserve">, </w:t>
      </w:r>
      <w:r w:rsidRPr="00913232">
        <w:rPr>
          <w:rFonts w:ascii="Minion Pro Med" w:hAnsi="Minion Pro Med"/>
        </w:rPr>
        <w:t>and especially through</w:t>
      </w:r>
      <w:r w:rsidR="008065BD" w:rsidRPr="00913232">
        <w:rPr>
          <w:rFonts w:ascii="Minion Pro Med" w:hAnsi="Minion Pro Med"/>
        </w:rPr>
        <w:t xml:space="preserve"> their </w:t>
      </w:r>
      <w:r w:rsidR="008D7538" w:rsidRPr="00913232">
        <w:rPr>
          <w:rFonts w:ascii="Minion Pro Med" w:hAnsi="Minion Pro Med"/>
        </w:rPr>
        <w:t xml:space="preserve">thick </w:t>
      </w:r>
      <w:r w:rsidR="008065BD" w:rsidRPr="00913232">
        <w:rPr>
          <w:rFonts w:ascii="Minion Pro Med" w:hAnsi="Minion Pro Med"/>
        </w:rPr>
        <w:t xml:space="preserve">conception of its interpersonal normative dimensions, </w:t>
      </w:r>
      <w:r w:rsidR="00D5676D" w:rsidRPr="00913232">
        <w:rPr>
          <w:rFonts w:ascii="Minion Pro Med" w:hAnsi="Minion Pro Med"/>
          <w:u w:val="single"/>
        </w:rPr>
        <w:t>The View from Within</w:t>
      </w:r>
      <w:r w:rsidR="00D5676D" w:rsidRPr="00913232">
        <w:rPr>
          <w:rFonts w:ascii="Minion Pro Med" w:hAnsi="Minion Pro Med"/>
        </w:rPr>
        <w:t xml:space="preserve"> appears to proffer a rich account of the activity of changing another’s mind that takes seriously the deliberative interplay between the respective agents involved. </w:t>
      </w:r>
    </w:p>
    <w:p w14:paraId="3913A68B" w14:textId="77777777" w:rsidR="006C4D56" w:rsidRPr="00913232" w:rsidRDefault="00382593" w:rsidP="006C4D56">
      <w:pPr>
        <w:spacing w:line="360" w:lineRule="auto"/>
        <w:rPr>
          <w:rFonts w:ascii="Minion Pro Med" w:hAnsi="Minion Pro Med"/>
        </w:rPr>
      </w:pPr>
      <w:r w:rsidRPr="00913232">
        <w:rPr>
          <w:rFonts w:ascii="Minion Pro Med" w:hAnsi="Minion Pro Med"/>
        </w:rPr>
        <w:lastRenderedPageBreak/>
        <w:t>And y</w:t>
      </w:r>
      <w:r w:rsidR="006C4D56" w:rsidRPr="00913232">
        <w:rPr>
          <w:rFonts w:ascii="Minion Pro Med" w:hAnsi="Minion Pro Med"/>
        </w:rPr>
        <w:t xml:space="preserve">et, despite their intense focus on the dynamics of interpersonal deliberation in attempting to change the mind of another, Fisch &amp; Benbaji are explicit that the </w:t>
      </w:r>
      <w:r w:rsidR="00900C10" w:rsidRPr="00913232">
        <w:rPr>
          <w:rFonts w:ascii="Minion Pro Med" w:hAnsi="Minion Pro Med"/>
        </w:rPr>
        <w:t>“</w:t>
      </w:r>
      <w:r w:rsidR="006C4D56" w:rsidRPr="00913232">
        <w:rPr>
          <w:rFonts w:ascii="Minion Pro Med" w:hAnsi="Minion Pro Med"/>
        </w:rPr>
        <w:t xml:space="preserve">site of rational normative change is the arena of intrapersonal deliberation: the ultimate discourse of </w:t>
      </w:r>
      <w:r w:rsidR="00900C10" w:rsidRPr="00913232">
        <w:rPr>
          <w:rFonts w:ascii="Minion Pro Med" w:hAnsi="Minion Pro Med"/>
        </w:rPr>
        <w:t>rationality is that of the self”</w:t>
      </w:r>
      <w:r w:rsidR="006C4D56" w:rsidRPr="00913232">
        <w:rPr>
          <w:rFonts w:ascii="Minion Pro Med" w:hAnsi="Minion Pro Med"/>
        </w:rPr>
        <w:t xml:space="preserve"> [278]. </w:t>
      </w:r>
      <w:r w:rsidR="008410D4" w:rsidRPr="00913232">
        <w:rPr>
          <w:rFonts w:ascii="Minion Pro Med" w:hAnsi="Minion Pro Med"/>
        </w:rPr>
        <w:t>As they stress</w:t>
      </w:r>
      <w:r w:rsidR="006C4D56" w:rsidRPr="00913232">
        <w:rPr>
          <w:rFonts w:ascii="Minion Pro Med" w:hAnsi="Minion Pro Med"/>
        </w:rPr>
        <w:t xml:space="preserve">: </w:t>
      </w:r>
    </w:p>
    <w:p w14:paraId="41E8FD02" w14:textId="77777777" w:rsidR="006C4D56" w:rsidRPr="00913232" w:rsidRDefault="006C4D56" w:rsidP="006C4D56">
      <w:pPr>
        <w:spacing w:line="360" w:lineRule="auto"/>
        <w:ind w:left="720"/>
        <w:rPr>
          <w:rFonts w:ascii="Minion Pro Med" w:hAnsi="Minion Pro Med"/>
        </w:rPr>
      </w:pPr>
      <w:r w:rsidRPr="00913232">
        <w:rPr>
          <w:rFonts w:ascii="Minion Pro Med" w:hAnsi="Minion Pro Med"/>
        </w:rPr>
        <w:t xml:space="preserve">“the important point is that to place the onus on criticisms as we do is to ultimately locate the transformative drama of rational deliberation in the realm of intrapersonal rather than interpersonal discourse. Indispensable as the public participation in the game of giving </w:t>
      </w:r>
      <w:r w:rsidR="00CF3EA2" w:rsidRPr="00913232">
        <w:rPr>
          <w:rFonts w:ascii="Minion Pro Med" w:hAnsi="Minion Pro Med"/>
        </w:rPr>
        <w:t>and asking</w:t>
      </w:r>
      <w:r w:rsidRPr="00913232">
        <w:rPr>
          <w:rFonts w:ascii="Minion Pro Med" w:hAnsi="Minion Pro Med"/>
        </w:rPr>
        <w:t xml:space="preserve"> for reasons is to rationalit</w:t>
      </w:r>
      <w:r w:rsidR="007D7507" w:rsidRPr="00913232">
        <w:rPr>
          <w:rFonts w:ascii="Minion Pro Med" w:hAnsi="Minion Pro Med"/>
        </w:rPr>
        <w:t>y, it is in the process of self-</w:t>
      </w:r>
      <w:r w:rsidRPr="00913232">
        <w:rPr>
          <w:rFonts w:ascii="Minion Pro Med" w:hAnsi="Minion Pro Med"/>
        </w:rPr>
        <w:t xml:space="preserve">scrutinizing that rationality proper resides. [227]. </w:t>
      </w:r>
    </w:p>
    <w:p w14:paraId="223F1FC1" w14:textId="77777777" w:rsidR="0092535D" w:rsidRPr="00913232" w:rsidRDefault="007D7507" w:rsidP="006C4D56">
      <w:pPr>
        <w:spacing w:line="360" w:lineRule="auto"/>
        <w:rPr>
          <w:rFonts w:ascii="Minion Pro Med" w:hAnsi="Minion Pro Med"/>
        </w:rPr>
      </w:pPr>
      <w:r w:rsidRPr="00913232">
        <w:rPr>
          <w:rFonts w:ascii="Minion Pro Med" w:hAnsi="Minion Pro Med"/>
        </w:rPr>
        <w:t xml:space="preserve">I can attempt to change your mind on a matter by </w:t>
      </w:r>
      <w:r w:rsidR="00D200C7" w:rsidRPr="00913232">
        <w:rPr>
          <w:rFonts w:ascii="Minion Pro Med" w:hAnsi="Minion Pro Med"/>
        </w:rPr>
        <w:t xml:space="preserve">rebuking you through argument for holding a given position. Presentation of the argument ends the interpersonal </w:t>
      </w:r>
      <w:r w:rsidR="00122958" w:rsidRPr="00913232">
        <w:rPr>
          <w:rFonts w:ascii="Minion Pro Med" w:hAnsi="Minion Pro Med"/>
        </w:rPr>
        <w:t xml:space="preserve">dimension of the </w:t>
      </w:r>
      <w:r w:rsidR="00D200C7" w:rsidRPr="00913232">
        <w:rPr>
          <w:rFonts w:ascii="Minion Pro Med" w:hAnsi="Minion Pro Med"/>
        </w:rPr>
        <w:t>inter</w:t>
      </w:r>
      <w:r w:rsidR="006D234F" w:rsidRPr="00913232">
        <w:rPr>
          <w:rFonts w:ascii="Minion Pro Med" w:hAnsi="Minion Pro Med"/>
        </w:rPr>
        <w:t xml:space="preserve">action. </w:t>
      </w:r>
      <w:r w:rsidR="002C098D" w:rsidRPr="00913232">
        <w:rPr>
          <w:rFonts w:ascii="Minion Pro Med" w:hAnsi="Minion Pro Med"/>
        </w:rPr>
        <w:t xml:space="preserve">Once my act of criticizing is complete and the argument </w:t>
      </w:r>
      <w:r w:rsidR="00382593" w:rsidRPr="00913232">
        <w:rPr>
          <w:rFonts w:ascii="Minion Pro Med" w:hAnsi="Minion Pro Med"/>
        </w:rPr>
        <w:t xml:space="preserve">(and rebuke) is </w:t>
      </w:r>
      <w:r w:rsidR="002C098D" w:rsidRPr="00913232">
        <w:rPr>
          <w:rFonts w:ascii="Minion Pro Med" w:hAnsi="Minion Pro Med"/>
        </w:rPr>
        <w:t>presented</w:t>
      </w:r>
      <w:r w:rsidR="00FC198E" w:rsidRPr="00913232">
        <w:rPr>
          <w:rFonts w:ascii="Minion Pro Med" w:hAnsi="Minion Pro Med"/>
        </w:rPr>
        <w:t xml:space="preserve">, the drama transfers from </w:t>
      </w:r>
      <w:r w:rsidR="00122958" w:rsidRPr="00913232">
        <w:rPr>
          <w:rFonts w:ascii="Minion Pro Med" w:hAnsi="Minion Pro Med"/>
        </w:rPr>
        <w:t xml:space="preserve">interpersonal </w:t>
      </w:r>
      <w:r w:rsidR="00FC198E" w:rsidRPr="00913232">
        <w:rPr>
          <w:rFonts w:ascii="Minion Pro Med" w:hAnsi="Minion Pro Med"/>
        </w:rPr>
        <w:t xml:space="preserve">to </w:t>
      </w:r>
      <w:r w:rsidR="00122958" w:rsidRPr="00913232">
        <w:rPr>
          <w:rFonts w:ascii="Minion Pro Med" w:hAnsi="Minion Pro Med"/>
        </w:rPr>
        <w:t xml:space="preserve">intrapersonal realm, a person’s ‘I-part’, where </w:t>
      </w:r>
      <w:r w:rsidR="00591A94" w:rsidRPr="00913232">
        <w:rPr>
          <w:rFonts w:ascii="Minion Pro Med" w:hAnsi="Minion Pro Med"/>
        </w:rPr>
        <w:t xml:space="preserve">rational </w:t>
      </w:r>
      <w:r w:rsidR="00122958" w:rsidRPr="00913232">
        <w:rPr>
          <w:rFonts w:ascii="Minion Pro Med" w:hAnsi="Minion Pro Med"/>
        </w:rPr>
        <w:t>deliberation co</w:t>
      </w:r>
      <w:r w:rsidR="00F30DE7" w:rsidRPr="00913232">
        <w:rPr>
          <w:rFonts w:ascii="Minion Pro Med" w:hAnsi="Minion Pro Med"/>
        </w:rPr>
        <w:t>ncerning how best to change one’</w:t>
      </w:r>
      <w:r w:rsidR="00122958" w:rsidRPr="00913232">
        <w:rPr>
          <w:rFonts w:ascii="Minion Pro Med" w:hAnsi="Minion Pro Med"/>
        </w:rPr>
        <w:t>s</w:t>
      </w:r>
      <w:r w:rsidR="00172607" w:rsidRPr="00913232">
        <w:rPr>
          <w:rFonts w:ascii="Minion Pro Med" w:hAnsi="Minion Pro Med"/>
        </w:rPr>
        <w:t xml:space="preserve"> own</w:t>
      </w:r>
      <w:r w:rsidR="00122958" w:rsidRPr="00913232">
        <w:rPr>
          <w:rFonts w:ascii="Minion Pro Med" w:hAnsi="Minion Pro Med"/>
        </w:rPr>
        <w:t xml:space="preserve"> mind in light of the criticism presented takes place. </w:t>
      </w:r>
      <w:r w:rsidR="006F1A31" w:rsidRPr="00913232">
        <w:rPr>
          <w:rFonts w:ascii="Minion Pro Med" w:hAnsi="Minion Pro Med"/>
        </w:rPr>
        <w:t>“The outward critical scrutiny of one another’s reasoning will have its rational transformative effect only when accompanied by a parallel, resonating self-scrutinizing of one’s commitments and entitlements</w:t>
      </w:r>
      <w:r w:rsidR="00D66155" w:rsidRPr="00913232">
        <w:rPr>
          <w:rFonts w:ascii="Minion Pro Med" w:hAnsi="Minion Pro Med"/>
        </w:rPr>
        <w:t xml:space="preserve">” </w:t>
      </w:r>
      <w:r w:rsidR="00244EDB" w:rsidRPr="00913232">
        <w:rPr>
          <w:rFonts w:ascii="Minion Pro Med" w:hAnsi="Minion Pro Med"/>
        </w:rPr>
        <w:t xml:space="preserve">[26]. </w:t>
      </w:r>
    </w:p>
    <w:p w14:paraId="6AB1E369" w14:textId="77777777" w:rsidR="004348AA" w:rsidRPr="00913232" w:rsidRDefault="004348AA" w:rsidP="006C4D56">
      <w:pPr>
        <w:spacing w:line="360" w:lineRule="auto"/>
        <w:rPr>
          <w:rFonts w:ascii="Minion Pro Med" w:hAnsi="Minion Pro Med"/>
        </w:rPr>
      </w:pPr>
      <w:r w:rsidRPr="00913232">
        <w:rPr>
          <w:rFonts w:ascii="Minion Pro Med" w:hAnsi="Minion Pro Med"/>
        </w:rPr>
        <w:t xml:space="preserve">Fisch and Benbaji’s account of the speech act of </w:t>
      </w:r>
      <w:r w:rsidR="00ED53EA" w:rsidRPr="00913232">
        <w:rPr>
          <w:rFonts w:ascii="Minion Pro Med" w:hAnsi="Minion Pro Med"/>
        </w:rPr>
        <w:t>criticizing</w:t>
      </w:r>
      <w:r w:rsidRPr="00913232">
        <w:rPr>
          <w:rFonts w:ascii="Minion Pro Med" w:hAnsi="Minion Pro Med"/>
        </w:rPr>
        <w:t xml:space="preserve"> does not reduce the act to </w:t>
      </w:r>
      <w:r w:rsidR="004E40FB" w:rsidRPr="00913232">
        <w:rPr>
          <w:rFonts w:ascii="Minion Pro Med" w:hAnsi="Minion Pro Med"/>
        </w:rPr>
        <w:t xml:space="preserve">the </w:t>
      </w:r>
      <w:r w:rsidRPr="00913232">
        <w:rPr>
          <w:rFonts w:ascii="Minion Pro Med" w:hAnsi="Minion Pro Med"/>
          <w:i/>
        </w:rPr>
        <w:t xml:space="preserve">mere </w:t>
      </w:r>
      <w:r w:rsidRPr="00913232">
        <w:rPr>
          <w:rFonts w:ascii="Minion Pro Med" w:hAnsi="Minion Pro Med"/>
        </w:rPr>
        <w:t xml:space="preserve">informing </w:t>
      </w:r>
      <w:r w:rsidR="004E40FB" w:rsidRPr="00913232">
        <w:rPr>
          <w:rFonts w:ascii="Minion Pro Med" w:hAnsi="Minion Pro Med"/>
        </w:rPr>
        <w:t>another</w:t>
      </w:r>
      <w:r w:rsidRPr="00913232">
        <w:rPr>
          <w:rFonts w:ascii="Minion Pro Med" w:hAnsi="Minion Pro Med"/>
        </w:rPr>
        <w:t xml:space="preserve"> of alternative reasons via the presentation of argument. By stressing the performative dimension of the act, and especially by invoking the elemen</w:t>
      </w:r>
      <w:r w:rsidR="003078EE" w:rsidRPr="00913232">
        <w:rPr>
          <w:rFonts w:ascii="Minion Pro Med" w:hAnsi="Minion Pro Med"/>
        </w:rPr>
        <w:t xml:space="preserve">t of </w:t>
      </w:r>
      <w:r w:rsidR="00ED53EA" w:rsidRPr="00913232">
        <w:rPr>
          <w:rFonts w:ascii="Minion Pro Med" w:hAnsi="Minion Pro Med"/>
        </w:rPr>
        <w:t>rebuke, it is clear that there are reason</w:t>
      </w:r>
      <w:r w:rsidR="00D201FE" w:rsidRPr="00913232">
        <w:rPr>
          <w:rFonts w:ascii="Minion Pro Med" w:hAnsi="Minion Pro Med"/>
        </w:rPr>
        <w:t xml:space="preserve">s for criticizing another even </w:t>
      </w:r>
      <w:r w:rsidR="00CF3EA2" w:rsidRPr="00913232">
        <w:rPr>
          <w:rFonts w:ascii="Minion Pro Med" w:hAnsi="Minion Pro Med"/>
        </w:rPr>
        <w:t xml:space="preserve">if </w:t>
      </w:r>
      <w:r w:rsidR="00D201FE" w:rsidRPr="00913232">
        <w:rPr>
          <w:rFonts w:ascii="Minion Pro Med" w:hAnsi="Minion Pro Med"/>
        </w:rPr>
        <w:t>the one criticizing</w:t>
      </w:r>
      <w:r w:rsidR="00ED53EA" w:rsidRPr="00913232">
        <w:rPr>
          <w:rFonts w:ascii="Minion Pro Med" w:hAnsi="Minion Pro Med"/>
        </w:rPr>
        <w:t xml:space="preserve"> knew that both </w:t>
      </w:r>
      <w:r w:rsidR="00D201FE" w:rsidRPr="00913232">
        <w:rPr>
          <w:rFonts w:ascii="Minion Pro Med" w:hAnsi="Minion Pro Med"/>
        </w:rPr>
        <w:t>parties</w:t>
      </w:r>
      <w:r w:rsidR="00ED53EA" w:rsidRPr="00913232">
        <w:rPr>
          <w:rFonts w:ascii="Minion Pro Med" w:hAnsi="Minion Pro Med"/>
        </w:rPr>
        <w:t xml:space="preserve"> were in the same epistemic state regarding the reasons in favor of the claim.</w:t>
      </w:r>
      <w:r w:rsidR="00D201FE" w:rsidRPr="00913232">
        <w:rPr>
          <w:rFonts w:ascii="Minion Pro Med" w:hAnsi="Minion Pro Med"/>
        </w:rPr>
        <w:t xml:space="preserve"> </w:t>
      </w:r>
      <w:r w:rsidR="00E250E6" w:rsidRPr="00913232">
        <w:rPr>
          <w:rFonts w:ascii="Minion Pro Med" w:hAnsi="Minion Pro Med"/>
        </w:rPr>
        <w:t xml:space="preserve">More generally, by highlighting the addressive dimension of the act of criticizing, it is clear that the activity in question </w:t>
      </w:r>
      <w:r w:rsidR="004C2711" w:rsidRPr="00913232">
        <w:rPr>
          <w:rFonts w:ascii="Minion Pro Med" w:hAnsi="Minion Pro Med"/>
        </w:rPr>
        <w:t xml:space="preserve">does not </w:t>
      </w:r>
      <w:r w:rsidR="003078EE" w:rsidRPr="00913232">
        <w:rPr>
          <w:rFonts w:ascii="Minion Pro Med" w:hAnsi="Minion Pro Med"/>
        </w:rPr>
        <w:t>provid</w:t>
      </w:r>
      <w:r w:rsidR="004C2711" w:rsidRPr="00913232">
        <w:rPr>
          <w:rFonts w:ascii="Minion Pro Med" w:hAnsi="Minion Pro Med"/>
        </w:rPr>
        <w:t>e</w:t>
      </w:r>
      <w:r w:rsidR="003078EE" w:rsidRPr="00913232">
        <w:rPr>
          <w:rFonts w:ascii="Minion Pro Med" w:hAnsi="Minion Pro Med"/>
        </w:rPr>
        <w:t xml:space="preserve"> an argument designed to show what it is that any reasonable person would be justified in believing</w:t>
      </w:r>
      <w:r w:rsidR="004C2711" w:rsidRPr="00913232">
        <w:rPr>
          <w:rFonts w:ascii="Minion Pro Med" w:hAnsi="Minion Pro Med"/>
        </w:rPr>
        <w:t>, but</w:t>
      </w:r>
      <w:r w:rsidR="003078EE" w:rsidRPr="00913232">
        <w:rPr>
          <w:rFonts w:ascii="Minion Pro Med" w:hAnsi="Minion Pro Med"/>
        </w:rPr>
        <w:t xml:space="preserve"> </w:t>
      </w:r>
      <w:r w:rsidR="00FE28B4" w:rsidRPr="00913232">
        <w:rPr>
          <w:rFonts w:ascii="Minion Pro Med" w:hAnsi="Minion Pro Med"/>
        </w:rPr>
        <w:t>attempts</w:t>
      </w:r>
      <w:r w:rsidR="00BA70F1" w:rsidRPr="00913232">
        <w:rPr>
          <w:rFonts w:ascii="Minion Pro Med" w:hAnsi="Minion Pro Med"/>
        </w:rPr>
        <w:t xml:space="preserve"> to show why the</w:t>
      </w:r>
      <w:r w:rsidR="00E250E6" w:rsidRPr="00913232">
        <w:rPr>
          <w:rFonts w:ascii="Minion Pro Med" w:hAnsi="Minion Pro Med"/>
        </w:rPr>
        <w:t xml:space="preserve"> </w:t>
      </w:r>
      <w:r w:rsidR="00FE28B4" w:rsidRPr="00913232">
        <w:rPr>
          <w:rFonts w:ascii="Minion Pro Med" w:hAnsi="Minion Pro Med"/>
        </w:rPr>
        <w:t xml:space="preserve">addressed </w:t>
      </w:r>
      <w:r w:rsidR="00E250E6" w:rsidRPr="00913232">
        <w:rPr>
          <w:rFonts w:ascii="Minion Pro Med" w:hAnsi="Minion Pro Med"/>
        </w:rPr>
        <w:t>person should alter their mental state on this occasio</w:t>
      </w:r>
      <w:r w:rsidR="00900C10" w:rsidRPr="00913232">
        <w:rPr>
          <w:rFonts w:ascii="Minion Pro Med" w:hAnsi="Minion Pro Med"/>
        </w:rPr>
        <w:t>n in that</w:t>
      </w:r>
      <w:r w:rsidR="003078EE" w:rsidRPr="00913232">
        <w:rPr>
          <w:rFonts w:ascii="Minion Pro Med" w:hAnsi="Minion Pro Med"/>
        </w:rPr>
        <w:t xml:space="preserve"> particular manner.</w:t>
      </w:r>
      <w:r w:rsidR="00E250E6" w:rsidRPr="00913232">
        <w:rPr>
          <w:rStyle w:val="FootnoteReference"/>
          <w:rFonts w:ascii="Minion Pro Med" w:hAnsi="Minion Pro Med"/>
        </w:rPr>
        <w:footnoteReference w:id="3"/>
      </w:r>
      <w:r w:rsidR="00E250E6" w:rsidRPr="00913232">
        <w:rPr>
          <w:rFonts w:ascii="Minion Pro Med" w:hAnsi="Minion Pro Med"/>
        </w:rPr>
        <w:t xml:space="preserve"> </w:t>
      </w:r>
      <w:r w:rsidR="00D201FE" w:rsidRPr="00913232">
        <w:rPr>
          <w:rFonts w:ascii="Minion Pro Med" w:hAnsi="Minion Pro Med"/>
        </w:rPr>
        <w:t>Nevertheless, even i</w:t>
      </w:r>
      <w:r w:rsidR="00ED53EA" w:rsidRPr="00913232">
        <w:rPr>
          <w:rFonts w:ascii="Minion Pro Med" w:hAnsi="Minion Pro Med"/>
        </w:rPr>
        <w:t xml:space="preserve">f the act is not one of </w:t>
      </w:r>
      <w:r w:rsidR="00ED53EA" w:rsidRPr="00913232">
        <w:rPr>
          <w:rFonts w:ascii="Minion Pro Med" w:hAnsi="Minion Pro Med"/>
          <w:i/>
        </w:rPr>
        <w:t>mere</w:t>
      </w:r>
      <w:r w:rsidR="00ED53EA" w:rsidRPr="00913232">
        <w:rPr>
          <w:rFonts w:ascii="Minion Pro Med" w:hAnsi="Minion Pro Med"/>
        </w:rPr>
        <w:t xml:space="preserve"> informing, the division between interpersonal and intrapersonal deliberative dimensions ensures that it has the basic str</w:t>
      </w:r>
      <w:r w:rsidR="001D1071" w:rsidRPr="00913232">
        <w:rPr>
          <w:rFonts w:ascii="Minion Pro Med" w:hAnsi="Minion Pro Med"/>
        </w:rPr>
        <w:t>ucture of informing nonetheless. The interpersonal exchange functions as a prelude for the main intrapersonal act</w:t>
      </w:r>
      <w:r w:rsidR="00172607" w:rsidRPr="00913232">
        <w:rPr>
          <w:rFonts w:ascii="Minion Pro Med" w:hAnsi="Minion Pro Med"/>
        </w:rPr>
        <w:t>, an act that can</w:t>
      </w:r>
      <w:r w:rsidR="001D1071" w:rsidRPr="00913232">
        <w:rPr>
          <w:rFonts w:ascii="Minion Pro Med" w:hAnsi="Minion Pro Med"/>
        </w:rPr>
        <w:t xml:space="preserve"> </w:t>
      </w:r>
      <w:r w:rsidR="004C7784" w:rsidRPr="00913232">
        <w:rPr>
          <w:rFonts w:ascii="Minion Pro Med" w:hAnsi="Minion Pro Med"/>
        </w:rPr>
        <w:t xml:space="preserve">only </w:t>
      </w:r>
      <w:r w:rsidR="001D1071" w:rsidRPr="00913232">
        <w:rPr>
          <w:rFonts w:ascii="Minion Pro Med" w:hAnsi="Minion Pro Med"/>
        </w:rPr>
        <w:t xml:space="preserve">be performed by the one criticized alone. </w:t>
      </w:r>
    </w:p>
    <w:p w14:paraId="456E2B1B" w14:textId="77777777" w:rsidR="00487A9D" w:rsidRPr="00913232" w:rsidRDefault="00613866" w:rsidP="0008488A">
      <w:pPr>
        <w:spacing w:line="360" w:lineRule="auto"/>
        <w:rPr>
          <w:rFonts w:ascii="Minion Pro Med" w:hAnsi="Minion Pro Med"/>
        </w:rPr>
      </w:pPr>
      <w:r w:rsidRPr="00913232">
        <w:rPr>
          <w:rFonts w:ascii="Minion Pro Med" w:hAnsi="Minion Pro Med"/>
        </w:rPr>
        <w:t xml:space="preserve">This </w:t>
      </w:r>
      <w:r w:rsidR="00900C10" w:rsidRPr="00913232">
        <w:rPr>
          <w:rFonts w:ascii="Minion Pro Med" w:hAnsi="Minion Pro Med"/>
        </w:rPr>
        <w:t>interaction</w:t>
      </w:r>
      <w:r w:rsidRPr="00913232">
        <w:rPr>
          <w:rFonts w:ascii="Minion Pro Med" w:hAnsi="Minion Pro Med"/>
        </w:rPr>
        <w:t xml:space="preserve"> between interpersonal and intrapersonal deliberation is a core feature of the solution to the puzzle that the book sets out to solve, </w:t>
      </w:r>
      <w:r w:rsidR="00A978AF" w:rsidRPr="00913232">
        <w:rPr>
          <w:rFonts w:ascii="Minion Pro Med" w:hAnsi="Minion Pro Med"/>
        </w:rPr>
        <w:t xml:space="preserve">that of </w:t>
      </w:r>
      <w:r w:rsidRPr="00913232">
        <w:rPr>
          <w:rFonts w:ascii="Minion Pro Med" w:hAnsi="Minion Pro Med"/>
        </w:rPr>
        <w:t xml:space="preserve">accounting for the possibility of rational normative revision. The puzzle stems from the fact that it is hard to make sense of the very possibility of subjecting </w:t>
      </w:r>
      <w:r w:rsidRPr="00913232">
        <w:rPr>
          <w:rFonts w:ascii="Minion Pro Med" w:hAnsi="Minion Pro Med"/>
        </w:rPr>
        <w:lastRenderedPageBreak/>
        <w:t>ones deepest held normative commitments to rational scrutiny</w:t>
      </w:r>
      <w:r w:rsidR="00CB2223" w:rsidRPr="00913232">
        <w:rPr>
          <w:rFonts w:ascii="Minion Pro Med" w:hAnsi="Minion Pro Med"/>
        </w:rPr>
        <w:t>,</w:t>
      </w:r>
      <w:r w:rsidRPr="00913232">
        <w:rPr>
          <w:rFonts w:ascii="Minion Pro Med" w:hAnsi="Minion Pro Med"/>
        </w:rPr>
        <w:t xml:space="preserve"> given that it is impossible to argue normatively against the </w:t>
      </w:r>
      <w:r w:rsidR="00A978AF" w:rsidRPr="00913232">
        <w:rPr>
          <w:rFonts w:ascii="Minion Pro Med" w:hAnsi="Minion Pro Med"/>
        </w:rPr>
        <w:t xml:space="preserve">very </w:t>
      </w:r>
      <w:r w:rsidRPr="00913232">
        <w:rPr>
          <w:rFonts w:ascii="Minion Pro Med" w:hAnsi="Minion Pro Med"/>
        </w:rPr>
        <w:t xml:space="preserve">norms to which one is committed. </w:t>
      </w:r>
      <w:r w:rsidR="00A978AF" w:rsidRPr="00913232">
        <w:rPr>
          <w:rFonts w:ascii="Minion Pro Med" w:hAnsi="Minion Pro Med"/>
        </w:rPr>
        <w:t xml:space="preserve">The solution, claim Fisch and Benbaji, is to recognize that intrapersonal normative self-criticism must operate in an interpersonal </w:t>
      </w:r>
      <w:r w:rsidR="00591A94" w:rsidRPr="00913232">
        <w:rPr>
          <w:rFonts w:ascii="Minion Pro Med" w:hAnsi="Minion Pro Med"/>
        </w:rPr>
        <w:t>environment</w:t>
      </w:r>
      <w:r w:rsidR="00A978AF" w:rsidRPr="00913232">
        <w:rPr>
          <w:rFonts w:ascii="Minion Pro Med" w:hAnsi="Minion Pro Med"/>
        </w:rPr>
        <w:t xml:space="preserve"> of trusted normative criticism. </w:t>
      </w:r>
      <w:r w:rsidR="0008488A" w:rsidRPr="00913232">
        <w:rPr>
          <w:rFonts w:ascii="Minion Pro Med" w:hAnsi="Minion Pro Med"/>
        </w:rPr>
        <w:t xml:space="preserve">Whilst hard-hitting normative criticism put forward by a trusted other cannot convince or persuade via the peculiar force of the better reason, it can </w:t>
      </w:r>
      <w:r w:rsidR="00487A9D" w:rsidRPr="00913232">
        <w:rPr>
          <w:rFonts w:ascii="Minion Pro Med" w:hAnsi="Minion Pro Med"/>
        </w:rPr>
        <w:t>generate ambivalence</w:t>
      </w:r>
      <w:r w:rsidR="00E72BB6" w:rsidRPr="00913232">
        <w:rPr>
          <w:rFonts w:ascii="Minion Pro Med" w:hAnsi="Minion Pro Med"/>
        </w:rPr>
        <w:t xml:space="preserve"> in the one criticized</w:t>
      </w:r>
      <w:r w:rsidR="006D2923" w:rsidRPr="00913232">
        <w:rPr>
          <w:rFonts w:ascii="Minion Pro Med" w:hAnsi="Minion Pro Med"/>
        </w:rPr>
        <w:t xml:space="preserve">. This </w:t>
      </w:r>
      <w:r w:rsidR="00487A9D" w:rsidRPr="00913232">
        <w:rPr>
          <w:rFonts w:ascii="Minion Pro Med" w:hAnsi="Minion Pro Med"/>
        </w:rPr>
        <w:t>“</w:t>
      </w:r>
      <w:r w:rsidR="00E72BB6" w:rsidRPr="00913232">
        <w:rPr>
          <w:rFonts w:ascii="Minion Pro Med" w:hAnsi="Minion Pro Med"/>
        </w:rPr>
        <w:t>moment of inner discordance fraught with tortured dithering and painful indecision” [278]</w:t>
      </w:r>
      <w:r w:rsidR="00AE5467" w:rsidRPr="00913232">
        <w:rPr>
          <w:rFonts w:ascii="Minion Pro Med" w:hAnsi="Minion Pro Med"/>
        </w:rPr>
        <w:t xml:space="preserve"> </w:t>
      </w:r>
      <w:r w:rsidR="00CB2223" w:rsidRPr="00913232">
        <w:rPr>
          <w:rFonts w:ascii="Minion Pro Med" w:hAnsi="Minion Pro Med"/>
        </w:rPr>
        <w:t xml:space="preserve">has the </w:t>
      </w:r>
      <w:r w:rsidR="00E72BB6" w:rsidRPr="00913232">
        <w:rPr>
          <w:rFonts w:ascii="Minion Pro Med" w:hAnsi="Minion Pro Med"/>
        </w:rPr>
        <w:t xml:space="preserve">power to destabilize even one’s deeply-held normative commitments in a manner that is sufficient to motivate subsequent rational reconsideration of those commitments. </w:t>
      </w:r>
      <w:r w:rsidR="00AE5467" w:rsidRPr="00913232">
        <w:rPr>
          <w:rFonts w:ascii="Minion Pro Med" w:hAnsi="Minion Pro Med"/>
        </w:rPr>
        <w:t>Thus</w:t>
      </w:r>
      <w:r w:rsidR="00CB4B35" w:rsidRPr="00913232">
        <w:rPr>
          <w:rFonts w:ascii="Minion Pro Med" w:hAnsi="Minion Pro Med"/>
        </w:rPr>
        <w:t>, w</w:t>
      </w:r>
      <w:r w:rsidR="00113503" w:rsidRPr="00913232">
        <w:rPr>
          <w:rFonts w:ascii="Minion Pro Med" w:hAnsi="Minion Pro Med"/>
        </w:rPr>
        <w:t>hilst the ultimate</w:t>
      </w:r>
      <w:r w:rsidR="00220A5E" w:rsidRPr="00913232">
        <w:rPr>
          <w:rFonts w:ascii="Minion Pro Med" w:hAnsi="Minion Pro Med"/>
        </w:rPr>
        <w:t xml:space="preserve"> arena of rational deliberation is the intrapersonal, this must take place in the interpersonal context of critical dialogue with trusted others so as to ensure that transformative normative self-criticism </w:t>
      </w:r>
      <w:r w:rsidR="006D2923" w:rsidRPr="00913232">
        <w:rPr>
          <w:rFonts w:ascii="Minion Pro Med" w:hAnsi="Minion Pro Med"/>
        </w:rPr>
        <w:t xml:space="preserve">remains </w:t>
      </w:r>
      <w:r w:rsidR="00220A5E" w:rsidRPr="00913232">
        <w:rPr>
          <w:rFonts w:ascii="Minion Pro Med" w:hAnsi="Minion Pro Med"/>
        </w:rPr>
        <w:t xml:space="preserve">a </w:t>
      </w:r>
      <w:r w:rsidR="006D2923" w:rsidRPr="00913232">
        <w:rPr>
          <w:rFonts w:ascii="Minion Pro Med" w:hAnsi="Minion Pro Med"/>
        </w:rPr>
        <w:t xml:space="preserve">constant </w:t>
      </w:r>
      <w:r w:rsidR="00220A5E" w:rsidRPr="00913232">
        <w:rPr>
          <w:rFonts w:ascii="Minion Pro Med" w:hAnsi="Minion Pro Med"/>
        </w:rPr>
        <w:t xml:space="preserve">possibility. </w:t>
      </w:r>
    </w:p>
    <w:p w14:paraId="2E787D3B" w14:textId="77777777" w:rsidR="00AE5467" w:rsidRPr="00913232" w:rsidRDefault="00711442" w:rsidP="004A2E25">
      <w:pPr>
        <w:spacing w:line="360" w:lineRule="auto"/>
        <w:rPr>
          <w:rFonts w:ascii="Minion Pro Med" w:hAnsi="Minion Pro Med"/>
        </w:rPr>
      </w:pPr>
      <w:r w:rsidRPr="00913232">
        <w:rPr>
          <w:rFonts w:ascii="Minion Pro Med" w:hAnsi="Minion Pro Med"/>
        </w:rPr>
        <w:t xml:space="preserve">What is </w:t>
      </w:r>
      <w:r w:rsidR="00CB2223" w:rsidRPr="00913232">
        <w:rPr>
          <w:rFonts w:ascii="Minion Pro Med" w:hAnsi="Minion Pro Med"/>
        </w:rPr>
        <w:t>the connection between the role played by trusted others in motivating transformation by generating ambivalence and the speech act o</w:t>
      </w:r>
      <w:r w:rsidRPr="00913232">
        <w:rPr>
          <w:rFonts w:ascii="Minion Pro Med" w:hAnsi="Minion Pro Med"/>
        </w:rPr>
        <w:t xml:space="preserve">f criticizing described earlier? </w:t>
      </w:r>
      <w:r w:rsidR="000D5335" w:rsidRPr="00913232">
        <w:rPr>
          <w:rFonts w:ascii="Minion Pro Med" w:hAnsi="Minion Pro Med"/>
        </w:rPr>
        <w:t xml:space="preserve">Through </w:t>
      </w:r>
      <w:r w:rsidR="00CB4B35" w:rsidRPr="00913232">
        <w:rPr>
          <w:rFonts w:ascii="Minion Pro Med" w:hAnsi="Minion Pro Med"/>
        </w:rPr>
        <w:t>the structure of their presentation, F</w:t>
      </w:r>
      <w:r w:rsidRPr="00913232">
        <w:rPr>
          <w:rFonts w:ascii="Minion Pro Med" w:hAnsi="Minion Pro Med"/>
        </w:rPr>
        <w:t xml:space="preserve">isch and Benbaji appear to treat the latter as the </w:t>
      </w:r>
      <w:r w:rsidR="00AE5467" w:rsidRPr="00913232">
        <w:rPr>
          <w:rFonts w:ascii="Minion Pro Med" w:hAnsi="Minion Pro Med"/>
        </w:rPr>
        <w:t>primary way of achieving the former. This</w:t>
      </w:r>
      <w:r w:rsidR="006D2923" w:rsidRPr="00913232">
        <w:rPr>
          <w:rFonts w:ascii="Minion Pro Med" w:hAnsi="Minion Pro Med"/>
        </w:rPr>
        <w:t>, however,</w:t>
      </w:r>
      <w:r w:rsidR="00C170AE" w:rsidRPr="00913232">
        <w:rPr>
          <w:rFonts w:ascii="Minion Pro Med" w:hAnsi="Minion Pro Med"/>
        </w:rPr>
        <w:t xml:space="preserve"> seems implausible. I</w:t>
      </w:r>
      <w:r w:rsidR="00CB2223" w:rsidRPr="00913232">
        <w:rPr>
          <w:rFonts w:ascii="Minion Pro Med" w:hAnsi="Minion Pro Med"/>
        </w:rPr>
        <w:t xml:space="preserve">f criticism by trusted others has “little to do with the logical force of its argument” [249], it is hard to understand why this must take the form of the presentation by the critic of an argument. Ambivalence </w:t>
      </w:r>
      <w:r w:rsidR="006C4BD2" w:rsidRPr="00913232">
        <w:rPr>
          <w:rFonts w:ascii="Minion Pro Med" w:hAnsi="Minion Pro Med"/>
        </w:rPr>
        <w:t>that leads to the splitting of our I-part, and thus subjecting aspects of it</w:t>
      </w:r>
      <w:r w:rsidR="00F915E7" w:rsidRPr="00913232">
        <w:rPr>
          <w:rFonts w:ascii="Minion Pro Med" w:hAnsi="Minion Pro Med"/>
        </w:rPr>
        <w:t>self</w:t>
      </w:r>
      <w:r w:rsidR="006D2923" w:rsidRPr="00913232">
        <w:rPr>
          <w:rFonts w:ascii="Minion Pro Med" w:hAnsi="Minion Pro Med"/>
        </w:rPr>
        <w:t xml:space="preserve"> to self-scrutiny, can be brought about</w:t>
      </w:r>
      <w:r w:rsidR="006C4BD2" w:rsidRPr="00913232">
        <w:rPr>
          <w:rFonts w:ascii="Minion Pro Med" w:hAnsi="Minion Pro Med"/>
        </w:rPr>
        <w:t xml:space="preserve"> in many ways – </w:t>
      </w:r>
      <w:r w:rsidR="00C84F93" w:rsidRPr="00913232">
        <w:rPr>
          <w:rFonts w:ascii="Minion Pro Med" w:hAnsi="Minion Pro Med"/>
        </w:rPr>
        <w:t>e.g.</w:t>
      </w:r>
      <w:r w:rsidR="003E7347" w:rsidRPr="00913232">
        <w:rPr>
          <w:rFonts w:ascii="Minion Pro Med" w:hAnsi="Minion Pro Med"/>
        </w:rPr>
        <w:t xml:space="preserve"> </w:t>
      </w:r>
      <w:r w:rsidR="006C4BD2" w:rsidRPr="00913232">
        <w:rPr>
          <w:rFonts w:ascii="Minion Pro Med" w:hAnsi="Minion Pro Med"/>
        </w:rPr>
        <w:t xml:space="preserve">the raised eyebrow of a </w:t>
      </w:r>
      <w:r w:rsidR="00704C27" w:rsidRPr="00913232">
        <w:rPr>
          <w:rFonts w:ascii="Minion Pro Med" w:hAnsi="Minion Pro Med"/>
        </w:rPr>
        <w:t>therapist</w:t>
      </w:r>
      <w:r w:rsidR="006C4BD2" w:rsidRPr="00913232">
        <w:rPr>
          <w:rFonts w:ascii="Minion Pro Med" w:hAnsi="Minion Pro Med"/>
        </w:rPr>
        <w:t xml:space="preserve">, </w:t>
      </w:r>
      <w:r w:rsidR="003E7347" w:rsidRPr="00913232">
        <w:rPr>
          <w:rFonts w:ascii="Minion Pro Med" w:hAnsi="Minion Pro Med"/>
        </w:rPr>
        <w:t>the silence of a confidant, an inner experience of irony</w:t>
      </w:r>
      <w:r w:rsidR="000D5335" w:rsidRPr="00913232">
        <w:rPr>
          <w:rStyle w:val="FootnoteReference"/>
          <w:rFonts w:ascii="Minion Pro Med" w:hAnsi="Minion Pro Med"/>
        </w:rPr>
        <w:footnoteReference w:id="4"/>
      </w:r>
      <w:r w:rsidR="003E7347" w:rsidRPr="00913232">
        <w:rPr>
          <w:rFonts w:ascii="Minion Pro Med" w:hAnsi="Minion Pro Med"/>
        </w:rPr>
        <w:t xml:space="preserve"> </w:t>
      </w:r>
      <w:r w:rsidR="006C4BD2" w:rsidRPr="00913232">
        <w:rPr>
          <w:rFonts w:ascii="Minion Pro Med" w:hAnsi="Minion Pro Med"/>
        </w:rPr>
        <w:t xml:space="preserve">– none of which take the form of </w:t>
      </w:r>
      <w:r w:rsidR="00F915E7" w:rsidRPr="00913232">
        <w:rPr>
          <w:rFonts w:ascii="Minion Pro Med" w:hAnsi="Minion Pro Med"/>
        </w:rPr>
        <w:t xml:space="preserve">the </w:t>
      </w:r>
      <w:r w:rsidR="00DF6268" w:rsidRPr="00913232">
        <w:rPr>
          <w:rFonts w:ascii="Minion Pro Med" w:hAnsi="Minion Pro Med"/>
        </w:rPr>
        <w:t>inter</w:t>
      </w:r>
      <w:r w:rsidR="00F915E7" w:rsidRPr="00913232">
        <w:rPr>
          <w:rFonts w:ascii="Minion Pro Med" w:hAnsi="Minion Pro Med"/>
        </w:rPr>
        <w:t xml:space="preserve">personal </w:t>
      </w:r>
      <w:r w:rsidR="00DF6268" w:rsidRPr="00913232">
        <w:rPr>
          <w:rFonts w:ascii="Minion Pro Med" w:hAnsi="Minion Pro Med"/>
        </w:rPr>
        <w:t>presentation of a</w:t>
      </w:r>
      <w:r w:rsidR="00F915E7" w:rsidRPr="00913232">
        <w:rPr>
          <w:rFonts w:ascii="Minion Pro Med" w:hAnsi="Minion Pro Med"/>
        </w:rPr>
        <w:t xml:space="preserve"> reasoned argument.</w:t>
      </w:r>
      <w:r w:rsidR="004C7784" w:rsidRPr="00913232">
        <w:rPr>
          <w:rFonts w:ascii="Minion Pro Med" w:hAnsi="Minion Pro Med"/>
        </w:rPr>
        <w:t xml:space="preserve"> </w:t>
      </w:r>
      <w:r w:rsidR="00F915E7" w:rsidRPr="00913232">
        <w:rPr>
          <w:rFonts w:ascii="Minion Pro Med" w:hAnsi="Minion Pro Med"/>
        </w:rPr>
        <w:t xml:space="preserve"> </w:t>
      </w:r>
      <w:r w:rsidR="006C4BD2" w:rsidRPr="00913232">
        <w:rPr>
          <w:rFonts w:ascii="Minion Pro Med" w:hAnsi="Minion Pro Med"/>
        </w:rPr>
        <w:t xml:space="preserve"> </w:t>
      </w:r>
    </w:p>
    <w:p w14:paraId="5F6912C7" w14:textId="77777777" w:rsidR="004A2E25" w:rsidRPr="00913232" w:rsidRDefault="004A2E25" w:rsidP="004A2E25">
      <w:pPr>
        <w:spacing w:line="360" w:lineRule="auto"/>
        <w:rPr>
          <w:rFonts w:ascii="Minion Pro Med" w:hAnsi="Minion Pro Med"/>
        </w:rPr>
      </w:pPr>
      <w:r w:rsidRPr="00913232">
        <w:rPr>
          <w:rFonts w:ascii="Minion Pro Med" w:hAnsi="Minion Pro Med"/>
        </w:rPr>
        <w:t>The point here is not just that the act of criticizing seem</w:t>
      </w:r>
      <w:r w:rsidR="0050676E">
        <w:rPr>
          <w:rFonts w:ascii="Minion Pro Med" w:hAnsi="Minion Pro Med"/>
        </w:rPr>
        <w:t>s</w:t>
      </w:r>
      <w:r w:rsidRPr="00913232">
        <w:rPr>
          <w:rFonts w:ascii="Minion Pro Med" w:hAnsi="Minion Pro Med"/>
        </w:rPr>
        <w:t xml:space="preserve"> </w:t>
      </w:r>
      <w:r w:rsidR="006D2923" w:rsidRPr="00913232">
        <w:rPr>
          <w:rFonts w:ascii="Minion Pro Med" w:hAnsi="Minion Pro Med"/>
        </w:rPr>
        <w:t xml:space="preserve">not </w:t>
      </w:r>
      <w:r w:rsidRPr="00913232">
        <w:rPr>
          <w:rFonts w:ascii="Minion Pro Med" w:hAnsi="Minion Pro Med"/>
        </w:rPr>
        <w:t xml:space="preserve">necessary for generating the kind of ambivalence needed to begin the intrapersonal transformative drama of normative revision, it does not even seem well suited to the task. According to Fisch and Benbaji: </w:t>
      </w:r>
    </w:p>
    <w:p w14:paraId="5D024E08" w14:textId="77777777" w:rsidR="00CF568B" w:rsidRPr="00913232" w:rsidRDefault="00CF568B" w:rsidP="004A2E25">
      <w:pPr>
        <w:spacing w:line="360" w:lineRule="auto"/>
        <w:ind w:left="720"/>
        <w:rPr>
          <w:rFonts w:ascii="Minion Pro Med" w:hAnsi="Minion Pro Med"/>
        </w:rPr>
      </w:pPr>
      <w:r w:rsidRPr="00913232">
        <w:rPr>
          <w:rFonts w:ascii="Minion Pro Med" w:hAnsi="Minion Pro Med"/>
        </w:rPr>
        <w:t xml:space="preserve">“Unwittingly or not, all keen honest, direct and reasonably articulated normative criticism challenges its addressees with an explicit </w:t>
      </w:r>
      <w:r w:rsidRPr="00913232">
        <w:rPr>
          <w:rFonts w:ascii="Minion Pro Med" w:hAnsi="Minion Pro Med"/>
          <w:i/>
        </w:rPr>
        <w:t>argument</w:t>
      </w:r>
      <w:r w:rsidRPr="00913232">
        <w:rPr>
          <w:rFonts w:ascii="Minion Pro Med" w:hAnsi="Minion Pro Med"/>
        </w:rPr>
        <w:t xml:space="preserve"> that of itself, in principle (if the norms in question are heartfelt), has no hope of being convincing, but which comes accompanied by a picture implied by its premises of (the relevant part of) the addressees I-part, which though true to some extent, differs significantly from his own</w:t>
      </w:r>
      <w:r w:rsidR="008065BD" w:rsidRPr="00913232">
        <w:rPr>
          <w:rFonts w:ascii="Minion Pro Med" w:hAnsi="Minion Pro Med"/>
        </w:rPr>
        <w:t>”</w:t>
      </w:r>
      <w:r w:rsidRPr="00913232">
        <w:rPr>
          <w:rFonts w:ascii="Minion Pro Med" w:hAnsi="Minion Pro Med"/>
        </w:rPr>
        <w:t xml:space="preserve"> (258-259).  </w:t>
      </w:r>
      <w:r w:rsidR="00DF6268" w:rsidRPr="00913232">
        <w:rPr>
          <w:rFonts w:ascii="Minion Pro Med" w:hAnsi="Minion Pro Med"/>
        </w:rPr>
        <w:t xml:space="preserve">“Its transformative power lies not in the persuasiveness of its reasoning but in the </w:t>
      </w:r>
      <w:r w:rsidRPr="00913232">
        <w:rPr>
          <w:rFonts w:ascii="Minion Pro Med" w:hAnsi="Minion Pro Med"/>
        </w:rPr>
        <w:t xml:space="preserve">disturbing </w:t>
      </w:r>
      <w:r w:rsidRPr="00913232">
        <w:rPr>
          <w:rFonts w:ascii="Minion Pro Med" w:hAnsi="Minion Pro Med"/>
          <w:i/>
        </w:rPr>
        <w:t>picture</w:t>
      </w:r>
      <w:r w:rsidRPr="00913232">
        <w:rPr>
          <w:rFonts w:ascii="Minion Pro Med" w:hAnsi="Minion Pro Med"/>
        </w:rPr>
        <w:t xml:space="preserve"> it paints of us</w:t>
      </w:r>
      <w:proofErr w:type="gramStart"/>
      <w:r w:rsidRPr="00913232">
        <w:rPr>
          <w:rFonts w:ascii="Minion Pro Med" w:hAnsi="Minion Pro Med"/>
        </w:rPr>
        <w:t>…[</w:t>
      </w:r>
      <w:proofErr w:type="gramEnd"/>
      <w:r w:rsidRPr="00913232">
        <w:rPr>
          <w:rFonts w:ascii="Minion Pro Med" w:hAnsi="Minion Pro Med"/>
        </w:rPr>
        <w:t>250</w:t>
      </w:r>
      <w:r w:rsidR="00900C10" w:rsidRPr="00913232">
        <w:rPr>
          <w:rFonts w:ascii="Minion Pro Med" w:hAnsi="Minion Pro Med"/>
        </w:rPr>
        <w:t>; italics in original</w:t>
      </w:r>
      <w:r w:rsidRPr="00913232">
        <w:rPr>
          <w:rFonts w:ascii="Minion Pro Med" w:hAnsi="Minion Pro Med"/>
        </w:rPr>
        <w:t>]</w:t>
      </w:r>
      <w:r w:rsidR="00900C10" w:rsidRPr="00913232">
        <w:rPr>
          <w:rFonts w:ascii="Minion Pro Med" w:hAnsi="Minion Pro Med"/>
        </w:rPr>
        <w:t>.</w:t>
      </w:r>
    </w:p>
    <w:p w14:paraId="3C787EC5" w14:textId="77777777" w:rsidR="004A2E25" w:rsidRPr="00913232" w:rsidRDefault="004A2E25" w:rsidP="006C4D56">
      <w:pPr>
        <w:spacing w:line="360" w:lineRule="auto"/>
        <w:rPr>
          <w:rFonts w:ascii="Minion Pro Med" w:hAnsi="Minion Pro Med"/>
        </w:rPr>
      </w:pPr>
      <w:r w:rsidRPr="00913232">
        <w:rPr>
          <w:rFonts w:ascii="Minion Pro Med" w:hAnsi="Minion Pro Med"/>
        </w:rPr>
        <w:lastRenderedPageBreak/>
        <w:t xml:space="preserve">All the work involved in generating ambivalence, then, is achieved by the </w:t>
      </w:r>
      <w:r w:rsidR="001A57FD" w:rsidRPr="00913232">
        <w:rPr>
          <w:rFonts w:ascii="Minion Pro Med" w:hAnsi="Minion Pro Med"/>
        </w:rPr>
        <w:t xml:space="preserve">trusted critic’s </w:t>
      </w:r>
      <w:r w:rsidRPr="00913232">
        <w:rPr>
          <w:rFonts w:ascii="Minion Pro Med" w:hAnsi="Minion Pro Med"/>
        </w:rPr>
        <w:t xml:space="preserve">presentation of an alternative and disturbing picture of </w:t>
      </w:r>
      <w:r w:rsidR="00FD03D9" w:rsidRPr="00913232">
        <w:rPr>
          <w:rFonts w:ascii="Minion Pro Med" w:hAnsi="Minion Pro Med"/>
        </w:rPr>
        <w:t xml:space="preserve">the relevant part of the I-self, a picture that is somehow attached via implication to the premises of the critic’s argument. </w:t>
      </w:r>
      <w:r w:rsidRPr="00913232">
        <w:rPr>
          <w:rFonts w:ascii="Minion Pro Med" w:hAnsi="Minion Pro Med"/>
        </w:rPr>
        <w:t xml:space="preserve">I am deeply sympathetic to the idea that </w:t>
      </w:r>
      <w:r w:rsidR="00266C1A" w:rsidRPr="00913232">
        <w:rPr>
          <w:rFonts w:ascii="Minion Pro Med" w:hAnsi="Minion Pro Med"/>
        </w:rPr>
        <w:t>pictures</w:t>
      </w:r>
      <w:r w:rsidRPr="00913232">
        <w:rPr>
          <w:rFonts w:ascii="Minion Pro Med" w:hAnsi="Minion Pro Med"/>
        </w:rPr>
        <w:t xml:space="preserve"> of this kind </w:t>
      </w:r>
      <w:r w:rsidR="00266C1A" w:rsidRPr="00913232">
        <w:rPr>
          <w:rFonts w:ascii="Minion Pro Med" w:hAnsi="Minion Pro Med"/>
        </w:rPr>
        <w:t xml:space="preserve">can and do play a critical role in guiding our </w:t>
      </w:r>
      <w:r w:rsidR="00704C27" w:rsidRPr="00913232">
        <w:rPr>
          <w:rFonts w:ascii="Minion Pro Med" w:hAnsi="Minion Pro Med"/>
        </w:rPr>
        <w:t>deliberations</w:t>
      </w:r>
      <w:r w:rsidR="006972A2" w:rsidRPr="00913232">
        <w:rPr>
          <w:rFonts w:ascii="Minion Pro Med" w:hAnsi="Minion Pro Med"/>
        </w:rPr>
        <w:t xml:space="preserve">, and thus to the contention that the presentation of alternative pictures may engender ambivalence leading to profound changes in deep-seated normative commitments. </w:t>
      </w:r>
      <w:r w:rsidR="00E140AC" w:rsidRPr="00913232">
        <w:rPr>
          <w:rFonts w:ascii="Minion Pro Med" w:hAnsi="Minion Pro Med"/>
        </w:rPr>
        <w:t>However, t</w:t>
      </w:r>
      <w:r w:rsidR="00266C1A" w:rsidRPr="00913232">
        <w:rPr>
          <w:rFonts w:ascii="Minion Pro Med" w:hAnsi="Minion Pro Med"/>
        </w:rPr>
        <w:t>here remain other, and far richer, ways of presenting suc</w:t>
      </w:r>
      <w:r w:rsidR="00704C27" w:rsidRPr="00913232">
        <w:rPr>
          <w:rFonts w:ascii="Minion Pro Med" w:hAnsi="Minion Pro Med"/>
        </w:rPr>
        <w:t xml:space="preserve">h pictures to others than as an </w:t>
      </w:r>
      <w:r w:rsidR="00266C1A" w:rsidRPr="00913232">
        <w:rPr>
          <w:rFonts w:ascii="Minion Pro Med" w:hAnsi="Minion Pro Med"/>
        </w:rPr>
        <w:t>accompaniment to an explicit</w:t>
      </w:r>
      <w:r w:rsidR="006972A2" w:rsidRPr="00913232">
        <w:rPr>
          <w:rFonts w:ascii="Minion Pro Med" w:hAnsi="Minion Pro Med"/>
        </w:rPr>
        <w:t>ly formulated critical</w:t>
      </w:r>
      <w:r w:rsidR="00266C1A" w:rsidRPr="00913232">
        <w:rPr>
          <w:rFonts w:ascii="Minion Pro Med" w:hAnsi="Minion Pro Med"/>
        </w:rPr>
        <w:t xml:space="preserve"> argument. </w:t>
      </w:r>
    </w:p>
    <w:p w14:paraId="75A41AB0" w14:textId="77777777" w:rsidR="006972A2" w:rsidRPr="00913232" w:rsidRDefault="008110F0" w:rsidP="006C4D56">
      <w:pPr>
        <w:spacing w:line="360" w:lineRule="auto"/>
        <w:rPr>
          <w:rFonts w:ascii="Minion Pro Med" w:hAnsi="Minion Pro Med"/>
        </w:rPr>
      </w:pPr>
      <w:r w:rsidRPr="00913232">
        <w:rPr>
          <w:rFonts w:ascii="Minion Pro Med" w:hAnsi="Minion Pro Med"/>
        </w:rPr>
        <w:t>An illustrative example. Perhaps the most celebrated instance of a pervasive transformation of self-conception occasioned by the speech of a trusted normative critic in the Western philosophical tradition</w:t>
      </w:r>
      <w:r w:rsidR="001D2669" w:rsidRPr="00913232">
        <w:rPr>
          <w:rFonts w:ascii="Minion Pro Med" w:hAnsi="Minion Pro Med"/>
        </w:rPr>
        <w:t xml:space="preserve"> involves an encounter with an o</w:t>
      </w:r>
      <w:r w:rsidRPr="00913232">
        <w:rPr>
          <w:rFonts w:ascii="Minion Pro Med" w:hAnsi="Minion Pro Med"/>
        </w:rPr>
        <w:t>racle. Here is an insightful, recent description of the inner dynamics of such an encounter</w:t>
      </w:r>
      <w:r w:rsidR="008B17EC" w:rsidRPr="00913232">
        <w:rPr>
          <w:rFonts w:ascii="Minion Pro Med" w:hAnsi="Minion Pro Med"/>
        </w:rPr>
        <w:t xml:space="preserve"> by</w:t>
      </w:r>
      <w:r w:rsidRPr="00913232">
        <w:rPr>
          <w:rFonts w:ascii="Minion Pro Med" w:hAnsi="Minion Pro Med"/>
        </w:rPr>
        <w:t xml:space="preserve"> Jonathan Lear: </w:t>
      </w:r>
    </w:p>
    <w:p w14:paraId="33A0CAF3" w14:textId="77777777" w:rsidR="008110F0" w:rsidRPr="00913232" w:rsidRDefault="008110F0" w:rsidP="008110F0">
      <w:pPr>
        <w:spacing w:line="360" w:lineRule="auto"/>
        <w:ind w:left="720"/>
        <w:rPr>
          <w:rFonts w:ascii="Minion Pro Med" w:hAnsi="Minion Pro Med"/>
        </w:rPr>
      </w:pPr>
      <w:r w:rsidRPr="00913232">
        <w:rPr>
          <w:rFonts w:ascii="Minion Pro Med" w:hAnsi="Minion Pro Med"/>
        </w:rPr>
        <w:t xml:space="preserve">“An oracle begins with an outside source telling a person who he is in terms he at first finds alien and enigmatic. Then there is an unsettling process of familiarization: the person comes to understand what the oracle means as he comes to recognize that he is its embodiment. And, of course, the recognition of the meaning of the oracle represents more than an increase in propositional knowledge -- e.g. </w:t>
      </w:r>
      <w:r w:rsidRPr="00913232">
        <w:rPr>
          <w:rFonts w:ascii="Minion Pro Med" w:hAnsi="Minion Pro Med"/>
          <w:i/>
          <w:iCs/>
        </w:rPr>
        <w:t xml:space="preserve">that </w:t>
      </w:r>
      <w:r w:rsidRPr="00913232">
        <w:rPr>
          <w:rFonts w:ascii="Minion Pro Med" w:hAnsi="Minion Pro Med"/>
        </w:rPr>
        <w:t>I am the one who murdered his father and married his mother. It is the occasion for a more or less massive disruption of my sense of who I am; and a disorientation in a world that, until now, had been familiar.”</w:t>
      </w:r>
      <w:r w:rsidR="0064259A" w:rsidRPr="00913232">
        <w:rPr>
          <w:rStyle w:val="FootnoteReference"/>
          <w:rFonts w:ascii="Minion Pro Med" w:hAnsi="Minion Pro Med"/>
        </w:rPr>
        <w:footnoteReference w:id="5"/>
      </w:r>
    </w:p>
    <w:p w14:paraId="3A968D3E" w14:textId="77777777" w:rsidR="000E4889" w:rsidRPr="00913232" w:rsidRDefault="001D2669" w:rsidP="001D2669">
      <w:pPr>
        <w:spacing w:line="360" w:lineRule="auto"/>
        <w:rPr>
          <w:rFonts w:ascii="Minion Pro Med" w:hAnsi="Minion Pro Med"/>
        </w:rPr>
      </w:pPr>
      <w:r w:rsidRPr="00913232">
        <w:rPr>
          <w:rFonts w:ascii="Minion Pro Med" w:hAnsi="Minion Pro Med"/>
        </w:rPr>
        <w:t>Whilst not a friend, the oracle is indeed a trusted critic</w:t>
      </w:r>
      <w:r w:rsidR="008B17EC" w:rsidRPr="00913232">
        <w:rPr>
          <w:rFonts w:ascii="Minion Pro Med" w:hAnsi="Minion Pro Med"/>
        </w:rPr>
        <w:t xml:space="preserve"> par excellence. The movement</w:t>
      </w:r>
      <w:r w:rsidR="00202379" w:rsidRPr="00913232">
        <w:rPr>
          <w:rFonts w:ascii="Minion Pro Med" w:hAnsi="Minion Pro Med"/>
        </w:rPr>
        <w:t xml:space="preserve"> described,</w:t>
      </w:r>
      <w:r w:rsidR="008B17EC" w:rsidRPr="00913232">
        <w:rPr>
          <w:rFonts w:ascii="Minion Pro Med" w:hAnsi="Minion Pro Med"/>
        </w:rPr>
        <w:t xml:space="preserve"> from encounter with </w:t>
      </w:r>
      <w:r w:rsidR="00202379" w:rsidRPr="00913232">
        <w:rPr>
          <w:rFonts w:ascii="Minion Pro Med" w:hAnsi="Minion Pro Med"/>
        </w:rPr>
        <w:t xml:space="preserve">an </w:t>
      </w:r>
      <w:r w:rsidR="008B17EC" w:rsidRPr="00913232">
        <w:rPr>
          <w:rFonts w:ascii="Minion Pro Med" w:hAnsi="Minion Pro Med"/>
        </w:rPr>
        <w:t xml:space="preserve">unsettling picture of oneself </w:t>
      </w:r>
      <w:r w:rsidR="00202379" w:rsidRPr="00913232">
        <w:rPr>
          <w:rFonts w:ascii="Minion Pro Med" w:hAnsi="Minion Pro Med"/>
        </w:rPr>
        <w:t xml:space="preserve">presented by another </w:t>
      </w:r>
      <w:r w:rsidR="008B17EC" w:rsidRPr="00913232">
        <w:rPr>
          <w:rFonts w:ascii="Minion Pro Med" w:hAnsi="Minion Pro Med"/>
        </w:rPr>
        <w:t xml:space="preserve">to </w:t>
      </w:r>
      <w:r w:rsidR="00202379" w:rsidRPr="00913232">
        <w:rPr>
          <w:rFonts w:ascii="Minion Pro Med" w:hAnsi="Minion Pro Med"/>
        </w:rPr>
        <w:t xml:space="preserve">familiarization with that picture leading to eventual change, has </w:t>
      </w:r>
      <w:r w:rsidR="00601F2B" w:rsidRPr="00913232">
        <w:rPr>
          <w:rFonts w:ascii="Minion Pro Med" w:hAnsi="Minion Pro Med"/>
        </w:rPr>
        <w:t>firm echoes with the description of th</w:t>
      </w:r>
      <w:r w:rsidR="00711442" w:rsidRPr="00913232">
        <w:rPr>
          <w:rFonts w:ascii="Minion Pro Med" w:hAnsi="Minion Pro Med"/>
        </w:rPr>
        <w:t>e achievement of normative self-</w:t>
      </w:r>
      <w:r w:rsidR="00601F2B" w:rsidRPr="00913232">
        <w:rPr>
          <w:rFonts w:ascii="Minion Pro Med" w:hAnsi="Minion Pro Med"/>
        </w:rPr>
        <w:t>criticism in Fisch &amp; Benbaji. There are, however, two important differences. First, a key to the oracle’s power and success is the ambigu</w:t>
      </w:r>
      <w:r w:rsidR="00900C10" w:rsidRPr="00913232">
        <w:rPr>
          <w:rFonts w:ascii="Minion Pro Med" w:hAnsi="Minion Pro Med"/>
        </w:rPr>
        <w:t>ity of their pronouncement, leav</w:t>
      </w:r>
      <w:r w:rsidR="00601F2B" w:rsidRPr="00913232">
        <w:rPr>
          <w:rFonts w:ascii="Minion Pro Med" w:hAnsi="Minion Pro Med"/>
        </w:rPr>
        <w:t>ing the addressee the difficult hermeneutic task of trying to make best sense of the claim made. In contrast, Fisch and Be</w:t>
      </w:r>
      <w:r w:rsidR="00202379" w:rsidRPr="00913232">
        <w:rPr>
          <w:rFonts w:ascii="Minion Pro Med" w:hAnsi="Minion Pro Med"/>
        </w:rPr>
        <w:t>n</w:t>
      </w:r>
      <w:r w:rsidR="00601F2B" w:rsidRPr="00913232">
        <w:rPr>
          <w:rFonts w:ascii="Minion Pro Med" w:hAnsi="Minion Pro Med"/>
        </w:rPr>
        <w:t xml:space="preserve">baji’s trusted critique makes explicit and patently unambiguous claims, the working through of which </w:t>
      </w:r>
      <w:r w:rsidR="003C008D" w:rsidRPr="00913232">
        <w:rPr>
          <w:rFonts w:ascii="Minion Pro Med" w:hAnsi="Minion Pro Med"/>
        </w:rPr>
        <w:t xml:space="preserve">will undoubtedly interfere with </w:t>
      </w:r>
      <w:r w:rsidR="00202379" w:rsidRPr="00913232">
        <w:rPr>
          <w:rFonts w:ascii="Minion Pro Med" w:hAnsi="Minion Pro Med"/>
        </w:rPr>
        <w:t xml:space="preserve">any engagement with the </w:t>
      </w:r>
      <w:r w:rsidR="00AB4FA3" w:rsidRPr="00913232">
        <w:rPr>
          <w:rFonts w:ascii="Minion Pro Med" w:hAnsi="Minion Pro Med"/>
        </w:rPr>
        <w:t>ambivala</w:t>
      </w:r>
      <w:r w:rsidR="003C008D" w:rsidRPr="00913232">
        <w:rPr>
          <w:rFonts w:ascii="Minion Pro Med" w:hAnsi="Minion Pro Med"/>
        </w:rPr>
        <w:t xml:space="preserve">ting picture thereby implied. </w:t>
      </w:r>
      <w:r w:rsidR="00601F2B" w:rsidRPr="00913232">
        <w:rPr>
          <w:rFonts w:ascii="Minion Pro Med" w:hAnsi="Minion Pro Med"/>
        </w:rPr>
        <w:t xml:space="preserve">Second, </w:t>
      </w:r>
      <w:r w:rsidR="003C008D" w:rsidRPr="00913232">
        <w:rPr>
          <w:rFonts w:ascii="Minion Pro Med" w:hAnsi="Minion Pro Med"/>
        </w:rPr>
        <w:t xml:space="preserve">at least in the celebrated case of Socrates, the result of the ambivalence generated by the encounter involves an overt embrace of the realm of interpersonal dialogue in an attempt to </w:t>
      </w:r>
      <w:r w:rsidR="00202379" w:rsidRPr="00913232">
        <w:rPr>
          <w:rFonts w:ascii="Minion Pro Med" w:hAnsi="Minion Pro Med"/>
        </w:rPr>
        <w:t>work through the ambivalence</w:t>
      </w:r>
      <w:r w:rsidR="00DE7B84" w:rsidRPr="00913232">
        <w:rPr>
          <w:rFonts w:ascii="Minion Pro Med" w:hAnsi="Minion Pro Med"/>
        </w:rPr>
        <w:t xml:space="preserve">, and this is not </w:t>
      </w:r>
      <w:r w:rsidR="000E4889" w:rsidRPr="00913232">
        <w:rPr>
          <w:rFonts w:ascii="Minion Pro Med" w:hAnsi="Minion Pro Med"/>
        </w:rPr>
        <w:t xml:space="preserve">portrayed </w:t>
      </w:r>
      <w:r w:rsidR="00DE7B84" w:rsidRPr="00913232">
        <w:rPr>
          <w:rFonts w:ascii="Minion Pro Med" w:hAnsi="Minion Pro Med"/>
        </w:rPr>
        <w:t xml:space="preserve">as a mere </w:t>
      </w:r>
      <w:r w:rsidR="000E4889" w:rsidRPr="00913232">
        <w:rPr>
          <w:rFonts w:ascii="Minion Pro Med" w:hAnsi="Minion Pro Med"/>
        </w:rPr>
        <w:t>prelude to a subsequent process of inward scrutiny.</w:t>
      </w:r>
    </w:p>
    <w:p w14:paraId="3CB54982" w14:textId="77777777" w:rsidR="007D33FA" w:rsidRPr="00913232" w:rsidRDefault="00202379" w:rsidP="001D2669">
      <w:pPr>
        <w:spacing w:line="360" w:lineRule="auto"/>
        <w:rPr>
          <w:rFonts w:ascii="Minion Pro Med" w:hAnsi="Minion Pro Med"/>
        </w:rPr>
      </w:pPr>
      <w:r w:rsidRPr="00913232">
        <w:rPr>
          <w:rFonts w:ascii="Minion Pro Med" w:hAnsi="Minion Pro Med"/>
        </w:rPr>
        <w:lastRenderedPageBreak/>
        <w:t xml:space="preserve">If the key to normative self-criticism is an encounter with a disconcerting picture of oneself, and especially if one concedes that there are other ways of presenting such a picture than as an implication of an explicit argument made by a trusted critic, then there is room to question whether such a critical encounter needs to take place </w:t>
      </w:r>
      <w:r w:rsidR="00141687" w:rsidRPr="00913232">
        <w:rPr>
          <w:rFonts w:ascii="Minion Pro Med" w:hAnsi="Minion Pro Med"/>
        </w:rPr>
        <w:t xml:space="preserve">through </w:t>
      </w:r>
      <w:r w:rsidR="004348AA" w:rsidRPr="00913232">
        <w:rPr>
          <w:rFonts w:ascii="Minion Pro Med" w:hAnsi="Minion Pro Med"/>
        </w:rPr>
        <w:t>discursive</w:t>
      </w:r>
      <w:r w:rsidR="00141687" w:rsidRPr="00913232">
        <w:rPr>
          <w:rFonts w:ascii="Minion Pro Med" w:hAnsi="Minion Pro Med"/>
        </w:rPr>
        <w:t xml:space="preserve"> means. Fisch and Benbaji themselves appear to raise this question, by repeatedly pointing to an analogy </w:t>
      </w:r>
      <w:r w:rsidR="00914DA1" w:rsidRPr="00913232">
        <w:rPr>
          <w:rFonts w:ascii="Minion Pro Med" w:hAnsi="Minion Pro Med"/>
        </w:rPr>
        <w:t>between the disorienting response to such criticism and the disorienting response to watching or listening to ourselves perform</w:t>
      </w:r>
      <w:r w:rsidR="0084723A" w:rsidRPr="00913232">
        <w:rPr>
          <w:rFonts w:ascii="Minion Pro Med" w:hAnsi="Minion Pro Med"/>
        </w:rPr>
        <w:t xml:space="preserve"> via some form of trusted playback device</w:t>
      </w:r>
      <w:r w:rsidR="00914DA1" w:rsidRPr="00913232">
        <w:rPr>
          <w:rFonts w:ascii="Minion Pro Med" w:hAnsi="Minion Pro Med"/>
        </w:rPr>
        <w:t xml:space="preserve"> [248]. </w:t>
      </w:r>
      <w:r w:rsidR="006767B1" w:rsidRPr="00913232">
        <w:rPr>
          <w:rFonts w:ascii="Minion Pro Med" w:hAnsi="Minion Pro Med"/>
        </w:rPr>
        <w:t xml:space="preserve">In both cases, it is claimed, </w:t>
      </w:r>
      <w:r w:rsidR="00164076" w:rsidRPr="00913232">
        <w:rPr>
          <w:rFonts w:ascii="Minion Pro Med" w:hAnsi="Minion Pro Med"/>
        </w:rPr>
        <w:t xml:space="preserve">a discrepancy between one’s self image and the image of oneself presented by a source deemed reliable (either </w:t>
      </w:r>
      <w:r w:rsidR="00F3025F" w:rsidRPr="00913232">
        <w:rPr>
          <w:rFonts w:ascii="Minion Pro Med" w:hAnsi="Minion Pro Med"/>
        </w:rPr>
        <w:t xml:space="preserve">a playback device or </w:t>
      </w:r>
      <w:r w:rsidR="00164076" w:rsidRPr="00913232">
        <w:rPr>
          <w:rFonts w:ascii="Minion Pro Med" w:hAnsi="Minion Pro Med"/>
        </w:rPr>
        <w:t>a critic) leads to disorientation and self-estrangement</w:t>
      </w:r>
      <w:r w:rsidR="00F3025F" w:rsidRPr="00913232">
        <w:rPr>
          <w:rFonts w:ascii="Minion Pro Med" w:hAnsi="Minion Pro Med"/>
        </w:rPr>
        <w:t>, one that potentially</w:t>
      </w:r>
      <w:r w:rsidR="005A6FFA" w:rsidRPr="00913232">
        <w:rPr>
          <w:rFonts w:ascii="Minion Pro Med" w:hAnsi="Minion Pro Med"/>
        </w:rPr>
        <w:t xml:space="preserve"> has the power to self-correct – i.e. to </w:t>
      </w:r>
      <w:r w:rsidR="00F3025F" w:rsidRPr="00913232">
        <w:rPr>
          <w:rFonts w:ascii="Minion Pro Med" w:hAnsi="Minion Pro Med"/>
        </w:rPr>
        <w:t xml:space="preserve">better achieve one’s goals </w:t>
      </w:r>
      <w:r w:rsidR="00711442" w:rsidRPr="00913232">
        <w:rPr>
          <w:rFonts w:ascii="Minion Pro Med" w:hAnsi="Minion Pro Med"/>
        </w:rPr>
        <w:t>(</w:t>
      </w:r>
      <w:r w:rsidR="00F3025F" w:rsidRPr="00913232">
        <w:rPr>
          <w:rFonts w:ascii="Minion Pro Med" w:hAnsi="Minion Pro Med"/>
        </w:rPr>
        <w:t>in the case of a playback device</w:t>
      </w:r>
      <w:r w:rsidR="00711442" w:rsidRPr="00913232">
        <w:rPr>
          <w:rFonts w:ascii="Minion Pro Med" w:hAnsi="Minion Pro Med"/>
        </w:rPr>
        <w:t>)</w:t>
      </w:r>
      <w:r w:rsidR="00F3025F" w:rsidRPr="00913232">
        <w:rPr>
          <w:rFonts w:ascii="Minion Pro Med" w:hAnsi="Minion Pro Med"/>
        </w:rPr>
        <w:t xml:space="preserve"> or to ‘put ourselves right’ </w:t>
      </w:r>
      <w:r w:rsidR="00711442" w:rsidRPr="00913232">
        <w:rPr>
          <w:rFonts w:ascii="Minion Pro Med" w:hAnsi="Minion Pro Med"/>
        </w:rPr>
        <w:t>(</w:t>
      </w:r>
      <w:r w:rsidR="006D2923" w:rsidRPr="00913232">
        <w:rPr>
          <w:rFonts w:ascii="Minion Pro Med" w:hAnsi="Minion Pro Med"/>
        </w:rPr>
        <w:t>in the case of the critic)</w:t>
      </w:r>
      <w:r w:rsidR="005A6FFA" w:rsidRPr="00913232">
        <w:rPr>
          <w:rFonts w:ascii="Minion Pro Med" w:hAnsi="Minion Pro Med"/>
        </w:rPr>
        <w:t xml:space="preserve"> [251]</w:t>
      </w:r>
      <w:r w:rsidR="006D2923" w:rsidRPr="00913232">
        <w:rPr>
          <w:rFonts w:ascii="Minion Pro Med" w:hAnsi="Minion Pro Med"/>
        </w:rPr>
        <w:t xml:space="preserve">. </w:t>
      </w:r>
      <w:r w:rsidR="001A57FD" w:rsidRPr="00913232">
        <w:rPr>
          <w:rFonts w:ascii="Minion Pro Med" w:hAnsi="Minion Pro Med"/>
        </w:rPr>
        <w:t xml:space="preserve">One </w:t>
      </w:r>
      <w:r w:rsidR="00CB4B35" w:rsidRPr="00913232">
        <w:rPr>
          <w:rFonts w:ascii="Minion Pro Med" w:hAnsi="Minion Pro Med"/>
        </w:rPr>
        <w:t>disanalogy between the two is that the output of a playback device has the epistemic standing of what above was called ‘evidence’</w:t>
      </w:r>
      <w:r w:rsidR="00AE5467" w:rsidRPr="00913232">
        <w:rPr>
          <w:rFonts w:ascii="Minion Pro Med" w:hAnsi="Minion Pro Med"/>
        </w:rPr>
        <w:t xml:space="preserve">, in that – unlike the distinctive expressive character of the speech act of criticizing - the attitude of the performer plays no essential role in it having the kind of epistemic standing it has. Arguably, it is this feature of the output of the playback device that is </w:t>
      </w:r>
      <w:r w:rsidR="004C2711" w:rsidRPr="00913232">
        <w:rPr>
          <w:rFonts w:ascii="Minion Pro Med" w:hAnsi="Minion Pro Med"/>
        </w:rPr>
        <w:t>largely</w:t>
      </w:r>
      <w:r w:rsidR="006D610B" w:rsidRPr="00913232">
        <w:rPr>
          <w:rFonts w:ascii="Minion Pro Med" w:hAnsi="Minion Pro Med"/>
        </w:rPr>
        <w:t xml:space="preserve"> </w:t>
      </w:r>
      <w:r w:rsidR="007D33FA" w:rsidRPr="00913232">
        <w:rPr>
          <w:rFonts w:ascii="Minion Pro Med" w:hAnsi="Minion Pro Med"/>
        </w:rPr>
        <w:t>responsible</w:t>
      </w:r>
      <w:r w:rsidR="00AE5467" w:rsidRPr="00913232">
        <w:rPr>
          <w:rFonts w:ascii="Minion Pro Med" w:hAnsi="Minion Pro Med"/>
        </w:rPr>
        <w:t xml:space="preserve"> for its potentially </w:t>
      </w:r>
      <w:r w:rsidR="007D33FA" w:rsidRPr="00913232">
        <w:rPr>
          <w:rFonts w:ascii="Minion Pro Med" w:hAnsi="Minion Pro Med"/>
        </w:rPr>
        <w:t>disorienting</w:t>
      </w:r>
      <w:r w:rsidR="00AE5467" w:rsidRPr="00913232">
        <w:rPr>
          <w:rFonts w:ascii="Minion Pro Med" w:hAnsi="Minion Pro Med"/>
        </w:rPr>
        <w:t xml:space="preserve"> effect, for it presents the agent with an outsider view of her own performances that are very different from the agential perspective through which </w:t>
      </w:r>
      <w:r w:rsidR="006D2923" w:rsidRPr="00913232">
        <w:rPr>
          <w:rFonts w:ascii="Minion Pro Med" w:hAnsi="Minion Pro Med"/>
        </w:rPr>
        <w:t>one</w:t>
      </w:r>
      <w:r w:rsidR="00AE5467" w:rsidRPr="00913232">
        <w:rPr>
          <w:rFonts w:ascii="Minion Pro Med" w:hAnsi="Minion Pro Med"/>
        </w:rPr>
        <w:t xml:space="preserve"> </w:t>
      </w:r>
      <w:r w:rsidR="006D2923" w:rsidRPr="00913232">
        <w:rPr>
          <w:rFonts w:ascii="Minion Pro Med" w:hAnsi="Minion Pro Med"/>
        </w:rPr>
        <w:t>typically</w:t>
      </w:r>
      <w:r w:rsidR="00AE5467" w:rsidRPr="00913232">
        <w:rPr>
          <w:rFonts w:ascii="Minion Pro Med" w:hAnsi="Minion Pro Med"/>
        </w:rPr>
        <w:t xml:space="preserve"> </w:t>
      </w:r>
      <w:r w:rsidR="007D33FA" w:rsidRPr="00913232">
        <w:rPr>
          <w:rFonts w:ascii="Minion Pro Med" w:hAnsi="Minion Pro Med"/>
        </w:rPr>
        <w:t>knows</w:t>
      </w:r>
      <w:r w:rsidR="00AE5467" w:rsidRPr="00913232">
        <w:rPr>
          <w:rFonts w:ascii="Minion Pro Med" w:hAnsi="Minion Pro Med"/>
        </w:rPr>
        <w:t xml:space="preserve"> them.</w:t>
      </w:r>
      <w:r w:rsidR="003E7347" w:rsidRPr="00913232">
        <w:rPr>
          <w:rStyle w:val="FootnoteReference"/>
          <w:rFonts w:ascii="Minion Pro Med" w:hAnsi="Minion Pro Med"/>
        </w:rPr>
        <w:footnoteReference w:id="6"/>
      </w:r>
      <w:r w:rsidR="00AE5467" w:rsidRPr="00913232">
        <w:rPr>
          <w:rFonts w:ascii="Minion Pro Med" w:hAnsi="Minion Pro Med"/>
        </w:rPr>
        <w:t xml:space="preserve"> Thus, by repeatedly pushing the analogy with a playback device, Fisch and </w:t>
      </w:r>
      <w:r w:rsidR="007D33FA" w:rsidRPr="00913232">
        <w:rPr>
          <w:rFonts w:ascii="Minion Pro Med" w:hAnsi="Minion Pro Med"/>
        </w:rPr>
        <w:t xml:space="preserve">Benbaji themselves </w:t>
      </w:r>
      <w:r w:rsidR="006D2923" w:rsidRPr="00913232">
        <w:rPr>
          <w:rFonts w:ascii="Minion Pro Med" w:hAnsi="Minion Pro Med"/>
        </w:rPr>
        <w:t xml:space="preserve">motivate the suggestion </w:t>
      </w:r>
      <w:r w:rsidR="007D33FA" w:rsidRPr="00913232">
        <w:rPr>
          <w:rFonts w:ascii="Minion Pro Med" w:hAnsi="Minion Pro Med"/>
        </w:rPr>
        <w:t xml:space="preserve">that we should not treat the linguistic expressive dimension of the speech act of criticism as central to the process of normative self-criticism. </w:t>
      </w:r>
    </w:p>
    <w:p w14:paraId="11D1CCBB" w14:textId="2A5BEBE8" w:rsidR="000C3738" w:rsidRPr="00913232" w:rsidRDefault="00EA5DF8" w:rsidP="00ED7A6E">
      <w:pPr>
        <w:spacing w:line="360" w:lineRule="auto"/>
        <w:rPr>
          <w:rFonts w:ascii="Minion Pro Med" w:hAnsi="Minion Pro Med"/>
        </w:rPr>
      </w:pPr>
      <w:r w:rsidRPr="00913232">
        <w:rPr>
          <w:rFonts w:ascii="Minion Pro Med" w:hAnsi="Minion Pro Med"/>
        </w:rPr>
        <w:t>This</w:t>
      </w:r>
      <w:r w:rsidR="007D33FA" w:rsidRPr="00913232">
        <w:rPr>
          <w:rFonts w:ascii="Minion Pro Med" w:hAnsi="Minion Pro Med"/>
        </w:rPr>
        <w:t xml:space="preserve"> presentation of Fisch and Benbaji’s understanding of the speech act of criticizing is </w:t>
      </w:r>
      <w:r w:rsidRPr="00913232">
        <w:rPr>
          <w:rFonts w:ascii="Minion Pro Med" w:hAnsi="Minion Pro Med"/>
        </w:rPr>
        <w:t>intended as</w:t>
      </w:r>
      <w:r w:rsidR="007D33FA" w:rsidRPr="00913232">
        <w:rPr>
          <w:rFonts w:ascii="Minion Pro Med" w:hAnsi="Minion Pro Med"/>
        </w:rPr>
        <w:t xml:space="preserve"> an illustration of the individualist flavor of </w:t>
      </w:r>
      <w:r w:rsidR="00172607" w:rsidRPr="00913232">
        <w:rPr>
          <w:rFonts w:ascii="Minion Pro Med" w:hAnsi="Minion Pro Med"/>
        </w:rPr>
        <w:t>recent philosophical discussion</w:t>
      </w:r>
      <w:r w:rsidR="007D33FA" w:rsidRPr="00913232">
        <w:rPr>
          <w:rFonts w:ascii="Minion Pro Med" w:hAnsi="Minion Pro Med"/>
        </w:rPr>
        <w:t xml:space="preserve"> of the </w:t>
      </w:r>
      <w:r w:rsidR="001A57FD" w:rsidRPr="00913232">
        <w:rPr>
          <w:rFonts w:ascii="Minion Pro Med" w:hAnsi="Minion Pro Med"/>
        </w:rPr>
        <w:t>interpersonal dynamics involved in</w:t>
      </w:r>
      <w:r w:rsidR="007D33FA" w:rsidRPr="00913232">
        <w:rPr>
          <w:rFonts w:ascii="Minion Pro Med" w:hAnsi="Minion Pro Med"/>
        </w:rPr>
        <w:t xml:space="preserve"> ‘changing your mind’. Despite their </w:t>
      </w:r>
      <w:r w:rsidR="003F16D2" w:rsidRPr="00913232">
        <w:rPr>
          <w:rFonts w:ascii="Minion Pro Med" w:hAnsi="Minion Pro Med"/>
        </w:rPr>
        <w:t>focus on</w:t>
      </w:r>
      <w:r w:rsidR="007D33FA" w:rsidRPr="00913232">
        <w:rPr>
          <w:rFonts w:ascii="Minion Pro Med" w:hAnsi="Minion Pro Med"/>
        </w:rPr>
        <w:t xml:space="preserve"> the role played by criticizing in changing the mind of another, they </w:t>
      </w:r>
      <w:r w:rsidR="0000289F" w:rsidRPr="00913232">
        <w:rPr>
          <w:rFonts w:ascii="Minion Pro Med" w:hAnsi="Minion Pro Med"/>
        </w:rPr>
        <w:t xml:space="preserve">tacitly </w:t>
      </w:r>
      <w:r w:rsidR="007D33FA" w:rsidRPr="00913232">
        <w:rPr>
          <w:rFonts w:ascii="Minion Pro Med" w:hAnsi="Minion Pro Med"/>
        </w:rPr>
        <w:t>adhere to a picture of ‘giving and asking for reasons’ as</w:t>
      </w:r>
      <w:r w:rsidR="004C2711" w:rsidRPr="00913232">
        <w:rPr>
          <w:rFonts w:ascii="Minion Pro Med" w:hAnsi="Minion Pro Med"/>
        </w:rPr>
        <w:t xml:space="preserve"> </w:t>
      </w:r>
      <w:r w:rsidR="0042332C" w:rsidRPr="00913232">
        <w:rPr>
          <w:rFonts w:ascii="Minion Pro Med" w:hAnsi="Minion Pro Med"/>
        </w:rPr>
        <w:t xml:space="preserve">separate from, and as </w:t>
      </w:r>
      <w:r w:rsidR="004C2711" w:rsidRPr="00913232">
        <w:rPr>
          <w:rFonts w:ascii="Minion Pro Med" w:hAnsi="Minion Pro Med"/>
        </w:rPr>
        <w:t>a prelude to</w:t>
      </w:r>
      <w:r w:rsidR="0042332C" w:rsidRPr="00913232">
        <w:rPr>
          <w:rFonts w:ascii="Minion Pro Med" w:hAnsi="Minion Pro Med"/>
        </w:rPr>
        <w:t>,</w:t>
      </w:r>
      <w:r w:rsidR="004C2711" w:rsidRPr="00913232">
        <w:rPr>
          <w:rFonts w:ascii="Minion Pro Med" w:hAnsi="Minion Pro Med"/>
        </w:rPr>
        <w:t xml:space="preserve"> the main act, viz. the intrapersonal activity of self-scrutiny. </w:t>
      </w:r>
      <w:r w:rsidR="007D33FA" w:rsidRPr="00913232">
        <w:rPr>
          <w:rFonts w:ascii="Minion Pro Med" w:hAnsi="Minion Pro Med"/>
        </w:rPr>
        <w:t xml:space="preserve">This, of course, is not to criticize </w:t>
      </w:r>
      <w:r w:rsidR="000A5B6E" w:rsidRPr="00913232">
        <w:rPr>
          <w:rFonts w:ascii="Minion Pro Med" w:hAnsi="Minion Pro Med"/>
        </w:rPr>
        <w:t>Fisch and Benbaji per se, for it remains to be seen whether such a tacit individualistic orientation is mistaken.</w:t>
      </w:r>
      <w:r w:rsidR="000C3738" w:rsidRPr="00913232">
        <w:rPr>
          <w:rFonts w:ascii="Minion Pro Med" w:hAnsi="Minion Pro Med"/>
        </w:rPr>
        <w:t xml:space="preserve"> </w:t>
      </w:r>
    </w:p>
    <w:p w14:paraId="38A7E6DE" w14:textId="77777777" w:rsidR="00DE7B84" w:rsidRPr="00913232" w:rsidRDefault="000C3738" w:rsidP="00EF6205">
      <w:pPr>
        <w:spacing w:line="360" w:lineRule="auto"/>
        <w:rPr>
          <w:rFonts w:ascii="Minion Pro Med" w:hAnsi="Minion Pro Med"/>
        </w:rPr>
      </w:pPr>
      <w:r w:rsidRPr="00913232">
        <w:rPr>
          <w:rFonts w:ascii="Minion Pro Med" w:hAnsi="Minion Pro Med"/>
        </w:rPr>
        <w:t xml:space="preserve">My goal here is less ambitious than proving the individualist orientation to changing another’s mind </w:t>
      </w:r>
      <w:r w:rsidR="00EA5DF8" w:rsidRPr="00913232">
        <w:rPr>
          <w:rFonts w:ascii="Minion Pro Med" w:hAnsi="Minion Pro Med"/>
        </w:rPr>
        <w:t>to be mistaken. G</w:t>
      </w:r>
      <w:r w:rsidRPr="00913232">
        <w:rPr>
          <w:rFonts w:ascii="Minion Pro Med" w:hAnsi="Minion Pro Med"/>
        </w:rPr>
        <w:t xml:space="preserve">iven the relative invisibility of an alternative to such an orientation (even to theorists – such as Fisch and Benbaji  - who </w:t>
      </w:r>
      <w:r w:rsidR="00EA5DF8" w:rsidRPr="00913232">
        <w:rPr>
          <w:rFonts w:ascii="Minion Pro Med" w:hAnsi="Minion Pro Med"/>
        </w:rPr>
        <w:t xml:space="preserve">explicitly </w:t>
      </w:r>
      <w:r w:rsidRPr="00913232">
        <w:rPr>
          <w:rFonts w:ascii="Minion Pro Med" w:hAnsi="Minion Pro Med"/>
        </w:rPr>
        <w:t>concentrate on the interpersonal dyn</w:t>
      </w:r>
      <w:r w:rsidR="00EA5DF8" w:rsidRPr="00913232">
        <w:rPr>
          <w:rFonts w:ascii="Minion Pro Med" w:hAnsi="Minion Pro Med"/>
        </w:rPr>
        <w:t xml:space="preserve">amics of belief revision), my aim </w:t>
      </w:r>
      <w:r w:rsidR="003E6E37" w:rsidRPr="00913232">
        <w:rPr>
          <w:rFonts w:ascii="Minion Pro Med" w:hAnsi="Minion Pro Med"/>
        </w:rPr>
        <w:t xml:space="preserve">here </w:t>
      </w:r>
      <w:r w:rsidR="00EA5DF8" w:rsidRPr="00913232">
        <w:rPr>
          <w:rFonts w:ascii="Minion Pro Med" w:hAnsi="Minion Pro Med"/>
        </w:rPr>
        <w:t xml:space="preserve">is </w:t>
      </w:r>
      <w:r w:rsidR="003E6E37" w:rsidRPr="00913232">
        <w:rPr>
          <w:rFonts w:ascii="Minion Pro Med" w:hAnsi="Minion Pro Med"/>
        </w:rPr>
        <w:t xml:space="preserve">to </w:t>
      </w:r>
      <w:r w:rsidRPr="00913232">
        <w:rPr>
          <w:rFonts w:ascii="Minion Pro Med" w:hAnsi="Minion Pro Med"/>
        </w:rPr>
        <w:t>use reflections on the character of expressive lingui</w:t>
      </w:r>
      <w:r w:rsidR="00EA5DF8" w:rsidRPr="00913232">
        <w:rPr>
          <w:rFonts w:ascii="Minion Pro Med" w:hAnsi="Minion Pro Med"/>
        </w:rPr>
        <w:t xml:space="preserve">stic activity </w:t>
      </w:r>
      <w:r w:rsidR="003E6E37" w:rsidRPr="00913232">
        <w:rPr>
          <w:rFonts w:ascii="Minion Pro Med" w:hAnsi="Minion Pro Med"/>
        </w:rPr>
        <w:t xml:space="preserve">in order </w:t>
      </w:r>
      <w:r w:rsidR="00EA5DF8" w:rsidRPr="00913232">
        <w:rPr>
          <w:rFonts w:ascii="Minion Pro Med" w:hAnsi="Minion Pro Med"/>
        </w:rPr>
        <w:t xml:space="preserve">to place such an alternative on the table of </w:t>
      </w:r>
      <w:r w:rsidR="00BF6202" w:rsidRPr="00913232">
        <w:rPr>
          <w:rFonts w:ascii="Minion Pro Med" w:hAnsi="Minion Pro Med"/>
        </w:rPr>
        <w:t xml:space="preserve">available </w:t>
      </w:r>
      <w:r w:rsidR="00A265A5" w:rsidRPr="00913232">
        <w:rPr>
          <w:rFonts w:ascii="Minion Pro Med" w:hAnsi="Minion Pro Med"/>
        </w:rPr>
        <w:t>options. F</w:t>
      </w:r>
      <w:r w:rsidR="00DE7B84" w:rsidRPr="00913232">
        <w:rPr>
          <w:rFonts w:ascii="Minion Pro Med" w:hAnsi="Minion Pro Med"/>
        </w:rPr>
        <w:t xml:space="preserve">ollowing the lead of Fisch and Benbaji, </w:t>
      </w:r>
      <w:r w:rsidR="00EF6205" w:rsidRPr="00913232">
        <w:rPr>
          <w:rFonts w:ascii="Minion Pro Med" w:hAnsi="Minion Pro Med"/>
        </w:rPr>
        <w:t xml:space="preserve">the discussion to </w:t>
      </w:r>
      <w:r w:rsidR="00EF6205" w:rsidRPr="00913232">
        <w:rPr>
          <w:rFonts w:ascii="Minion Pro Med" w:hAnsi="Minion Pro Med"/>
        </w:rPr>
        <w:lastRenderedPageBreak/>
        <w:t>follow also focuses on the speech act of criticizing. I</w:t>
      </w:r>
      <w:r w:rsidR="00D57290" w:rsidRPr="00913232">
        <w:rPr>
          <w:rFonts w:ascii="Minion Pro Med" w:hAnsi="Minion Pro Med"/>
        </w:rPr>
        <w:t xml:space="preserve">n the </w:t>
      </w:r>
      <w:r w:rsidR="00642725">
        <w:rPr>
          <w:rFonts w:ascii="Minion Pro Med" w:hAnsi="Minion Pro Med"/>
        </w:rPr>
        <w:t xml:space="preserve">course of the </w:t>
      </w:r>
      <w:r w:rsidR="00D57290" w:rsidRPr="00913232">
        <w:rPr>
          <w:rFonts w:ascii="Minion Pro Med" w:hAnsi="Minion Pro Med"/>
        </w:rPr>
        <w:t>discussion,</w:t>
      </w:r>
      <w:r w:rsidR="00EF6205" w:rsidRPr="00913232">
        <w:rPr>
          <w:rFonts w:ascii="Minion Pro Med" w:hAnsi="Minion Pro Med"/>
        </w:rPr>
        <w:t xml:space="preserve"> </w:t>
      </w:r>
      <w:r w:rsidR="00642725">
        <w:rPr>
          <w:rFonts w:ascii="Minion Pro Med" w:hAnsi="Minion Pro Med"/>
        </w:rPr>
        <w:t xml:space="preserve">I </w:t>
      </w:r>
      <w:r w:rsidR="00EF6205" w:rsidRPr="00913232">
        <w:rPr>
          <w:rFonts w:ascii="Minion Pro Med" w:hAnsi="Minion Pro Med"/>
        </w:rPr>
        <w:t xml:space="preserve">distinguish between </w:t>
      </w:r>
      <w:r w:rsidR="008039AA" w:rsidRPr="00913232">
        <w:rPr>
          <w:rFonts w:ascii="Minion Pro Med" w:hAnsi="Minion Pro Med"/>
        </w:rPr>
        <w:t xml:space="preserve">an illocutionary </w:t>
      </w:r>
      <w:r w:rsidR="00EF6205" w:rsidRPr="00913232">
        <w:rPr>
          <w:rFonts w:ascii="Minion Pro Med" w:hAnsi="Minion Pro Med"/>
        </w:rPr>
        <w:t>and</w:t>
      </w:r>
      <w:r w:rsidR="008039AA" w:rsidRPr="00913232">
        <w:rPr>
          <w:rFonts w:ascii="Minion Pro Med" w:hAnsi="Minion Pro Med"/>
        </w:rPr>
        <w:t xml:space="preserve"> perlocutionary interpretation of</w:t>
      </w:r>
      <w:r w:rsidR="00A265A5" w:rsidRPr="00913232">
        <w:rPr>
          <w:rFonts w:ascii="Minion Pro Med" w:hAnsi="Minion Pro Med"/>
        </w:rPr>
        <w:t xml:space="preserve"> the speech act</w:t>
      </w:r>
      <w:r w:rsidR="00EF6205" w:rsidRPr="00913232">
        <w:rPr>
          <w:rFonts w:ascii="Minion Pro Med" w:hAnsi="Minion Pro Med"/>
        </w:rPr>
        <w:t xml:space="preserve">, </w:t>
      </w:r>
      <w:r w:rsidR="008039AA" w:rsidRPr="00913232">
        <w:rPr>
          <w:rFonts w:ascii="Minion Pro Med" w:hAnsi="Minion Pro Med"/>
        </w:rPr>
        <w:t xml:space="preserve">and </w:t>
      </w:r>
      <w:r w:rsidR="00EF6205" w:rsidRPr="00913232">
        <w:rPr>
          <w:rFonts w:ascii="Minion Pro Med" w:hAnsi="Minion Pro Med"/>
        </w:rPr>
        <w:t xml:space="preserve">sketch what I take to be an attractive - and genuinely social - </w:t>
      </w:r>
      <w:r w:rsidR="00D57290" w:rsidRPr="00913232">
        <w:rPr>
          <w:rFonts w:ascii="Minion Pro Med" w:hAnsi="Minion Pro Med"/>
        </w:rPr>
        <w:t>understanding of both.</w:t>
      </w:r>
    </w:p>
    <w:p w14:paraId="1C50B0B0" w14:textId="77777777" w:rsidR="00EA5DF8" w:rsidRPr="00913232" w:rsidRDefault="00EA5DF8" w:rsidP="001D2669">
      <w:pPr>
        <w:spacing w:line="360" w:lineRule="auto"/>
        <w:rPr>
          <w:rFonts w:ascii="Minion Pro Med" w:hAnsi="Minion Pro Med"/>
        </w:rPr>
      </w:pPr>
      <w:r w:rsidRPr="00913232">
        <w:rPr>
          <w:rFonts w:ascii="Minion Pro Med" w:hAnsi="Minion Pro Med"/>
        </w:rPr>
        <w:t>III</w:t>
      </w:r>
    </w:p>
    <w:p w14:paraId="5E9701D7" w14:textId="77777777" w:rsidR="003134E8" w:rsidRPr="00913232" w:rsidRDefault="00321250" w:rsidP="00893220">
      <w:pPr>
        <w:spacing w:line="360" w:lineRule="auto"/>
        <w:rPr>
          <w:rFonts w:ascii="Minion Pro Med" w:hAnsi="Minion Pro Med"/>
        </w:rPr>
      </w:pPr>
      <w:r w:rsidRPr="00913232">
        <w:rPr>
          <w:rFonts w:ascii="Minion Pro Med" w:hAnsi="Minion Pro Med"/>
        </w:rPr>
        <w:t>The</w:t>
      </w:r>
      <w:r w:rsidR="00BF6202" w:rsidRPr="00913232">
        <w:rPr>
          <w:rFonts w:ascii="Minion Pro Med" w:hAnsi="Minion Pro Med"/>
        </w:rPr>
        <w:t xml:space="preserve"> act of informing, as I have described it, is an exchange involving two separate activities performed in t</w:t>
      </w:r>
      <w:r w:rsidRPr="00913232">
        <w:rPr>
          <w:rFonts w:ascii="Minion Pro Med" w:hAnsi="Minion Pro Med"/>
        </w:rPr>
        <w:t>urn by different interlocutors</w:t>
      </w:r>
      <w:r w:rsidR="00666223" w:rsidRPr="00913232">
        <w:rPr>
          <w:rFonts w:ascii="Minion Pro Med" w:hAnsi="Minion Pro Med"/>
        </w:rPr>
        <w:t xml:space="preserve">, with one performance </w:t>
      </w:r>
      <w:r w:rsidR="00404ABB" w:rsidRPr="00913232">
        <w:rPr>
          <w:rFonts w:ascii="Minion Pro Med" w:hAnsi="Minion Pro Med"/>
        </w:rPr>
        <w:t>provoking</w:t>
      </w:r>
      <w:r w:rsidR="00666223" w:rsidRPr="00913232">
        <w:rPr>
          <w:rFonts w:ascii="Minion Pro Med" w:hAnsi="Minion Pro Med"/>
        </w:rPr>
        <w:t xml:space="preserve"> the subsequent performance </w:t>
      </w:r>
      <w:r w:rsidR="002025A1" w:rsidRPr="00913232">
        <w:rPr>
          <w:rFonts w:ascii="Minion Pro Med" w:hAnsi="Minion Pro Med"/>
        </w:rPr>
        <w:t>in the successful case</w:t>
      </w:r>
      <w:r w:rsidR="00666223" w:rsidRPr="00913232">
        <w:rPr>
          <w:rFonts w:ascii="Minion Pro Med" w:hAnsi="Minion Pro Med"/>
        </w:rPr>
        <w:t>.</w:t>
      </w:r>
      <w:r w:rsidR="00BF6202" w:rsidRPr="00913232">
        <w:rPr>
          <w:rFonts w:ascii="Minion Pro Med" w:hAnsi="Minion Pro Med"/>
        </w:rPr>
        <w:t xml:space="preserve"> If one views the speech act of criticizing from </w:t>
      </w:r>
      <w:r w:rsidRPr="00913232">
        <w:rPr>
          <w:rFonts w:ascii="Minion Pro Med" w:hAnsi="Minion Pro Med"/>
        </w:rPr>
        <w:t>an instrumental</w:t>
      </w:r>
      <w:r w:rsidR="00BF6202" w:rsidRPr="00913232">
        <w:rPr>
          <w:rFonts w:ascii="Minion Pro Med" w:hAnsi="Minion Pro Med"/>
        </w:rPr>
        <w:t xml:space="preserve"> point of view, from the point of view of what a successful criticizer inte</w:t>
      </w:r>
      <w:r w:rsidRPr="00913232">
        <w:rPr>
          <w:rFonts w:ascii="Minion Pro Med" w:hAnsi="Minion Pro Med"/>
        </w:rPr>
        <w:t>nds to achieve by so performing, it is hard to view critic</w:t>
      </w:r>
      <w:r w:rsidR="00906CC2" w:rsidRPr="00913232">
        <w:rPr>
          <w:rFonts w:ascii="Minion Pro Med" w:hAnsi="Minion Pro Med"/>
        </w:rPr>
        <w:t>izing as having anything but this</w:t>
      </w:r>
      <w:r w:rsidRPr="00913232">
        <w:rPr>
          <w:rFonts w:ascii="Minion Pro Med" w:hAnsi="Minion Pro Med"/>
        </w:rPr>
        <w:t xml:space="preserve"> </w:t>
      </w:r>
      <w:r w:rsidR="00C20A05" w:rsidRPr="00913232">
        <w:rPr>
          <w:rFonts w:ascii="Minion Pro Med" w:hAnsi="Minion Pro Med"/>
        </w:rPr>
        <w:t xml:space="preserve">core </w:t>
      </w:r>
      <w:r w:rsidRPr="00913232">
        <w:rPr>
          <w:rFonts w:ascii="Minion Pro Med" w:hAnsi="Minion Pro Med"/>
        </w:rPr>
        <w:t xml:space="preserve">structure of informing, in addition to any additional features it may have. </w:t>
      </w:r>
      <w:r w:rsidR="00DF6D42" w:rsidRPr="00913232">
        <w:rPr>
          <w:rFonts w:ascii="Minion Pro Med" w:hAnsi="Minion Pro Med"/>
        </w:rPr>
        <w:t xml:space="preserve">In the successful case, the criticizer intends to change the mind of the one criticized, and the one criticized </w:t>
      </w:r>
      <w:r w:rsidR="00C20A05" w:rsidRPr="00913232">
        <w:rPr>
          <w:rFonts w:ascii="Minion Pro Med" w:hAnsi="Minion Pro Med"/>
        </w:rPr>
        <w:t>changes her</w:t>
      </w:r>
      <w:r w:rsidR="00DF6D42" w:rsidRPr="00913232">
        <w:rPr>
          <w:rFonts w:ascii="Minion Pro Med" w:hAnsi="Minion Pro Med"/>
        </w:rPr>
        <w:t xml:space="preserve"> mind in response. Both intending and changing are individual acts, in the sense that neither necessarily implicates the activity of an</w:t>
      </w:r>
      <w:r w:rsidR="002025A1" w:rsidRPr="00913232">
        <w:rPr>
          <w:rFonts w:ascii="Minion Pro Med" w:hAnsi="Minion Pro Med"/>
        </w:rPr>
        <w:t>yone else in their performance</w:t>
      </w:r>
      <w:r w:rsidR="00532840" w:rsidRPr="00913232">
        <w:rPr>
          <w:rFonts w:ascii="Minion Pro Med" w:hAnsi="Minion Pro Med"/>
        </w:rPr>
        <w:t>.</w:t>
      </w:r>
      <w:r w:rsidR="00C87E07" w:rsidRPr="00913232">
        <w:rPr>
          <w:rFonts w:ascii="Minion Pro Med" w:hAnsi="Minion Pro Med"/>
        </w:rPr>
        <w:t xml:space="preserve"> To bring a non-individualist</w:t>
      </w:r>
      <w:r w:rsidR="00DF6D42" w:rsidRPr="00913232">
        <w:rPr>
          <w:rFonts w:ascii="Minion Pro Med" w:hAnsi="Minion Pro Med"/>
        </w:rPr>
        <w:t xml:space="preserve"> alternative into view, it is </w:t>
      </w:r>
      <w:r w:rsidR="00172607" w:rsidRPr="00913232">
        <w:rPr>
          <w:rFonts w:ascii="Minion Pro Med" w:hAnsi="Minion Pro Med"/>
        </w:rPr>
        <w:t xml:space="preserve">thus </w:t>
      </w:r>
      <w:r w:rsidR="000D5335" w:rsidRPr="00913232">
        <w:rPr>
          <w:rFonts w:ascii="Minion Pro Med" w:hAnsi="Minion Pro Med"/>
        </w:rPr>
        <w:t>crucial</w:t>
      </w:r>
      <w:r w:rsidR="00DF6D42" w:rsidRPr="00913232">
        <w:rPr>
          <w:rFonts w:ascii="Minion Pro Med" w:hAnsi="Minion Pro Med"/>
        </w:rPr>
        <w:t xml:space="preserve"> to cease thinking </w:t>
      </w:r>
      <w:r w:rsidR="00F9640C" w:rsidRPr="00913232">
        <w:rPr>
          <w:rFonts w:ascii="Minion Pro Med" w:hAnsi="Minion Pro Med"/>
        </w:rPr>
        <w:t xml:space="preserve">about the activity of criticizing </w:t>
      </w:r>
      <w:r w:rsidR="00DF6D42" w:rsidRPr="00913232">
        <w:rPr>
          <w:rFonts w:ascii="Minion Pro Med" w:hAnsi="Minion Pro Med"/>
        </w:rPr>
        <w:t xml:space="preserve">in </w:t>
      </w:r>
      <w:r w:rsidR="00CB5EDE" w:rsidRPr="00913232">
        <w:rPr>
          <w:rFonts w:ascii="Minion Pro Med" w:hAnsi="Minion Pro Med"/>
        </w:rPr>
        <w:t xml:space="preserve">these </w:t>
      </w:r>
      <w:r w:rsidR="00DF6D42" w:rsidRPr="00913232">
        <w:rPr>
          <w:rFonts w:ascii="Minion Pro Med" w:hAnsi="Minion Pro Med"/>
        </w:rPr>
        <w:t xml:space="preserve">instrumental terms, and to concentrate on the </w:t>
      </w:r>
      <w:r w:rsidR="00CB5EDE" w:rsidRPr="00913232">
        <w:rPr>
          <w:rFonts w:ascii="Minion Pro Med" w:hAnsi="Minion Pro Med"/>
        </w:rPr>
        <w:t xml:space="preserve">structure </w:t>
      </w:r>
      <w:r w:rsidR="00DF6D42" w:rsidRPr="00913232">
        <w:rPr>
          <w:rFonts w:ascii="Minion Pro Med" w:hAnsi="Minion Pro Med"/>
        </w:rPr>
        <w:t>of the transaction</w:t>
      </w:r>
      <w:r w:rsidR="00AC58A5" w:rsidRPr="00913232">
        <w:rPr>
          <w:rFonts w:ascii="Minion Pro Med" w:hAnsi="Minion Pro Med"/>
        </w:rPr>
        <w:t xml:space="preserve"> between the two participants.</w:t>
      </w:r>
      <w:r w:rsidR="00DF6D42" w:rsidRPr="00913232">
        <w:rPr>
          <w:rFonts w:ascii="Minion Pro Med" w:hAnsi="Minion Pro Med"/>
        </w:rPr>
        <w:t xml:space="preserve"> </w:t>
      </w:r>
    </w:p>
    <w:p w14:paraId="622E6DE5" w14:textId="77777777" w:rsidR="003134E8" w:rsidRPr="00913232" w:rsidRDefault="003134E8" w:rsidP="00893220">
      <w:pPr>
        <w:spacing w:line="360" w:lineRule="auto"/>
        <w:rPr>
          <w:rFonts w:ascii="Minion Pro Med" w:hAnsi="Minion Pro Med"/>
        </w:rPr>
      </w:pPr>
      <w:r w:rsidRPr="00913232">
        <w:rPr>
          <w:rFonts w:ascii="Minion Pro Med" w:hAnsi="Minion Pro Med"/>
        </w:rPr>
        <w:t>To capture the s</w:t>
      </w:r>
      <w:r w:rsidR="005F3494" w:rsidRPr="00913232">
        <w:rPr>
          <w:rFonts w:ascii="Minion Pro Med" w:hAnsi="Minion Pro Med"/>
        </w:rPr>
        <w:t>tructure of the transaction,</w:t>
      </w:r>
      <w:r w:rsidRPr="00913232">
        <w:rPr>
          <w:rFonts w:ascii="Minion Pro Med" w:hAnsi="Minion Pro Med"/>
        </w:rPr>
        <w:t xml:space="preserve"> I </w:t>
      </w:r>
      <w:r w:rsidR="005F3494" w:rsidRPr="00913232">
        <w:rPr>
          <w:rFonts w:ascii="Minion Pro Med" w:hAnsi="Minion Pro Med"/>
        </w:rPr>
        <w:t>propose</w:t>
      </w:r>
      <w:r w:rsidRPr="00913232">
        <w:rPr>
          <w:rFonts w:ascii="Minion Pro Med" w:hAnsi="Minion Pro Med"/>
        </w:rPr>
        <w:t xml:space="preserve"> to adapt an idea of Jennifer Hornsby,</w:t>
      </w:r>
      <w:r w:rsidR="00C20A05" w:rsidRPr="00913232">
        <w:rPr>
          <w:rFonts w:ascii="Minion Pro Med" w:hAnsi="Minion Pro Med"/>
        </w:rPr>
        <w:t xml:space="preserve"> </w:t>
      </w:r>
      <w:r w:rsidR="00EC7976" w:rsidRPr="00913232">
        <w:rPr>
          <w:rFonts w:ascii="Minion Pro Med" w:hAnsi="Minion Pro Med"/>
        </w:rPr>
        <w:t xml:space="preserve">put forward </w:t>
      </w:r>
      <w:r w:rsidRPr="00913232">
        <w:rPr>
          <w:rFonts w:ascii="Minion Pro Med" w:hAnsi="Minion Pro Med"/>
        </w:rPr>
        <w:t>in the course o</w:t>
      </w:r>
      <w:r w:rsidR="00A265A5" w:rsidRPr="00913232">
        <w:rPr>
          <w:rFonts w:ascii="Minion Pro Med" w:hAnsi="Minion Pro Med"/>
        </w:rPr>
        <w:t xml:space="preserve">f her attempt to make sense of </w:t>
      </w:r>
      <w:r w:rsidRPr="00913232">
        <w:rPr>
          <w:rFonts w:ascii="Minion Pro Med" w:hAnsi="Minion Pro Med"/>
        </w:rPr>
        <w:t xml:space="preserve">Austin’s celebrated distinction between what is done </w:t>
      </w:r>
      <w:r w:rsidRPr="00913232">
        <w:rPr>
          <w:rFonts w:ascii="Minion Pro Med" w:hAnsi="Minion Pro Med"/>
          <w:i/>
        </w:rPr>
        <w:t>in</w:t>
      </w:r>
      <w:r w:rsidRPr="00913232">
        <w:rPr>
          <w:rFonts w:ascii="Minion Pro Med" w:hAnsi="Minion Pro Med"/>
        </w:rPr>
        <w:t xml:space="preserve"> uttering some words (the ‘</w:t>
      </w:r>
      <w:r w:rsidRPr="00913232">
        <w:rPr>
          <w:rFonts w:ascii="Minion Pro Med" w:hAnsi="Minion Pro Med"/>
          <w:i/>
        </w:rPr>
        <w:t>il</w:t>
      </w:r>
      <w:r w:rsidRPr="00913232">
        <w:rPr>
          <w:rFonts w:ascii="Minion Pro Med" w:hAnsi="Minion Pro Med"/>
        </w:rPr>
        <w:t xml:space="preserve">locutionary’) and what is done </w:t>
      </w:r>
      <w:r w:rsidRPr="00913232">
        <w:rPr>
          <w:rFonts w:ascii="Minion Pro Med" w:hAnsi="Minion Pro Med"/>
          <w:i/>
        </w:rPr>
        <w:t>by</w:t>
      </w:r>
      <w:r w:rsidRPr="00913232">
        <w:rPr>
          <w:rFonts w:ascii="Minion Pro Med" w:hAnsi="Minion Pro Med"/>
        </w:rPr>
        <w:t xml:space="preserve"> uttering them (the ‘</w:t>
      </w:r>
      <w:r w:rsidRPr="00913232">
        <w:rPr>
          <w:rFonts w:ascii="Minion Pro Med" w:hAnsi="Minion Pro Med"/>
          <w:i/>
        </w:rPr>
        <w:t>per</w:t>
      </w:r>
      <w:r w:rsidRPr="00913232">
        <w:rPr>
          <w:rFonts w:ascii="Minion Pro Med" w:hAnsi="Minion Pro Med"/>
        </w:rPr>
        <w:t xml:space="preserve">locutionary’). </w:t>
      </w:r>
      <w:r w:rsidR="00C20A05" w:rsidRPr="00913232">
        <w:rPr>
          <w:rFonts w:ascii="Minion Pro Med" w:hAnsi="Minion Pro Med"/>
        </w:rPr>
        <w:t>According to Hornsby:</w:t>
      </w:r>
    </w:p>
    <w:p w14:paraId="2A3ACD66" w14:textId="77777777" w:rsidR="00C20A05" w:rsidRPr="00913232" w:rsidRDefault="00C20A05" w:rsidP="00C20A05">
      <w:pPr>
        <w:spacing w:line="360" w:lineRule="auto"/>
        <w:ind w:left="720"/>
        <w:rPr>
          <w:rFonts w:ascii="Minion Pro Med" w:hAnsi="Minion Pro Med"/>
        </w:rPr>
      </w:pPr>
      <w:r w:rsidRPr="00913232">
        <w:rPr>
          <w:rFonts w:ascii="Minion Pro Med" w:hAnsi="Minion Pro Med"/>
        </w:rPr>
        <w:t>The line between illocutionary and perlocutionary comes between those acts on the one hand which need invoke only reciprocity to have their proper consequences, and those acts on the other hand which invoke either more than reciprocity or something quite else.</w:t>
      </w:r>
      <w:r w:rsidR="00492AAF" w:rsidRPr="00913232">
        <w:rPr>
          <w:rStyle w:val="FootnoteReference"/>
          <w:rFonts w:ascii="Minion Pro Med" w:hAnsi="Minion Pro Med"/>
        </w:rPr>
        <w:footnoteReference w:id="7"/>
      </w:r>
      <w:r w:rsidRPr="00913232">
        <w:rPr>
          <w:rFonts w:ascii="Minion Pro Med" w:hAnsi="Minion Pro Med"/>
        </w:rPr>
        <w:t xml:space="preserve"> </w:t>
      </w:r>
    </w:p>
    <w:p w14:paraId="2CE6886A" w14:textId="77777777" w:rsidR="00C20A05" w:rsidRPr="00913232" w:rsidRDefault="00C20A05" w:rsidP="00C20A05">
      <w:pPr>
        <w:spacing w:line="360" w:lineRule="auto"/>
        <w:rPr>
          <w:rFonts w:ascii="Minion Pro Med" w:hAnsi="Minion Pro Med"/>
        </w:rPr>
      </w:pPr>
      <w:r w:rsidRPr="00913232">
        <w:rPr>
          <w:rFonts w:ascii="Minion Pro Med" w:hAnsi="Minion Pro Med"/>
        </w:rPr>
        <w:t xml:space="preserve">Reciprocity is a condition that obtains between a given Speaker (viz. one who performs a speech act) and a given targeted Hearer (viz. the one to whom that speech act is addressed) when the Hearer recognizes the Speaker’s act as the kind of speech act it is intended by the Speaker to be. Hornsby’s suggestion is that illocutionary acts are those for which it is possible that nothing more needs to be done by the Speaker to successfully perform the act once the reciprocity condition obtains. </w:t>
      </w:r>
    </w:p>
    <w:p w14:paraId="230C137D" w14:textId="77777777" w:rsidR="003E74AE" w:rsidRPr="00913232" w:rsidRDefault="003E74AE" w:rsidP="00C20A05">
      <w:pPr>
        <w:spacing w:line="360" w:lineRule="auto"/>
        <w:rPr>
          <w:rFonts w:ascii="Minion Pro Med" w:hAnsi="Minion Pro Med"/>
        </w:rPr>
      </w:pPr>
      <w:r w:rsidRPr="00913232">
        <w:rPr>
          <w:rFonts w:ascii="Minion Pro Med" w:hAnsi="Minion Pro Med"/>
        </w:rPr>
        <w:t xml:space="preserve">As an example, consider the all-too-familiar finale of many a US-based TV drama in which an officer slaps handcuffs on the accused suspect and “Mirandizes” them. Through uttering the sentence: ‘You have </w:t>
      </w:r>
      <w:r w:rsidRPr="00913232">
        <w:rPr>
          <w:rFonts w:ascii="Minion Pro Med" w:hAnsi="Minion Pro Med"/>
        </w:rPr>
        <w:lastRenderedPageBreak/>
        <w:t xml:space="preserve">the right to remain silent…”, the officer has performed a locutionary act – crudely, the production of a sequence of sounds that are significant in the sense that they can be said to say something meaningful in a given language. Further, through the performance of such a locutionary act, the officer has also performed other kinds of speech acts as well. For example, through uttering the sentence, she could also be said to perform both the acts of warning the suspect and </w:t>
      </w:r>
      <w:r w:rsidR="00906CC2" w:rsidRPr="00913232">
        <w:rPr>
          <w:rFonts w:ascii="Minion Pro Med" w:hAnsi="Minion Pro Med"/>
        </w:rPr>
        <w:t>alarming</w:t>
      </w:r>
      <w:r w:rsidRPr="00913232">
        <w:rPr>
          <w:rFonts w:ascii="Minion Pro Med" w:hAnsi="Minion Pro Med"/>
        </w:rPr>
        <w:t xml:space="preserve"> him as well. Warning is an example of an </w:t>
      </w:r>
      <w:r w:rsidRPr="00913232">
        <w:rPr>
          <w:rFonts w:ascii="Minion Pro Med" w:hAnsi="Minion Pro Med"/>
          <w:i/>
        </w:rPr>
        <w:t>il</w:t>
      </w:r>
      <w:r w:rsidRPr="00913232">
        <w:rPr>
          <w:rFonts w:ascii="Minion Pro Med" w:hAnsi="Minion Pro Med"/>
        </w:rPr>
        <w:t xml:space="preserve">locutionary act: </w:t>
      </w:r>
      <w:r w:rsidRPr="00913232">
        <w:rPr>
          <w:rFonts w:ascii="Minion Pro Med" w:hAnsi="Minion Pro Med"/>
          <w:i/>
        </w:rPr>
        <w:t>in</w:t>
      </w:r>
      <w:r w:rsidRPr="00913232">
        <w:rPr>
          <w:rFonts w:ascii="Minion Pro Med" w:hAnsi="Minion Pro Med"/>
        </w:rPr>
        <w:t xml:space="preserve"> making the utterance, the officer warns the suspect of the dangers of speaking under these circumstances. </w:t>
      </w:r>
      <w:r w:rsidR="00906CC2" w:rsidRPr="00913232">
        <w:rPr>
          <w:rFonts w:ascii="Minion Pro Med" w:hAnsi="Minion Pro Med"/>
        </w:rPr>
        <w:t>Alarming</w:t>
      </w:r>
      <w:r w:rsidRPr="00913232">
        <w:rPr>
          <w:rFonts w:ascii="Minion Pro Med" w:hAnsi="Minion Pro Med"/>
        </w:rPr>
        <w:t xml:space="preserve"> is an example of a </w:t>
      </w:r>
      <w:r w:rsidRPr="00913232">
        <w:rPr>
          <w:rFonts w:ascii="Minion Pro Med" w:hAnsi="Minion Pro Med"/>
          <w:i/>
        </w:rPr>
        <w:t>per</w:t>
      </w:r>
      <w:r w:rsidRPr="00913232">
        <w:rPr>
          <w:rFonts w:ascii="Minion Pro Med" w:hAnsi="Minion Pro Med"/>
        </w:rPr>
        <w:t xml:space="preserve">locutionary act: </w:t>
      </w:r>
      <w:r w:rsidRPr="00913232">
        <w:rPr>
          <w:rFonts w:ascii="Minion Pro Med" w:hAnsi="Minion Pro Med"/>
          <w:i/>
        </w:rPr>
        <w:t>by</w:t>
      </w:r>
      <w:r w:rsidRPr="00913232">
        <w:rPr>
          <w:rFonts w:ascii="Minion Pro Med" w:hAnsi="Minion Pro Med"/>
        </w:rPr>
        <w:t xml:space="preserve"> making the utterance, the officer also makes the accused </w:t>
      </w:r>
      <w:r w:rsidR="00906CC2" w:rsidRPr="00913232">
        <w:rPr>
          <w:rFonts w:ascii="Minion Pro Med" w:hAnsi="Minion Pro Med"/>
        </w:rPr>
        <w:t xml:space="preserve">have an anxious or fearful perception </w:t>
      </w:r>
      <w:r w:rsidRPr="00913232">
        <w:rPr>
          <w:rFonts w:ascii="Minion Pro Med" w:hAnsi="Minion Pro Med"/>
        </w:rPr>
        <w:t xml:space="preserve">of the situation. According to Hornsby’s suggestion, all that is needed for the act of warning to have been successful (and thus for the suspect to have been warned) is the suspect’s recognition of the officer’s intention to warn him. In contrast, the suspect’s recognition of officer’s intention to </w:t>
      </w:r>
      <w:r w:rsidR="00906CC2" w:rsidRPr="00913232">
        <w:rPr>
          <w:rFonts w:ascii="Minion Pro Med" w:hAnsi="Minion Pro Med"/>
        </w:rPr>
        <w:t>alarm</w:t>
      </w:r>
      <w:r w:rsidRPr="00913232">
        <w:rPr>
          <w:rFonts w:ascii="Minion Pro Med" w:hAnsi="Minion Pro Med"/>
        </w:rPr>
        <w:t xml:space="preserve"> him does not suffice for the act of </w:t>
      </w:r>
      <w:r w:rsidR="00A06C4B" w:rsidRPr="00913232">
        <w:rPr>
          <w:rFonts w:ascii="Minion Pro Med" w:hAnsi="Minion Pro Med"/>
        </w:rPr>
        <w:t xml:space="preserve">alarming </w:t>
      </w:r>
      <w:r w:rsidRPr="00913232">
        <w:rPr>
          <w:rFonts w:ascii="Minion Pro Med" w:hAnsi="Minion Pro Med"/>
        </w:rPr>
        <w:t xml:space="preserve">to have been successful. </w:t>
      </w:r>
    </w:p>
    <w:p w14:paraId="2154791B" w14:textId="77777777" w:rsidR="00C20A05" w:rsidRPr="00913232" w:rsidRDefault="00C20A05" w:rsidP="00C20A05">
      <w:pPr>
        <w:spacing w:line="360" w:lineRule="auto"/>
        <w:rPr>
          <w:rFonts w:ascii="Minion Pro Med" w:hAnsi="Minion Pro Med"/>
        </w:rPr>
      </w:pPr>
      <w:r w:rsidRPr="00913232">
        <w:rPr>
          <w:rFonts w:ascii="Minion Pro Med" w:hAnsi="Minion Pro Med"/>
        </w:rPr>
        <w:t xml:space="preserve">Hornsby’s suggestion needs to be formulated with care, given that she concedes both that reciprocity is not necessary for performing an illocutionary act (e.g. cases in which I can be said to have warned you even though you have not recognized this intention) and that there can be some perlocutionary acts for which the obtaining of reciprocity suffices for successful performance (e.g. cases in which your recognition that I </w:t>
      </w:r>
      <w:r w:rsidR="000B7770" w:rsidRPr="00913232">
        <w:rPr>
          <w:rFonts w:ascii="Minion Pro Med" w:hAnsi="Minion Pro Med"/>
        </w:rPr>
        <w:t xml:space="preserve">intend to </w:t>
      </w:r>
      <w:r w:rsidR="00906CC2" w:rsidRPr="00913232">
        <w:rPr>
          <w:rFonts w:ascii="Minion Pro Med" w:hAnsi="Minion Pro Med"/>
        </w:rPr>
        <w:t>alarm</w:t>
      </w:r>
      <w:r w:rsidR="000B7770" w:rsidRPr="00913232">
        <w:rPr>
          <w:rFonts w:ascii="Minion Pro Med" w:hAnsi="Minion Pro Med"/>
        </w:rPr>
        <w:t xml:space="preserve"> you </w:t>
      </w:r>
      <w:r w:rsidRPr="00913232">
        <w:rPr>
          <w:rFonts w:ascii="Minion Pro Med" w:hAnsi="Minion Pro Med"/>
        </w:rPr>
        <w:t xml:space="preserve">alone is enough </w:t>
      </w:r>
      <w:r w:rsidR="003E74AE" w:rsidRPr="00913232">
        <w:rPr>
          <w:rFonts w:ascii="Minion Pro Med" w:hAnsi="Minion Pro Med"/>
        </w:rPr>
        <w:t>f</w:t>
      </w:r>
      <w:r w:rsidRPr="00913232">
        <w:rPr>
          <w:rFonts w:ascii="Minion Pro Med" w:hAnsi="Minion Pro Med"/>
        </w:rPr>
        <w:t xml:space="preserve">or my intention to </w:t>
      </w:r>
      <w:r w:rsidR="00906CC2" w:rsidRPr="00913232">
        <w:rPr>
          <w:rFonts w:ascii="Minion Pro Med" w:hAnsi="Minion Pro Med"/>
        </w:rPr>
        <w:t>alarm</w:t>
      </w:r>
      <w:r w:rsidRPr="00913232">
        <w:rPr>
          <w:rFonts w:ascii="Minion Pro Med" w:hAnsi="Minion Pro Med"/>
        </w:rPr>
        <w:t xml:space="preserve"> you to be successful). As I understand it, her suggestion is that we should treat the obtaining of reciprocity as a </w:t>
      </w:r>
      <w:r w:rsidR="00BB6459" w:rsidRPr="00913232">
        <w:rPr>
          <w:rFonts w:ascii="Minion Pro Med" w:hAnsi="Minion Pro Med"/>
        </w:rPr>
        <w:t>condition</w:t>
      </w:r>
      <w:r w:rsidRPr="00913232">
        <w:rPr>
          <w:rFonts w:ascii="Minion Pro Med" w:hAnsi="Minion Pro Med"/>
        </w:rPr>
        <w:t xml:space="preserve"> internal to the very idea of illocutionary acts, such that if we did not have a conception of</w:t>
      </w:r>
      <w:r w:rsidR="00BB6459" w:rsidRPr="00913232">
        <w:rPr>
          <w:rFonts w:ascii="Minion Pro Med" w:hAnsi="Minion Pro Med"/>
        </w:rPr>
        <w:t xml:space="preserve"> acts with such an internal condition</w:t>
      </w:r>
      <w:r w:rsidRPr="00913232">
        <w:rPr>
          <w:rFonts w:ascii="Minion Pro Med" w:hAnsi="Minion Pro Med"/>
        </w:rPr>
        <w:t>, we could not have the idea of illocutionary acts at all.</w:t>
      </w:r>
      <w:r w:rsidR="00D20442" w:rsidRPr="00913232">
        <w:rPr>
          <w:rStyle w:val="FootnoteReference"/>
          <w:rFonts w:ascii="Minion Pro Med" w:hAnsi="Minion Pro Med"/>
        </w:rPr>
        <w:footnoteReference w:id="8"/>
      </w:r>
      <w:r w:rsidRPr="00913232">
        <w:rPr>
          <w:rFonts w:ascii="Minion Pro Med" w:hAnsi="Minion Pro Med"/>
        </w:rPr>
        <w:t xml:space="preserve"> Cases where this </w:t>
      </w:r>
      <w:r w:rsidR="00BB6459" w:rsidRPr="00913232">
        <w:rPr>
          <w:rFonts w:ascii="Minion Pro Med" w:hAnsi="Minion Pro Med"/>
        </w:rPr>
        <w:t>condition</w:t>
      </w:r>
      <w:r w:rsidRPr="00913232">
        <w:rPr>
          <w:rFonts w:ascii="Minion Pro Med" w:hAnsi="Minion Pro Med"/>
        </w:rPr>
        <w:t xml:space="preserve"> obtains are thus explanatorily basic, such that we could not make sense of illocutionary activity in any instance if we could not make sense of the possibility of there being acts of that do satisfy this condition. Cases involving illocutionary acts where the reciprocity </w:t>
      </w:r>
      <w:r w:rsidR="000B7770" w:rsidRPr="00913232">
        <w:rPr>
          <w:rFonts w:ascii="Minion Pro Med" w:hAnsi="Minion Pro Med"/>
        </w:rPr>
        <w:t>condition</w:t>
      </w:r>
      <w:r w:rsidRPr="00913232">
        <w:rPr>
          <w:rFonts w:ascii="Minion Pro Med" w:hAnsi="Minion Pro Med"/>
        </w:rPr>
        <w:t xml:space="preserve"> does not obtain are explanatorily non-basic and can only be made sense </w:t>
      </w:r>
      <w:r w:rsidR="000B7770" w:rsidRPr="00913232">
        <w:rPr>
          <w:rFonts w:ascii="Minion Pro Med" w:hAnsi="Minion Pro Med"/>
        </w:rPr>
        <w:t xml:space="preserve">of </w:t>
      </w:r>
      <w:r w:rsidRPr="00913232">
        <w:rPr>
          <w:rFonts w:ascii="Minion Pro Med" w:hAnsi="Minion Pro Med"/>
        </w:rPr>
        <w:t xml:space="preserve">against the background </w:t>
      </w:r>
      <w:r w:rsidR="000B7770" w:rsidRPr="00913232">
        <w:rPr>
          <w:rFonts w:ascii="Minion Pro Med" w:hAnsi="Minion Pro Med"/>
        </w:rPr>
        <w:t xml:space="preserve">of </w:t>
      </w:r>
      <w:r w:rsidRPr="00913232">
        <w:rPr>
          <w:rFonts w:ascii="Minion Pro Med" w:hAnsi="Minion Pro Med"/>
        </w:rPr>
        <w:t xml:space="preserve">cases where the condition obtains. In contrast, obtaining reciprocity is not a </w:t>
      </w:r>
      <w:r w:rsidR="00BB6459" w:rsidRPr="00913232">
        <w:rPr>
          <w:rFonts w:ascii="Minion Pro Med" w:hAnsi="Minion Pro Med"/>
        </w:rPr>
        <w:t>condition</w:t>
      </w:r>
      <w:r w:rsidRPr="00913232">
        <w:rPr>
          <w:rFonts w:ascii="Minion Pro Med" w:hAnsi="Minion Pro Med"/>
        </w:rPr>
        <w:t xml:space="preserve"> internal to the very idea of perlocutionary acts, such that perlocutionary cases where reciprocity alone suffices are only accidental to the act as a perlocutionary act.   </w:t>
      </w:r>
    </w:p>
    <w:p w14:paraId="40B6BA5B" w14:textId="77777777" w:rsidR="00F11EFC" w:rsidRPr="00913232" w:rsidRDefault="00F11EFC" w:rsidP="00F11EFC">
      <w:pPr>
        <w:spacing w:line="360" w:lineRule="auto"/>
        <w:rPr>
          <w:rFonts w:ascii="Minion Pro Med" w:hAnsi="Minion Pro Med"/>
        </w:rPr>
      </w:pPr>
      <w:r w:rsidRPr="00913232">
        <w:rPr>
          <w:rFonts w:ascii="Minion Pro Med" w:hAnsi="Minion Pro Med"/>
        </w:rPr>
        <w:t>There are various ways to understand Hornsby’s idea, but the one I favor is to view illocutionary acts as self-conscious interpersonal transactions.</w:t>
      </w:r>
      <w:r w:rsidR="0069661F" w:rsidRPr="00913232">
        <w:rPr>
          <w:rStyle w:val="FootnoteReference"/>
          <w:rFonts w:ascii="Minion Pro Med" w:hAnsi="Minion Pro Med"/>
        </w:rPr>
        <w:footnoteReference w:id="9"/>
      </w:r>
      <w:r w:rsidRPr="00913232">
        <w:rPr>
          <w:rFonts w:ascii="Minion Pro Med" w:hAnsi="Minion Pro Med"/>
        </w:rPr>
        <w:t xml:space="preserve"> If reciprocity between speaker and hearer is a condition internal to the very idea of illocutionary acts, then illocutionary activity involves performances by (at least) two people: the act is addressed by one person to another who is called upon to recognize the act in </w:t>
      </w:r>
      <w:r w:rsidRPr="00913232">
        <w:rPr>
          <w:rFonts w:ascii="Minion Pro Med" w:hAnsi="Minion Pro Med"/>
        </w:rPr>
        <w:lastRenderedPageBreak/>
        <w:t xml:space="preserve">return. Further, an illocutionary act has a structure that serves to place those persons in a particular relation to one another: the act is done from one (agent) towards the other (patient), and it is precisely this structure that is recognized by both parties through their performances. </w:t>
      </w:r>
      <w:r w:rsidR="005F19C3" w:rsidRPr="00913232">
        <w:rPr>
          <w:rFonts w:ascii="Minion Pro Med" w:hAnsi="Minion Pro Med"/>
        </w:rPr>
        <w:t>In</w:t>
      </w:r>
      <w:r w:rsidR="00E4725D" w:rsidRPr="00913232">
        <w:rPr>
          <w:rFonts w:ascii="Minion Pro Med" w:hAnsi="Minion Pro Med"/>
        </w:rPr>
        <w:t xml:space="preserve"> our example, even if the accused occupies the patient role in such a transactional structure, she is still active - her recognition of the warning is a practical activity in which she actively recognizes her patient status in the transaction. </w:t>
      </w:r>
      <w:r w:rsidRPr="00913232">
        <w:rPr>
          <w:rFonts w:ascii="Minion Pro Med" w:hAnsi="Minion Pro Med"/>
        </w:rPr>
        <w:t>Further still, the two performances of address and response have the unity of being a single act, such that the act itself can be described in two ways, one from the perspective of the agent (e.g. the officer is warning the accused) and one from the perspective of the patient (e.g. the accused is being warned by the officer). In much the same ways as A selling something to B and B buying something from A are two different ways of characterizing one transaction and not a conjunction of two independent acts, so too A addressing B and B being addressed by A are two different ways of characterizing one interpersonal transaction and not a conjunction of two independent acts.</w:t>
      </w:r>
      <w:r w:rsidR="008E0266" w:rsidRPr="00913232">
        <w:rPr>
          <w:rStyle w:val="FootnoteReference"/>
          <w:rFonts w:ascii="Minion Pro Med" w:hAnsi="Minion Pro Med"/>
        </w:rPr>
        <w:footnoteReference w:id="10"/>
      </w:r>
    </w:p>
    <w:p w14:paraId="3D17FBB7" w14:textId="77777777" w:rsidR="00F11EFC" w:rsidRPr="00913232" w:rsidRDefault="00F11EFC" w:rsidP="00F11EFC">
      <w:pPr>
        <w:spacing w:line="360" w:lineRule="auto"/>
        <w:rPr>
          <w:rFonts w:ascii="Minion Pro Med" w:hAnsi="Minion Pro Med"/>
        </w:rPr>
      </w:pPr>
      <w:r w:rsidRPr="00913232">
        <w:rPr>
          <w:rFonts w:ascii="Minion Pro Med" w:hAnsi="Minion Pro Med"/>
        </w:rPr>
        <w:t>The idea that two performances have t</w:t>
      </w:r>
      <w:r w:rsidR="006427AC" w:rsidRPr="00913232">
        <w:rPr>
          <w:rFonts w:ascii="Minion Pro Med" w:hAnsi="Minion Pro Med"/>
        </w:rPr>
        <w:t>he unity of a single act in the</w:t>
      </w:r>
      <w:r w:rsidRPr="00913232">
        <w:rPr>
          <w:rFonts w:ascii="Minion Pro Med" w:hAnsi="Minion Pro Med"/>
        </w:rPr>
        <w:t xml:space="preserve"> way </w:t>
      </w:r>
      <w:r w:rsidR="006427AC" w:rsidRPr="00913232">
        <w:rPr>
          <w:rFonts w:ascii="Minion Pro Med" w:hAnsi="Minion Pro Med"/>
        </w:rPr>
        <w:t xml:space="preserve">just described </w:t>
      </w:r>
      <w:r w:rsidRPr="00913232">
        <w:rPr>
          <w:rFonts w:ascii="Minion Pro Med" w:hAnsi="Minion Pro Med"/>
        </w:rPr>
        <w:t xml:space="preserve">is what I intend to capture by the term ‘interpersonal transaction’. What does it mean to characterize such interpersonal transactions as ‘self-conscious’? </w:t>
      </w:r>
    </w:p>
    <w:p w14:paraId="5C208055" w14:textId="2375EC7D" w:rsidR="00F11EFC" w:rsidRPr="00913232" w:rsidRDefault="00F11EFC" w:rsidP="00ED7A6E">
      <w:pPr>
        <w:spacing w:line="360" w:lineRule="auto"/>
        <w:rPr>
          <w:rFonts w:ascii="Minion Pro Med" w:hAnsi="Minion Pro Med"/>
        </w:rPr>
      </w:pPr>
      <w:r w:rsidRPr="00913232">
        <w:rPr>
          <w:rFonts w:ascii="Minion Pro Med" w:hAnsi="Minion Pro Med"/>
        </w:rPr>
        <w:t>In the case of actions</w:t>
      </w:r>
      <w:r w:rsidR="00205184" w:rsidRPr="00913232">
        <w:rPr>
          <w:rFonts w:ascii="Minion Pro Med" w:hAnsi="Minion Pro Med"/>
        </w:rPr>
        <w:t xml:space="preserve"> that can be performed by one individual</w:t>
      </w:r>
      <w:r w:rsidRPr="00913232">
        <w:rPr>
          <w:rFonts w:ascii="Minion Pro Med" w:hAnsi="Minion Pro Med"/>
        </w:rPr>
        <w:t xml:space="preserve">, such </w:t>
      </w:r>
      <w:r w:rsidR="00A5400C">
        <w:rPr>
          <w:rFonts w:ascii="Minion Pro Med" w:hAnsi="Minion Pro Med"/>
        </w:rPr>
        <w:t xml:space="preserve">as </w:t>
      </w:r>
      <w:r w:rsidRPr="00913232">
        <w:rPr>
          <w:rFonts w:ascii="Minion Pro Med" w:hAnsi="Minion Pro Med"/>
        </w:rPr>
        <w:t xml:space="preserve">the act of typing, we indicate the self-conscious character of such acts by noting that the actor thinks of </w:t>
      </w:r>
      <w:r w:rsidRPr="00913232">
        <w:rPr>
          <w:rFonts w:ascii="Minion Pro Med" w:hAnsi="Minion Pro Med"/>
          <w:i/>
        </w:rPr>
        <w:t>herself</w:t>
      </w:r>
      <w:r w:rsidRPr="00913232">
        <w:rPr>
          <w:rFonts w:ascii="Minion Pro Med" w:hAnsi="Minion Pro Med"/>
        </w:rPr>
        <w:t xml:space="preserve"> as the act’s agent. The term </w:t>
      </w:r>
      <w:r w:rsidRPr="00913232">
        <w:rPr>
          <w:rFonts w:ascii="Minion Pro Med" w:hAnsi="Minion Pro Med"/>
          <w:i/>
        </w:rPr>
        <w:t>herself</w:t>
      </w:r>
      <w:r w:rsidRPr="00913232">
        <w:rPr>
          <w:rFonts w:ascii="Minion Pro Med" w:hAnsi="Minion Pro Med"/>
        </w:rPr>
        <w:t xml:space="preserve"> has been italicised to highlight the fact that a self-conscious act is not merely one in which the agent thinks of herself as the person performing the act but that she thinks of herself in a distinctive first-personal manner.</w:t>
      </w:r>
      <w:r w:rsidR="0069661F" w:rsidRPr="00913232">
        <w:rPr>
          <w:rStyle w:val="FootnoteReference"/>
          <w:rFonts w:ascii="Minion Pro Med" w:hAnsi="Minion Pro Med"/>
        </w:rPr>
        <w:footnoteReference w:id="11"/>
      </w:r>
      <w:r w:rsidRPr="00913232">
        <w:rPr>
          <w:rFonts w:ascii="Minion Pro Med" w:hAnsi="Minion Pro Med"/>
        </w:rPr>
        <w:t xml:space="preserve"> Suppose a colleague thinks that she is typing. The first-personal manner comes out in that she is thinking about the object (the typer) in such a way that it is not accidental that the ‘she’ in ‘she thinks’ and the ‘she’ in ‘she is typing’ refer to the same person. It is possible to imagine a strange scenario in which my colleague, perhaps as the result of some cognitive impairment, is alienated from her act of typing, such that she thinks that someone (perhaps picked out demonstratively as ‘that person’) is typing without thinking that she </w:t>
      </w:r>
      <w:r w:rsidRPr="00913232">
        <w:rPr>
          <w:rFonts w:ascii="Minion Pro Med" w:hAnsi="Minion Pro Med"/>
          <w:i/>
        </w:rPr>
        <w:t>herself</w:t>
      </w:r>
      <w:r w:rsidRPr="00913232">
        <w:rPr>
          <w:rFonts w:ascii="Minion Pro Med" w:hAnsi="Minion Pro Med"/>
        </w:rPr>
        <w:t xml:space="preserve"> is that person. In this alienated scenario, when my colleague thinks that that person is typing, it is not in virtue of this manner of thinking about the hailer that the one thinking and the one typing are identical, even if she is that person. This alienated scenario is indeed strange; only in rare circumstances can my colleague be said to know by observation that she is typing. More typically, one has knowledge of one’s own act of typing by acting and not by observing, and this distinctive way of </w:t>
      </w:r>
      <w:r w:rsidRPr="00913232">
        <w:rPr>
          <w:rFonts w:ascii="Minion Pro Med" w:hAnsi="Minion Pro Med"/>
        </w:rPr>
        <w:lastRenderedPageBreak/>
        <w:t xml:space="preserve">knowing grounds first-personal reference. In the typical (non-alienated) scenario, my colleague thinks that she </w:t>
      </w:r>
      <w:r w:rsidRPr="00913232">
        <w:rPr>
          <w:rFonts w:ascii="Minion Pro Med" w:hAnsi="Minion Pro Med"/>
          <w:i/>
        </w:rPr>
        <w:t>herself</w:t>
      </w:r>
      <w:r w:rsidRPr="00913232">
        <w:rPr>
          <w:rFonts w:ascii="Minion Pro Med" w:hAnsi="Minion Pro Med"/>
        </w:rPr>
        <w:t xml:space="preserve"> is typing.</w:t>
      </w:r>
    </w:p>
    <w:p w14:paraId="65E82973" w14:textId="77777777" w:rsidR="005F3494" w:rsidRPr="00913232" w:rsidRDefault="00F11EFC" w:rsidP="00F11EFC">
      <w:pPr>
        <w:spacing w:line="360" w:lineRule="auto"/>
        <w:rPr>
          <w:rFonts w:ascii="Minion Pro Med" w:hAnsi="Minion Pro Med"/>
        </w:rPr>
      </w:pPr>
      <w:r w:rsidRPr="00913232">
        <w:rPr>
          <w:rFonts w:ascii="Minion Pro Med" w:hAnsi="Minion Pro Med"/>
        </w:rPr>
        <w:t xml:space="preserve">In the case of interpersonal transactions, such </w:t>
      </w:r>
      <w:r w:rsidR="00A35F53" w:rsidRPr="00913232">
        <w:rPr>
          <w:rFonts w:ascii="Minion Pro Med" w:hAnsi="Minion Pro Med"/>
        </w:rPr>
        <w:t xml:space="preserve">as </w:t>
      </w:r>
      <w:r w:rsidRPr="00913232">
        <w:rPr>
          <w:rFonts w:ascii="Minion Pro Med" w:hAnsi="Minion Pro Med"/>
        </w:rPr>
        <w:t xml:space="preserve">the activity of warning/being warned, the self-conscious character is </w:t>
      </w:r>
      <w:r w:rsidR="003D3D2E" w:rsidRPr="00913232">
        <w:rPr>
          <w:rFonts w:ascii="Minion Pro Med" w:hAnsi="Minion Pro Med"/>
        </w:rPr>
        <w:t xml:space="preserve">best </w:t>
      </w:r>
      <w:r w:rsidRPr="00913232">
        <w:rPr>
          <w:rFonts w:ascii="Minion Pro Med" w:hAnsi="Minion Pro Med"/>
        </w:rPr>
        <w:t xml:space="preserve">indicated </w:t>
      </w:r>
      <w:r w:rsidR="00E4725D" w:rsidRPr="00913232">
        <w:rPr>
          <w:rFonts w:ascii="Minion Pro Med" w:hAnsi="Minion Pro Med"/>
        </w:rPr>
        <w:t>by</w:t>
      </w:r>
      <w:r w:rsidRPr="00913232">
        <w:rPr>
          <w:rFonts w:ascii="Minion Pro Med" w:hAnsi="Minion Pro Med"/>
        </w:rPr>
        <w:t xml:space="preserve"> using a pairing of first-person and second-person singular terms – I and You.</w:t>
      </w:r>
      <w:r w:rsidR="00A35F53" w:rsidRPr="00913232">
        <w:rPr>
          <w:rStyle w:val="FootnoteReference"/>
          <w:rFonts w:ascii="Minion Pro Med" w:hAnsi="Minion Pro Med"/>
        </w:rPr>
        <w:footnoteReference w:id="12"/>
      </w:r>
      <w:r w:rsidRPr="00913232">
        <w:rPr>
          <w:rFonts w:ascii="Minion Pro Med" w:hAnsi="Minion Pro Med"/>
        </w:rPr>
        <w:t xml:space="preserve"> In our example, the illocutionary act requires implicit recognition by the officer that she </w:t>
      </w:r>
      <w:r w:rsidRPr="00913232">
        <w:rPr>
          <w:rFonts w:ascii="Minion Pro Med" w:hAnsi="Minion Pro Med"/>
          <w:i/>
        </w:rPr>
        <w:t xml:space="preserve">herself </w:t>
      </w:r>
      <w:r w:rsidRPr="00913232">
        <w:rPr>
          <w:rFonts w:ascii="Minion Pro Med" w:hAnsi="Minion Pro Med"/>
        </w:rPr>
        <w:t xml:space="preserve">is warning the accused </w:t>
      </w:r>
      <w:r w:rsidRPr="00913232">
        <w:rPr>
          <w:rFonts w:ascii="Minion Pro Med" w:hAnsi="Minion Pro Med"/>
          <w:i/>
        </w:rPr>
        <w:t>herself</w:t>
      </w:r>
      <w:r w:rsidRPr="00913232">
        <w:rPr>
          <w:rFonts w:ascii="Minion Pro Med" w:hAnsi="Minion Pro Med"/>
        </w:rPr>
        <w:t xml:space="preserve"> (a judgment that she could make explicit by saying ‘I </w:t>
      </w:r>
      <w:r w:rsidRPr="00913232">
        <w:rPr>
          <w:rFonts w:ascii="Minion Pro Med" w:hAnsi="Minion Pro Med"/>
          <w:i/>
        </w:rPr>
        <w:t xml:space="preserve">myself </w:t>
      </w:r>
      <w:r w:rsidRPr="00913232">
        <w:rPr>
          <w:rFonts w:ascii="Minion Pro Med" w:hAnsi="Minion Pro Med"/>
        </w:rPr>
        <w:t xml:space="preserve">am warning you </w:t>
      </w:r>
      <w:r w:rsidRPr="00913232">
        <w:rPr>
          <w:rFonts w:ascii="Minion Pro Med" w:hAnsi="Minion Pro Med"/>
          <w:i/>
        </w:rPr>
        <w:t>yourself</w:t>
      </w:r>
      <w:r w:rsidRPr="00913232">
        <w:rPr>
          <w:rFonts w:ascii="Minion Pro Med" w:hAnsi="Minion Pro Med"/>
        </w:rPr>
        <w:t xml:space="preserve">’) and implicit recognition by the accused that he </w:t>
      </w:r>
      <w:r w:rsidRPr="00913232">
        <w:rPr>
          <w:rFonts w:ascii="Minion Pro Med" w:hAnsi="Minion Pro Med"/>
          <w:i/>
        </w:rPr>
        <w:t xml:space="preserve">himself </w:t>
      </w:r>
      <w:r w:rsidRPr="00913232">
        <w:rPr>
          <w:rFonts w:ascii="Minion Pro Med" w:hAnsi="Minion Pro Med"/>
        </w:rPr>
        <w:t xml:space="preserve">is being warned by the officer </w:t>
      </w:r>
      <w:r w:rsidRPr="00913232">
        <w:rPr>
          <w:rFonts w:ascii="Minion Pro Med" w:hAnsi="Minion Pro Med"/>
          <w:i/>
        </w:rPr>
        <w:t>herself</w:t>
      </w:r>
      <w:r w:rsidRPr="00913232">
        <w:rPr>
          <w:rFonts w:ascii="Minion Pro Med" w:hAnsi="Minion Pro Med"/>
        </w:rPr>
        <w:t xml:space="preserve"> (a judgment that she could make explicit by saying ‘I </w:t>
      </w:r>
      <w:r w:rsidRPr="00913232">
        <w:rPr>
          <w:rFonts w:ascii="Minion Pro Med" w:hAnsi="Minion Pro Med"/>
          <w:i/>
        </w:rPr>
        <w:t>myself</w:t>
      </w:r>
      <w:r w:rsidRPr="00913232">
        <w:rPr>
          <w:rFonts w:ascii="Minion Pro Med" w:hAnsi="Minion Pro Med"/>
        </w:rPr>
        <w:t xml:space="preserve"> am being warned by you </w:t>
      </w:r>
      <w:r w:rsidRPr="00913232">
        <w:rPr>
          <w:rFonts w:ascii="Minion Pro Med" w:hAnsi="Minion Pro Med"/>
          <w:i/>
        </w:rPr>
        <w:t>yourself</w:t>
      </w:r>
      <w:r w:rsidRPr="00913232">
        <w:rPr>
          <w:rFonts w:ascii="Minion Pro Med" w:hAnsi="Minion Pro Med"/>
        </w:rPr>
        <w:t xml:space="preserve">’). It is not just that both parties are aware of another person as well as themselves, but that they act towards that other person and thus </w:t>
      </w:r>
      <w:r w:rsidR="003D3D2E" w:rsidRPr="00913232">
        <w:rPr>
          <w:rFonts w:ascii="Minion Pro Med" w:hAnsi="Minion Pro Med"/>
        </w:rPr>
        <w:t xml:space="preserve">each </w:t>
      </w:r>
      <w:r w:rsidRPr="00913232">
        <w:rPr>
          <w:rFonts w:ascii="Minion Pro Med" w:hAnsi="Minion Pro Med"/>
        </w:rPr>
        <w:t xml:space="preserve">think of </w:t>
      </w:r>
      <w:r w:rsidRPr="00913232">
        <w:rPr>
          <w:rFonts w:ascii="Minion Pro Med" w:hAnsi="Minion Pro Med"/>
          <w:i/>
        </w:rPr>
        <w:t>themselves</w:t>
      </w:r>
      <w:r w:rsidRPr="00913232">
        <w:rPr>
          <w:rFonts w:ascii="Minion Pro Med" w:hAnsi="Minion Pro Med"/>
        </w:rPr>
        <w:t xml:space="preserve"> in relation to that other person. In acting towards one another, both the one warning and the one warned think of themselves </w:t>
      </w:r>
      <w:r w:rsidRPr="00913232">
        <w:rPr>
          <w:rFonts w:ascii="Minion Pro Med" w:hAnsi="Minion Pro Med"/>
          <w:i/>
        </w:rPr>
        <w:t>and</w:t>
      </w:r>
      <w:r w:rsidRPr="00913232">
        <w:rPr>
          <w:rFonts w:ascii="Minion Pro Med" w:hAnsi="Minion Pro Med"/>
        </w:rPr>
        <w:t xml:space="preserve"> each other as standing in this relationship: ‘I </w:t>
      </w:r>
      <w:r w:rsidRPr="00913232">
        <w:rPr>
          <w:rFonts w:ascii="Minion Pro Med" w:hAnsi="Minion Pro Med"/>
          <w:i/>
        </w:rPr>
        <w:t xml:space="preserve">myself </w:t>
      </w:r>
      <w:r w:rsidRPr="00913232">
        <w:rPr>
          <w:rFonts w:ascii="Minion Pro Med" w:hAnsi="Minion Pro Med"/>
        </w:rPr>
        <w:t xml:space="preserve">am warning/being warned by you </w:t>
      </w:r>
      <w:r w:rsidRPr="00913232">
        <w:rPr>
          <w:rFonts w:ascii="Minion Pro Med" w:hAnsi="Minion Pro Med"/>
          <w:i/>
        </w:rPr>
        <w:t>yourself’</w:t>
      </w:r>
      <w:r w:rsidRPr="00913232">
        <w:rPr>
          <w:rFonts w:ascii="Minion Pro Med" w:hAnsi="Minion Pro Med"/>
        </w:rPr>
        <w:t xml:space="preserve">.   </w:t>
      </w:r>
    </w:p>
    <w:p w14:paraId="168B0230" w14:textId="77777777" w:rsidR="00725AFC" w:rsidRPr="00913232" w:rsidRDefault="005F3494" w:rsidP="00F11EFC">
      <w:pPr>
        <w:spacing w:line="360" w:lineRule="auto"/>
        <w:rPr>
          <w:rFonts w:ascii="Minion Pro Med" w:hAnsi="Minion Pro Med"/>
        </w:rPr>
      </w:pPr>
      <w:r w:rsidRPr="00913232">
        <w:rPr>
          <w:rFonts w:ascii="Minion Pro Med" w:hAnsi="Minion Pro Med"/>
        </w:rPr>
        <w:t>According to Hornsby’s suggestion, reciprocity between speaker and hearer is a condition internal to the very idea of illocutionary acts. On the understanding proffered here, what explains her suggestion is the fact that illocutionary acts are self-conscious interpersonal transactions, in which self-conscious awareness of the act’s structure by both agent and patient is part of the very idea of the act itself.</w:t>
      </w:r>
      <w:r w:rsidR="00725AFC" w:rsidRPr="00913232">
        <w:rPr>
          <w:rFonts w:ascii="Minion Pro Med" w:hAnsi="Minion Pro Med"/>
        </w:rPr>
        <w:t xml:space="preserve"> </w:t>
      </w:r>
    </w:p>
    <w:p w14:paraId="6DDFA402" w14:textId="1D69597D" w:rsidR="00725AFC" w:rsidRPr="00913232" w:rsidRDefault="00725AFC" w:rsidP="003675D1">
      <w:pPr>
        <w:spacing w:line="360" w:lineRule="auto"/>
        <w:rPr>
          <w:rFonts w:ascii="Minion Pro Med" w:hAnsi="Minion Pro Med"/>
        </w:rPr>
      </w:pPr>
      <w:r w:rsidRPr="00913232">
        <w:rPr>
          <w:rFonts w:ascii="Minion Pro Med" w:hAnsi="Minion Pro Med"/>
        </w:rPr>
        <w:t>Let us apply these reflections to the speech act of criticizing discussed in the preceding section.</w:t>
      </w:r>
      <w:r w:rsidR="0018236F" w:rsidRPr="00913232">
        <w:rPr>
          <w:rFonts w:ascii="Minion Pro Med" w:hAnsi="Minion Pro Med"/>
        </w:rPr>
        <w:t xml:space="preserve"> </w:t>
      </w:r>
      <w:r w:rsidR="0078372C" w:rsidRPr="00913232">
        <w:rPr>
          <w:rFonts w:ascii="Minion Pro Med" w:hAnsi="Minion Pro Med"/>
        </w:rPr>
        <w:t>Fisch and Benbaji’s contend that the act of criticizing is what JL Austin called a ‘performative utterance’ [205], presumably intending to invoke the Austinian distinction between constative and performative utterances.</w:t>
      </w:r>
      <w:r w:rsidR="00404ABB" w:rsidRPr="00913232">
        <w:rPr>
          <w:rStyle w:val="FootnoteReference"/>
          <w:rFonts w:ascii="Minion Pro Med" w:hAnsi="Minion Pro Med"/>
        </w:rPr>
        <w:footnoteReference w:id="13"/>
      </w:r>
      <w:r w:rsidR="00404ABB" w:rsidRPr="00913232">
        <w:rPr>
          <w:rFonts w:ascii="Minion Pro Med" w:hAnsi="Minion Pro Med"/>
        </w:rPr>
        <w:t xml:space="preserve"> </w:t>
      </w:r>
      <w:r w:rsidR="00AC641A" w:rsidRPr="00913232">
        <w:rPr>
          <w:rFonts w:ascii="Minion Pro Med" w:hAnsi="Minion Pro Med"/>
        </w:rPr>
        <w:t>Austin, however,</w:t>
      </w:r>
      <w:r w:rsidR="00E4725D" w:rsidRPr="00913232">
        <w:rPr>
          <w:rFonts w:ascii="Minion Pro Med" w:hAnsi="Minion Pro Med"/>
        </w:rPr>
        <w:t xml:space="preserve"> (in)</w:t>
      </w:r>
      <w:r w:rsidR="0078372C" w:rsidRPr="00913232">
        <w:rPr>
          <w:rFonts w:ascii="Minion Pro Med" w:hAnsi="Minion Pro Med"/>
        </w:rPr>
        <w:t xml:space="preserve">famously replaces </w:t>
      </w:r>
      <w:r w:rsidR="006427AC" w:rsidRPr="00913232">
        <w:rPr>
          <w:rFonts w:ascii="Minion Pro Med" w:hAnsi="Minion Pro Med"/>
        </w:rPr>
        <w:t xml:space="preserve">(or embellishes or develops) </w:t>
      </w:r>
      <w:r w:rsidR="0078372C" w:rsidRPr="00913232">
        <w:rPr>
          <w:rFonts w:ascii="Minion Pro Med" w:hAnsi="Minion Pro Med"/>
        </w:rPr>
        <w:t xml:space="preserve">this binary performative / constative distinction with a ternary distinction between locutionary, illocutionary, and perlocutionary speech-acts, thereby raising the question of the placement of criticizing within this ternary distinction. </w:t>
      </w:r>
      <w:r w:rsidR="00D45B33" w:rsidRPr="00913232">
        <w:rPr>
          <w:rFonts w:ascii="Minion Pro Med" w:hAnsi="Minion Pro Med"/>
        </w:rPr>
        <w:t>Taxonomy in these kinds of matters is a notoriously vexed matter, but s</w:t>
      </w:r>
      <w:r w:rsidR="00377673" w:rsidRPr="00913232">
        <w:rPr>
          <w:rFonts w:ascii="Minion Pro Med" w:hAnsi="Minion Pro Med"/>
        </w:rPr>
        <w:t>peech act theorists</w:t>
      </w:r>
      <w:r w:rsidR="0078372C" w:rsidRPr="00913232">
        <w:rPr>
          <w:rFonts w:ascii="Minion Pro Med" w:hAnsi="Minion Pro Med"/>
        </w:rPr>
        <w:t xml:space="preserve"> typic</w:t>
      </w:r>
      <w:r w:rsidR="00AC641A" w:rsidRPr="00913232">
        <w:rPr>
          <w:rFonts w:ascii="Minion Pro Med" w:hAnsi="Minion Pro Med"/>
        </w:rPr>
        <w:t xml:space="preserve">ally include criticizing </w:t>
      </w:r>
      <w:r w:rsidR="006427AC" w:rsidRPr="00913232">
        <w:rPr>
          <w:rFonts w:ascii="Minion Pro Med" w:hAnsi="Minion Pro Med"/>
        </w:rPr>
        <w:t xml:space="preserve">(conceived in a similar vein to the act described by Fisch and Benbaji) </w:t>
      </w:r>
      <w:r w:rsidR="00AC641A" w:rsidRPr="00913232">
        <w:rPr>
          <w:rFonts w:ascii="Minion Pro Med" w:hAnsi="Minion Pro Med"/>
        </w:rPr>
        <w:t xml:space="preserve">amongst their examples of illocutionary activity, as something done </w:t>
      </w:r>
      <w:r w:rsidR="00AC641A" w:rsidRPr="00913232">
        <w:rPr>
          <w:rFonts w:ascii="Minion Pro Med" w:hAnsi="Minion Pro Med"/>
          <w:i/>
        </w:rPr>
        <w:t>with</w:t>
      </w:r>
      <w:r w:rsidR="00AC641A" w:rsidRPr="00913232">
        <w:rPr>
          <w:rFonts w:ascii="Minion Pro Med" w:hAnsi="Minion Pro Med"/>
        </w:rPr>
        <w:t xml:space="preserve"> words.</w:t>
      </w:r>
      <w:r w:rsidR="00EE4565" w:rsidRPr="00913232">
        <w:rPr>
          <w:rStyle w:val="FootnoteReference"/>
          <w:rFonts w:ascii="Minion Pro Med" w:hAnsi="Minion Pro Med"/>
        </w:rPr>
        <w:footnoteReference w:id="14"/>
      </w:r>
      <w:r w:rsidR="00AC641A" w:rsidRPr="00913232">
        <w:rPr>
          <w:rFonts w:ascii="Minion Pro Med" w:hAnsi="Minion Pro Med"/>
        </w:rPr>
        <w:t xml:space="preserve"> </w:t>
      </w:r>
    </w:p>
    <w:p w14:paraId="37A3BFE3" w14:textId="6D9AD844" w:rsidR="00451268" w:rsidRPr="00913232" w:rsidRDefault="00AC641A" w:rsidP="00ED7A6E">
      <w:pPr>
        <w:spacing w:line="360" w:lineRule="auto"/>
        <w:rPr>
          <w:rFonts w:ascii="Minion Pro Med" w:hAnsi="Minion Pro Med"/>
        </w:rPr>
      </w:pPr>
      <w:r w:rsidRPr="00913232">
        <w:rPr>
          <w:rFonts w:ascii="Minion Pro Med" w:hAnsi="Minion Pro Med"/>
        </w:rPr>
        <w:t xml:space="preserve">If </w:t>
      </w:r>
      <w:r w:rsidR="00725AFC" w:rsidRPr="00913232">
        <w:rPr>
          <w:rFonts w:ascii="Minion Pro Med" w:hAnsi="Minion Pro Med"/>
        </w:rPr>
        <w:t>criticizing is taken to be an illocutionary activity</w:t>
      </w:r>
      <w:r w:rsidRPr="00913232">
        <w:rPr>
          <w:rFonts w:ascii="Minion Pro Med" w:hAnsi="Minion Pro Med"/>
        </w:rPr>
        <w:t xml:space="preserve">, the understanding of Hornsby’s idea of reciprocity sketched above extends to the act of criticizing too. That is, criticizing is best viewed as a self-conscious </w:t>
      </w:r>
      <w:r w:rsidRPr="00913232">
        <w:rPr>
          <w:rFonts w:ascii="Minion Pro Med" w:hAnsi="Minion Pro Med"/>
        </w:rPr>
        <w:lastRenderedPageBreak/>
        <w:t xml:space="preserve">interpersonal transaction </w:t>
      </w:r>
      <w:r w:rsidR="007A50CA" w:rsidRPr="00913232">
        <w:rPr>
          <w:rFonts w:ascii="Minion Pro Med" w:hAnsi="Minion Pro Med"/>
        </w:rPr>
        <w:t>between</w:t>
      </w:r>
      <w:r w:rsidRPr="00913232">
        <w:rPr>
          <w:rFonts w:ascii="Minion Pro Med" w:hAnsi="Minion Pro Med"/>
        </w:rPr>
        <w:t xml:space="preserve"> the one criticizing and the one criticized, with both parties thinking of themselves and each other as standing in this relationship: ‘I </w:t>
      </w:r>
      <w:r w:rsidRPr="00913232">
        <w:rPr>
          <w:rFonts w:ascii="Minion Pro Med" w:hAnsi="Minion Pro Med"/>
          <w:i/>
        </w:rPr>
        <w:t>myself</w:t>
      </w:r>
      <w:r w:rsidRPr="00913232">
        <w:rPr>
          <w:rFonts w:ascii="Minion Pro Med" w:hAnsi="Minion Pro Med"/>
        </w:rPr>
        <w:t xml:space="preserve"> am criticizing / being criticized by you </w:t>
      </w:r>
      <w:r w:rsidRPr="00913232">
        <w:rPr>
          <w:rFonts w:ascii="Minion Pro Med" w:hAnsi="Minion Pro Med"/>
          <w:i/>
        </w:rPr>
        <w:t>yourself</w:t>
      </w:r>
      <w:r w:rsidRPr="00913232">
        <w:rPr>
          <w:rFonts w:ascii="Minion Pro Med" w:hAnsi="Minion Pro Med"/>
        </w:rPr>
        <w:t xml:space="preserve">’. </w:t>
      </w:r>
      <w:r w:rsidR="00E4725D" w:rsidRPr="00913232">
        <w:rPr>
          <w:rFonts w:ascii="Minion Pro Med" w:hAnsi="Minion Pro Med"/>
        </w:rPr>
        <w:t xml:space="preserve">In the central case, </w:t>
      </w:r>
      <w:r w:rsidR="007A50CA" w:rsidRPr="00913232">
        <w:rPr>
          <w:rFonts w:ascii="Minion Pro Med" w:hAnsi="Minion Pro Med"/>
        </w:rPr>
        <w:t xml:space="preserve">therefore, </w:t>
      </w:r>
      <w:r w:rsidR="00E4725D" w:rsidRPr="00913232">
        <w:rPr>
          <w:rFonts w:ascii="Minion Pro Med" w:hAnsi="Minion Pro Med"/>
        </w:rPr>
        <w:t>all that is needed for my act of criticizing to have been successful (and thus f</w:t>
      </w:r>
      <w:r w:rsidR="005C36FA" w:rsidRPr="00913232">
        <w:rPr>
          <w:rFonts w:ascii="Minion Pro Med" w:hAnsi="Minion Pro Med"/>
        </w:rPr>
        <w:t>or you to have been criticized</w:t>
      </w:r>
      <w:r w:rsidR="00E4725D" w:rsidRPr="00913232">
        <w:rPr>
          <w:rFonts w:ascii="Minion Pro Med" w:hAnsi="Minion Pro Med"/>
        </w:rPr>
        <w:t xml:space="preserve">) is </w:t>
      </w:r>
      <w:r w:rsidR="005C36FA" w:rsidRPr="00913232">
        <w:rPr>
          <w:rFonts w:ascii="Minion Pro Med" w:hAnsi="Minion Pro Med"/>
        </w:rPr>
        <w:t>your reciprocal</w:t>
      </w:r>
      <w:r w:rsidR="00E4725D" w:rsidRPr="00913232">
        <w:rPr>
          <w:rFonts w:ascii="Minion Pro Med" w:hAnsi="Minion Pro Med"/>
        </w:rPr>
        <w:t xml:space="preserve"> recognition of </w:t>
      </w:r>
      <w:r w:rsidR="005C36FA" w:rsidRPr="00913232">
        <w:rPr>
          <w:rFonts w:ascii="Minion Pro Med" w:hAnsi="Minion Pro Med"/>
        </w:rPr>
        <w:t>my</w:t>
      </w:r>
      <w:r w:rsidR="00E4725D" w:rsidRPr="00913232">
        <w:rPr>
          <w:rFonts w:ascii="Minion Pro Med" w:hAnsi="Minion Pro Med"/>
        </w:rPr>
        <w:t xml:space="preserve"> intention to </w:t>
      </w:r>
      <w:r w:rsidR="005C36FA" w:rsidRPr="00913232">
        <w:rPr>
          <w:rFonts w:ascii="Minion Pro Med" w:hAnsi="Minion Pro Med"/>
        </w:rPr>
        <w:t>criticize you</w:t>
      </w:r>
      <w:r w:rsidR="00E4725D" w:rsidRPr="00913232">
        <w:rPr>
          <w:rFonts w:ascii="Minion Pro Med" w:hAnsi="Minion Pro Med"/>
        </w:rPr>
        <w:t>.</w:t>
      </w:r>
      <w:r w:rsidR="00725AFC" w:rsidRPr="00913232">
        <w:rPr>
          <w:rFonts w:ascii="Minion Pro Med" w:hAnsi="Minion Pro Med"/>
        </w:rPr>
        <w:t xml:space="preserve"> It is true that the act of intending to criticize and the act of judging that one has been criticized are individual acts, in the sense that action by another individual is not impli</w:t>
      </w:r>
      <w:r w:rsidR="00F52D85" w:rsidRPr="00913232">
        <w:rPr>
          <w:rFonts w:ascii="Minion Pro Med" w:hAnsi="Minion Pro Med"/>
        </w:rPr>
        <w:t>cated by the very idea of these acts</w:t>
      </w:r>
      <w:r w:rsidR="00725AFC" w:rsidRPr="00913232">
        <w:rPr>
          <w:rFonts w:ascii="Minion Pro Med" w:hAnsi="Minion Pro Med"/>
        </w:rPr>
        <w:t>. But one should not thereby conclude that the activity of criticizing involves two such individual acts linked by cause and effect, for this is to ignore the self-conscious interpersonal structure of the transaction between the two participants.</w:t>
      </w:r>
      <w:r w:rsidR="00451268" w:rsidRPr="00913232">
        <w:rPr>
          <w:rFonts w:ascii="Minion Pro Med" w:hAnsi="Minion Pro Med"/>
        </w:rPr>
        <w:t xml:space="preserve"> In the successful case, your </w:t>
      </w:r>
      <w:r w:rsidR="00186B3B" w:rsidRPr="00913232">
        <w:rPr>
          <w:rFonts w:ascii="Minion Pro Med" w:hAnsi="Minion Pro Med"/>
        </w:rPr>
        <w:t xml:space="preserve">implicit </w:t>
      </w:r>
      <w:r w:rsidR="00451268" w:rsidRPr="00913232">
        <w:rPr>
          <w:rFonts w:ascii="Minion Pro Med" w:hAnsi="Minion Pro Med"/>
        </w:rPr>
        <w:t xml:space="preserve">self-conscious awareness of the transactional structure may, together with other reasons, ground your </w:t>
      </w:r>
      <w:r w:rsidR="00186B3B" w:rsidRPr="00913232">
        <w:rPr>
          <w:rFonts w:ascii="Minion Pro Med" w:hAnsi="Minion Pro Med"/>
        </w:rPr>
        <w:t xml:space="preserve">explicit </w:t>
      </w:r>
      <w:r w:rsidR="00451268" w:rsidRPr="00913232">
        <w:rPr>
          <w:rFonts w:ascii="Minion Pro Med" w:hAnsi="Minion Pro Med"/>
        </w:rPr>
        <w:t>practical judgment</w:t>
      </w:r>
      <w:r w:rsidR="00B35BE8" w:rsidRPr="00913232">
        <w:rPr>
          <w:rFonts w:ascii="Minion Pro Med" w:hAnsi="Minion Pro Med"/>
        </w:rPr>
        <w:t xml:space="preserve"> (that you </w:t>
      </w:r>
      <w:r w:rsidR="00B35BE8" w:rsidRPr="00913232">
        <w:rPr>
          <w:rFonts w:ascii="Minion Pro Med" w:hAnsi="Minion Pro Med"/>
          <w:i/>
        </w:rPr>
        <w:t>yourself</w:t>
      </w:r>
      <w:r w:rsidR="00B35BE8" w:rsidRPr="00913232">
        <w:rPr>
          <w:rFonts w:ascii="Minion Pro Med" w:hAnsi="Minion Pro Med"/>
        </w:rPr>
        <w:t xml:space="preserve"> have been criticized by me </w:t>
      </w:r>
      <w:r w:rsidR="00B35BE8" w:rsidRPr="00913232">
        <w:rPr>
          <w:rFonts w:ascii="Minion Pro Med" w:hAnsi="Minion Pro Med"/>
          <w:i/>
        </w:rPr>
        <w:t>myself</w:t>
      </w:r>
      <w:r w:rsidR="00B35BE8" w:rsidRPr="00913232">
        <w:rPr>
          <w:rFonts w:ascii="Minion Pro Med" w:hAnsi="Minion Pro Med"/>
        </w:rPr>
        <w:t>)</w:t>
      </w:r>
      <w:r w:rsidR="00451268" w:rsidRPr="00913232">
        <w:rPr>
          <w:rFonts w:ascii="Minion Pro Med" w:hAnsi="Minion Pro Med"/>
        </w:rPr>
        <w:t>, and the ground provided by participation in the transactional structure is distinctive since it is internal to the relationship forged by our interpersonal transaction.</w:t>
      </w:r>
    </w:p>
    <w:p w14:paraId="20053551" w14:textId="686789F5" w:rsidR="00A265A5" w:rsidRPr="00913232" w:rsidRDefault="00642725" w:rsidP="00F11EFC">
      <w:pPr>
        <w:spacing w:line="360" w:lineRule="auto"/>
        <w:rPr>
          <w:rFonts w:ascii="Minion Pro Med" w:hAnsi="Minion Pro Med"/>
        </w:rPr>
      </w:pPr>
      <w:r>
        <w:rPr>
          <w:rFonts w:ascii="Minion Pro Med" w:hAnsi="Minion Pro Med"/>
        </w:rPr>
        <w:t>The overall aim</w:t>
      </w:r>
      <w:r w:rsidR="00A265A5" w:rsidRPr="00913232">
        <w:rPr>
          <w:rFonts w:ascii="Minion Pro Med" w:hAnsi="Minion Pro Med"/>
        </w:rPr>
        <w:t xml:space="preserve"> of </w:t>
      </w:r>
      <w:r>
        <w:rPr>
          <w:rFonts w:ascii="Minion Pro Med" w:hAnsi="Minion Pro Med"/>
        </w:rPr>
        <w:t>this brief characterization of illocutionary acts</w:t>
      </w:r>
      <w:r w:rsidR="00A265A5" w:rsidRPr="00913232">
        <w:rPr>
          <w:rFonts w:ascii="Minion Pro Med" w:hAnsi="Minion Pro Med"/>
        </w:rPr>
        <w:t>, including th</w:t>
      </w:r>
      <w:r>
        <w:rPr>
          <w:rFonts w:ascii="Minion Pro Med" w:hAnsi="Minion Pro Med"/>
        </w:rPr>
        <w:t xml:space="preserve">e speech act of criticizing, is </w:t>
      </w:r>
      <w:r w:rsidR="00A265A5" w:rsidRPr="00913232">
        <w:rPr>
          <w:rFonts w:ascii="Minion Pro Med" w:hAnsi="Minion Pro Med"/>
        </w:rPr>
        <w:t>to provide an alternative to thinking about changing the mind of another as involving two separate activities performed in turn by different interlocutors. The structure of illocutionary acts outlined, as self-conscious inte</w:t>
      </w:r>
      <w:r w:rsidR="00D57290" w:rsidRPr="00913232">
        <w:rPr>
          <w:rFonts w:ascii="Minion Pro Med" w:hAnsi="Minion Pro Med"/>
        </w:rPr>
        <w:t>rpersonal transactions, provides that alternative, since it is</w:t>
      </w:r>
      <w:r w:rsidR="00A265A5" w:rsidRPr="00913232">
        <w:rPr>
          <w:rFonts w:ascii="Minion Pro Med" w:hAnsi="Minion Pro Med"/>
        </w:rPr>
        <w:t xml:space="preserve"> claimed that the two performances of address and response have the unity of being a single act describable from two different perspectives.</w:t>
      </w:r>
    </w:p>
    <w:p w14:paraId="02DB33B4" w14:textId="77777777" w:rsidR="00AD2D1C" w:rsidRPr="00913232" w:rsidRDefault="00AD2D1C" w:rsidP="00893220">
      <w:pPr>
        <w:spacing w:line="360" w:lineRule="auto"/>
        <w:rPr>
          <w:rFonts w:ascii="Minion Pro Med" w:hAnsi="Minion Pro Med"/>
        </w:rPr>
      </w:pPr>
      <w:r w:rsidRPr="00913232">
        <w:rPr>
          <w:rFonts w:ascii="Minion Pro Med" w:hAnsi="Minion Pro Med"/>
        </w:rPr>
        <w:t>IV</w:t>
      </w:r>
    </w:p>
    <w:p w14:paraId="2E5B3A9C" w14:textId="77777777" w:rsidR="00D57290" w:rsidRPr="00913232" w:rsidRDefault="00FF311D" w:rsidP="00893220">
      <w:pPr>
        <w:spacing w:line="360" w:lineRule="auto"/>
        <w:rPr>
          <w:rFonts w:ascii="Minion Pro Med" w:hAnsi="Minion Pro Med"/>
        </w:rPr>
      </w:pPr>
      <w:r w:rsidRPr="00913232">
        <w:rPr>
          <w:rFonts w:ascii="Minion Pro Med" w:hAnsi="Minion Pro Med"/>
        </w:rPr>
        <w:t xml:space="preserve">Let us consider a friendly objection to the thrust of the discussion thus far. The objection is friendly in that it accepts the account described in the preceding section, </w:t>
      </w:r>
      <w:r w:rsidR="00FC0640" w:rsidRPr="00913232">
        <w:rPr>
          <w:rFonts w:ascii="Minion Pro Med" w:hAnsi="Minion Pro Med"/>
        </w:rPr>
        <w:t xml:space="preserve">i.e. </w:t>
      </w:r>
      <w:r w:rsidRPr="00913232">
        <w:rPr>
          <w:rFonts w:ascii="Minion Pro Med" w:hAnsi="Minion Pro Med"/>
        </w:rPr>
        <w:t xml:space="preserve">of illocutionary activity as having the structure of self-conscious interpersonal transactions. The objection </w:t>
      </w:r>
      <w:r w:rsidR="00A90A0A" w:rsidRPr="00913232">
        <w:rPr>
          <w:rFonts w:ascii="Minion Pro Med" w:hAnsi="Minion Pro Med"/>
        </w:rPr>
        <w:t>concerns</w:t>
      </w:r>
      <w:r w:rsidRPr="00913232">
        <w:rPr>
          <w:rFonts w:ascii="Minion Pro Med" w:hAnsi="Minion Pro Med"/>
        </w:rPr>
        <w:t xml:space="preserve"> its re</w:t>
      </w:r>
      <w:r w:rsidR="005F19C3" w:rsidRPr="00913232">
        <w:rPr>
          <w:rFonts w:ascii="Minion Pro Med" w:hAnsi="Minion Pro Med"/>
        </w:rPr>
        <w:t>levance. O</w:t>
      </w:r>
      <w:r w:rsidRPr="00913232">
        <w:rPr>
          <w:rFonts w:ascii="Minion Pro Med" w:hAnsi="Minion Pro Med"/>
        </w:rPr>
        <w:t xml:space="preserve">ur topic is supposed to be that of </w:t>
      </w:r>
      <w:r w:rsidR="007D30DA" w:rsidRPr="00913232">
        <w:rPr>
          <w:rFonts w:ascii="Minion Pro Med" w:hAnsi="Minion Pro Med"/>
        </w:rPr>
        <w:t>‘</w:t>
      </w:r>
      <w:r w:rsidRPr="00913232">
        <w:rPr>
          <w:rFonts w:ascii="Minion Pro Med" w:hAnsi="Minion Pro Med"/>
        </w:rPr>
        <w:t>changing your mind</w:t>
      </w:r>
      <w:r w:rsidR="007D30DA" w:rsidRPr="00913232">
        <w:rPr>
          <w:rFonts w:ascii="Minion Pro Med" w:hAnsi="Minion Pro Med"/>
        </w:rPr>
        <w:t>’</w:t>
      </w:r>
      <w:r w:rsidR="0018236F" w:rsidRPr="00913232">
        <w:rPr>
          <w:rFonts w:ascii="Minion Pro Med" w:hAnsi="Minion Pro Med"/>
        </w:rPr>
        <w:t xml:space="preserve">, and yet I may successfully perform the act of criticizing you </w:t>
      </w:r>
      <w:r w:rsidR="00CD45C9" w:rsidRPr="00913232">
        <w:rPr>
          <w:rFonts w:ascii="Minion Pro Med" w:hAnsi="Minion Pro Med"/>
        </w:rPr>
        <w:t xml:space="preserve">(as described above) </w:t>
      </w:r>
      <w:r w:rsidR="0018236F" w:rsidRPr="00913232">
        <w:rPr>
          <w:rFonts w:ascii="Minion Pro Med" w:hAnsi="Minion Pro Med"/>
        </w:rPr>
        <w:t xml:space="preserve">without changing your mind. If so, the </w:t>
      </w:r>
      <w:r w:rsidR="007D30DA" w:rsidRPr="00913232">
        <w:rPr>
          <w:rFonts w:ascii="Minion Pro Med" w:hAnsi="Minion Pro Med"/>
        </w:rPr>
        <w:t>relevant speech act seems</w:t>
      </w:r>
      <w:r w:rsidRPr="00913232">
        <w:rPr>
          <w:rFonts w:ascii="Minion Pro Med" w:hAnsi="Minion Pro Med"/>
        </w:rPr>
        <w:t xml:space="preserve"> </w:t>
      </w:r>
      <w:r w:rsidR="0018236F" w:rsidRPr="00913232">
        <w:rPr>
          <w:rFonts w:ascii="Minion Pro Med" w:hAnsi="Minion Pro Med"/>
        </w:rPr>
        <w:t xml:space="preserve">not </w:t>
      </w:r>
      <w:r w:rsidR="007D30DA" w:rsidRPr="00913232">
        <w:rPr>
          <w:rFonts w:ascii="Minion Pro Med" w:hAnsi="Minion Pro Med"/>
        </w:rPr>
        <w:t xml:space="preserve">to be </w:t>
      </w:r>
      <w:r w:rsidR="0018236F" w:rsidRPr="00913232">
        <w:rPr>
          <w:rFonts w:ascii="Minion Pro Med" w:hAnsi="Minion Pro Med"/>
        </w:rPr>
        <w:t xml:space="preserve">that of criticizing but </w:t>
      </w:r>
      <w:r w:rsidRPr="00913232">
        <w:rPr>
          <w:rFonts w:ascii="Minion Pro Med" w:hAnsi="Minion Pro Med"/>
        </w:rPr>
        <w:t xml:space="preserve">something </w:t>
      </w:r>
      <w:r w:rsidR="006427AC" w:rsidRPr="00913232">
        <w:rPr>
          <w:rFonts w:ascii="Minion Pro Med" w:hAnsi="Minion Pro Med"/>
        </w:rPr>
        <w:t xml:space="preserve">more like the </w:t>
      </w:r>
      <w:r w:rsidR="001A1F2D" w:rsidRPr="00913232">
        <w:rPr>
          <w:rFonts w:ascii="Minion Pro Med" w:hAnsi="Minion Pro Med"/>
        </w:rPr>
        <w:t xml:space="preserve">speech </w:t>
      </w:r>
      <w:r w:rsidR="006427AC" w:rsidRPr="00913232">
        <w:rPr>
          <w:rFonts w:ascii="Minion Pro Med" w:hAnsi="Minion Pro Med"/>
        </w:rPr>
        <w:t xml:space="preserve">act of convincing. </w:t>
      </w:r>
      <w:r w:rsidR="00071DE3" w:rsidRPr="00913232">
        <w:rPr>
          <w:rFonts w:ascii="Minion Pro Med" w:hAnsi="Minion Pro Med"/>
        </w:rPr>
        <w:t>C</w:t>
      </w:r>
      <w:r w:rsidR="006427AC" w:rsidRPr="00913232">
        <w:rPr>
          <w:rFonts w:ascii="Minion Pro Med" w:hAnsi="Minion Pro Med"/>
        </w:rPr>
        <w:t>onvinc</w:t>
      </w:r>
      <w:r w:rsidR="005F19C3" w:rsidRPr="00913232">
        <w:rPr>
          <w:rFonts w:ascii="Minion Pro Med" w:hAnsi="Minion Pro Med"/>
        </w:rPr>
        <w:t>ing</w:t>
      </w:r>
      <w:r w:rsidR="00071DE3" w:rsidRPr="00913232">
        <w:rPr>
          <w:rFonts w:ascii="Minion Pro Med" w:hAnsi="Minion Pro Med"/>
        </w:rPr>
        <w:t>, however,</w:t>
      </w:r>
      <w:r w:rsidR="005F19C3" w:rsidRPr="00913232">
        <w:rPr>
          <w:rFonts w:ascii="Minion Pro Med" w:hAnsi="Minion Pro Med"/>
        </w:rPr>
        <w:t xml:space="preserve"> is best conceived as a perlocutionary, and not an illocutionary</w:t>
      </w:r>
      <w:r w:rsidR="0018236F" w:rsidRPr="00913232">
        <w:rPr>
          <w:rFonts w:ascii="Minion Pro Med" w:hAnsi="Minion Pro Med"/>
        </w:rPr>
        <w:t>, act: y</w:t>
      </w:r>
      <w:r w:rsidR="005F19C3" w:rsidRPr="00913232">
        <w:rPr>
          <w:rFonts w:ascii="Minion Pro Med" w:hAnsi="Minion Pro Med"/>
        </w:rPr>
        <w:t>our recognition of my</w:t>
      </w:r>
      <w:r w:rsidR="006427AC" w:rsidRPr="00913232">
        <w:rPr>
          <w:rFonts w:ascii="Minion Pro Med" w:hAnsi="Minion Pro Med"/>
        </w:rPr>
        <w:t xml:space="preserve"> intent to convince</w:t>
      </w:r>
      <w:r w:rsidR="005F19C3" w:rsidRPr="00913232">
        <w:rPr>
          <w:rFonts w:ascii="Minion Pro Med" w:hAnsi="Minion Pro Med"/>
        </w:rPr>
        <w:t xml:space="preserve"> you does not suffice for the act to </w:t>
      </w:r>
      <w:r w:rsidR="0018236F" w:rsidRPr="00913232">
        <w:rPr>
          <w:rFonts w:ascii="Minion Pro Med" w:hAnsi="Minion Pro Med"/>
        </w:rPr>
        <w:t>have been</w:t>
      </w:r>
      <w:r w:rsidR="005F19C3" w:rsidRPr="00913232">
        <w:rPr>
          <w:rFonts w:ascii="Minion Pro Med" w:hAnsi="Minion Pro Med"/>
        </w:rPr>
        <w:t xml:space="preserve"> successful</w:t>
      </w:r>
      <w:r w:rsidR="00FC0640" w:rsidRPr="00913232">
        <w:rPr>
          <w:rFonts w:ascii="Minion Pro Med" w:hAnsi="Minion Pro Med"/>
        </w:rPr>
        <w:t xml:space="preserve"> (in explanatorily central cases).</w:t>
      </w:r>
      <w:r w:rsidR="004E0A60" w:rsidRPr="00913232">
        <w:rPr>
          <w:rFonts w:ascii="Minion Pro Med" w:hAnsi="Minion Pro Med"/>
        </w:rPr>
        <w:t xml:space="preserve"> </w:t>
      </w:r>
      <w:r w:rsidR="0018236F" w:rsidRPr="00913232">
        <w:rPr>
          <w:rFonts w:ascii="Minion Pro Med" w:hAnsi="Minion Pro Med"/>
        </w:rPr>
        <w:t>If so, runs the objection</w:t>
      </w:r>
      <w:r w:rsidR="00E31281" w:rsidRPr="00913232">
        <w:rPr>
          <w:rFonts w:ascii="Minion Pro Med" w:hAnsi="Minion Pro Med"/>
        </w:rPr>
        <w:t>,</w:t>
      </w:r>
      <w:r w:rsidR="0018236F" w:rsidRPr="00913232">
        <w:rPr>
          <w:rFonts w:ascii="Minion Pro Med" w:hAnsi="Minion Pro Med"/>
        </w:rPr>
        <w:t xml:space="preserve"> the discussion of illocutionary acts in the previous section may </w:t>
      </w:r>
      <w:r w:rsidR="006427AC" w:rsidRPr="00913232">
        <w:rPr>
          <w:rFonts w:ascii="Minion Pro Med" w:hAnsi="Minion Pro Med"/>
        </w:rPr>
        <w:t xml:space="preserve">well </w:t>
      </w:r>
      <w:r w:rsidR="0018236F" w:rsidRPr="00913232">
        <w:rPr>
          <w:rFonts w:ascii="Minion Pro Med" w:hAnsi="Minion Pro Med"/>
        </w:rPr>
        <w:t xml:space="preserve">be correct but remains </w:t>
      </w:r>
      <w:r w:rsidR="00E31281" w:rsidRPr="00913232">
        <w:rPr>
          <w:rFonts w:ascii="Minion Pro Med" w:hAnsi="Minion Pro Med"/>
        </w:rPr>
        <w:t xml:space="preserve">largely </w:t>
      </w:r>
      <w:r w:rsidR="0018236F" w:rsidRPr="00913232">
        <w:rPr>
          <w:rFonts w:ascii="Minion Pro Med" w:hAnsi="Minion Pro Med"/>
        </w:rPr>
        <w:t xml:space="preserve">beside the point. </w:t>
      </w:r>
      <w:r w:rsidR="00022C4E" w:rsidRPr="00913232">
        <w:rPr>
          <w:rFonts w:ascii="Minion Pro Med" w:hAnsi="Minion Pro Med"/>
        </w:rPr>
        <w:t>Moreover, unlike illocutions, perlocutions do</w:t>
      </w:r>
      <w:r w:rsidR="00FC0640" w:rsidRPr="00913232">
        <w:rPr>
          <w:rFonts w:ascii="Minion Pro Med" w:hAnsi="Minion Pro Med"/>
        </w:rPr>
        <w:t xml:space="preserve"> appear</w:t>
      </w:r>
      <w:r w:rsidR="00B6521F" w:rsidRPr="00913232">
        <w:rPr>
          <w:rFonts w:ascii="Minion Pro Med" w:hAnsi="Minion Pro Med"/>
        </w:rPr>
        <w:t xml:space="preserve"> to involve</w:t>
      </w:r>
      <w:r w:rsidR="00FC0640" w:rsidRPr="00913232">
        <w:rPr>
          <w:rFonts w:ascii="Minion Pro Med" w:hAnsi="Minion Pro Med"/>
        </w:rPr>
        <w:t xml:space="preserve"> two different activities, and this</w:t>
      </w:r>
      <w:r w:rsidR="00B6521F" w:rsidRPr="00913232">
        <w:rPr>
          <w:rFonts w:ascii="Minion Pro Med" w:hAnsi="Minion Pro Med"/>
        </w:rPr>
        <w:t xml:space="preserve"> is precisely why the reciprocity condition fails to hold. To take our earlier example, a successful act of </w:t>
      </w:r>
      <w:r w:rsidR="006427AC" w:rsidRPr="00913232">
        <w:rPr>
          <w:rFonts w:ascii="Minion Pro Med" w:hAnsi="Minion Pro Med"/>
        </w:rPr>
        <w:t xml:space="preserve">alarming </w:t>
      </w:r>
      <w:r w:rsidR="00B6521F" w:rsidRPr="00913232">
        <w:rPr>
          <w:rFonts w:ascii="Minion Pro Med" w:hAnsi="Minion Pro Med"/>
        </w:rPr>
        <w:t xml:space="preserve">requires the suspect to feel </w:t>
      </w:r>
      <w:r w:rsidR="006427AC" w:rsidRPr="00913232">
        <w:rPr>
          <w:rFonts w:ascii="Minion Pro Med" w:hAnsi="Minion Pro Med"/>
        </w:rPr>
        <w:t>alarmed</w:t>
      </w:r>
      <w:r w:rsidR="00B6521F" w:rsidRPr="00913232">
        <w:rPr>
          <w:rFonts w:ascii="Minion Pro Med" w:hAnsi="Minion Pro Med"/>
        </w:rPr>
        <w:t xml:space="preserve"> in response, and this surely is something that </w:t>
      </w:r>
      <w:r w:rsidR="0069661F" w:rsidRPr="00913232">
        <w:rPr>
          <w:rFonts w:ascii="Minion Pro Med" w:hAnsi="Minion Pro Med"/>
        </w:rPr>
        <w:t xml:space="preserve">is not best </w:t>
      </w:r>
      <w:r w:rsidR="0069661F" w:rsidRPr="00913232">
        <w:rPr>
          <w:rFonts w:ascii="Minion Pro Med" w:hAnsi="Minion Pro Med"/>
        </w:rPr>
        <w:lastRenderedPageBreak/>
        <w:t>treated as exemplifying ‘one act of thinking; an act of thinking for two’.</w:t>
      </w:r>
      <w:r w:rsidR="0069661F" w:rsidRPr="00913232">
        <w:rPr>
          <w:rStyle w:val="FootnoteReference"/>
          <w:rFonts w:ascii="Minion Pro Med" w:hAnsi="Minion Pro Med"/>
        </w:rPr>
        <w:footnoteReference w:id="15"/>
      </w:r>
      <w:r w:rsidR="0069661F" w:rsidRPr="00913232">
        <w:rPr>
          <w:rFonts w:ascii="Minion Pro Med" w:hAnsi="Minion Pro Med"/>
        </w:rPr>
        <w:t xml:space="preserve">  </w:t>
      </w:r>
      <w:r w:rsidR="00D57290" w:rsidRPr="00913232">
        <w:rPr>
          <w:rFonts w:ascii="Minion Pro Med" w:hAnsi="Minion Pro Med"/>
        </w:rPr>
        <w:t xml:space="preserve">Thus, an implication of the objection </w:t>
      </w:r>
      <w:r w:rsidR="00005354" w:rsidRPr="00913232">
        <w:rPr>
          <w:rFonts w:ascii="Minion Pro Med" w:hAnsi="Minion Pro Med"/>
        </w:rPr>
        <w:t xml:space="preserve">is that </w:t>
      </w:r>
      <w:r w:rsidR="00D57290" w:rsidRPr="00913232">
        <w:rPr>
          <w:rFonts w:ascii="Minion Pro Med" w:hAnsi="Minion Pro Med"/>
        </w:rPr>
        <w:t xml:space="preserve">our preceding discussion fails to offer a </w:t>
      </w:r>
      <w:r w:rsidR="00005354" w:rsidRPr="00913232">
        <w:rPr>
          <w:rFonts w:ascii="Minion Pro Med" w:hAnsi="Minion Pro Med"/>
        </w:rPr>
        <w:t xml:space="preserve">genuinely </w:t>
      </w:r>
      <w:r w:rsidR="00D57290" w:rsidRPr="00913232">
        <w:rPr>
          <w:rFonts w:ascii="Minion Pro Med" w:hAnsi="Minion Pro Med"/>
        </w:rPr>
        <w:t>social alternative to an understanding of changing another’s mind.</w:t>
      </w:r>
    </w:p>
    <w:p w14:paraId="7CE451AE" w14:textId="77777777" w:rsidR="001618B1" w:rsidRPr="00913232" w:rsidRDefault="00A537F3" w:rsidP="000F427B">
      <w:pPr>
        <w:spacing w:line="360" w:lineRule="auto"/>
        <w:rPr>
          <w:rFonts w:ascii="Minion Pro Med" w:hAnsi="Minion Pro Med"/>
        </w:rPr>
      </w:pPr>
      <w:r w:rsidRPr="00913232">
        <w:rPr>
          <w:rFonts w:ascii="Minion Pro Med" w:hAnsi="Minion Pro Med"/>
        </w:rPr>
        <w:t>The remainder of this section is an extended attempt to respond to this objection</w:t>
      </w:r>
      <w:r w:rsidR="003B18CD" w:rsidRPr="00913232">
        <w:rPr>
          <w:rFonts w:ascii="Minion Pro Med" w:hAnsi="Minion Pro Med"/>
        </w:rPr>
        <w:t>,</w:t>
      </w:r>
      <w:r w:rsidRPr="00913232">
        <w:rPr>
          <w:rFonts w:ascii="Minion Pro Med" w:hAnsi="Minion Pro Med"/>
        </w:rPr>
        <w:t xml:space="preserve"> by focusing </w:t>
      </w:r>
      <w:r w:rsidR="006D610B" w:rsidRPr="00913232">
        <w:rPr>
          <w:rFonts w:ascii="Minion Pro Med" w:hAnsi="Minion Pro Med"/>
        </w:rPr>
        <w:t xml:space="preserve">on the act that the </w:t>
      </w:r>
      <w:r w:rsidRPr="00913232">
        <w:rPr>
          <w:rFonts w:ascii="Minion Pro Med" w:hAnsi="Minion Pro Med"/>
        </w:rPr>
        <w:t xml:space="preserve">friendly </w:t>
      </w:r>
      <w:r w:rsidR="00A030F3" w:rsidRPr="00913232">
        <w:rPr>
          <w:rFonts w:ascii="Minion Pro Med" w:hAnsi="Minion Pro Med"/>
        </w:rPr>
        <w:t xml:space="preserve">critic highlights as central: </w:t>
      </w:r>
      <w:r w:rsidR="00CA21AC" w:rsidRPr="00913232">
        <w:rPr>
          <w:rFonts w:ascii="Minion Pro Med" w:hAnsi="Minion Pro Med"/>
        </w:rPr>
        <w:t xml:space="preserve">the speech act of convincing. </w:t>
      </w:r>
      <w:r w:rsidR="008C2CC4" w:rsidRPr="00913232">
        <w:rPr>
          <w:rFonts w:ascii="Minion Pro Med" w:hAnsi="Minion Pro Med"/>
        </w:rPr>
        <w:t xml:space="preserve">To emphasize at the outset, </w:t>
      </w:r>
      <w:r w:rsidR="001618B1" w:rsidRPr="00913232">
        <w:rPr>
          <w:rFonts w:ascii="Minion Pro Med" w:hAnsi="Minion Pro Med"/>
        </w:rPr>
        <w:t xml:space="preserve">our concern is limited to arriving at </w:t>
      </w:r>
      <w:r w:rsidR="008C2CC4" w:rsidRPr="00913232">
        <w:rPr>
          <w:rFonts w:ascii="Minion Pro Med" w:hAnsi="Minion Pro Med"/>
        </w:rPr>
        <w:t>an understanding</w:t>
      </w:r>
      <w:r w:rsidR="001618B1" w:rsidRPr="00913232">
        <w:rPr>
          <w:rFonts w:ascii="Minion Pro Med" w:hAnsi="Minion Pro Med"/>
        </w:rPr>
        <w:t xml:space="preserve"> of the act of convincing as it features in the objection</w:t>
      </w:r>
      <w:r w:rsidR="008C2CC4" w:rsidRPr="00913232">
        <w:rPr>
          <w:rFonts w:ascii="Minion Pro Med" w:hAnsi="Minion Pro Med"/>
        </w:rPr>
        <w:t>,</w:t>
      </w:r>
      <w:r w:rsidR="001618B1" w:rsidRPr="00913232">
        <w:rPr>
          <w:rFonts w:ascii="Minion Pro Med" w:hAnsi="Minion Pro Med"/>
        </w:rPr>
        <w:t xml:space="preserve"> and not to an understanding </w:t>
      </w:r>
      <w:r w:rsidR="004C6D3C">
        <w:rPr>
          <w:rFonts w:ascii="Minion Pro Med" w:hAnsi="Minion Pro Med"/>
        </w:rPr>
        <w:t xml:space="preserve">of </w:t>
      </w:r>
      <w:r w:rsidR="001618B1" w:rsidRPr="00913232">
        <w:rPr>
          <w:rFonts w:ascii="Minion Pro Med" w:hAnsi="Minion Pro Med"/>
        </w:rPr>
        <w:t xml:space="preserve">the broader category of the perlocutionary per se. At best, the </w:t>
      </w:r>
      <w:r w:rsidR="008C2CC4" w:rsidRPr="00913232">
        <w:rPr>
          <w:rFonts w:ascii="Minion Pro Med" w:hAnsi="Minion Pro Med"/>
        </w:rPr>
        <w:t xml:space="preserve">discussion </w:t>
      </w:r>
      <w:r w:rsidR="001618B1" w:rsidRPr="00913232">
        <w:rPr>
          <w:rFonts w:ascii="Minion Pro Med" w:hAnsi="Minion Pro Med"/>
        </w:rPr>
        <w:t xml:space="preserve">of convincing afforded here should be treated as a </w:t>
      </w:r>
      <w:r w:rsidR="008C2CC4" w:rsidRPr="00913232">
        <w:rPr>
          <w:rFonts w:ascii="Minion Pro Med" w:hAnsi="Minion Pro Med"/>
        </w:rPr>
        <w:t xml:space="preserve">partial </w:t>
      </w:r>
      <w:r w:rsidR="001618B1" w:rsidRPr="00913232">
        <w:rPr>
          <w:rFonts w:ascii="Minion Pro Med" w:hAnsi="Minion Pro Med"/>
        </w:rPr>
        <w:t xml:space="preserve">characterization of some part of the perlocutionary </w:t>
      </w:r>
      <w:r w:rsidR="008C2CC4" w:rsidRPr="00913232">
        <w:rPr>
          <w:rFonts w:ascii="Minion Pro Med" w:hAnsi="Minion Pro Med"/>
        </w:rPr>
        <w:t>domain</w:t>
      </w:r>
      <w:r w:rsidR="001618B1" w:rsidRPr="00913232">
        <w:rPr>
          <w:rFonts w:ascii="Minion Pro Med" w:hAnsi="Minion Pro Med"/>
        </w:rPr>
        <w:t>; it should not be treated as a</w:t>
      </w:r>
      <w:r w:rsidR="000461AC" w:rsidRPr="00913232">
        <w:rPr>
          <w:rFonts w:ascii="Minion Pro Med" w:hAnsi="Minion Pro Med"/>
        </w:rPr>
        <w:t>n</w:t>
      </w:r>
      <w:r w:rsidR="001618B1" w:rsidRPr="00913232">
        <w:rPr>
          <w:rFonts w:ascii="Minion Pro Med" w:hAnsi="Minion Pro Med"/>
        </w:rPr>
        <w:t xml:space="preserve"> </w:t>
      </w:r>
      <w:r w:rsidR="000461AC" w:rsidRPr="00913232">
        <w:rPr>
          <w:rFonts w:ascii="Minion Pro Med" w:hAnsi="Minion Pro Med"/>
        </w:rPr>
        <w:t xml:space="preserve">attempted </w:t>
      </w:r>
      <w:r w:rsidR="001618B1" w:rsidRPr="00913232">
        <w:rPr>
          <w:rFonts w:ascii="Minion Pro Med" w:hAnsi="Minion Pro Med"/>
        </w:rPr>
        <w:t xml:space="preserve">characterization of the </w:t>
      </w:r>
      <w:r w:rsidR="008C2CC4" w:rsidRPr="00913232">
        <w:rPr>
          <w:rFonts w:ascii="Minion Pro Med" w:hAnsi="Minion Pro Med"/>
        </w:rPr>
        <w:t>domain</w:t>
      </w:r>
      <w:r w:rsidR="001618B1" w:rsidRPr="00913232">
        <w:rPr>
          <w:rFonts w:ascii="Minion Pro Med" w:hAnsi="Minion Pro Med"/>
        </w:rPr>
        <w:t xml:space="preserve"> as a whole.</w:t>
      </w:r>
      <w:r w:rsidR="001618B1" w:rsidRPr="00913232">
        <w:rPr>
          <w:rStyle w:val="FootnoteReference"/>
          <w:rFonts w:ascii="Minion Pro Med" w:hAnsi="Minion Pro Med"/>
        </w:rPr>
        <w:footnoteReference w:id="16"/>
      </w:r>
      <w:r w:rsidR="001618B1" w:rsidRPr="00913232">
        <w:rPr>
          <w:rFonts w:ascii="Minion Pro Med" w:hAnsi="Minion Pro Med"/>
        </w:rPr>
        <w:t xml:space="preserve"> </w:t>
      </w:r>
    </w:p>
    <w:p w14:paraId="5E1E7D57" w14:textId="77777777" w:rsidR="00E20AB7" w:rsidRPr="00913232" w:rsidRDefault="0061088C" w:rsidP="000F427B">
      <w:pPr>
        <w:spacing w:line="360" w:lineRule="auto"/>
        <w:rPr>
          <w:rFonts w:ascii="Minion Pro Med" w:hAnsi="Minion Pro Med"/>
        </w:rPr>
      </w:pPr>
      <w:r w:rsidRPr="00913232">
        <w:rPr>
          <w:rFonts w:ascii="Minion Pro Med" w:hAnsi="Minion Pro Med"/>
        </w:rPr>
        <w:t xml:space="preserve">Political theorists </w:t>
      </w:r>
      <w:r w:rsidR="00952217" w:rsidRPr="00913232">
        <w:rPr>
          <w:rFonts w:ascii="Minion Pro Med" w:hAnsi="Minion Pro Med"/>
        </w:rPr>
        <w:t>distinguish</w:t>
      </w:r>
      <w:r w:rsidRPr="00913232">
        <w:rPr>
          <w:rFonts w:ascii="Minion Pro Med" w:hAnsi="Minion Pro Med"/>
        </w:rPr>
        <w:t xml:space="preserve"> between three forms of social influence over others: </w:t>
      </w:r>
      <w:r w:rsidR="00F1634E" w:rsidRPr="00913232">
        <w:rPr>
          <w:rFonts w:ascii="Minion Pro Med" w:hAnsi="Minion Pro Med"/>
        </w:rPr>
        <w:t xml:space="preserve">influence </w:t>
      </w:r>
      <w:r w:rsidRPr="00913232">
        <w:rPr>
          <w:rFonts w:ascii="Minion Pro Med" w:hAnsi="Minion Pro Med"/>
        </w:rPr>
        <w:t>by means of rational persuasion, by means of authority and by means of coercion.</w:t>
      </w:r>
      <w:r w:rsidRPr="00913232">
        <w:rPr>
          <w:rStyle w:val="FootnoteReference"/>
          <w:rFonts w:ascii="Minion Pro Med" w:hAnsi="Minion Pro Med"/>
        </w:rPr>
        <w:footnoteReference w:id="17"/>
      </w:r>
      <w:r w:rsidR="00F1634E" w:rsidRPr="00913232">
        <w:rPr>
          <w:rFonts w:ascii="Minion Pro Med" w:hAnsi="Minion Pro Med"/>
        </w:rPr>
        <w:t xml:space="preserve"> </w:t>
      </w:r>
      <w:r w:rsidR="0046400A" w:rsidRPr="00913232">
        <w:rPr>
          <w:rFonts w:ascii="Minion Pro Med" w:hAnsi="Minion Pro Med"/>
        </w:rPr>
        <w:t>Although their focus is on influence over practice, the same tripartite division seems capable of extension to include influence over beliefs as well.</w:t>
      </w:r>
      <w:r w:rsidR="0046400A" w:rsidRPr="00913232">
        <w:rPr>
          <w:rStyle w:val="FootnoteReference"/>
          <w:rFonts w:ascii="Minion Pro Med" w:hAnsi="Minion Pro Med"/>
        </w:rPr>
        <w:footnoteReference w:id="18"/>
      </w:r>
      <w:r w:rsidR="0046400A" w:rsidRPr="00913232">
        <w:rPr>
          <w:rFonts w:ascii="Minion Pro Med" w:hAnsi="Minion Pro Med"/>
        </w:rPr>
        <w:t xml:space="preserve"> </w:t>
      </w:r>
      <w:r w:rsidR="00005354" w:rsidRPr="00913232">
        <w:rPr>
          <w:rFonts w:ascii="Minion Pro Med" w:hAnsi="Minion Pro Med"/>
        </w:rPr>
        <w:t>Our</w:t>
      </w:r>
      <w:r w:rsidR="00F1634E" w:rsidRPr="00913232">
        <w:rPr>
          <w:rFonts w:ascii="Minion Pro Med" w:hAnsi="Minion Pro Med"/>
        </w:rPr>
        <w:t xml:space="preserve"> </w:t>
      </w:r>
      <w:r w:rsidRPr="00913232">
        <w:rPr>
          <w:rFonts w:ascii="Minion Pro Med" w:hAnsi="Minion Pro Med"/>
        </w:rPr>
        <w:t xml:space="preserve">interest here is on the </w:t>
      </w:r>
      <w:r w:rsidR="00090FBC" w:rsidRPr="00913232">
        <w:rPr>
          <w:rFonts w:ascii="Minion Pro Med" w:hAnsi="Minion Pro Med"/>
        </w:rPr>
        <w:t>speech act of</w:t>
      </w:r>
      <w:r w:rsidRPr="00913232">
        <w:rPr>
          <w:rFonts w:ascii="Minion Pro Med" w:hAnsi="Minion Pro Med"/>
        </w:rPr>
        <w:t xml:space="preserve"> convincing as it</w:t>
      </w:r>
      <w:r w:rsidR="00132127" w:rsidRPr="00913232">
        <w:rPr>
          <w:rFonts w:ascii="Minion Pro Med" w:hAnsi="Minion Pro Med"/>
        </w:rPr>
        <w:t xml:space="preserve"> is positioned </w:t>
      </w:r>
      <w:r w:rsidRPr="00913232">
        <w:rPr>
          <w:rFonts w:ascii="Minion Pro Med" w:hAnsi="Minion Pro Med"/>
        </w:rPr>
        <w:t xml:space="preserve">within the broad framework of </w:t>
      </w:r>
      <w:r w:rsidR="00043CED" w:rsidRPr="00913232">
        <w:rPr>
          <w:rFonts w:ascii="Minion Pro Med" w:hAnsi="Minion Pro Med"/>
        </w:rPr>
        <w:t xml:space="preserve">influence by means of </w:t>
      </w:r>
      <w:r w:rsidRPr="00913232">
        <w:rPr>
          <w:rFonts w:ascii="Minion Pro Med" w:hAnsi="Minion Pro Med"/>
        </w:rPr>
        <w:t xml:space="preserve">rational persuasion. How should we understand </w:t>
      </w:r>
      <w:r w:rsidR="00132127" w:rsidRPr="00913232">
        <w:rPr>
          <w:rFonts w:ascii="Minion Pro Med" w:hAnsi="Minion Pro Med"/>
        </w:rPr>
        <w:t>this</w:t>
      </w:r>
      <w:r w:rsidRPr="00913232">
        <w:rPr>
          <w:rFonts w:ascii="Minion Pro Med" w:hAnsi="Minion Pro Med"/>
        </w:rPr>
        <w:t xml:space="preserve"> </w:t>
      </w:r>
      <w:r w:rsidR="00132127" w:rsidRPr="00913232">
        <w:rPr>
          <w:rFonts w:ascii="Minion Pro Med" w:hAnsi="Minion Pro Med"/>
        </w:rPr>
        <w:t>positioning</w:t>
      </w:r>
      <w:r w:rsidRPr="00913232">
        <w:rPr>
          <w:rFonts w:ascii="Minion Pro Med" w:hAnsi="Minion Pro Med"/>
        </w:rPr>
        <w:t xml:space="preserve">? </w:t>
      </w:r>
    </w:p>
    <w:p w14:paraId="52BB59A2" w14:textId="77777777" w:rsidR="000F427B" w:rsidRPr="00913232" w:rsidRDefault="0061088C" w:rsidP="000F427B">
      <w:pPr>
        <w:spacing w:line="360" w:lineRule="auto"/>
        <w:rPr>
          <w:rFonts w:ascii="Minion Pro Med" w:hAnsi="Minion Pro Med"/>
        </w:rPr>
      </w:pPr>
      <w:r w:rsidRPr="00913232">
        <w:rPr>
          <w:rFonts w:ascii="Minion Pro Med" w:hAnsi="Minion Pro Med"/>
        </w:rPr>
        <w:t xml:space="preserve">A brief </w:t>
      </w:r>
      <w:r w:rsidR="00DB5AA8" w:rsidRPr="00913232">
        <w:rPr>
          <w:rFonts w:ascii="Minion Pro Med" w:hAnsi="Minion Pro Med"/>
        </w:rPr>
        <w:t xml:space="preserve">but </w:t>
      </w:r>
      <w:r w:rsidRPr="00913232">
        <w:rPr>
          <w:rFonts w:ascii="Minion Pro Med" w:hAnsi="Minion Pro Med"/>
        </w:rPr>
        <w:t xml:space="preserve">instructive attempt to answer this question </w:t>
      </w:r>
      <w:r w:rsidR="00CA21AC" w:rsidRPr="00913232">
        <w:rPr>
          <w:rFonts w:ascii="Minion Pro Med" w:hAnsi="Minion Pro Med"/>
        </w:rPr>
        <w:t xml:space="preserve">is </w:t>
      </w:r>
      <w:r w:rsidRPr="00913232">
        <w:rPr>
          <w:rFonts w:ascii="Minion Pro Med" w:hAnsi="Minion Pro Med"/>
        </w:rPr>
        <w:t>made</w:t>
      </w:r>
      <w:r w:rsidR="00A030F3" w:rsidRPr="00913232">
        <w:rPr>
          <w:rFonts w:ascii="Minion Pro Med" w:hAnsi="Minion Pro Med"/>
        </w:rPr>
        <w:t xml:space="preserve"> </w:t>
      </w:r>
      <w:r w:rsidR="000F427B" w:rsidRPr="00913232">
        <w:rPr>
          <w:rFonts w:ascii="Minion Pro Med" w:hAnsi="Minion Pro Med"/>
        </w:rPr>
        <w:t>by Bryan Garsten</w:t>
      </w:r>
      <w:r w:rsidR="0072292F" w:rsidRPr="00913232">
        <w:rPr>
          <w:rFonts w:ascii="Minion Pro Med" w:hAnsi="Minion Pro Med"/>
        </w:rPr>
        <w:t>,</w:t>
      </w:r>
      <w:r w:rsidR="00D115D3" w:rsidRPr="00913232">
        <w:rPr>
          <w:rFonts w:ascii="Minion Pro Med" w:hAnsi="Minion Pro Med"/>
        </w:rPr>
        <w:t xml:space="preserve"> </w:t>
      </w:r>
      <w:r w:rsidR="000F427B" w:rsidRPr="00913232">
        <w:rPr>
          <w:rFonts w:ascii="Minion Pro Med" w:hAnsi="Minion Pro Med"/>
        </w:rPr>
        <w:t xml:space="preserve">in the course of an extended </w:t>
      </w:r>
      <w:r w:rsidR="0072292F" w:rsidRPr="00913232">
        <w:rPr>
          <w:rFonts w:ascii="Minion Pro Med" w:hAnsi="Minion Pro Med"/>
        </w:rPr>
        <w:t>defense of the orator’s craft:</w:t>
      </w:r>
    </w:p>
    <w:p w14:paraId="786A6C52" w14:textId="77777777" w:rsidR="000F427B" w:rsidRPr="00913232" w:rsidRDefault="000F427B" w:rsidP="000F427B">
      <w:pPr>
        <w:spacing w:line="360" w:lineRule="auto"/>
        <w:ind w:left="720"/>
        <w:rPr>
          <w:rFonts w:ascii="Minion Pro Med" w:hAnsi="Minion Pro Med"/>
        </w:rPr>
      </w:pPr>
      <w:r w:rsidRPr="00913232">
        <w:rPr>
          <w:rFonts w:ascii="Minion Pro Med" w:hAnsi="Minion Pro Med"/>
        </w:rPr>
        <w:t>An orator does not coerce; he merely puts words into the air. In the brief moments of conscious and unconscious reflection that occur when we listen to a sales pitch or a campaign speech, an active process of evaluation and assimilation occurs in our mind. We cannot make use of the energy of food simply</w:t>
      </w:r>
      <w:r w:rsidR="00C65BB1" w:rsidRPr="00913232">
        <w:rPr>
          <w:rFonts w:ascii="Minion Pro Med" w:hAnsi="Minion Pro Med"/>
        </w:rPr>
        <w:t xml:space="preserve"> by coming into contact with it</w:t>
      </w:r>
      <w:r w:rsidRPr="00913232">
        <w:rPr>
          <w:rFonts w:ascii="Minion Pro Med" w:hAnsi="Minion Pro Med"/>
        </w:rPr>
        <w:t xml:space="preserve">; our bodies must actively digest it. An analogous process of digestion must occur before our mind internalizes the suggestions of any given speaker. Unlike actual digestion, however, mental digestion is a process over which we can exercise some control.  … When someone sits back and decides, “All right, you have </w:t>
      </w:r>
      <w:r w:rsidR="002C4C5B" w:rsidRPr="00913232">
        <w:rPr>
          <w:rFonts w:ascii="Minion Pro Med" w:hAnsi="Minion Pro Med"/>
        </w:rPr>
        <w:t>persuaded</w:t>
      </w:r>
      <w:r w:rsidRPr="00913232">
        <w:rPr>
          <w:rFonts w:ascii="Minion Pro Med" w:hAnsi="Minion Pro Med"/>
        </w:rPr>
        <w:t xml:space="preserve"> </w:t>
      </w:r>
      <w:r w:rsidRPr="00913232">
        <w:rPr>
          <w:rFonts w:ascii="Minion Pro Med" w:hAnsi="Minion Pro Med"/>
        </w:rPr>
        <w:lastRenderedPageBreak/>
        <w:t>me”, he is not merely describing something that has happened to him. In spite of the grammar, he is describing something he has done.</w:t>
      </w:r>
      <w:r w:rsidR="00564C21" w:rsidRPr="00913232">
        <w:rPr>
          <w:rStyle w:val="FootnoteReference"/>
          <w:rFonts w:ascii="Minion Pro Med" w:hAnsi="Minion Pro Med"/>
        </w:rPr>
        <w:footnoteReference w:id="19"/>
      </w:r>
      <w:r w:rsidRPr="00913232">
        <w:rPr>
          <w:rFonts w:ascii="Minion Pro Med" w:hAnsi="Minion Pro Med"/>
        </w:rPr>
        <w:t xml:space="preserve"> </w:t>
      </w:r>
    </w:p>
    <w:p w14:paraId="25CA8924" w14:textId="77777777" w:rsidR="00DB5AA8" w:rsidRPr="00913232" w:rsidRDefault="00087B5D" w:rsidP="000F427B">
      <w:pPr>
        <w:spacing w:line="360" w:lineRule="auto"/>
        <w:rPr>
          <w:rFonts w:ascii="Minion Pro Med" w:hAnsi="Minion Pro Med"/>
        </w:rPr>
      </w:pPr>
      <w:r w:rsidRPr="00913232">
        <w:rPr>
          <w:rFonts w:ascii="Minion Pro Med" w:hAnsi="Minion Pro Med"/>
        </w:rPr>
        <w:t xml:space="preserve">Garsten here is interested, inter alia, </w:t>
      </w:r>
      <w:r w:rsidR="00E02B1E" w:rsidRPr="00913232">
        <w:rPr>
          <w:rFonts w:ascii="Minion Pro Med" w:hAnsi="Minion Pro Med"/>
        </w:rPr>
        <w:t xml:space="preserve">in the difference between influence by means of rational persuasion and </w:t>
      </w:r>
      <w:r w:rsidR="00DB5AA8" w:rsidRPr="00913232">
        <w:rPr>
          <w:rFonts w:ascii="Minion Pro Med" w:hAnsi="Minion Pro Med"/>
        </w:rPr>
        <w:t>influence by means of coercion. His</w:t>
      </w:r>
      <w:r w:rsidR="00E02B1E" w:rsidRPr="00913232">
        <w:rPr>
          <w:rFonts w:ascii="Minion Pro Med" w:hAnsi="Minion Pro Med"/>
        </w:rPr>
        <w:t xml:space="preserve"> suggestion is that, unlike rational persuasion</w:t>
      </w:r>
      <w:r w:rsidR="00DB5AA8" w:rsidRPr="00913232">
        <w:rPr>
          <w:rFonts w:ascii="Minion Pro Med" w:hAnsi="Minion Pro Med"/>
        </w:rPr>
        <w:t>,</w:t>
      </w:r>
      <w:r w:rsidR="00E02B1E" w:rsidRPr="00913232">
        <w:rPr>
          <w:rFonts w:ascii="Minion Pro Med" w:hAnsi="Minion Pro Med"/>
        </w:rPr>
        <w:t xml:space="preserve"> coercion is an attempt to influence the belief of others in a manner that bypasses engagement with their own active processes of reasoned deliberation.</w:t>
      </w:r>
      <w:r w:rsidR="003633D9" w:rsidRPr="00913232">
        <w:rPr>
          <w:rStyle w:val="FootnoteReference"/>
          <w:rFonts w:ascii="Minion Pro Med" w:hAnsi="Minion Pro Med"/>
        </w:rPr>
        <w:footnoteReference w:id="20"/>
      </w:r>
      <w:r w:rsidR="00E02B1E" w:rsidRPr="00913232">
        <w:rPr>
          <w:rFonts w:ascii="Minion Pro Med" w:hAnsi="Minion Pro Med"/>
        </w:rPr>
        <w:t xml:space="preserve"> </w:t>
      </w:r>
    </w:p>
    <w:p w14:paraId="65FBED96" w14:textId="77777777" w:rsidR="002C4C5B" w:rsidRPr="00913232" w:rsidRDefault="001C4F10" w:rsidP="002C4C5B">
      <w:pPr>
        <w:spacing w:line="360" w:lineRule="auto"/>
        <w:rPr>
          <w:rFonts w:ascii="Minion Pro Med" w:hAnsi="Minion Pro Med"/>
        </w:rPr>
      </w:pPr>
      <w:r w:rsidRPr="00913232">
        <w:rPr>
          <w:rFonts w:ascii="Minion Pro Med" w:hAnsi="Minion Pro Med"/>
        </w:rPr>
        <w:t>One</w:t>
      </w:r>
      <w:r w:rsidR="002C4C5B" w:rsidRPr="00913232">
        <w:rPr>
          <w:rFonts w:ascii="Minion Pro Med" w:hAnsi="Minion Pro Med"/>
        </w:rPr>
        <w:t xml:space="preserve"> striking feature of Garsten’s presentation is the analogy drawn between physical and mental digestion, according to which both require an active processing of the material received by the recipient in order for it to be in an appropriate form for full internalization by the recipient. This digestive analogy is striking since it reveals in full what we earlier dubbed the individualist flavor of thinking in this area. First, there is a temporal division in both cases between the act of providing fodder and the act of digesting it. Second, unlike the act of providing the fodder which may be jointly undertaken, the act of digesting is a solitary activity that can only be done by the recipient alone. Third, the act of providing fodder is a kind of hors d’oeuvres for the main course, in the sense that it is the solitary activity of digestion that is of primary functional importance. </w:t>
      </w:r>
    </w:p>
    <w:p w14:paraId="0CD68696" w14:textId="77777777" w:rsidR="001C4F10" w:rsidRPr="00913232" w:rsidRDefault="00872674" w:rsidP="000E67CF">
      <w:pPr>
        <w:spacing w:line="360" w:lineRule="auto"/>
        <w:rPr>
          <w:rFonts w:ascii="Minion Pro Med" w:hAnsi="Minion Pro Med"/>
        </w:rPr>
      </w:pPr>
      <w:r w:rsidRPr="00913232">
        <w:rPr>
          <w:rFonts w:ascii="Minion Pro Med" w:hAnsi="Minion Pro Med"/>
        </w:rPr>
        <w:t>Whilst</w:t>
      </w:r>
      <w:r w:rsidR="00E02B1E" w:rsidRPr="00913232">
        <w:rPr>
          <w:rFonts w:ascii="Minion Pro Med" w:hAnsi="Minion Pro Med"/>
        </w:rPr>
        <w:t xml:space="preserve"> </w:t>
      </w:r>
      <w:r w:rsidR="002C4C5B" w:rsidRPr="00913232">
        <w:rPr>
          <w:rFonts w:ascii="Minion Pro Med" w:hAnsi="Minion Pro Med"/>
        </w:rPr>
        <w:t>the</w:t>
      </w:r>
      <w:r w:rsidR="00E02B1E" w:rsidRPr="00913232">
        <w:rPr>
          <w:rFonts w:ascii="Minion Pro Med" w:hAnsi="Minion Pro Med"/>
        </w:rPr>
        <w:t xml:space="preserve"> active-passive distinction may serve to distinguish influence by means of persuasion from </w:t>
      </w:r>
      <w:r w:rsidR="00E20AB7" w:rsidRPr="00913232">
        <w:rPr>
          <w:rFonts w:ascii="Minion Pro Med" w:hAnsi="Minion Pro Med"/>
        </w:rPr>
        <w:t xml:space="preserve">influence </w:t>
      </w:r>
      <w:r w:rsidR="002C4C5B" w:rsidRPr="00913232">
        <w:rPr>
          <w:rFonts w:ascii="Minion Pro Med" w:hAnsi="Minion Pro Med"/>
        </w:rPr>
        <w:t xml:space="preserve">by </w:t>
      </w:r>
      <w:r w:rsidR="00E02B1E" w:rsidRPr="00913232">
        <w:rPr>
          <w:rFonts w:ascii="Minion Pro Med" w:hAnsi="Minion Pro Med"/>
        </w:rPr>
        <w:t xml:space="preserve">means of coercion, it does not help </w:t>
      </w:r>
      <w:r w:rsidR="002C4C5B" w:rsidRPr="00913232">
        <w:rPr>
          <w:rFonts w:ascii="Minion Pro Med" w:hAnsi="Minion Pro Med"/>
        </w:rPr>
        <w:t>distinguish</w:t>
      </w:r>
      <w:r w:rsidR="00E02B1E" w:rsidRPr="00913232">
        <w:rPr>
          <w:rFonts w:ascii="Minion Pro Med" w:hAnsi="Minion Pro Med"/>
        </w:rPr>
        <w:t xml:space="preserve"> </w:t>
      </w:r>
      <w:r w:rsidR="00CA7429" w:rsidRPr="00913232">
        <w:rPr>
          <w:rFonts w:ascii="Minion Pro Med" w:hAnsi="Minion Pro Med"/>
        </w:rPr>
        <w:t>it</w:t>
      </w:r>
      <w:r w:rsidR="002C4C5B" w:rsidRPr="00913232">
        <w:rPr>
          <w:rFonts w:ascii="Minion Pro Med" w:hAnsi="Minion Pro Med"/>
        </w:rPr>
        <w:t xml:space="preserve"> from</w:t>
      </w:r>
      <w:r w:rsidR="00E02B1E" w:rsidRPr="00913232">
        <w:rPr>
          <w:rFonts w:ascii="Minion Pro Med" w:hAnsi="Minion Pro Med"/>
        </w:rPr>
        <w:t xml:space="preserve"> </w:t>
      </w:r>
      <w:r w:rsidR="00E20AB7" w:rsidRPr="00913232">
        <w:rPr>
          <w:rFonts w:ascii="Minion Pro Med" w:hAnsi="Minion Pro Med"/>
        </w:rPr>
        <w:t xml:space="preserve">influence </w:t>
      </w:r>
      <w:r w:rsidR="00E02B1E" w:rsidRPr="00913232">
        <w:rPr>
          <w:rFonts w:ascii="Minion Pro Med" w:hAnsi="Minion Pro Med"/>
        </w:rPr>
        <w:t xml:space="preserve">by means of authority. </w:t>
      </w:r>
      <w:r w:rsidR="002C4C5B" w:rsidRPr="00913232">
        <w:rPr>
          <w:rFonts w:ascii="Minion Pro Med" w:hAnsi="Minion Pro Med"/>
        </w:rPr>
        <w:t xml:space="preserve">This is because both persuasion and authority are attempts </w:t>
      </w:r>
      <w:r w:rsidR="00132127" w:rsidRPr="00913232">
        <w:rPr>
          <w:rFonts w:ascii="Minion Pro Med" w:hAnsi="Minion Pro Med"/>
        </w:rPr>
        <w:t>at social inf</w:t>
      </w:r>
      <w:r w:rsidR="002C4C5B" w:rsidRPr="00913232">
        <w:rPr>
          <w:rFonts w:ascii="Minion Pro Med" w:hAnsi="Minion Pro Med"/>
        </w:rPr>
        <w:t>luence that deliberately engage</w:t>
      </w:r>
      <w:r w:rsidR="000E67CF" w:rsidRPr="00913232">
        <w:rPr>
          <w:rFonts w:ascii="Minion Pro Med" w:hAnsi="Minion Pro Med"/>
        </w:rPr>
        <w:t>, as oppose to bypass or overwhelm,</w:t>
      </w:r>
      <w:r w:rsidR="00132127" w:rsidRPr="00913232">
        <w:rPr>
          <w:rFonts w:ascii="Minion Pro Med" w:hAnsi="Minion Pro Med"/>
        </w:rPr>
        <w:t xml:space="preserve"> the capacity of the one influenced for rational d</w:t>
      </w:r>
      <w:r w:rsidR="00C122E2" w:rsidRPr="00913232">
        <w:rPr>
          <w:rFonts w:ascii="Minion Pro Med" w:hAnsi="Minion Pro Med"/>
        </w:rPr>
        <w:t>eliberation on the matter</w:t>
      </w:r>
      <w:r w:rsidR="000E67CF" w:rsidRPr="00913232">
        <w:rPr>
          <w:rFonts w:ascii="Minion Pro Med" w:hAnsi="Minion Pro Med"/>
        </w:rPr>
        <w:t>.</w:t>
      </w:r>
      <w:r w:rsidR="000E67CF" w:rsidRPr="00913232">
        <w:rPr>
          <w:rStyle w:val="FootnoteReference"/>
          <w:rFonts w:ascii="Minion Pro Med" w:hAnsi="Minion Pro Med"/>
        </w:rPr>
        <w:footnoteReference w:id="21"/>
      </w:r>
      <w:r w:rsidR="000E67CF" w:rsidRPr="00913232">
        <w:rPr>
          <w:rFonts w:ascii="Minion Pro Med" w:hAnsi="Minion Pro Med"/>
        </w:rPr>
        <w:t xml:space="preserve"> </w:t>
      </w:r>
      <w:r w:rsidR="001A64BB" w:rsidRPr="00913232">
        <w:rPr>
          <w:rFonts w:ascii="Minion Pro Med" w:hAnsi="Minion Pro Med"/>
        </w:rPr>
        <w:t xml:space="preserve">As a result, </w:t>
      </w:r>
      <w:r w:rsidR="00E74E55" w:rsidRPr="00913232">
        <w:rPr>
          <w:rFonts w:ascii="Minion Pro Med" w:hAnsi="Minion Pro Med"/>
        </w:rPr>
        <w:t xml:space="preserve">successful instances of </w:t>
      </w:r>
      <w:r w:rsidR="00D90F07" w:rsidRPr="00913232">
        <w:rPr>
          <w:rFonts w:ascii="Minion Pro Med" w:hAnsi="Minion Pro Med"/>
        </w:rPr>
        <w:t>influence by means of authority and</w:t>
      </w:r>
      <w:r w:rsidR="00C14CC0" w:rsidRPr="00913232">
        <w:rPr>
          <w:rFonts w:ascii="Minion Pro Med" w:hAnsi="Minion Pro Med"/>
        </w:rPr>
        <w:t xml:space="preserve"> persuasion </w:t>
      </w:r>
      <w:r w:rsidR="001A64BB" w:rsidRPr="00913232">
        <w:rPr>
          <w:rFonts w:ascii="Minion Pro Med" w:hAnsi="Minion Pro Med"/>
        </w:rPr>
        <w:t xml:space="preserve">both </w:t>
      </w:r>
      <w:r w:rsidR="00C14CC0" w:rsidRPr="00913232">
        <w:rPr>
          <w:rFonts w:ascii="Minion Pro Med" w:hAnsi="Minion Pro Med"/>
        </w:rPr>
        <w:t>involve</w:t>
      </w:r>
      <w:r w:rsidR="00E74E55" w:rsidRPr="00913232">
        <w:rPr>
          <w:rFonts w:ascii="Minion Pro Med" w:hAnsi="Minion Pro Med"/>
        </w:rPr>
        <w:t xml:space="preserve"> </w:t>
      </w:r>
      <w:r w:rsidR="00D272FB" w:rsidRPr="00913232">
        <w:rPr>
          <w:rFonts w:ascii="Minion Pro Med" w:hAnsi="Minion Pro Med"/>
        </w:rPr>
        <w:t xml:space="preserve">self-conscious </w:t>
      </w:r>
      <w:r w:rsidR="00C14CC0" w:rsidRPr="00913232">
        <w:rPr>
          <w:rFonts w:ascii="Minion Pro Med" w:hAnsi="Minion Pro Med"/>
        </w:rPr>
        <w:t xml:space="preserve">activity by </w:t>
      </w:r>
      <w:r w:rsidR="00E74E55" w:rsidRPr="00913232">
        <w:rPr>
          <w:rFonts w:ascii="Minion Pro Med" w:hAnsi="Minion Pro Med"/>
        </w:rPr>
        <w:t>the one influenced</w:t>
      </w:r>
      <w:r w:rsidRPr="00913232">
        <w:rPr>
          <w:rFonts w:ascii="Minion Pro Med" w:hAnsi="Minion Pro Med"/>
        </w:rPr>
        <w:t xml:space="preserve">. </w:t>
      </w:r>
      <w:r w:rsidR="000E67CF" w:rsidRPr="00913232">
        <w:rPr>
          <w:rFonts w:ascii="Minion Pro Med" w:hAnsi="Minion Pro Med"/>
        </w:rPr>
        <w:t>In order to distinguish influence by means of rational persuasion from influence by means of authority, we thus need to turn elsewhere.</w:t>
      </w:r>
      <w:r w:rsidR="002C4C5B" w:rsidRPr="00913232">
        <w:rPr>
          <w:rFonts w:ascii="Minion Pro Med" w:hAnsi="Minion Pro Med"/>
        </w:rPr>
        <w:t xml:space="preserve"> </w:t>
      </w:r>
    </w:p>
    <w:p w14:paraId="1CF5DBF8" w14:textId="67247383" w:rsidR="00093820" w:rsidRPr="00913232" w:rsidRDefault="002C4C5B" w:rsidP="00ED7A6E">
      <w:pPr>
        <w:spacing w:line="360" w:lineRule="auto"/>
        <w:rPr>
          <w:rFonts w:ascii="Minion Pro Med" w:hAnsi="Minion Pro Med"/>
        </w:rPr>
      </w:pPr>
      <w:r w:rsidRPr="00913232">
        <w:rPr>
          <w:rFonts w:ascii="Minion Pro Med" w:hAnsi="Minion Pro Med"/>
        </w:rPr>
        <w:t xml:space="preserve">One </w:t>
      </w:r>
      <w:r w:rsidR="007A0D6B" w:rsidRPr="00913232">
        <w:rPr>
          <w:rFonts w:ascii="Minion Pro Med" w:hAnsi="Minion Pro Med"/>
        </w:rPr>
        <w:t xml:space="preserve">plausible </w:t>
      </w:r>
      <w:r w:rsidRPr="00913232">
        <w:rPr>
          <w:rFonts w:ascii="Minion Pro Med" w:hAnsi="Minion Pro Med"/>
        </w:rPr>
        <w:t xml:space="preserve">suggestion </w:t>
      </w:r>
      <w:r w:rsidR="007A0D6B" w:rsidRPr="00913232">
        <w:rPr>
          <w:rFonts w:ascii="Minion Pro Med" w:hAnsi="Minion Pro Med"/>
        </w:rPr>
        <w:t>points to</w:t>
      </w:r>
      <w:r w:rsidR="00DB5AA8" w:rsidRPr="00913232">
        <w:rPr>
          <w:rFonts w:ascii="Minion Pro Med" w:hAnsi="Minion Pro Med"/>
        </w:rPr>
        <w:t xml:space="preserve"> </w:t>
      </w:r>
      <w:r w:rsidR="005C333D" w:rsidRPr="00913232">
        <w:rPr>
          <w:rFonts w:ascii="Minion Pro Med" w:hAnsi="Minion Pro Med"/>
        </w:rPr>
        <w:t xml:space="preserve">the interplay between the </w:t>
      </w:r>
      <w:r w:rsidR="00CA7429" w:rsidRPr="00913232">
        <w:rPr>
          <w:rFonts w:ascii="Minion Pro Med" w:hAnsi="Minion Pro Med"/>
        </w:rPr>
        <w:t xml:space="preserve">normative </w:t>
      </w:r>
      <w:r w:rsidR="005C333D" w:rsidRPr="00913232">
        <w:rPr>
          <w:rFonts w:ascii="Minion Pro Med" w:hAnsi="Minion Pro Med"/>
        </w:rPr>
        <w:t xml:space="preserve">standing of </w:t>
      </w:r>
      <w:r w:rsidR="00E20AB7" w:rsidRPr="00913232">
        <w:rPr>
          <w:rFonts w:ascii="Minion Pro Med" w:hAnsi="Minion Pro Med"/>
        </w:rPr>
        <w:t xml:space="preserve">the </w:t>
      </w:r>
      <w:r w:rsidR="005C333D" w:rsidRPr="00913232">
        <w:rPr>
          <w:rFonts w:ascii="Minion Pro Med" w:hAnsi="Minion Pro Med"/>
        </w:rPr>
        <w:t>performance of the one influencing an</w:t>
      </w:r>
      <w:r w:rsidR="00B53B1F" w:rsidRPr="00913232">
        <w:rPr>
          <w:rFonts w:ascii="Minion Pro Med" w:hAnsi="Minion Pro Med"/>
        </w:rPr>
        <w:t xml:space="preserve">d of the one influenced. In </w:t>
      </w:r>
      <w:r w:rsidR="005C333D" w:rsidRPr="00913232">
        <w:rPr>
          <w:rFonts w:ascii="Minion Pro Med" w:hAnsi="Minion Pro Med"/>
        </w:rPr>
        <w:t>case</w:t>
      </w:r>
      <w:r w:rsidR="00B53B1F" w:rsidRPr="00913232">
        <w:rPr>
          <w:rFonts w:ascii="Minion Pro Med" w:hAnsi="Minion Pro Med"/>
        </w:rPr>
        <w:t>s</w:t>
      </w:r>
      <w:r w:rsidR="005C333D" w:rsidRPr="00913232">
        <w:rPr>
          <w:rFonts w:ascii="Minion Pro Med" w:hAnsi="Minion Pro Med"/>
        </w:rPr>
        <w:t xml:space="preserve"> of influence by means of authority, once the authority of the influencer is recognized, the only legitimate form of contestation involves opting out of the authoritative relationship itself. To take a familiar example, once the Private recognizes that the Officer has </w:t>
      </w:r>
      <w:r w:rsidR="00CA7429" w:rsidRPr="00913232">
        <w:rPr>
          <w:rFonts w:ascii="Minion Pro Med" w:hAnsi="Minion Pro Med"/>
        </w:rPr>
        <w:t xml:space="preserve">appropriately </w:t>
      </w:r>
      <w:r w:rsidR="005C333D" w:rsidRPr="00913232">
        <w:rPr>
          <w:rFonts w:ascii="Minion Pro Med" w:hAnsi="Minion Pro Med"/>
        </w:rPr>
        <w:t xml:space="preserve">commanded a </w:t>
      </w:r>
      <w:proofErr w:type="gramStart"/>
      <w:r w:rsidR="005C333D" w:rsidRPr="00913232">
        <w:rPr>
          <w:rFonts w:ascii="Minion Pro Med" w:hAnsi="Minion Pro Med"/>
        </w:rPr>
        <w:t>particular performance</w:t>
      </w:r>
      <w:proofErr w:type="gramEnd"/>
      <w:r w:rsidR="005C333D" w:rsidRPr="00913232">
        <w:rPr>
          <w:rFonts w:ascii="Minion Pro Med" w:hAnsi="Minion Pro Med"/>
        </w:rPr>
        <w:t xml:space="preserve">, she now has a reason to so perform. For her not </w:t>
      </w:r>
      <w:r w:rsidR="005C333D" w:rsidRPr="00913232">
        <w:rPr>
          <w:rFonts w:ascii="Minion Pro Med" w:hAnsi="Minion Pro Med"/>
        </w:rPr>
        <w:lastRenderedPageBreak/>
        <w:t>to so perform does</w:t>
      </w:r>
      <w:r w:rsidR="00A9333A" w:rsidRPr="00913232">
        <w:rPr>
          <w:rFonts w:ascii="Minion Pro Med" w:hAnsi="Minion Pro Med"/>
        </w:rPr>
        <w:t xml:space="preserve"> </w:t>
      </w:r>
      <w:r w:rsidR="005C333D" w:rsidRPr="00913232">
        <w:rPr>
          <w:rFonts w:ascii="Minion Pro Med" w:hAnsi="Minion Pro Med"/>
        </w:rPr>
        <w:t xml:space="preserve">not </w:t>
      </w:r>
      <w:r w:rsidR="00B53B1F" w:rsidRPr="00913232">
        <w:rPr>
          <w:rFonts w:ascii="Minion Pro Med" w:hAnsi="Minion Pro Med"/>
        </w:rPr>
        <w:t>revise</w:t>
      </w:r>
      <w:r w:rsidR="005C333D" w:rsidRPr="00913232">
        <w:rPr>
          <w:rFonts w:ascii="Minion Pro Med" w:hAnsi="Minion Pro Med"/>
        </w:rPr>
        <w:t xml:space="preserve"> the authoritative </w:t>
      </w:r>
      <w:r w:rsidR="00A9333A" w:rsidRPr="00913232">
        <w:rPr>
          <w:rFonts w:ascii="Minion Pro Med" w:hAnsi="Minion Pro Med"/>
        </w:rPr>
        <w:t xml:space="preserve">standing of </w:t>
      </w:r>
      <w:r w:rsidR="00E20AB7" w:rsidRPr="00913232">
        <w:rPr>
          <w:rFonts w:ascii="Minion Pro Med" w:hAnsi="Minion Pro Med"/>
        </w:rPr>
        <w:t>the Officer’</w:t>
      </w:r>
      <w:r w:rsidR="00C930CA" w:rsidRPr="00913232">
        <w:rPr>
          <w:rFonts w:ascii="Minion Pro Med" w:hAnsi="Minion Pro Med"/>
        </w:rPr>
        <w:t>s command</w:t>
      </w:r>
      <w:r w:rsidR="000D63A7" w:rsidRPr="00913232">
        <w:rPr>
          <w:rFonts w:ascii="Minion Pro Med" w:hAnsi="Minion Pro Med"/>
        </w:rPr>
        <w:t xml:space="preserve">; the command </w:t>
      </w:r>
      <w:r w:rsidR="00090FBC" w:rsidRPr="00913232">
        <w:rPr>
          <w:rFonts w:ascii="Minion Pro Med" w:hAnsi="Minion Pro Med"/>
        </w:rPr>
        <w:t>stands</w:t>
      </w:r>
      <w:r w:rsidR="00A9333A" w:rsidRPr="00913232">
        <w:rPr>
          <w:rFonts w:ascii="Minion Pro Med" w:hAnsi="Minion Pro Med"/>
        </w:rPr>
        <w:t xml:space="preserve"> an</w:t>
      </w:r>
      <w:r w:rsidR="00E20AB7" w:rsidRPr="00913232">
        <w:rPr>
          <w:rFonts w:ascii="Minion Pro Med" w:hAnsi="Minion Pro Med"/>
        </w:rPr>
        <w:t>d need not alter, although the P</w:t>
      </w:r>
      <w:r w:rsidR="00A9333A" w:rsidRPr="00913232">
        <w:rPr>
          <w:rFonts w:ascii="Minion Pro Med" w:hAnsi="Minion Pro Med"/>
        </w:rPr>
        <w:t xml:space="preserve">rivate now renders herself insubordinate by not following through. </w:t>
      </w:r>
    </w:p>
    <w:p w14:paraId="1F048AC5" w14:textId="7C705DED" w:rsidR="00CA7429" w:rsidRPr="00913232" w:rsidRDefault="00A9333A" w:rsidP="009C2D50">
      <w:pPr>
        <w:spacing w:line="360" w:lineRule="auto"/>
        <w:rPr>
          <w:rFonts w:ascii="Minion Pro Med" w:hAnsi="Minion Pro Med"/>
        </w:rPr>
      </w:pPr>
      <w:r w:rsidRPr="00913232">
        <w:rPr>
          <w:rFonts w:ascii="Minion Pro Med" w:hAnsi="Minion Pro Med"/>
        </w:rPr>
        <w:t>Things are different in case</w:t>
      </w:r>
      <w:r w:rsidR="00B53B1F" w:rsidRPr="00913232">
        <w:rPr>
          <w:rFonts w:ascii="Minion Pro Med" w:hAnsi="Minion Pro Med"/>
        </w:rPr>
        <w:t>s</w:t>
      </w:r>
      <w:r w:rsidRPr="00913232">
        <w:rPr>
          <w:rFonts w:ascii="Minion Pro Med" w:hAnsi="Minion Pro Med"/>
        </w:rPr>
        <w:t xml:space="preserve"> of influence by means of rational persuasion, which involves a </w:t>
      </w:r>
      <w:r w:rsidR="00E20AB7" w:rsidRPr="00913232">
        <w:rPr>
          <w:rFonts w:ascii="Minion Pro Med" w:hAnsi="Minion Pro Med"/>
        </w:rPr>
        <w:t xml:space="preserve">distinctive </w:t>
      </w:r>
      <w:r w:rsidRPr="00913232">
        <w:rPr>
          <w:rFonts w:ascii="Minion Pro Med" w:hAnsi="Minion Pro Med"/>
        </w:rPr>
        <w:t xml:space="preserve">beholdeness of the normative standing of the one putting forward a claim to the response of the one </w:t>
      </w:r>
      <w:r w:rsidR="00CA7429" w:rsidRPr="00913232">
        <w:rPr>
          <w:rFonts w:ascii="Minion Pro Med" w:hAnsi="Minion Pro Med"/>
        </w:rPr>
        <w:t>to whom the claim is addressed (</w:t>
      </w:r>
      <w:r w:rsidRPr="00913232">
        <w:rPr>
          <w:rFonts w:ascii="Minion Pro Med" w:hAnsi="Minion Pro Med"/>
        </w:rPr>
        <w:t>and vice versa</w:t>
      </w:r>
      <w:r w:rsidR="00CA7429" w:rsidRPr="00913232">
        <w:rPr>
          <w:rFonts w:ascii="Minion Pro Med" w:hAnsi="Minion Pro Med"/>
        </w:rPr>
        <w:t>)</w:t>
      </w:r>
      <w:r w:rsidRPr="00913232">
        <w:rPr>
          <w:rFonts w:ascii="Minion Pro Med" w:hAnsi="Minion Pro Med"/>
        </w:rPr>
        <w:t xml:space="preserve">. </w:t>
      </w:r>
      <w:r w:rsidR="00B50502" w:rsidRPr="00913232">
        <w:rPr>
          <w:rFonts w:ascii="Minion Pro Med" w:hAnsi="Minion Pro Med"/>
        </w:rPr>
        <w:t>This beholdeness stems from</w:t>
      </w:r>
      <w:r w:rsidR="00C930CA" w:rsidRPr="00913232">
        <w:rPr>
          <w:rFonts w:ascii="Minion Pro Med" w:hAnsi="Minion Pro Med"/>
        </w:rPr>
        <w:t xml:space="preserve"> what many have taken to be the</w:t>
      </w:r>
      <w:r w:rsidR="00B50502" w:rsidRPr="00913232">
        <w:rPr>
          <w:rFonts w:ascii="Minion Pro Med" w:hAnsi="Minion Pro Med"/>
        </w:rPr>
        <w:t xml:space="preserve"> defining characteristic of any exercise of reasoning, viz. a commitment to its remaining open to criticism.</w:t>
      </w:r>
      <w:r w:rsidR="00B53B1F" w:rsidRPr="00913232">
        <w:rPr>
          <w:rStyle w:val="FootnoteReference"/>
          <w:rFonts w:ascii="Minion Pro Med" w:hAnsi="Minion Pro Med"/>
        </w:rPr>
        <w:footnoteReference w:id="22"/>
      </w:r>
      <w:r w:rsidR="00B50502" w:rsidRPr="00913232">
        <w:rPr>
          <w:rFonts w:ascii="Minion Pro Med" w:hAnsi="Minion Pro Med"/>
        </w:rPr>
        <w:t xml:space="preserve"> If an attempt at social influence is by means of </w:t>
      </w:r>
      <w:r w:rsidR="002456A5" w:rsidRPr="00913232">
        <w:rPr>
          <w:rFonts w:ascii="Minion Pro Med" w:hAnsi="Minion Pro Med"/>
        </w:rPr>
        <w:t>rational persuasion, then this</w:t>
      </w:r>
      <w:r w:rsidR="00723D70" w:rsidRPr="00913232">
        <w:rPr>
          <w:rFonts w:ascii="Minion Pro Med" w:hAnsi="Minion Pro Med"/>
        </w:rPr>
        <w:t xml:space="preserve"> attempt must involve openness to potential challenge, such that </w:t>
      </w:r>
      <w:r w:rsidR="00C122E2" w:rsidRPr="00913232">
        <w:rPr>
          <w:rFonts w:ascii="Minion Pro Med" w:hAnsi="Minion Pro Med"/>
        </w:rPr>
        <w:t xml:space="preserve">the manner in which one puts forward a given claim </w:t>
      </w:r>
      <w:r w:rsidR="00C930CA" w:rsidRPr="00913232">
        <w:rPr>
          <w:rFonts w:ascii="Minion Pro Med" w:hAnsi="Minion Pro Med"/>
        </w:rPr>
        <w:t xml:space="preserve">will </w:t>
      </w:r>
      <w:r w:rsidR="00C122E2" w:rsidRPr="00913232">
        <w:rPr>
          <w:rFonts w:ascii="Minion Pro Med" w:hAnsi="Minion Pro Med"/>
        </w:rPr>
        <w:t xml:space="preserve">display a sensitivity to subsequent </w:t>
      </w:r>
      <w:r w:rsidR="00723D70" w:rsidRPr="00913232">
        <w:rPr>
          <w:rFonts w:ascii="Minion Pro Med" w:hAnsi="Minion Pro Med"/>
        </w:rPr>
        <w:t>responses</w:t>
      </w:r>
      <w:r w:rsidR="00C122E2" w:rsidRPr="00913232">
        <w:rPr>
          <w:rFonts w:ascii="Minion Pro Med" w:hAnsi="Minion Pro Med"/>
        </w:rPr>
        <w:t xml:space="preserve"> to such a claim. </w:t>
      </w:r>
      <w:r w:rsidR="00CA7429" w:rsidRPr="00913232">
        <w:rPr>
          <w:rFonts w:ascii="Minion Pro Med" w:hAnsi="Minion Pro Med"/>
        </w:rPr>
        <w:t xml:space="preserve">What is ruled out </w:t>
      </w:r>
      <w:r w:rsidR="00090FBC" w:rsidRPr="00913232">
        <w:rPr>
          <w:rFonts w:ascii="Minion Pro Med" w:hAnsi="Minion Pro Med"/>
        </w:rPr>
        <w:t xml:space="preserve">by this requirement </w:t>
      </w:r>
      <w:r w:rsidR="00CA7429" w:rsidRPr="00913232">
        <w:rPr>
          <w:rFonts w:ascii="Minion Pro Med" w:hAnsi="Minion Pro Med"/>
        </w:rPr>
        <w:t>is sheer indifference by the one attempting to influence</w:t>
      </w:r>
      <w:r w:rsidR="00093820" w:rsidRPr="00913232">
        <w:rPr>
          <w:rFonts w:ascii="Minion Pro Med" w:hAnsi="Minion Pro Med"/>
        </w:rPr>
        <w:t xml:space="preserve"> to </w:t>
      </w:r>
      <w:r w:rsidR="00CA7429" w:rsidRPr="00913232">
        <w:rPr>
          <w:rFonts w:ascii="Minion Pro Med" w:hAnsi="Minion Pro Med"/>
        </w:rPr>
        <w:t>reasoned challenge</w:t>
      </w:r>
      <w:r w:rsidR="00090FBC" w:rsidRPr="00913232">
        <w:rPr>
          <w:rFonts w:ascii="Minion Pro Med" w:hAnsi="Minion Pro Med"/>
        </w:rPr>
        <w:t>s</w:t>
      </w:r>
      <w:r w:rsidR="00CA7429" w:rsidRPr="00913232">
        <w:rPr>
          <w:rFonts w:ascii="Minion Pro Med" w:hAnsi="Minion Pro Med"/>
        </w:rPr>
        <w:t xml:space="preserve"> in response. Indifference is sheer when it is rooted in a principled unwillingness to engage</w:t>
      </w:r>
      <w:r w:rsidR="00090FBC" w:rsidRPr="00913232">
        <w:rPr>
          <w:rFonts w:ascii="Minion Pro Med" w:hAnsi="Minion Pro Med"/>
        </w:rPr>
        <w:t xml:space="preserve"> with subsequent rejoinders</w:t>
      </w:r>
      <w:r w:rsidR="00CA7429" w:rsidRPr="00913232">
        <w:rPr>
          <w:rFonts w:ascii="Minion Pro Med" w:hAnsi="Minion Pro Med"/>
        </w:rPr>
        <w:t xml:space="preserve">, where the principle </w:t>
      </w:r>
      <w:r w:rsidR="00090FBC" w:rsidRPr="00913232">
        <w:rPr>
          <w:rFonts w:ascii="Minion Pro Med" w:hAnsi="Minion Pro Med"/>
        </w:rPr>
        <w:t xml:space="preserve">itself </w:t>
      </w:r>
      <w:r w:rsidR="00CA7429" w:rsidRPr="00913232">
        <w:rPr>
          <w:rFonts w:ascii="Minion Pro Med" w:hAnsi="Minion Pro Med"/>
        </w:rPr>
        <w:t xml:space="preserve">stems from a </w:t>
      </w:r>
      <w:r w:rsidR="00093820" w:rsidRPr="00913232">
        <w:rPr>
          <w:rFonts w:ascii="Minion Pro Med" w:hAnsi="Minion Pro Med"/>
        </w:rPr>
        <w:t>conception of the activity in question a</w:t>
      </w:r>
      <w:r w:rsidR="00090FBC" w:rsidRPr="00913232">
        <w:rPr>
          <w:rFonts w:ascii="Minion Pro Med" w:hAnsi="Minion Pro Med"/>
        </w:rPr>
        <w:t>s not permitting such rejoinders</w:t>
      </w:r>
      <w:r w:rsidR="00093820" w:rsidRPr="00913232">
        <w:rPr>
          <w:rFonts w:ascii="Minion Pro Med" w:hAnsi="Minion Pro Med"/>
        </w:rPr>
        <w:t xml:space="preserve">. </w:t>
      </w:r>
      <w:r w:rsidR="002456A5" w:rsidRPr="00913232">
        <w:rPr>
          <w:rFonts w:ascii="Minion Pro Med" w:hAnsi="Minion Pro Med"/>
        </w:rPr>
        <w:t xml:space="preserve">In a case of sheer indifference, </w:t>
      </w:r>
      <w:r w:rsidR="00455F8A" w:rsidRPr="00913232">
        <w:rPr>
          <w:rFonts w:ascii="Minion Pro Med" w:hAnsi="Minion Pro Med"/>
        </w:rPr>
        <w:t xml:space="preserve">the appropriate response to a challenge is for the one attempting to influence to treat the challenger dismissively as insubordinate. </w:t>
      </w:r>
      <w:r w:rsidR="00093820" w:rsidRPr="00913232">
        <w:rPr>
          <w:rFonts w:ascii="Minion Pro Med" w:hAnsi="Minion Pro Med"/>
        </w:rPr>
        <w:t xml:space="preserve">If the normative standing of the one attempting to influence is unaffected despite sheer indifference towards </w:t>
      </w:r>
      <w:r w:rsidR="00455F8A" w:rsidRPr="00913232">
        <w:rPr>
          <w:rFonts w:ascii="Minion Pro Med" w:hAnsi="Minion Pro Med"/>
        </w:rPr>
        <w:t>a</w:t>
      </w:r>
      <w:r w:rsidR="00093820" w:rsidRPr="00913232">
        <w:rPr>
          <w:rFonts w:ascii="Minion Pro Med" w:hAnsi="Minion Pro Med"/>
        </w:rPr>
        <w:t xml:space="preserve"> subsequent rejoinder by one addressed,</w:t>
      </w:r>
      <w:r w:rsidR="00455F8A" w:rsidRPr="00913232">
        <w:rPr>
          <w:rFonts w:ascii="Minion Pro Med" w:hAnsi="Minion Pro Med"/>
        </w:rPr>
        <w:t xml:space="preserve"> then the act in question is closer to an attempted influence by means of authority than by means of rational persuasion.</w:t>
      </w:r>
    </w:p>
    <w:p w14:paraId="0C4C5A99" w14:textId="77777777" w:rsidR="00545857" w:rsidRPr="00913232" w:rsidRDefault="00030109" w:rsidP="00893220">
      <w:pPr>
        <w:spacing w:line="360" w:lineRule="auto"/>
        <w:rPr>
          <w:rFonts w:ascii="Minion Pro Med" w:hAnsi="Minion Pro Med"/>
        </w:rPr>
      </w:pPr>
      <w:r w:rsidRPr="00913232">
        <w:rPr>
          <w:rFonts w:ascii="Minion Pro Med" w:hAnsi="Minion Pro Med"/>
        </w:rPr>
        <w:t xml:space="preserve">I have just suggested that a defining characteristic of any exercise of reasoning is its openness to </w:t>
      </w:r>
      <w:r w:rsidR="005549F5" w:rsidRPr="00913232">
        <w:rPr>
          <w:rFonts w:ascii="Minion Pro Med" w:hAnsi="Minion Pro Med"/>
        </w:rPr>
        <w:t>criticism</w:t>
      </w:r>
      <w:r w:rsidR="00C14CC0" w:rsidRPr="00913232">
        <w:rPr>
          <w:rFonts w:ascii="Minion Pro Med" w:hAnsi="Minion Pro Med"/>
        </w:rPr>
        <w:t xml:space="preserve">, and have </w:t>
      </w:r>
      <w:r w:rsidR="005549F5" w:rsidRPr="00913232">
        <w:rPr>
          <w:rFonts w:ascii="Minion Pro Med" w:hAnsi="Minion Pro Med"/>
        </w:rPr>
        <w:t>also proposed</w:t>
      </w:r>
      <w:r w:rsidR="00C14CC0" w:rsidRPr="00913232">
        <w:rPr>
          <w:rFonts w:ascii="Minion Pro Med" w:hAnsi="Minion Pro Med"/>
        </w:rPr>
        <w:t xml:space="preserve"> that influence </w:t>
      </w:r>
      <w:r w:rsidR="005549F5" w:rsidRPr="00913232">
        <w:rPr>
          <w:rFonts w:ascii="Minion Pro Med" w:hAnsi="Minion Pro Med"/>
        </w:rPr>
        <w:t xml:space="preserve">by means of authority does not display such openness. This appears to contradict </w:t>
      </w:r>
      <w:r w:rsidR="00117D49" w:rsidRPr="00913232">
        <w:rPr>
          <w:rFonts w:ascii="Minion Pro Med" w:hAnsi="Minion Pro Med"/>
        </w:rPr>
        <w:t>an</w:t>
      </w:r>
      <w:r w:rsidR="005549F5" w:rsidRPr="00913232">
        <w:rPr>
          <w:rFonts w:ascii="Minion Pro Med" w:hAnsi="Minion Pro Med"/>
        </w:rPr>
        <w:t xml:space="preserve"> earlier claim that influence by means of authority deliberately engages the capacity of the one influenced for rational deliberation on the matter. This appearance </w:t>
      </w:r>
      <w:r w:rsidR="00CB0E24" w:rsidRPr="00913232">
        <w:rPr>
          <w:rFonts w:ascii="Minion Pro Med" w:hAnsi="Minion Pro Med"/>
        </w:rPr>
        <w:t xml:space="preserve">of contradiction </w:t>
      </w:r>
      <w:r w:rsidR="005549F5" w:rsidRPr="00913232">
        <w:rPr>
          <w:rFonts w:ascii="Minion Pro Med" w:hAnsi="Minion Pro Med"/>
        </w:rPr>
        <w:t xml:space="preserve">dissipates upon recognition that influence by means of authority involves reasoned disengagement from such openness to criticism. </w:t>
      </w:r>
      <w:r w:rsidR="00117D49" w:rsidRPr="00913232">
        <w:rPr>
          <w:rFonts w:ascii="Minion Pro Med" w:hAnsi="Minion Pro Med"/>
        </w:rPr>
        <w:t>To see this, c</w:t>
      </w:r>
      <w:r w:rsidR="00165001" w:rsidRPr="00913232">
        <w:rPr>
          <w:rFonts w:ascii="Minion Pro Med" w:hAnsi="Minion Pro Med"/>
        </w:rPr>
        <w:t xml:space="preserve">onsider </w:t>
      </w:r>
      <w:r w:rsidR="00096EE7" w:rsidRPr="00913232">
        <w:rPr>
          <w:rFonts w:ascii="Minion Pro Med" w:hAnsi="Minion Pro Med"/>
        </w:rPr>
        <w:t xml:space="preserve">Joseph </w:t>
      </w:r>
      <w:r w:rsidR="00165001" w:rsidRPr="00913232">
        <w:rPr>
          <w:rFonts w:ascii="Minion Pro Med" w:hAnsi="Minion Pro Med"/>
        </w:rPr>
        <w:t>Raz’s</w:t>
      </w:r>
      <w:r w:rsidR="005549F5" w:rsidRPr="00913232">
        <w:rPr>
          <w:rFonts w:ascii="Minion Pro Med" w:hAnsi="Minion Pro Med"/>
        </w:rPr>
        <w:t xml:space="preserve"> still dominant </w:t>
      </w:r>
      <w:r w:rsidR="00165001" w:rsidRPr="00913232">
        <w:rPr>
          <w:rFonts w:ascii="Minion Pro Med" w:hAnsi="Minion Pro Med"/>
        </w:rPr>
        <w:t>service conception of authority, whereby an authority figure operates as a kind of representative of the subject</w:t>
      </w:r>
      <w:r w:rsidR="00467A8F" w:rsidRPr="00913232">
        <w:rPr>
          <w:rFonts w:ascii="Minion Pro Med" w:hAnsi="Minion Pro Med"/>
        </w:rPr>
        <w:t>,</w:t>
      </w:r>
      <w:r w:rsidR="00165001" w:rsidRPr="00913232">
        <w:rPr>
          <w:rFonts w:ascii="Minion Pro Med" w:hAnsi="Minion Pro Med"/>
        </w:rPr>
        <w:t xml:space="preserve"> whose role is to provide a service for the subject in helping them to better conform to reason.</w:t>
      </w:r>
      <w:r w:rsidR="00BA1DE7" w:rsidRPr="00913232">
        <w:rPr>
          <w:rStyle w:val="FootnoteReference"/>
          <w:rFonts w:ascii="Minion Pro Med" w:hAnsi="Minion Pro Med"/>
        </w:rPr>
        <w:footnoteReference w:id="23"/>
      </w:r>
      <w:r w:rsidR="00165001" w:rsidRPr="00913232">
        <w:rPr>
          <w:rFonts w:ascii="Minion Pro Med" w:hAnsi="Minion Pro Med"/>
        </w:rPr>
        <w:t xml:space="preserve"> Adapting the account from the practical sphere to our case of belief revision, </w:t>
      </w:r>
      <w:r w:rsidR="00545857" w:rsidRPr="00913232">
        <w:rPr>
          <w:rFonts w:ascii="Minion Pro Med" w:hAnsi="Minion Pro Med"/>
        </w:rPr>
        <w:t>a</w:t>
      </w:r>
      <w:r w:rsidR="00165001" w:rsidRPr="00913232">
        <w:rPr>
          <w:rFonts w:ascii="Minion Pro Med" w:hAnsi="Minion Pro Med"/>
        </w:rPr>
        <w:t xml:space="preserve"> core idea is that</w:t>
      </w:r>
      <w:r w:rsidR="0059491A" w:rsidRPr="00913232">
        <w:rPr>
          <w:rFonts w:ascii="Minion Pro Med" w:hAnsi="Minion Pro Med"/>
        </w:rPr>
        <w:t>,</w:t>
      </w:r>
      <w:r w:rsidR="00165001" w:rsidRPr="00913232">
        <w:rPr>
          <w:rFonts w:ascii="Minion Pro Med" w:hAnsi="Minion Pro Med"/>
        </w:rPr>
        <w:t xml:space="preserve"> in </w:t>
      </w:r>
      <w:r w:rsidR="0013441C" w:rsidRPr="00913232">
        <w:rPr>
          <w:rFonts w:ascii="Minion Pro Med" w:hAnsi="Minion Pro Med"/>
        </w:rPr>
        <w:t>a successful</w:t>
      </w:r>
      <w:r w:rsidR="00165001" w:rsidRPr="00913232">
        <w:rPr>
          <w:rFonts w:ascii="Minion Pro Med" w:hAnsi="Minion Pro Med"/>
        </w:rPr>
        <w:t xml:space="preserve"> exercise of authority</w:t>
      </w:r>
      <w:r w:rsidR="0059491A" w:rsidRPr="00913232">
        <w:rPr>
          <w:rFonts w:ascii="Minion Pro Med" w:hAnsi="Minion Pro Med"/>
        </w:rPr>
        <w:t>,</w:t>
      </w:r>
      <w:r w:rsidR="0013441C" w:rsidRPr="00913232">
        <w:rPr>
          <w:rFonts w:ascii="Minion Pro Med" w:hAnsi="Minion Pro Med"/>
        </w:rPr>
        <w:t xml:space="preserve"> the one attempting </w:t>
      </w:r>
      <w:r w:rsidR="0013441C" w:rsidRPr="00913232">
        <w:rPr>
          <w:rFonts w:ascii="Minion Pro Med" w:hAnsi="Minion Pro Med"/>
        </w:rPr>
        <w:lastRenderedPageBreak/>
        <w:t xml:space="preserve">to influence belief by means of authority generates reasons for others </w:t>
      </w:r>
      <w:r w:rsidR="00165001" w:rsidRPr="00913232">
        <w:rPr>
          <w:rFonts w:ascii="Minion Pro Med" w:hAnsi="Minion Pro Med"/>
        </w:rPr>
        <w:t xml:space="preserve">to </w:t>
      </w:r>
      <w:r w:rsidR="0013441C" w:rsidRPr="00913232">
        <w:rPr>
          <w:rFonts w:ascii="Minion Pro Med" w:hAnsi="Minion Pro Med"/>
        </w:rPr>
        <w:t xml:space="preserve">believe something </w:t>
      </w:r>
      <w:r w:rsidR="0059491A" w:rsidRPr="00913232">
        <w:rPr>
          <w:rFonts w:ascii="Minion Pro Med" w:hAnsi="Minion Pro Med"/>
        </w:rPr>
        <w:t>preemptively. P</w:t>
      </w:r>
      <w:r w:rsidR="0013441C" w:rsidRPr="00913232">
        <w:rPr>
          <w:rFonts w:ascii="Minion Pro Med" w:hAnsi="Minion Pro Med"/>
        </w:rPr>
        <w:t xml:space="preserve">reemption </w:t>
      </w:r>
      <w:r w:rsidR="0059491A" w:rsidRPr="00913232">
        <w:rPr>
          <w:rFonts w:ascii="Minion Pro Med" w:hAnsi="Minion Pro Med"/>
        </w:rPr>
        <w:t xml:space="preserve">here </w:t>
      </w:r>
      <w:r w:rsidR="0013441C" w:rsidRPr="00913232">
        <w:rPr>
          <w:rFonts w:ascii="Minion Pro Med" w:hAnsi="Minion Pro Med"/>
        </w:rPr>
        <w:t>means not just treating someone else’s believing p as a prima facie reason for believing p, but as one that replaces other reasons for believing p.</w:t>
      </w:r>
      <w:r w:rsidR="00BA1DE7" w:rsidRPr="00913232">
        <w:rPr>
          <w:rStyle w:val="FootnoteReference"/>
          <w:rFonts w:ascii="Minion Pro Med" w:hAnsi="Minion Pro Med"/>
        </w:rPr>
        <w:footnoteReference w:id="24"/>
      </w:r>
      <w:r w:rsidR="0013441C" w:rsidRPr="00913232">
        <w:rPr>
          <w:rFonts w:ascii="Minion Pro Med" w:hAnsi="Minion Pro Med"/>
        </w:rPr>
        <w:t xml:space="preserve"> </w:t>
      </w:r>
      <w:r w:rsidR="00467A8F" w:rsidRPr="00913232">
        <w:rPr>
          <w:rFonts w:ascii="Minion Pro Med" w:hAnsi="Minion Pro Med"/>
        </w:rPr>
        <w:t xml:space="preserve">Even at this level of abstraction, we can recognize in Raz’s service conception an understanding of being influenced by authority as </w:t>
      </w:r>
      <w:r w:rsidR="00ED7A6E">
        <w:rPr>
          <w:rFonts w:ascii="Minion Pro Med" w:hAnsi="Minion Pro Med"/>
        </w:rPr>
        <w:t xml:space="preserve">a </w:t>
      </w:r>
      <w:r w:rsidR="00467A8F" w:rsidRPr="00913232">
        <w:rPr>
          <w:rFonts w:ascii="Minion Pro Med" w:hAnsi="Minion Pro Med"/>
        </w:rPr>
        <w:t>form of reasoned disengagement from such openness to criticism</w:t>
      </w:r>
      <w:r w:rsidR="00DE6439" w:rsidRPr="00913232">
        <w:rPr>
          <w:rFonts w:ascii="Minion Pro Med" w:hAnsi="Minion Pro Med"/>
        </w:rPr>
        <w:t xml:space="preserve">: whilst pre-emption here involves </w:t>
      </w:r>
      <w:r w:rsidR="0059491A" w:rsidRPr="00913232">
        <w:rPr>
          <w:rFonts w:ascii="Minion Pro Med" w:hAnsi="Minion Pro Med"/>
        </w:rPr>
        <w:t xml:space="preserve">a closure </w:t>
      </w:r>
      <w:r w:rsidR="00096EE7" w:rsidRPr="00913232">
        <w:rPr>
          <w:rFonts w:ascii="Minion Pro Med" w:hAnsi="Minion Pro Med"/>
        </w:rPr>
        <w:t>of both</w:t>
      </w:r>
      <w:r w:rsidR="00DE6439" w:rsidRPr="00913232">
        <w:rPr>
          <w:rFonts w:ascii="Minion Pro Med" w:hAnsi="Minion Pro Med"/>
        </w:rPr>
        <w:t xml:space="preserve"> sides to ongoing criticism,</w:t>
      </w:r>
      <w:r w:rsidR="00096EE7" w:rsidRPr="00913232">
        <w:rPr>
          <w:rFonts w:ascii="Minion Pro Med" w:hAnsi="Minion Pro Med"/>
        </w:rPr>
        <w:t xml:space="preserve"> it is a condition that emerges from a rational understanding by both parties of the authority as a representative</w:t>
      </w:r>
      <w:r w:rsidR="003E67C0" w:rsidRPr="00913232">
        <w:rPr>
          <w:rFonts w:ascii="Minion Pro Med" w:hAnsi="Minion Pro Med"/>
        </w:rPr>
        <w:t xml:space="preserve">. Social influence by means of authority thus does involve engagement with the capacity for rational reflection, the result of which is </w:t>
      </w:r>
      <w:r w:rsidR="00BA1DE7" w:rsidRPr="00913232">
        <w:rPr>
          <w:rFonts w:ascii="Minion Pro Med" w:hAnsi="Minion Pro Med"/>
        </w:rPr>
        <w:t xml:space="preserve">influence that </w:t>
      </w:r>
      <w:r w:rsidR="003E67C0" w:rsidRPr="00913232">
        <w:rPr>
          <w:rFonts w:ascii="Minion Pro Med" w:hAnsi="Minion Pro Med"/>
        </w:rPr>
        <w:t>- unlike influence by means of persuasion - is not characterized by ongoing and continued openness to criticism.</w:t>
      </w:r>
    </w:p>
    <w:p w14:paraId="683C4771" w14:textId="77777777" w:rsidR="00E07D3C" w:rsidRPr="00913232" w:rsidRDefault="009A0CB6" w:rsidP="00241933">
      <w:pPr>
        <w:spacing w:line="360" w:lineRule="auto"/>
        <w:rPr>
          <w:rFonts w:ascii="Minion Pro Med" w:hAnsi="Minion Pro Med"/>
        </w:rPr>
      </w:pPr>
      <w:r w:rsidRPr="00913232">
        <w:rPr>
          <w:rFonts w:ascii="Minion Pro Med" w:hAnsi="Minion Pro Med"/>
        </w:rPr>
        <w:t xml:space="preserve">If the act of convincing someone is viewed as an instance of influence by means of rational persuasion, then it is best not conceived </w:t>
      </w:r>
      <w:r w:rsidR="003C63C6" w:rsidRPr="00913232">
        <w:rPr>
          <w:rFonts w:ascii="Minion Pro Med" w:hAnsi="Minion Pro Med"/>
        </w:rPr>
        <w:t xml:space="preserve">in the individualistic terms suggested by Garsten’s digestive analogy. </w:t>
      </w:r>
      <w:r w:rsidR="00E11AA2" w:rsidRPr="00913232">
        <w:rPr>
          <w:rFonts w:ascii="Minion Pro Med" w:hAnsi="Minion Pro Med"/>
        </w:rPr>
        <w:t xml:space="preserve">Placing food before someone may </w:t>
      </w:r>
      <w:r w:rsidR="00CB0E24" w:rsidRPr="00913232">
        <w:rPr>
          <w:rFonts w:ascii="Minion Pro Med" w:hAnsi="Minion Pro Med"/>
        </w:rPr>
        <w:t xml:space="preserve">anticipate and </w:t>
      </w:r>
      <w:r w:rsidR="00E11AA2" w:rsidRPr="00913232">
        <w:rPr>
          <w:rFonts w:ascii="Minion Pro Med" w:hAnsi="Minion Pro Med"/>
        </w:rPr>
        <w:t xml:space="preserve">look forward to a response from that person, but </w:t>
      </w:r>
      <w:r w:rsidR="00115D3B" w:rsidRPr="00913232">
        <w:rPr>
          <w:rFonts w:ascii="Minion Pro Med" w:hAnsi="Minion Pro Med"/>
        </w:rPr>
        <w:t xml:space="preserve">is not open to that response in manner just described. </w:t>
      </w:r>
      <w:r w:rsidR="00252A83" w:rsidRPr="00913232">
        <w:rPr>
          <w:rFonts w:ascii="Minion Pro Med" w:hAnsi="Minion Pro Med"/>
        </w:rPr>
        <w:t>The act of a</w:t>
      </w:r>
      <w:r w:rsidR="00D126A0" w:rsidRPr="00913232">
        <w:rPr>
          <w:rFonts w:ascii="Minion Pro Med" w:hAnsi="Minion Pro Med"/>
        </w:rPr>
        <w:t>ttempting to convince someone</w:t>
      </w:r>
      <w:r w:rsidR="00252A83" w:rsidRPr="00913232">
        <w:rPr>
          <w:rFonts w:ascii="Minion Pro Med" w:hAnsi="Minion Pro Med"/>
        </w:rPr>
        <w:t xml:space="preserve"> is not a matter of placing </w:t>
      </w:r>
      <w:r w:rsidR="00C44139" w:rsidRPr="00913232">
        <w:rPr>
          <w:rFonts w:ascii="Minion Pro Med" w:hAnsi="Minion Pro Med"/>
        </w:rPr>
        <w:t>doxastic fodder in front of them</w:t>
      </w:r>
      <w:r w:rsidR="006201E8" w:rsidRPr="00913232">
        <w:rPr>
          <w:rFonts w:ascii="Minion Pro Med" w:hAnsi="Minion Pro Med"/>
        </w:rPr>
        <w:t xml:space="preserve"> (</w:t>
      </w:r>
      <w:r w:rsidR="00941628" w:rsidRPr="00913232">
        <w:rPr>
          <w:rFonts w:ascii="Minion Pro Med" w:hAnsi="Minion Pro Med"/>
        </w:rPr>
        <w:t xml:space="preserve">or </w:t>
      </w:r>
      <w:r w:rsidR="006201E8" w:rsidRPr="00913232">
        <w:rPr>
          <w:rFonts w:ascii="Minion Pro Med" w:hAnsi="Minion Pro Med"/>
        </w:rPr>
        <w:t>‘merely putting words into the air’)</w:t>
      </w:r>
      <w:r w:rsidR="00C44139" w:rsidRPr="00913232">
        <w:rPr>
          <w:rFonts w:ascii="Minion Pro Med" w:hAnsi="Minion Pro Med"/>
        </w:rPr>
        <w:t>, but</w:t>
      </w:r>
      <w:r w:rsidR="00AB3DEF" w:rsidRPr="00913232">
        <w:rPr>
          <w:rFonts w:ascii="Minion Pro Med" w:hAnsi="Minion Pro Med"/>
        </w:rPr>
        <w:t xml:space="preserve"> is better understood as inviting</w:t>
      </w:r>
      <w:r w:rsidR="00D126A0" w:rsidRPr="00913232">
        <w:rPr>
          <w:rFonts w:ascii="Minion Pro Med" w:hAnsi="Minion Pro Med"/>
        </w:rPr>
        <w:t xml:space="preserve"> an</w:t>
      </w:r>
      <w:r w:rsidR="00C44139" w:rsidRPr="00913232">
        <w:rPr>
          <w:rFonts w:ascii="Minion Pro Med" w:hAnsi="Minion Pro Med"/>
        </w:rPr>
        <w:t xml:space="preserve"> exchange. I have taken the phrase ‘</w:t>
      </w:r>
      <w:r w:rsidR="00D126A0" w:rsidRPr="00913232">
        <w:rPr>
          <w:rFonts w:ascii="Minion Pro Med" w:hAnsi="Minion Pro Med"/>
        </w:rPr>
        <w:t xml:space="preserve">inviting an </w:t>
      </w:r>
      <w:r w:rsidR="00C44139" w:rsidRPr="00913232">
        <w:rPr>
          <w:rFonts w:ascii="Minion Pro Med" w:hAnsi="Minion Pro Med"/>
        </w:rPr>
        <w:t>exchange’ from a discussion of Stanley Cavell</w:t>
      </w:r>
      <w:r w:rsidR="00D126A0" w:rsidRPr="00913232">
        <w:rPr>
          <w:rFonts w:ascii="Minion Pro Med" w:hAnsi="Minion Pro Med"/>
        </w:rPr>
        <w:t xml:space="preserve"> </w:t>
      </w:r>
      <w:r w:rsidR="00C44139" w:rsidRPr="00913232">
        <w:rPr>
          <w:rFonts w:ascii="Minion Pro Med" w:hAnsi="Minion Pro Med"/>
        </w:rPr>
        <w:t xml:space="preserve">focused on understanding the </w:t>
      </w:r>
      <w:r w:rsidR="00AB3DEF" w:rsidRPr="00913232">
        <w:rPr>
          <w:rFonts w:ascii="Minion Pro Med" w:hAnsi="Minion Pro Med"/>
        </w:rPr>
        <w:t>relationship</w:t>
      </w:r>
      <w:r w:rsidR="00C44139" w:rsidRPr="00913232">
        <w:rPr>
          <w:rFonts w:ascii="Minion Pro Med" w:hAnsi="Minion Pro Med"/>
        </w:rPr>
        <w:t xml:space="preserve"> between illocutionary and </w:t>
      </w:r>
      <w:r w:rsidR="00545857" w:rsidRPr="00913232">
        <w:rPr>
          <w:rFonts w:ascii="Minion Pro Med" w:hAnsi="Minion Pro Med"/>
        </w:rPr>
        <w:t xml:space="preserve">a subsection of </w:t>
      </w:r>
      <w:r w:rsidR="00C44139" w:rsidRPr="00913232">
        <w:rPr>
          <w:rFonts w:ascii="Minion Pro Med" w:hAnsi="Minion Pro Med"/>
        </w:rPr>
        <w:t xml:space="preserve">perlocutionary </w:t>
      </w:r>
      <w:r w:rsidR="00545857" w:rsidRPr="00913232">
        <w:rPr>
          <w:rFonts w:ascii="Minion Pro Med" w:hAnsi="Minion Pro Med"/>
        </w:rPr>
        <w:t>activity that he terms ‘passionate utterances’</w:t>
      </w:r>
      <w:r w:rsidR="00FB6E9D" w:rsidRPr="00913232">
        <w:rPr>
          <w:rFonts w:ascii="Minion Pro Med" w:hAnsi="Minion Pro Med"/>
        </w:rPr>
        <w:t>.</w:t>
      </w:r>
      <w:r w:rsidR="00714279" w:rsidRPr="00913232">
        <w:rPr>
          <w:rFonts w:ascii="Minion Pro Med" w:hAnsi="Minion Pro Med"/>
        </w:rPr>
        <w:t xml:space="preserve"> </w:t>
      </w:r>
      <w:r w:rsidR="00D126A0" w:rsidRPr="00913232">
        <w:rPr>
          <w:rFonts w:ascii="Minion Pro Med" w:hAnsi="Minion Pro Med"/>
        </w:rPr>
        <w:t xml:space="preserve">In </w:t>
      </w:r>
      <w:r w:rsidR="001327F2" w:rsidRPr="00913232">
        <w:rPr>
          <w:rFonts w:ascii="Minion Pro Med" w:hAnsi="Minion Pro Med"/>
        </w:rPr>
        <w:t xml:space="preserve">performing </w:t>
      </w:r>
      <w:r w:rsidR="00545857" w:rsidRPr="00913232">
        <w:rPr>
          <w:rFonts w:ascii="Minion Pro Med" w:hAnsi="Minion Pro Med"/>
        </w:rPr>
        <w:t xml:space="preserve">such </w:t>
      </w:r>
      <w:r w:rsidR="001327F2" w:rsidRPr="00913232">
        <w:rPr>
          <w:rFonts w:ascii="Minion Pro Med" w:hAnsi="Minion Pro Med"/>
        </w:rPr>
        <w:t xml:space="preserve">a perlocution as opposed to an illocution, </w:t>
      </w:r>
      <w:r w:rsidR="00D126A0" w:rsidRPr="00913232">
        <w:rPr>
          <w:rFonts w:ascii="Minion Pro Med" w:hAnsi="Minion Pro Med"/>
        </w:rPr>
        <w:t xml:space="preserve">Cavell remarks, </w:t>
      </w:r>
      <w:r w:rsidR="001327F2" w:rsidRPr="00913232">
        <w:rPr>
          <w:rFonts w:ascii="Minion Pro Med" w:hAnsi="Minion Pro Med"/>
        </w:rPr>
        <w:t>“I am not invoking a procedure but inviting an exchange”.</w:t>
      </w:r>
      <w:r w:rsidR="00AB3DEF" w:rsidRPr="00913232">
        <w:rPr>
          <w:rStyle w:val="FootnoteReference"/>
          <w:rFonts w:ascii="Minion Pro Med" w:hAnsi="Minion Pro Med"/>
        </w:rPr>
        <w:footnoteReference w:id="25"/>
      </w:r>
      <w:r w:rsidR="001327F2" w:rsidRPr="00913232">
        <w:rPr>
          <w:rFonts w:ascii="Minion Pro Med" w:hAnsi="Minion Pro Med"/>
        </w:rPr>
        <w:t xml:space="preserve"> </w:t>
      </w:r>
    </w:p>
    <w:p w14:paraId="6B8DAC2A" w14:textId="7DD0382B" w:rsidR="00503102" w:rsidRPr="00913232" w:rsidRDefault="000934D0">
      <w:pPr>
        <w:spacing w:line="360" w:lineRule="auto"/>
        <w:rPr>
          <w:rFonts w:ascii="Minion Pro Med" w:hAnsi="Minion Pro Med"/>
        </w:rPr>
      </w:pPr>
      <w:r w:rsidRPr="00913232">
        <w:rPr>
          <w:rFonts w:ascii="Minion Pro Med" w:hAnsi="Minion Pro Med"/>
        </w:rPr>
        <w:t xml:space="preserve">To invoke a procedure is to call upon an extant convention for successfully performing the activity, one that includes certain people doing certain performances in certain circumstances with specified effects. Whilst there may be some degree of ambiguity in terms of the conventions themselves, and whilst there may be some degree of plausible disagreement concerning whether the conventional procedures have been met on a given occasion, the scope for such ambiguity and disagreement must be relatively limited for the convention to be in effect at all. As a result, neither party need expend much effort or ingenuity in performing and understanding the illocutionary transaction. To invite an exchange, in contrast, requires both parties to ‘get creative’ so as to successfully perform a given act, since there exists no extant convention for successful performance. In our example, ingenuity and nuance is required in figuring out both how to convince another on a given occasion. As </w:t>
      </w:r>
      <w:proofErr w:type="gramStart"/>
      <w:r w:rsidRPr="00913232">
        <w:rPr>
          <w:rFonts w:ascii="Minion Pro Med" w:hAnsi="Minion Pro Med"/>
        </w:rPr>
        <w:t>Cavell</w:t>
      </w:r>
      <w:proofErr w:type="gramEnd"/>
      <w:r w:rsidRPr="00913232">
        <w:rPr>
          <w:rFonts w:ascii="Minion Pro Med" w:hAnsi="Minion Pro Med"/>
        </w:rPr>
        <w:t xml:space="preserve"> himself notes: “I do not, except in special circumstances, wonder how I might make a promise or a gift, or apologize, or render a verdict. But to </w:t>
      </w:r>
      <w:r w:rsidRPr="00913232">
        <w:rPr>
          <w:rFonts w:ascii="Minion Pro Med" w:hAnsi="Minion Pro Med"/>
        </w:rPr>
        <w:lastRenderedPageBreak/>
        <w:t>persuade you may well take considerable thought.”</w:t>
      </w:r>
      <w:r w:rsidR="00E07D3C" w:rsidRPr="00913232">
        <w:rPr>
          <w:rStyle w:val="FootnoteReference"/>
          <w:rFonts w:ascii="Minion Pro Med" w:hAnsi="Minion Pro Med"/>
        </w:rPr>
        <w:footnoteReference w:id="26"/>
      </w:r>
      <w:r w:rsidRPr="00913232">
        <w:rPr>
          <w:rFonts w:ascii="Minion Pro Med" w:hAnsi="Minion Pro Med"/>
        </w:rPr>
        <w:t xml:space="preserve">  </w:t>
      </w:r>
      <w:r w:rsidR="00CD5F7B" w:rsidRPr="00913232">
        <w:rPr>
          <w:rFonts w:ascii="Minion Pro Med" w:hAnsi="Minion Pro Med"/>
        </w:rPr>
        <w:t>The same applies to the corresponding act of being persuaded</w:t>
      </w:r>
      <w:r w:rsidR="00E07D3C" w:rsidRPr="00913232">
        <w:rPr>
          <w:rFonts w:ascii="Minion Pro Med" w:hAnsi="Minion Pro Med"/>
        </w:rPr>
        <w:t xml:space="preserve">. </w:t>
      </w:r>
    </w:p>
    <w:p w14:paraId="3512B999" w14:textId="77777777" w:rsidR="00241933" w:rsidRPr="00913232" w:rsidRDefault="00241933" w:rsidP="00241933">
      <w:pPr>
        <w:spacing w:line="360" w:lineRule="auto"/>
        <w:rPr>
          <w:rFonts w:ascii="Minion Pro Med" w:hAnsi="Minion Pro Med"/>
        </w:rPr>
      </w:pPr>
      <w:r w:rsidRPr="00913232">
        <w:rPr>
          <w:rFonts w:ascii="Minion Pro Med" w:hAnsi="Minion Pro Med"/>
        </w:rPr>
        <w:t xml:space="preserve">One </w:t>
      </w:r>
      <w:r w:rsidR="00342FFF" w:rsidRPr="00913232">
        <w:rPr>
          <w:rFonts w:ascii="Minion Pro Med" w:hAnsi="Minion Pro Med"/>
        </w:rPr>
        <w:t xml:space="preserve">difference between </w:t>
      </w:r>
      <w:r w:rsidR="00F73F5F" w:rsidRPr="00913232">
        <w:rPr>
          <w:rFonts w:ascii="Minion Pro Med" w:hAnsi="Minion Pro Med"/>
        </w:rPr>
        <w:t>invoking a procedure and inviting an exchange</w:t>
      </w:r>
      <w:r w:rsidR="00342FFF" w:rsidRPr="00913232">
        <w:rPr>
          <w:rFonts w:ascii="Minion Pro Med" w:hAnsi="Minion Pro Med"/>
        </w:rPr>
        <w:t xml:space="preserve"> that Cavell</w:t>
      </w:r>
      <w:r w:rsidRPr="00913232">
        <w:rPr>
          <w:rFonts w:ascii="Minion Pro Med" w:hAnsi="Minion Pro Med"/>
        </w:rPr>
        <w:t xml:space="preserve"> highlights concerns the </w:t>
      </w:r>
      <w:r w:rsidR="00F73F5F" w:rsidRPr="00913232">
        <w:rPr>
          <w:rFonts w:ascii="Minion Pro Med" w:hAnsi="Minion Pro Med"/>
        </w:rPr>
        <w:t>divergent</w:t>
      </w:r>
      <w:r w:rsidRPr="00913232">
        <w:rPr>
          <w:rFonts w:ascii="Minion Pro Med" w:hAnsi="Minion Pro Med"/>
        </w:rPr>
        <w:t xml:space="preserve"> role</w:t>
      </w:r>
      <w:r w:rsidR="00F73F5F" w:rsidRPr="00913232">
        <w:rPr>
          <w:rFonts w:ascii="Minion Pro Med" w:hAnsi="Minion Pro Med"/>
        </w:rPr>
        <w:t>s</w:t>
      </w:r>
      <w:r w:rsidRPr="00913232">
        <w:rPr>
          <w:rFonts w:ascii="Minion Pro Med" w:hAnsi="Minion Pro Med"/>
        </w:rPr>
        <w:t xml:space="preserve"> played by refusal of the procedure invoked and the exchange invited: </w:t>
      </w:r>
    </w:p>
    <w:p w14:paraId="2A67039E" w14:textId="77777777" w:rsidR="00342FFF" w:rsidRPr="00913232" w:rsidRDefault="00241933" w:rsidP="00342FFF">
      <w:pPr>
        <w:spacing w:line="360" w:lineRule="auto"/>
        <w:ind w:left="720"/>
        <w:rPr>
          <w:rFonts w:ascii="Minion Pro Med" w:hAnsi="Minion Pro Med"/>
        </w:rPr>
      </w:pPr>
      <w:r w:rsidRPr="00913232">
        <w:rPr>
          <w:rFonts w:ascii="Minion Pro Med" w:hAnsi="Minion Pro Med"/>
        </w:rPr>
        <w:t>“</w:t>
      </w:r>
      <w:r w:rsidR="00BA7AA2" w:rsidRPr="00913232">
        <w:rPr>
          <w:rFonts w:ascii="Minion Pro Med" w:hAnsi="Minion Pro Med"/>
        </w:rPr>
        <w:t>[R]</w:t>
      </w:r>
      <w:r w:rsidRPr="00913232">
        <w:rPr>
          <w:rFonts w:ascii="Minion Pro Med" w:hAnsi="Minion Pro Med"/>
        </w:rPr>
        <w:t>efusing to recognize a challenge or an offer of marriage or game of charades is the end of the matter; just as, in happy illocutionary acts, accepting the bet or bequest is the end of the matter (and the beginning of another). But in the realm of the perlocutionary, refusal may become part of the performance.</w:t>
      </w:r>
      <w:r w:rsidR="00FC6C94" w:rsidRPr="00913232">
        <w:rPr>
          <w:rFonts w:ascii="Minion Pro Med" w:hAnsi="Minion Pro Med"/>
        </w:rPr>
        <w:t>”</w:t>
      </w:r>
      <w:r w:rsidR="00FC6C94" w:rsidRPr="00913232">
        <w:rPr>
          <w:rStyle w:val="FootnoteReference"/>
          <w:rFonts w:ascii="Minion Pro Med" w:hAnsi="Minion Pro Med"/>
        </w:rPr>
        <w:footnoteReference w:id="27"/>
      </w:r>
      <w:r w:rsidRPr="00913232">
        <w:rPr>
          <w:rFonts w:ascii="Minion Pro Med" w:hAnsi="Minion Pro Med"/>
        </w:rPr>
        <w:t xml:space="preserve"> </w:t>
      </w:r>
    </w:p>
    <w:p w14:paraId="4D02807E" w14:textId="77777777" w:rsidR="00F9235D" w:rsidRPr="00913232" w:rsidRDefault="00FC6C94" w:rsidP="006D610B">
      <w:pPr>
        <w:spacing w:line="360" w:lineRule="auto"/>
        <w:rPr>
          <w:rFonts w:ascii="Minion Pro Med" w:hAnsi="Minion Pro Med"/>
        </w:rPr>
      </w:pPr>
      <w:r w:rsidRPr="00913232">
        <w:rPr>
          <w:rFonts w:ascii="Minion Pro Med" w:hAnsi="Minion Pro Med"/>
        </w:rPr>
        <w:t xml:space="preserve">To use our earlier example of an illocutionary act, provided the Officer acts in the conventionally-specified manner, and this is reciprocally recognized by the Accused, then the act of warning succeeds. Of course, it remains possible for the one warned to recognize the warning but to reject the conventionally-specified effects, but in such a case the rejection takes the form of opting out of the invoked procedure itself and not changing the procedure itself. In contrast, in the case of an invitation to an exchange, rejection </w:t>
      </w:r>
      <w:r w:rsidR="00E62193" w:rsidRPr="00913232">
        <w:rPr>
          <w:rFonts w:ascii="Minion Pro Med" w:hAnsi="Minion Pro Med"/>
        </w:rPr>
        <w:t>of the invitation</w:t>
      </w:r>
      <w:r w:rsidR="00342FFF" w:rsidRPr="00913232">
        <w:rPr>
          <w:rFonts w:ascii="Minion Pro Med" w:hAnsi="Minion Pro Med"/>
        </w:rPr>
        <w:t xml:space="preserve"> is itself a positive contribution to shaping the distinctive character of the interpersonal interaction. </w:t>
      </w:r>
      <w:r w:rsidR="00B418C9" w:rsidRPr="00913232">
        <w:rPr>
          <w:rFonts w:ascii="Minion Pro Med" w:hAnsi="Minion Pro Med"/>
        </w:rPr>
        <w:t>As Cavell notes, “[y]ou may contest my invitation to exchange, […] , for example, deny that I have that standing with you, … or dismiss the demand for the kind of response I seek, or ask to postpone it, or worse. I may or may not have further means of response.”</w:t>
      </w:r>
      <w:r w:rsidR="00B418C9" w:rsidRPr="00913232">
        <w:rPr>
          <w:rStyle w:val="FootnoteReference"/>
          <w:rFonts w:ascii="Minion Pro Med" w:hAnsi="Minion Pro Med"/>
        </w:rPr>
        <w:footnoteReference w:id="28"/>
      </w:r>
      <w:r w:rsidR="00B418C9" w:rsidRPr="00913232">
        <w:rPr>
          <w:rFonts w:ascii="Minion Pro Med" w:hAnsi="Minion Pro Med"/>
        </w:rPr>
        <w:t xml:space="preserve"> </w:t>
      </w:r>
      <w:r w:rsidR="00342FFF" w:rsidRPr="00913232">
        <w:rPr>
          <w:rFonts w:ascii="Minion Pro Med" w:hAnsi="Minion Pro Med"/>
        </w:rPr>
        <w:t xml:space="preserve">In this manner, </w:t>
      </w:r>
      <w:r w:rsidR="007635AF" w:rsidRPr="00913232">
        <w:rPr>
          <w:rFonts w:ascii="Minion Pro Med" w:hAnsi="Minion Pro Med"/>
        </w:rPr>
        <w:t xml:space="preserve">exchanges </w:t>
      </w:r>
      <w:r w:rsidR="00B418C9" w:rsidRPr="00913232">
        <w:rPr>
          <w:rFonts w:ascii="Minion Pro Med" w:hAnsi="Minion Pro Med"/>
        </w:rPr>
        <w:t>lack</w:t>
      </w:r>
      <w:r w:rsidR="00342FFF" w:rsidRPr="00913232">
        <w:rPr>
          <w:rFonts w:ascii="Minion Pro Med" w:hAnsi="Minion Pro Med"/>
        </w:rPr>
        <w:t xml:space="preserve"> the more clearly temporally cabined structure of illocutionary transaction. The latter begins and ends with the self-conscious interpersonal transaction between agent and patient described above, whilst the former need not begin with a specific locutionary act and, of its very character, it remains open-ended and subject to review.</w:t>
      </w:r>
    </w:p>
    <w:p w14:paraId="74082F2C" w14:textId="77777777" w:rsidR="001E16FC" w:rsidRPr="00913232" w:rsidRDefault="00426899" w:rsidP="00516FCD">
      <w:pPr>
        <w:spacing w:line="360" w:lineRule="auto"/>
        <w:rPr>
          <w:rFonts w:ascii="Minion Pro Med" w:hAnsi="Minion Pro Med"/>
        </w:rPr>
      </w:pPr>
      <w:r w:rsidRPr="00913232">
        <w:rPr>
          <w:rFonts w:ascii="Minion Pro Med" w:hAnsi="Minion Pro Med"/>
        </w:rPr>
        <w:t>With</w:t>
      </w:r>
      <w:r w:rsidR="0057259C" w:rsidRPr="00913232">
        <w:rPr>
          <w:rFonts w:ascii="Minion Pro Med" w:hAnsi="Minion Pro Med"/>
        </w:rPr>
        <w:t xml:space="preserve"> this in hand, let us finally return to the friendly criticism with which we began this section. It now appears that o</w:t>
      </w:r>
      <w:r w:rsidR="006D610B" w:rsidRPr="00913232">
        <w:rPr>
          <w:rFonts w:ascii="Minion Pro Med" w:hAnsi="Minion Pro Med"/>
        </w:rPr>
        <w:t xml:space="preserve">ur friendly critic is correct to highlight the centrality of convincing in discussing the topic of ‘changing your mind’, and is also correct that such perlocutionary activity does not have the transactional structure characteristic of the illocutionary. This need not, however, mandate a return to an individualist picture of ‘changing your mind’, provided that an alternate social understanding of the speech act of convincing is available. </w:t>
      </w:r>
      <w:r w:rsidR="006E1B17" w:rsidRPr="00913232">
        <w:rPr>
          <w:rFonts w:ascii="Minion Pro Med" w:hAnsi="Minion Pro Med"/>
        </w:rPr>
        <w:t xml:space="preserve">The alternative on offer here involves </w:t>
      </w:r>
      <w:r w:rsidR="007C2CBC" w:rsidRPr="00913232">
        <w:rPr>
          <w:rFonts w:ascii="Minion Pro Med" w:hAnsi="Minion Pro Med"/>
        </w:rPr>
        <w:t xml:space="preserve">viewing </w:t>
      </w:r>
      <w:r w:rsidR="00941F1A" w:rsidRPr="00913232">
        <w:rPr>
          <w:rFonts w:ascii="Minion Pro Med" w:hAnsi="Minion Pro Med"/>
        </w:rPr>
        <w:t xml:space="preserve">the act of convincing as inviting an exchange, as opposed to either placing </w:t>
      </w:r>
      <w:r w:rsidR="007C2CBC" w:rsidRPr="00913232">
        <w:rPr>
          <w:rFonts w:ascii="Minion Pro Med" w:hAnsi="Minion Pro Med"/>
        </w:rPr>
        <w:t xml:space="preserve">argumentative </w:t>
      </w:r>
      <w:r w:rsidR="00941F1A" w:rsidRPr="00913232">
        <w:rPr>
          <w:rFonts w:ascii="Minion Pro Med" w:hAnsi="Minion Pro Med"/>
        </w:rPr>
        <w:t>fodder before another or invok</w:t>
      </w:r>
      <w:r w:rsidR="00BF6D75" w:rsidRPr="00913232">
        <w:rPr>
          <w:rFonts w:ascii="Minion Pro Med" w:hAnsi="Minion Pro Med"/>
        </w:rPr>
        <w:t>ing a mutually recognized conventional procedure.</w:t>
      </w:r>
      <w:r w:rsidR="007C2CBC" w:rsidRPr="00913232">
        <w:rPr>
          <w:rFonts w:ascii="Minion Pro Med" w:hAnsi="Minion Pro Med"/>
        </w:rPr>
        <w:t xml:space="preserve"> Convincing is thus an instance of social influence by means of </w:t>
      </w:r>
      <w:r w:rsidR="007C2CBC" w:rsidRPr="00913232">
        <w:rPr>
          <w:rFonts w:ascii="Minion Pro Med" w:hAnsi="Minion Pro Med"/>
        </w:rPr>
        <w:lastRenderedPageBreak/>
        <w:t xml:space="preserve">rational persuasion, one whose defining characteristic involves a constant openness to potential challenge. </w:t>
      </w:r>
      <w:r w:rsidR="00BF6D75" w:rsidRPr="00913232">
        <w:rPr>
          <w:rFonts w:ascii="Minion Pro Med" w:hAnsi="Minion Pro Med"/>
        </w:rPr>
        <w:t>In inviting an exchange, I call for a response fro</w:t>
      </w:r>
      <w:r w:rsidR="00AA0DC4" w:rsidRPr="00913232">
        <w:rPr>
          <w:rFonts w:ascii="Minion Pro Med" w:hAnsi="Minion Pro Med"/>
        </w:rPr>
        <w:t xml:space="preserve">m you </w:t>
      </w:r>
      <w:r w:rsidR="00F45EE2" w:rsidRPr="00913232">
        <w:rPr>
          <w:rFonts w:ascii="Minion Pro Med" w:hAnsi="Minion Pro Med"/>
        </w:rPr>
        <w:t>and not</w:t>
      </w:r>
      <w:r w:rsidR="00CC44C2" w:rsidRPr="00913232">
        <w:rPr>
          <w:rFonts w:ascii="Minion Pro Med" w:hAnsi="Minion Pro Med"/>
        </w:rPr>
        <w:t xml:space="preserve"> a reaction</w:t>
      </w:r>
      <w:r w:rsidR="00AA0DC4" w:rsidRPr="00913232">
        <w:rPr>
          <w:rFonts w:ascii="Minion Pro Med" w:hAnsi="Minion Pro Med"/>
        </w:rPr>
        <w:t xml:space="preserve">, a response that is itself </w:t>
      </w:r>
      <w:r w:rsidR="00F45EE2" w:rsidRPr="00913232">
        <w:rPr>
          <w:rFonts w:ascii="Minion Pro Med" w:hAnsi="Minion Pro Med"/>
        </w:rPr>
        <w:t>addressed back to me, inviting</w:t>
      </w:r>
      <w:r w:rsidR="00AA0DC4" w:rsidRPr="00913232">
        <w:rPr>
          <w:rFonts w:ascii="Minion Pro Med" w:hAnsi="Minion Pro Med"/>
        </w:rPr>
        <w:t xml:space="preserve"> me to respond in turn. </w:t>
      </w:r>
    </w:p>
    <w:p w14:paraId="79069D2C" w14:textId="77777777" w:rsidR="001E16FC" w:rsidRPr="00913232" w:rsidRDefault="001E16FC" w:rsidP="00516FCD">
      <w:pPr>
        <w:spacing w:line="360" w:lineRule="auto"/>
        <w:rPr>
          <w:rFonts w:ascii="Minion Pro Med" w:hAnsi="Minion Pro Med"/>
        </w:rPr>
      </w:pPr>
      <w:r w:rsidRPr="00913232">
        <w:rPr>
          <w:rFonts w:ascii="Minion Pro Med" w:hAnsi="Minion Pro Med"/>
        </w:rPr>
        <w:t>V</w:t>
      </w:r>
      <w:r w:rsidR="00CC44C2" w:rsidRPr="00913232">
        <w:rPr>
          <w:rFonts w:ascii="Minion Pro Med" w:hAnsi="Minion Pro Med"/>
        </w:rPr>
        <w:tab/>
      </w:r>
    </w:p>
    <w:p w14:paraId="0DC89A4C" w14:textId="77777777" w:rsidR="00A82131" w:rsidRPr="00913232" w:rsidRDefault="001E16FC" w:rsidP="00516FCD">
      <w:pPr>
        <w:spacing w:line="360" w:lineRule="auto"/>
        <w:rPr>
          <w:rFonts w:ascii="Minion Pro Med" w:hAnsi="Minion Pro Med"/>
        </w:rPr>
      </w:pPr>
      <w:r w:rsidRPr="00913232">
        <w:rPr>
          <w:rFonts w:ascii="Minion Pro Med" w:hAnsi="Minion Pro Med"/>
        </w:rPr>
        <w:t xml:space="preserve">The ambitions of this </w:t>
      </w:r>
      <w:r w:rsidR="007A4E95" w:rsidRPr="00913232">
        <w:rPr>
          <w:rFonts w:ascii="Minion Pro Med" w:hAnsi="Minion Pro Med"/>
        </w:rPr>
        <w:t>essay</w:t>
      </w:r>
      <w:r w:rsidRPr="00913232">
        <w:rPr>
          <w:rFonts w:ascii="Minion Pro Med" w:hAnsi="Minion Pro Med"/>
        </w:rPr>
        <w:t xml:space="preserve"> are relatively modest. Its aim is not to defend a social understanding of </w:t>
      </w:r>
      <w:r w:rsidR="00550C28" w:rsidRPr="00913232">
        <w:rPr>
          <w:rFonts w:ascii="Minion Pro Med" w:hAnsi="Minion Pro Med"/>
        </w:rPr>
        <w:t xml:space="preserve">the </w:t>
      </w:r>
      <w:r w:rsidRPr="00913232">
        <w:rPr>
          <w:rFonts w:ascii="Minion Pro Med" w:hAnsi="Minion Pro Med"/>
        </w:rPr>
        <w:t>activity of ‘changing your mind’ but to provide a path to</w:t>
      </w:r>
      <w:r w:rsidR="009D28EE" w:rsidRPr="00913232">
        <w:rPr>
          <w:rFonts w:ascii="Minion Pro Med" w:hAnsi="Minion Pro Med"/>
        </w:rPr>
        <w:t>wards</w:t>
      </w:r>
      <w:r w:rsidRPr="00913232">
        <w:rPr>
          <w:rFonts w:ascii="Minion Pro Med" w:hAnsi="Minion Pro Med"/>
        </w:rPr>
        <w:t xml:space="preserve"> thinking that such an understanding is possible. </w:t>
      </w:r>
    </w:p>
    <w:p w14:paraId="63D40C15" w14:textId="77777777" w:rsidR="00604519" w:rsidRPr="00913232" w:rsidRDefault="00485321" w:rsidP="00516FCD">
      <w:pPr>
        <w:spacing w:line="360" w:lineRule="auto"/>
        <w:rPr>
          <w:rFonts w:ascii="Minion Pro Med" w:hAnsi="Minion Pro Med"/>
        </w:rPr>
      </w:pPr>
      <w:r w:rsidRPr="00913232">
        <w:rPr>
          <w:rFonts w:ascii="Minion Pro Med" w:hAnsi="Minion Pro Med"/>
        </w:rPr>
        <w:t xml:space="preserve">The </w:t>
      </w:r>
      <w:r w:rsidR="001E16FC" w:rsidRPr="00913232">
        <w:rPr>
          <w:rFonts w:ascii="Minion Pro Med" w:hAnsi="Minion Pro Med"/>
        </w:rPr>
        <w:t>entry</w:t>
      </w:r>
      <w:r w:rsidRPr="00913232">
        <w:rPr>
          <w:rFonts w:ascii="Minion Pro Med" w:hAnsi="Minion Pro Med"/>
        </w:rPr>
        <w:t>-point</w:t>
      </w:r>
      <w:r w:rsidR="001E16FC" w:rsidRPr="00913232">
        <w:rPr>
          <w:rFonts w:ascii="Minion Pro Med" w:hAnsi="Minion Pro Med"/>
        </w:rPr>
        <w:t xml:space="preserve"> to this path </w:t>
      </w:r>
      <w:r w:rsidRPr="00913232">
        <w:rPr>
          <w:rFonts w:ascii="Minion Pro Med" w:hAnsi="Minion Pro Med"/>
        </w:rPr>
        <w:t xml:space="preserve">has been provided by taking seriously the </w:t>
      </w:r>
      <w:r w:rsidR="005F7D61" w:rsidRPr="00913232">
        <w:rPr>
          <w:rFonts w:ascii="Minion Pro Med" w:hAnsi="Minion Pro Med"/>
        </w:rPr>
        <w:t>expressive</w:t>
      </w:r>
      <w:r w:rsidRPr="00913232">
        <w:rPr>
          <w:rFonts w:ascii="Minion Pro Med" w:hAnsi="Minion Pro Med"/>
        </w:rPr>
        <w:t xml:space="preserve"> character of linguistic activity through which changing your mind takes place. </w:t>
      </w:r>
      <w:r w:rsidR="00604519" w:rsidRPr="00913232">
        <w:rPr>
          <w:rFonts w:ascii="Minion Pro Med" w:hAnsi="Minion Pro Med"/>
        </w:rPr>
        <w:t>As noted at the outset, talk of the ‘expressive character’ of linguistic activity points to the essential role played by the attitudes of the performers of speech acts in constituting the performance as the kind of act that it is. Jonathan Lear captures this expressive dimension well in referring to the ability to perform such an act as the ability to ‘pretend’, in an older sense of the term meaning to intentionally put oneself forward, to make a claim.</w:t>
      </w:r>
      <w:r w:rsidR="00735ECB" w:rsidRPr="00913232">
        <w:rPr>
          <w:rStyle w:val="FootnoteReference"/>
          <w:rFonts w:ascii="Minion Pro Med" w:hAnsi="Minion Pro Med"/>
        </w:rPr>
        <w:footnoteReference w:id="29"/>
      </w:r>
      <w:r w:rsidR="00604519" w:rsidRPr="00913232">
        <w:rPr>
          <w:rFonts w:ascii="Minion Pro Med" w:hAnsi="Minion Pro Med"/>
        </w:rPr>
        <w:t xml:space="preserve"> Pretending in this sense is a social act</w:t>
      </w:r>
      <w:r w:rsidR="00F22777" w:rsidRPr="00913232">
        <w:rPr>
          <w:rFonts w:ascii="Minion Pro Med" w:hAnsi="Minion Pro Med"/>
        </w:rPr>
        <w:t>ivity</w:t>
      </w:r>
      <w:r w:rsidR="00604519" w:rsidRPr="00913232">
        <w:rPr>
          <w:rFonts w:ascii="Minion Pro Med" w:hAnsi="Minion Pro Med"/>
        </w:rPr>
        <w:t xml:space="preserve">: it necessarily involves an intentional act of self-presentation by one party directed towards another party, and it is the attitudes of both parties that play an essential role in constituting the performance as the kind of act that it is. </w:t>
      </w:r>
    </w:p>
    <w:p w14:paraId="58E05D7D" w14:textId="77777777" w:rsidR="005D3220" w:rsidRPr="00913232" w:rsidRDefault="0028315B" w:rsidP="00516FCD">
      <w:pPr>
        <w:spacing w:line="360" w:lineRule="auto"/>
        <w:rPr>
          <w:rFonts w:ascii="Minion Pro Med" w:hAnsi="Minion Pro Med"/>
        </w:rPr>
      </w:pPr>
      <w:r w:rsidRPr="00913232">
        <w:rPr>
          <w:rFonts w:ascii="Minion Pro Med" w:hAnsi="Minion Pro Med"/>
        </w:rPr>
        <w:t>In the essay</w:t>
      </w:r>
      <w:r w:rsidR="005D3220" w:rsidRPr="00913232">
        <w:rPr>
          <w:rFonts w:ascii="Minion Pro Med" w:hAnsi="Minion Pro Med"/>
        </w:rPr>
        <w:t xml:space="preserve">, we have focused on two such expressive activities: the illocutionary act of criticizing and the perlocutionary act of convincing. </w:t>
      </w:r>
      <w:r w:rsidR="00604519" w:rsidRPr="00913232">
        <w:rPr>
          <w:rFonts w:ascii="Minion Pro Med" w:hAnsi="Minion Pro Med"/>
        </w:rPr>
        <w:t>Both can be thought of as social acts of pretense</w:t>
      </w:r>
      <w:r w:rsidR="00735ECB" w:rsidRPr="00913232">
        <w:rPr>
          <w:rFonts w:ascii="Minion Pro Med" w:hAnsi="Minion Pro Med"/>
        </w:rPr>
        <w:t xml:space="preserve">, although the manner in which the attitudes of the relevant parties </w:t>
      </w:r>
      <w:r w:rsidR="00F22777" w:rsidRPr="00913232">
        <w:rPr>
          <w:rFonts w:ascii="Minion Pro Med" w:hAnsi="Minion Pro Med"/>
        </w:rPr>
        <w:t xml:space="preserve">interact so as to </w:t>
      </w:r>
      <w:r w:rsidR="00735ECB" w:rsidRPr="00913232">
        <w:rPr>
          <w:rFonts w:ascii="Minion Pro Med" w:hAnsi="Minion Pro Med"/>
        </w:rPr>
        <w:t xml:space="preserve">constitute the kind of act in question differ. </w:t>
      </w:r>
      <w:r w:rsidR="005D3220" w:rsidRPr="00913232">
        <w:rPr>
          <w:rFonts w:ascii="Minion Pro Med" w:hAnsi="Minion Pro Med"/>
        </w:rPr>
        <w:t>Criticizing and being criticized was portrayed as a self-conscious interpersonal transaction, best thought of as a single act describable from two different perspectives. Convincing and being convinced was portrayed as the offering and accepting an invitation to an exchange, best thought of as</w:t>
      </w:r>
      <w:r w:rsidRPr="00913232">
        <w:rPr>
          <w:rFonts w:ascii="Minion Pro Med" w:hAnsi="Minion Pro Med"/>
        </w:rPr>
        <w:t xml:space="preserve"> an</w:t>
      </w:r>
      <w:r w:rsidR="005D3220" w:rsidRPr="00913232">
        <w:rPr>
          <w:rFonts w:ascii="Minion Pro Med" w:hAnsi="Minion Pro Med"/>
        </w:rPr>
        <w:t xml:space="preserve"> instance of </w:t>
      </w:r>
      <w:r w:rsidR="00E21E51" w:rsidRPr="00913232">
        <w:rPr>
          <w:rFonts w:ascii="Minion Pro Med" w:hAnsi="Minion Pro Med"/>
        </w:rPr>
        <w:t>influence by means of rational persuasion</w:t>
      </w:r>
      <w:r w:rsidR="005D3220" w:rsidRPr="00913232">
        <w:rPr>
          <w:rFonts w:ascii="Minion Pro Med" w:hAnsi="Minion Pro Med"/>
        </w:rPr>
        <w:t xml:space="preserve"> in which both parties display a beholdeness to the subsequent re</w:t>
      </w:r>
      <w:r w:rsidR="00735ECB" w:rsidRPr="00913232">
        <w:rPr>
          <w:rFonts w:ascii="Minion Pro Med" w:hAnsi="Minion Pro Med"/>
        </w:rPr>
        <w:t>sponse of the other. Despite this</w:t>
      </w:r>
      <w:r w:rsidR="005D3220" w:rsidRPr="00913232">
        <w:rPr>
          <w:rFonts w:ascii="Minion Pro Med" w:hAnsi="Minion Pro Med"/>
        </w:rPr>
        <w:t xml:space="preserve"> difference in structure, </w:t>
      </w:r>
      <w:r w:rsidR="00956AD3" w:rsidRPr="00913232">
        <w:rPr>
          <w:rFonts w:ascii="Minion Pro Med" w:hAnsi="Minion Pro Med"/>
        </w:rPr>
        <w:t xml:space="preserve">the sketch here has suggested that </w:t>
      </w:r>
      <w:r w:rsidR="005D3220" w:rsidRPr="00913232">
        <w:rPr>
          <w:rFonts w:ascii="Minion Pro Med" w:hAnsi="Minion Pro Med"/>
        </w:rPr>
        <w:t xml:space="preserve">neither </w:t>
      </w:r>
      <w:r w:rsidR="00956AD3" w:rsidRPr="00913232">
        <w:rPr>
          <w:rFonts w:ascii="Minion Pro Med" w:hAnsi="Minion Pro Med"/>
        </w:rPr>
        <w:t xml:space="preserve">pair of </w:t>
      </w:r>
      <w:r w:rsidR="005D3220" w:rsidRPr="00913232">
        <w:rPr>
          <w:rFonts w:ascii="Minion Pro Med" w:hAnsi="Minion Pro Med"/>
        </w:rPr>
        <w:t>criticizing</w:t>
      </w:r>
      <w:r w:rsidR="00F22777" w:rsidRPr="00913232">
        <w:rPr>
          <w:rFonts w:ascii="Minion Pro Med" w:hAnsi="Minion Pro Med"/>
        </w:rPr>
        <w:t xml:space="preserve"> / </w:t>
      </w:r>
      <w:r w:rsidR="0068235C" w:rsidRPr="00913232">
        <w:rPr>
          <w:rFonts w:ascii="Minion Pro Med" w:hAnsi="Minion Pro Med"/>
        </w:rPr>
        <w:t>being criticized</w:t>
      </w:r>
      <w:r w:rsidR="005D3220" w:rsidRPr="00913232">
        <w:rPr>
          <w:rFonts w:ascii="Minion Pro Med" w:hAnsi="Minion Pro Med"/>
        </w:rPr>
        <w:t xml:space="preserve"> nor convincing</w:t>
      </w:r>
      <w:r w:rsidR="00F22777" w:rsidRPr="00913232">
        <w:rPr>
          <w:rFonts w:ascii="Minion Pro Med" w:hAnsi="Minion Pro Med"/>
        </w:rPr>
        <w:t xml:space="preserve"> / </w:t>
      </w:r>
      <w:r w:rsidR="00956AD3" w:rsidRPr="00913232">
        <w:rPr>
          <w:rFonts w:ascii="Minion Pro Med" w:hAnsi="Minion Pro Med"/>
        </w:rPr>
        <w:t xml:space="preserve">being convinced </w:t>
      </w:r>
      <w:r w:rsidR="005D3220" w:rsidRPr="00913232">
        <w:rPr>
          <w:rFonts w:ascii="Minion Pro Med" w:hAnsi="Minion Pro Med"/>
        </w:rPr>
        <w:t xml:space="preserve">are best thought of as a </w:t>
      </w:r>
      <w:r w:rsidR="00680A7A" w:rsidRPr="00913232">
        <w:rPr>
          <w:rFonts w:ascii="Minion Pro Med" w:hAnsi="Minion Pro Med"/>
        </w:rPr>
        <w:t>two independent activities</w:t>
      </w:r>
      <w:r w:rsidR="007C2CBC" w:rsidRPr="00913232">
        <w:rPr>
          <w:rFonts w:ascii="Minion Pro Med" w:hAnsi="Minion Pro Med"/>
        </w:rPr>
        <w:t xml:space="preserve">, similar in structure to </w:t>
      </w:r>
      <w:r w:rsidR="00DC6740" w:rsidRPr="00913232">
        <w:rPr>
          <w:rFonts w:ascii="Minion Pro Med" w:hAnsi="Minion Pro Med"/>
        </w:rPr>
        <w:t>the pair of</w:t>
      </w:r>
      <w:r w:rsidR="00F22777" w:rsidRPr="00913232">
        <w:rPr>
          <w:rFonts w:ascii="Minion Pro Med" w:hAnsi="Minion Pro Med"/>
        </w:rPr>
        <w:t xml:space="preserve"> feeding /</w:t>
      </w:r>
      <w:r w:rsidR="00DC6740" w:rsidRPr="00913232">
        <w:rPr>
          <w:rFonts w:ascii="Minion Pro Med" w:hAnsi="Minion Pro Med"/>
        </w:rPr>
        <w:t xml:space="preserve"> eating</w:t>
      </w:r>
      <w:r w:rsidR="007C2CBC" w:rsidRPr="00913232">
        <w:rPr>
          <w:rFonts w:ascii="Minion Pro Med" w:hAnsi="Minion Pro Med"/>
        </w:rPr>
        <w:t xml:space="preserve">. </w:t>
      </w:r>
      <w:r w:rsidR="00DC6740" w:rsidRPr="00913232">
        <w:rPr>
          <w:rFonts w:ascii="Minion Pro Med" w:hAnsi="Minion Pro Med"/>
        </w:rPr>
        <w:t xml:space="preserve"> </w:t>
      </w:r>
    </w:p>
    <w:p w14:paraId="326F78C6" w14:textId="3807B931" w:rsidR="00153EBB" w:rsidRPr="00913232" w:rsidRDefault="00956AD3" w:rsidP="009C2D50">
      <w:pPr>
        <w:spacing w:line="360" w:lineRule="auto"/>
        <w:rPr>
          <w:rFonts w:ascii="Minion Pro Med" w:hAnsi="Minion Pro Med"/>
        </w:rPr>
      </w:pPr>
      <w:r w:rsidRPr="00913232">
        <w:rPr>
          <w:rFonts w:ascii="Minion Pro Med" w:hAnsi="Minion Pro Med"/>
        </w:rPr>
        <w:t>None of this is to deny that chang</w:t>
      </w:r>
      <w:r w:rsidR="004B1710" w:rsidRPr="00913232">
        <w:rPr>
          <w:rFonts w:ascii="Minion Pro Med" w:hAnsi="Minion Pro Med"/>
        </w:rPr>
        <w:t>ing your</w:t>
      </w:r>
      <w:r w:rsidRPr="00913232">
        <w:rPr>
          <w:rFonts w:ascii="Minion Pro Med" w:hAnsi="Minion Pro Med"/>
        </w:rPr>
        <w:t xml:space="preserve"> mind can be thought of as an individual act</w:t>
      </w:r>
      <w:r w:rsidR="004B1710" w:rsidRPr="00913232">
        <w:rPr>
          <w:rFonts w:ascii="Minion Pro Med" w:hAnsi="Minion Pro Med"/>
        </w:rPr>
        <w:t xml:space="preserve">. </w:t>
      </w:r>
      <w:r w:rsidR="00A57635" w:rsidRPr="00913232">
        <w:rPr>
          <w:rFonts w:ascii="Minion Pro Med" w:hAnsi="Minion Pro Med"/>
        </w:rPr>
        <w:t xml:space="preserve">As the two non-social readings of this phrase indicated at the outset of this </w:t>
      </w:r>
      <w:r w:rsidR="008F2E46" w:rsidRPr="00913232">
        <w:rPr>
          <w:rFonts w:ascii="Minion Pro Med" w:hAnsi="Minion Pro Med"/>
        </w:rPr>
        <w:t xml:space="preserve">essay </w:t>
      </w:r>
      <w:r w:rsidR="00A57635" w:rsidRPr="00913232">
        <w:rPr>
          <w:rFonts w:ascii="Minion Pro Med" w:hAnsi="Minion Pro Med"/>
        </w:rPr>
        <w:t>(‘On changing my/one’s mind’), there is nothi</w:t>
      </w:r>
      <w:r w:rsidR="007C2105" w:rsidRPr="00913232">
        <w:rPr>
          <w:rFonts w:ascii="Minion Pro Med" w:hAnsi="Minion Pro Med"/>
        </w:rPr>
        <w:t xml:space="preserve">ng in the very idea of belief revision </w:t>
      </w:r>
      <w:r w:rsidR="00A57635" w:rsidRPr="00913232">
        <w:rPr>
          <w:rFonts w:ascii="Minion Pro Med" w:hAnsi="Minion Pro Med"/>
        </w:rPr>
        <w:t>that implicates the ac</w:t>
      </w:r>
      <w:r w:rsidR="008F2E46" w:rsidRPr="00913232">
        <w:rPr>
          <w:rFonts w:ascii="Minion Pro Med" w:hAnsi="Minion Pro Med"/>
        </w:rPr>
        <w:t xml:space="preserve">tivity of more than one person, and nothing we have sketched here </w:t>
      </w:r>
      <w:r w:rsidR="004B1710" w:rsidRPr="00913232">
        <w:rPr>
          <w:rFonts w:ascii="Minion Pro Med" w:hAnsi="Minion Pro Med"/>
        </w:rPr>
        <w:t xml:space="preserve">undermines </w:t>
      </w:r>
      <w:r w:rsidR="00AB59BE" w:rsidRPr="00913232">
        <w:rPr>
          <w:rFonts w:ascii="Minion Pro Med" w:hAnsi="Minion Pro Med"/>
        </w:rPr>
        <w:t xml:space="preserve">the potential occurrence of the transformative drama of </w:t>
      </w:r>
      <w:r w:rsidR="00AB59BE" w:rsidRPr="00913232">
        <w:rPr>
          <w:rFonts w:ascii="Minion Pro Med" w:hAnsi="Minion Pro Med"/>
        </w:rPr>
        <w:lastRenderedPageBreak/>
        <w:t xml:space="preserve">intrapersonal normative revision. Rather, what is at issue here is whether the </w:t>
      </w:r>
      <w:r w:rsidR="0068235C" w:rsidRPr="00913232">
        <w:rPr>
          <w:rFonts w:ascii="Minion Pro Med" w:hAnsi="Minion Pro Med"/>
        </w:rPr>
        <w:t xml:space="preserve">transformative </w:t>
      </w:r>
      <w:r w:rsidR="00AB59BE" w:rsidRPr="00913232">
        <w:rPr>
          <w:rFonts w:ascii="Minion Pro Med" w:hAnsi="Minion Pro Med"/>
        </w:rPr>
        <w:t xml:space="preserve">drama of interpersonal </w:t>
      </w:r>
      <w:r w:rsidR="0068235C" w:rsidRPr="00913232">
        <w:rPr>
          <w:rFonts w:ascii="Minion Pro Med" w:hAnsi="Minion Pro Med"/>
        </w:rPr>
        <w:t>criticism</w:t>
      </w:r>
      <w:r w:rsidR="00AB59BE" w:rsidRPr="00913232">
        <w:rPr>
          <w:rFonts w:ascii="Minion Pro Med" w:hAnsi="Minion Pro Med"/>
        </w:rPr>
        <w:t xml:space="preserve"> is best construed </w:t>
      </w:r>
      <w:r w:rsidR="00207235" w:rsidRPr="00913232">
        <w:rPr>
          <w:rFonts w:ascii="Minion Pro Med" w:hAnsi="Minion Pro Med"/>
        </w:rPr>
        <w:t>as a prelude to such an intrapersonal drama, or whether</w:t>
      </w:r>
      <w:r w:rsidR="0068235C" w:rsidRPr="00913232">
        <w:rPr>
          <w:rFonts w:ascii="Minion Pro Med" w:hAnsi="Minion Pro Med"/>
        </w:rPr>
        <w:t xml:space="preserve"> it can constitute a central drama</w:t>
      </w:r>
      <w:r w:rsidR="00931A39" w:rsidRPr="00913232">
        <w:rPr>
          <w:rFonts w:ascii="Minion Pro Med" w:hAnsi="Minion Pro Med"/>
        </w:rPr>
        <w:t xml:space="preserve"> on its own. </w:t>
      </w:r>
      <w:r w:rsidR="00723325" w:rsidRPr="00913232">
        <w:rPr>
          <w:rFonts w:ascii="Minion Pro Med" w:hAnsi="Minion Pro Med"/>
        </w:rPr>
        <w:t>Fisch and Benbaji take the first of these paths</w:t>
      </w:r>
      <w:r w:rsidR="00642725">
        <w:rPr>
          <w:rFonts w:ascii="Minion Pro Med" w:hAnsi="Minion Pro Med"/>
        </w:rPr>
        <w:t>. For them,</w:t>
      </w:r>
      <w:r w:rsidR="00F22777" w:rsidRPr="00913232">
        <w:rPr>
          <w:rFonts w:ascii="Minion Pro Med" w:hAnsi="Minion Pro Med"/>
        </w:rPr>
        <w:t xml:space="preserve"> the </w:t>
      </w:r>
      <w:r w:rsidR="003624C9" w:rsidRPr="00913232">
        <w:rPr>
          <w:rFonts w:ascii="Minion Pro Med" w:hAnsi="Minion Pro Med"/>
        </w:rPr>
        <w:t>‘</w:t>
      </w:r>
      <w:r w:rsidR="00F22777" w:rsidRPr="00913232">
        <w:rPr>
          <w:rFonts w:ascii="Minion Pro Med" w:hAnsi="Minion Pro Med"/>
        </w:rPr>
        <w:t>game of giving and asking for reasons</w:t>
      </w:r>
      <w:r w:rsidR="003624C9" w:rsidRPr="00913232">
        <w:rPr>
          <w:rFonts w:ascii="Minion Pro Med" w:hAnsi="Minion Pro Med"/>
        </w:rPr>
        <w:t>’</w:t>
      </w:r>
      <w:r w:rsidR="00F22777" w:rsidRPr="00913232">
        <w:rPr>
          <w:rFonts w:ascii="Minion Pro Med" w:hAnsi="Minion Pro Med"/>
        </w:rPr>
        <w:t xml:space="preserve"> is separate from, and secondary to, the process of self-scrutinizing. </w:t>
      </w:r>
      <w:r w:rsidR="00723325" w:rsidRPr="00913232">
        <w:rPr>
          <w:rFonts w:ascii="Minion Pro Med" w:hAnsi="Minion Pro Med"/>
        </w:rPr>
        <w:t>In contrast, t</w:t>
      </w:r>
      <w:r w:rsidR="00153EBB" w:rsidRPr="00913232">
        <w:rPr>
          <w:rFonts w:ascii="Minion Pro Med" w:hAnsi="Minion Pro Med"/>
        </w:rPr>
        <w:t>he sketch</w:t>
      </w:r>
      <w:r w:rsidR="00680A7A" w:rsidRPr="00913232">
        <w:rPr>
          <w:rFonts w:ascii="Minion Pro Med" w:hAnsi="Minion Pro Med"/>
        </w:rPr>
        <w:t>es</w:t>
      </w:r>
      <w:r w:rsidR="00153EBB" w:rsidRPr="00913232">
        <w:rPr>
          <w:rFonts w:ascii="Minion Pro Med" w:hAnsi="Minion Pro Med"/>
        </w:rPr>
        <w:t xml:space="preserve"> of the </w:t>
      </w:r>
      <w:r w:rsidR="00723325" w:rsidRPr="00913232">
        <w:rPr>
          <w:rFonts w:ascii="Minion Pro Med" w:hAnsi="Minion Pro Med"/>
        </w:rPr>
        <w:t xml:space="preserve">speech </w:t>
      </w:r>
      <w:r w:rsidR="00153EBB" w:rsidRPr="00913232">
        <w:rPr>
          <w:rFonts w:ascii="Minion Pro Med" w:hAnsi="Minion Pro Med"/>
        </w:rPr>
        <w:t xml:space="preserve">acts of criticizing and convincing provided in the previous sections of this essay is an attempt to </w:t>
      </w:r>
      <w:r w:rsidR="008D0F40" w:rsidRPr="00913232">
        <w:rPr>
          <w:rFonts w:ascii="Minion Pro Med" w:hAnsi="Minion Pro Med"/>
        </w:rPr>
        <w:t xml:space="preserve">at least </w:t>
      </w:r>
      <w:r w:rsidR="00153EBB" w:rsidRPr="00913232">
        <w:rPr>
          <w:rFonts w:ascii="Minion Pro Med" w:hAnsi="Minion Pro Med"/>
        </w:rPr>
        <w:t xml:space="preserve">bring the second of these paths more clearly into view. </w:t>
      </w:r>
    </w:p>
    <w:p w14:paraId="79792123" w14:textId="77777777" w:rsidR="00B670D4" w:rsidRPr="00913232" w:rsidRDefault="00B670D4" w:rsidP="0070108B">
      <w:pPr>
        <w:pStyle w:val="NoSpacing"/>
        <w:rPr>
          <w:rFonts w:ascii="Minion Pro Med" w:hAnsi="Minion Pro Med"/>
          <w:u w:val="single"/>
        </w:rPr>
      </w:pPr>
    </w:p>
    <w:p w14:paraId="36F93A6B" w14:textId="77777777" w:rsidR="00B670D4" w:rsidRPr="00913232" w:rsidRDefault="00B670D4" w:rsidP="0070108B">
      <w:pPr>
        <w:pStyle w:val="NoSpacing"/>
        <w:rPr>
          <w:rFonts w:ascii="Minion Pro Med" w:hAnsi="Minion Pro Med"/>
          <w:u w:val="single"/>
        </w:rPr>
      </w:pPr>
    </w:p>
    <w:p w14:paraId="1242FAB5" w14:textId="77777777" w:rsidR="00C9303E" w:rsidRPr="00913232" w:rsidRDefault="00C9303E" w:rsidP="0070108B">
      <w:pPr>
        <w:pStyle w:val="NoSpacing"/>
        <w:rPr>
          <w:rFonts w:ascii="Minion Pro Med" w:hAnsi="Minion Pro Med"/>
          <w:sz w:val="18"/>
          <w:szCs w:val="18"/>
          <w:u w:val="single"/>
        </w:rPr>
      </w:pPr>
      <w:r w:rsidRPr="00913232">
        <w:rPr>
          <w:rFonts w:ascii="Minion Pro Med" w:hAnsi="Minion Pro Med"/>
          <w:sz w:val="18"/>
          <w:szCs w:val="18"/>
          <w:u w:val="single"/>
        </w:rPr>
        <w:t>References</w:t>
      </w:r>
    </w:p>
    <w:p w14:paraId="2E98B172" w14:textId="77777777" w:rsidR="00B670D4" w:rsidRPr="00913232" w:rsidRDefault="00B670D4" w:rsidP="0070108B">
      <w:pPr>
        <w:pStyle w:val="NoSpacing"/>
        <w:rPr>
          <w:rFonts w:ascii="Minion Pro Med" w:hAnsi="Minion Pro Med"/>
          <w:sz w:val="18"/>
          <w:szCs w:val="18"/>
        </w:rPr>
      </w:pPr>
    </w:p>
    <w:p w14:paraId="32DC2507" w14:textId="77777777" w:rsidR="00A6497D" w:rsidRPr="00913232" w:rsidRDefault="00A6497D" w:rsidP="0070108B">
      <w:pPr>
        <w:pStyle w:val="NoSpacing"/>
        <w:rPr>
          <w:rFonts w:ascii="Minion Pro Med" w:hAnsi="Minion Pro Med"/>
          <w:sz w:val="18"/>
          <w:szCs w:val="18"/>
        </w:rPr>
      </w:pPr>
      <w:r w:rsidRPr="00913232">
        <w:rPr>
          <w:rFonts w:ascii="Minion Pro Med" w:hAnsi="Minion Pro Med"/>
          <w:sz w:val="18"/>
          <w:szCs w:val="18"/>
        </w:rPr>
        <w:t>Arendt</w:t>
      </w:r>
      <w:r w:rsidR="00362A04" w:rsidRPr="00913232">
        <w:rPr>
          <w:rFonts w:ascii="Minion Pro Med" w:hAnsi="Minion Pro Med"/>
          <w:sz w:val="18"/>
          <w:szCs w:val="18"/>
        </w:rPr>
        <w:t>, H. 1954: ‘What is Authority?’.</w:t>
      </w:r>
      <w:r w:rsidRPr="00913232">
        <w:rPr>
          <w:rFonts w:ascii="Minion Pro Med" w:hAnsi="Minion Pro Med"/>
          <w:sz w:val="18"/>
          <w:szCs w:val="18"/>
        </w:rPr>
        <w:t xml:space="preserve"> in her </w:t>
      </w:r>
      <w:r w:rsidRPr="00913232">
        <w:rPr>
          <w:rFonts w:ascii="Minion Pro Med" w:hAnsi="Minion Pro Med"/>
          <w:sz w:val="18"/>
          <w:szCs w:val="18"/>
          <w:u w:val="single"/>
        </w:rPr>
        <w:t xml:space="preserve">Between Past and Future </w:t>
      </w:r>
      <w:r w:rsidRPr="00913232">
        <w:rPr>
          <w:rFonts w:ascii="Minion Pro Med" w:hAnsi="Minion Pro Med"/>
          <w:sz w:val="18"/>
          <w:szCs w:val="18"/>
        </w:rPr>
        <w:t xml:space="preserve">(Viking), 91-141. </w:t>
      </w:r>
    </w:p>
    <w:p w14:paraId="42854360" w14:textId="77777777" w:rsidR="00492AAF" w:rsidRPr="00913232" w:rsidRDefault="00492AAF" w:rsidP="0070108B">
      <w:pPr>
        <w:pStyle w:val="NoSpacing"/>
        <w:rPr>
          <w:rFonts w:ascii="Minion Pro Med" w:hAnsi="Minion Pro Med"/>
          <w:sz w:val="18"/>
          <w:szCs w:val="18"/>
        </w:rPr>
      </w:pPr>
      <w:r w:rsidRPr="00913232">
        <w:rPr>
          <w:rFonts w:ascii="Minion Pro Med" w:hAnsi="Minion Pro Med"/>
          <w:sz w:val="18"/>
          <w:szCs w:val="18"/>
        </w:rPr>
        <w:t xml:space="preserve">Austin, J. L. 1962: </w:t>
      </w:r>
      <w:r w:rsidRPr="00913232">
        <w:rPr>
          <w:rFonts w:ascii="Minion Pro Med" w:hAnsi="Minion Pro Med"/>
          <w:sz w:val="18"/>
          <w:szCs w:val="18"/>
          <w:u w:val="single"/>
        </w:rPr>
        <w:t>How to Do Things with Words</w:t>
      </w:r>
      <w:r w:rsidRPr="00913232">
        <w:rPr>
          <w:rFonts w:ascii="Minion Pro Med" w:hAnsi="Minion Pro Med"/>
          <w:sz w:val="18"/>
          <w:szCs w:val="18"/>
        </w:rPr>
        <w:t>. Harvard</w:t>
      </w:r>
      <w:r w:rsidR="00A64924" w:rsidRPr="00913232">
        <w:rPr>
          <w:rFonts w:ascii="Minion Pro Med" w:hAnsi="Minion Pro Med"/>
          <w:sz w:val="18"/>
          <w:szCs w:val="18"/>
        </w:rPr>
        <w:t xml:space="preserve"> </w:t>
      </w:r>
      <w:r w:rsidRPr="00913232">
        <w:rPr>
          <w:rFonts w:ascii="Minion Pro Med" w:hAnsi="Minion Pro Med"/>
          <w:sz w:val="18"/>
          <w:szCs w:val="18"/>
        </w:rPr>
        <w:t>University Press.</w:t>
      </w:r>
    </w:p>
    <w:p w14:paraId="0D769ECF" w14:textId="77777777" w:rsidR="008B00B9" w:rsidRPr="00913232" w:rsidRDefault="00DE2309" w:rsidP="0070108B">
      <w:pPr>
        <w:pStyle w:val="NoSpacing"/>
        <w:rPr>
          <w:rFonts w:ascii="Minion Pro Med" w:hAnsi="Minion Pro Med"/>
          <w:sz w:val="18"/>
          <w:szCs w:val="18"/>
        </w:rPr>
      </w:pPr>
      <w:r w:rsidRPr="00913232">
        <w:rPr>
          <w:rFonts w:ascii="Minion Pro Med" w:hAnsi="Minion Pro Med"/>
          <w:sz w:val="18"/>
          <w:szCs w:val="18"/>
        </w:rPr>
        <w:t xml:space="preserve">Castañeda, H.-N. </w:t>
      </w:r>
      <w:r w:rsidR="008B00B9" w:rsidRPr="00913232">
        <w:rPr>
          <w:rFonts w:ascii="Minion Pro Med" w:hAnsi="Minion Pro Med"/>
          <w:sz w:val="18"/>
          <w:szCs w:val="18"/>
        </w:rPr>
        <w:t xml:space="preserve">1999: </w:t>
      </w:r>
      <w:r w:rsidR="008B00B9" w:rsidRPr="00913232">
        <w:rPr>
          <w:rFonts w:ascii="Minion Pro Med" w:hAnsi="Minion Pro Med"/>
          <w:sz w:val="18"/>
          <w:szCs w:val="18"/>
          <w:u w:val="single"/>
        </w:rPr>
        <w:t>On the Phenomeno-Logic of the I</w:t>
      </w:r>
      <w:r w:rsidR="008B00B9" w:rsidRPr="00913232">
        <w:rPr>
          <w:rFonts w:ascii="Minion Pro Med" w:hAnsi="Minion Pro Med"/>
          <w:sz w:val="18"/>
          <w:szCs w:val="18"/>
        </w:rPr>
        <w:t xml:space="preserve"> (Indiana University Press) </w:t>
      </w:r>
    </w:p>
    <w:p w14:paraId="1AB71204" w14:textId="77777777" w:rsidR="00545857" w:rsidRPr="00913232" w:rsidRDefault="00545857" w:rsidP="0070108B">
      <w:pPr>
        <w:pStyle w:val="NoSpacing"/>
        <w:rPr>
          <w:rFonts w:ascii="Minion Pro Med" w:hAnsi="Minion Pro Med"/>
          <w:sz w:val="18"/>
          <w:szCs w:val="18"/>
        </w:rPr>
      </w:pPr>
      <w:r w:rsidRPr="00913232">
        <w:rPr>
          <w:rFonts w:ascii="Minion Pro Med" w:hAnsi="Minion Pro Med"/>
          <w:sz w:val="18"/>
          <w:szCs w:val="18"/>
        </w:rPr>
        <w:t xml:space="preserve">Cavell, S. 2006: </w:t>
      </w:r>
      <w:r w:rsidRPr="00913232">
        <w:rPr>
          <w:rFonts w:ascii="Minion Pro Med" w:hAnsi="Minion Pro Med"/>
          <w:sz w:val="18"/>
          <w:szCs w:val="18"/>
          <w:u w:val="single"/>
        </w:rPr>
        <w:t>Philosophy the Day after Tomorrow</w:t>
      </w:r>
      <w:r w:rsidRPr="00913232">
        <w:rPr>
          <w:rFonts w:ascii="Minion Pro Med" w:hAnsi="Minion Pro Med"/>
          <w:sz w:val="18"/>
          <w:szCs w:val="18"/>
        </w:rPr>
        <w:t xml:space="preserve"> (Harvard University Press)</w:t>
      </w:r>
    </w:p>
    <w:p w14:paraId="7C3ADA5F" w14:textId="77777777" w:rsidR="008B00B9" w:rsidRPr="00913232" w:rsidRDefault="008B00B9" w:rsidP="0070108B">
      <w:pPr>
        <w:pStyle w:val="NoSpacing"/>
        <w:rPr>
          <w:rFonts w:ascii="Minion Pro Med" w:hAnsi="Minion Pro Med"/>
          <w:sz w:val="18"/>
          <w:szCs w:val="18"/>
        </w:rPr>
      </w:pPr>
      <w:r w:rsidRPr="00913232">
        <w:rPr>
          <w:rFonts w:ascii="Minion Pro Med" w:hAnsi="Minion Pro Med"/>
          <w:sz w:val="18"/>
          <w:szCs w:val="18"/>
        </w:rPr>
        <w:t>Dewey, J. 2008. Collected Works of John Dewey, 1882-1953. Southern Illinois University Press.</w:t>
      </w:r>
    </w:p>
    <w:p w14:paraId="78D8742E" w14:textId="77777777" w:rsidR="00C9303E" w:rsidRPr="00913232" w:rsidRDefault="008B00B9" w:rsidP="0070108B">
      <w:pPr>
        <w:pStyle w:val="NoSpacing"/>
        <w:rPr>
          <w:rFonts w:ascii="Minion Pro Med" w:hAnsi="Minion Pro Med"/>
          <w:sz w:val="18"/>
          <w:szCs w:val="18"/>
        </w:rPr>
      </w:pPr>
      <w:r w:rsidRPr="00913232">
        <w:rPr>
          <w:rFonts w:ascii="Minion Pro Med" w:hAnsi="Minion Pro Med"/>
          <w:sz w:val="18"/>
          <w:szCs w:val="18"/>
        </w:rPr>
        <w:t>Fisch, M. and Benbaji, Y.</w:t>
      </w:r>
      <w:r w:rsidR="00C9303E" w:rsidRPr="00913232">
        <w:rPr>
          <w:rFonts w:ascii="Minion Pro Med" w:hAnsi="Minion Pro Med"/>
          <w:sz w:val="18"/>
          <w:szCs w:val="18"/>
        </w:rPr>
        <w:t xml:space="preserve"> 2011: Normativity and the Limits of Self‐Criticism. Notre Dame UP.</w:t>
      </w:r>
    </w:p>
    <w:p w14:paraId="22EE0AB7" w14:textId="77777777" w:rsidR="00A6497D" w:rsidRPr="00913232" w:rsidRDefault="00A6497D" w:rsidP="0070108B">
      <w:pPr>
        <w:pStyle w:val="NoSpacing"/>
        <w:rPr>
          <w:rFonts w:ascii="Minion Pro Med" w:hAnsi="Minion Pro Med"/>
          <w:sz w:val="18"/>
          <w:szCs w:val="18"/>
        </w:rPr>
      </w:pPr>
      <w:r w:rsidRPr="00913232">
        <w:rPr>
          <w:rFonts w:ascii="Minion Pro Med" w:hAnsi="Minion Pro Med"/>
          <w:sz w:val="18"/>
          <w:szCs w:val="18"/>
        </w:rPr>
        <w:t>Friedman, R. B. (1990) ‘On the Concept of Authority in Political Philosophy’, in: J. Raz (ed.)  Authority (New York University Press).</w:t>
      </w:r>
    </w:p>
    <w:p w14:paraId="211DC7A7" w14:textId="77777777" w:rsidR="001527EC" w:rsidRPr="00913232" w:rsidRDefault="001527EC" w:rsidP="0070108B">
      <w:pPr>
        <w:pStyle w:val="NoSpacing"/>
        <w:rPr>
          <w:rFonts w:ascii="Minion Pro Med" w:hAnsi="Minion Pro Med"/>
          <w:sz w:val="18"/>
          <w:szCs w:val="18"/>
        </w:rPr>
      </w:pPr>
      <w:r w:rsidRPr="00913232">
        <w:rPr>
          <w:rFonts w:ascii="Minion Pro Med" w:hAnsi="Minion Pro Med"/>
          <w:sz w:val="18"/>
          <w:szCs w:val="18"/>
        </w:rPr>
        <w:t xml:space="preserve">Garsten, B. 2006: Saving Persuasion Harvard University Press </w:t>
      </w:r>
    </w:p>
    <w:p w14:paraId="0E811BDA" w14:textId="77777777" w:rsidR="0048397B" w:rsidRPr="00913232" w:rsidRDefault="009C7B7A" w:rsidP="0070108B">
      <w:pPr>
        <w:pStyle w:val="NoSpacing"/>
        <w:rPr>
          <w:rFonts w:ascii="Minion Pro Med" w:hAnsi="Minion Pro Med"/>
          <w:sz w:val="18"/>
          <w:szCs w:val="18"/>
        </w:rPr>
      </w:pPr>
      <w:r w:rsidRPr="00913232">
        <w:rPr>
          <w:rFonts w:ascii="Minion Pro Med" w:hAnsi="Minion Pro Med"/>
          <w:sz w:val="18"/>
          <w:szCs w:val="18"/>
        </w:rPr>
        <w:t xml:space="preserve">Gaus, </w:t>
      </w:r>
      <w:r w:rsidR="008B00B9" w:rsidRPr="00913232">
        <w:rPr>
          <w:rFonts w:ascii="Minion Pro Med" w:hAnsi="Minion Pro Med"/>
          <w:sz w:val="18"/>
          <w:szCs w:val="18"/>
        </w:rPr>
        <w:t>G. 1996:</w:t>
      </w:r>
      <w:r w:rsidR="0048397B" w:rsidRPr="00913232">
        <w:rPr>
          <w:rFonts w:ascii="Minion Pro Med" w:hAnsi="Minion Pro Med"/>
          <w:sz w:val="18"/>
          <w:szCs w:val="18"/>
        </w:rPr>
        <w:t xml:space="preserve"> Justificatory Liberalism. Oxford UP. </w:t>
      </w:r>
    </w:p>
    <w:p w14:paraId="0A1626EE" w14:textId="77777777" w:rsidR="008B00B9" w:rsidRPr="00913232" w:rsidRDefault="008B00B9" w:rsidP="0070108B">
      <w:pPr>
        <w:pStyle w:val="NoSpacing"/>
        <w:rPr>
          <w:rFonts w:ascii="Minion Pro Med" w:hAnsi="Minion Pro Med"/>
          <w:sz w:val="18"/>
          <w:szCs w:val="18"/>
        </w:rPr>
      </w:pPr>
      <w:r w:rsidRPr="00913232">
        <w:rPr>
          <w:rFonts w:ascii="Minion Pro Med" w:hAnsi="Minion Pro Med"/>
          <w:sz w:val="18"/>
          <w:szCs w:val="18"/>
        </w:rPr>
        <w:t>Geach, P. 1957: “On Beliefs about Oneself” Analysis, 18 (1): 23-24</w:t>
      </w:r>
    </w:p>
    <w:p w14:paraId="0EE03CCD" w14:textId="77777777" w:rsidR="00492AAF" w:rsidRPr="00913232" w:rsidRDefault="00492AAF" w:rsidP="0070108B">
      <w:pPr>
        <w:pStyle w:val="NoSpacing"/>
        <w:rPr>
          <w:rFonts w:ascii="Minion Pro Med" w:hAnsi="Minion Pro Med"/>
          <w:sz w:val="18"/>
          <w:szCs w:val="18"/>
        </w:rPr>
      </w:pPr>
      <w:r w:rsidRPr="00913232">
        <w:rPr>
          <w:rFonts w:ascii="Minion Pro Med" w:hAnsi="Minion Pro Med"/>
          <w:sz w:val="18"/>
          <w:szCs w:val="18"/>
        </w:rPr>
        <w:t>Hor</w:t>
      </w:r>
      <w:r w:rsidR="008B00B9" w:rsidRPr="00913232">
        <w:rPr>
          <w:rFonts w:ascii="Minion Pro Med" w:hAnsi="Minion Pro Med"/>
          <w:sz w:val="18"/>
          <w:szCs w:val="18"/>
        </w:rPr>
        <w:t>nsby, J.</w:t>
      </w:r>
      <w:r w:rsidRPr="00913232">
        <w:rPr>
          <w:rFonts w:ascii="Minion Pro Med" w:hAnsi="Minion Pro Med"/>
          <w:sz w:val="18"/>
          <w:szCs w:val="18"/>
        </w:rPr>
        <w:t xml:space="preserve"> 1994: ‘Illocution and its Significance’. In Savas L. Tsohatzidis (ed.), Foundations of Speech-Act Theory: Philosophical and Linguistic Perspectives. London: Routledge.</w:t>
      </w:r>
    </w:p>
    <w:p w14:paraId="4B892AC3" w14:textId="77777777" w:rsidR="00A75161" w:rsidRPr="00913232" w:rsidRDefault="00A75161" w:rsidP="0070108B">
      <w:pPr>
        <w:pStyle w:val="NoSpacing"/>
        <w:rPr>
          <w:rFonts w:ascii="Minion Pro Med" w:hAnsi="Minion Pro Med"/>
          <w:sz w:val="18"/>
          <w:szCs w:val="18"/>
        </w:rPr>
      </w:pPr>
      <w:r w:rsidRPr="00913232">
        <w:rPr>
          <w:rFonts w:ascii="Minion Pro Med" w:hAnsi="Minion Pro Med"/>
          <w:sz w:val="18"/>
          <w:szCs w:val="18"/>
        </w:rPr>
        <w:t>Laden, A. 2012. Reasoning: A Social Picture. Oxford UP.</w:t>
      </w:r>
    </w:p>
    <w:p w14:paraId="683A4DB5" w14:textId="77777777" w:rsidR="000D5335" w:rsidRPr="00913232" w:rsidRDefault="000D5335" w:rsidP="0070108B">
      <w:pPr>
        <w:pStyle w:val="NoSpacing"/>
        <w:rPr>
          <w:rFonts w:ascii="Minion Pro Med" w:hAnsi="Minion Pro Med"/>
          <w:sz w:val="18"/>
          <w:szCs w:val="18"/>
        </w:rPr>
      </w:pPr>
      <w:r w:rsidRPr="00913232">
        <w:rPr>
          <w:rFonts w:ascii="Minion Pro Med" w:hAnsi="Minion Pro Med"/>
          <w:sz w:val="18"/>
          <w:szCs w:val="18"/>
        </w:rPr>
        <w:t>Lauer, D. Forthcoming: What Is It to Know Someone? Philosophical Topics.</w:t>
      </w:r>
    </w:p>
    <w:p w14:paraId="1FC414EA" w14:textId="77777777" w:rsidR="004C7784" w:rsidRPr="00913232" w:rsidRDefault="004C7784" w:rsidP="0070108B">
      <w:pPr>
        <w:pStyle w:val="NoSpacing"/>
        <w:rPr>
          <w:rFonts w:ascii="Minion Pro Med" w:hAnsi="Minion Pro Med"/>
          <w:sz w:val="18"/>
          <w:szCs w:val="18"/>
        </w:rPr>
      </w:pPr>
      <w:r w:rsidRPr="00913232">
        <w:rPr>
          <w:rFonts w:ascii="Minion Pro Med" w:hAnsi="Minion Pro Med"/>
          <w:sz w:val="18"/>
          <w:szCs w:val="18"/>
        </w:rPr>
        <w:t xml:space="preserve">Lear, </w:t>
      </w:r>
      <w:r w:rsidR="008B00B9" w:rsidRPr="00913232">
        <w:rPr>
          <w:rFonts w:ascii="Minion Pro Med" w:hAnsi="Minion Pro Med"/>
          <w:sz w:val="18"/>
          <w:szCs w:val="18"/>
        </w:rPr>
        <w:t>J.</w:t>
      </w:r>
      <w:r w:rsidRPr="00913232">
        <w:rPr>
          <w:rFonts w:ascii="Minion Pro Med" w:hAnsi="Minion Pro Med"/>
          <w:sz w:val="18"/>
          <w:szCs w:val="18"/>
        </w:rPr>
        <w:t xml:space="preserve"> 2011: A Case For Irony.  Harvard University Press</w:t>
      </w:r>
    </w:p>
    <w:p w14:paraId="406307A9" w14:textId="77777777" w:rsidR="00A6497D" w:rsidRPr="00913232" w:rsidRDefault="00A6497D" w:rsidP="0070108B">
      <w:pPr>
        <w:pStyle w:val="NoSpacing"/>
        <w:rPr>
          <w:rFonts w:ascii="Minion Pro Med" w:hAnsi="Minion Pro Med"/>
          <w:sz w:val="18"/>
          <w:szCs w:val="18"/>
        </w:rPr>
      </w:pPr>
      <w:r w:rsidRPr="00913232">
        <w:rPr>
          <w:rFonts w:ascii="Minion Pro Med" w:hAnsi="Minion Pro Med"/>
          <w:sz w:val="18"/>
          <w:szCs w:val="18"/>
        </w:rPr>
        <w:t>McMyler, B. 2011: Doxastic Coercion. Philosophical Quarterly. 61: 537-557</w:t>
      </w:r>
    </w:p>
    <w:p w14:paraId="3229B024" w14:textId="77777777" w:rsidR="00B74648" w:rsidRPr="00913232" w:rsidRDefault="00DE2309" w:rsidP="0070108B">
      <w:pPr>
        <w:pStyle w:val="NoSpacing"/>
        <w:rPr>
          <w:rFonts w:ascii="Minion Pro Med" w:hAnsi="Minion Pro Med"/>
          <w:sz w:val="18"/>
          <w:szCs w:val="18"/>
        </w:rPr>
      </w:pPr>
      <w:r w:rsidRPr="00913232">
        <w:rPr>
          <w:rFonts w:ascii="Minion Pro Med" w:hAnsi="Minion Pro Med"/>
          <w:sz w:val="18"/>
          <w:szCs w:val="18"/>
        </w:rPr>
        <w:t>Moran, R.</w:t>
      </w:r>
      <w:r w:rsidR="00B74648" w:rsidRPr="00913232">
        <w:rPr>
          <w:rFonts w:ascii="Minion Pro Med" w:hAnsi="Minion Pro Med"/>
          <w:sz w:val="18"/>
          <w:szCs w:val="18"/>
        </w:rPr>
        <w:t xml:space="preserve"> 2005: ‘Problems of Sincerity’. Proceedings of the Aristotelian Society, 105, pp. 341–61.</w:t>
      </w:r>
    </w:p>
    <w:p w14:paraId="04573571" w14:textId="77777777" w:rsidR="004C7784" w:rsidRPr="00913232" w:rsidRDefault="00B74648" w:rsidP="0070108B">
      <w:pPr>
        <w:pStyle w:val="NoSpacing"/>
        <w:rPr>
          <w:rFonts w:ascii="Minion Pro Med" w:hAnsi="Minion Pro Med"/>
          <w:sz w:val="18"/>
          <w:szCs w:val="18"/>
        </w:rPr>
      </w:pPr>
      <w:r w:rsidRPr="00913232">
        <w:rPr>
          <w:rFonts w:ascii="Minion Pro Med" w:hAnsi="Minion Pro Med"/>
          <w:sz w:val="18"/>
          <w:szCs w:val="18"/>
        </w:rPr>
        <w:t xml:space="preserve">Moran, </w:t>
      </w:r>
      <w:r w:rsidR="00DE2309" w:rsidRPr="00913232">
        <w:rPr>
          <w:rFonts w:ascii="Minion Pro Med" w:hAnsi="Minion Pro Med"/>
          <w:sz w:val="18"/>
          <w:szCs w:val="18"/>
        </w:rPr>
        <w:t xml:space="preserve">R. </w:t>
      </w:r>
      <w:r w:rsidRPr="00913232">
        <w:rPr>
          <w:rFonts w:ascii="Minion Pro Med" w:hAnsi="Minion Pro Med"/>
          <w:sz w:val="18"/>
          <w:szCs w:val="18"/>
        </w:rPr>
        <w:t xml:space="preserve"> 2006: ‘Getting Told and Being Believed’. Philosophers’ Imprint, 5(5). </w:t>
      </w:r>
      <w:hyperlink r:id="rId8" w:history="1">
        <w:r w:rsidRPr="00913232">
          <w:rPr>
            <w:rStyle w:val="Hyperlink"/>
            <w:rFonts w:ascii="Minion Pro Med" w:hAnsi="Minion Pro Med"/>
            <w:sz w:val="18"/>
            <w:szCs w:val="18"/>
          </w:rPr>
          <w:t>http://hdl.handle.net/2027/spo.3521354.0005.005</w:t>
        </w:r>
      </w:hyperlink>
      <w:r w:rsidRPr="00913232">
        <w:rPr>
          <w:rFonts w:ascii="Minion Pro Med" w:hAnsi="Minion Pro Med"/>
          <w:sz w:val="18"/>
          <w:szCs w:val="18"/>
        </w:rPr>
        <w:t>.</w:t>
      </w:r>
    </w:p>
    <w:p w14:paraId="20A9D3CB" w14:textId="77777777" w:rsidR="00B74648" w:rsidRPr="00913232" w:rsidRDefault="00B74648" w:rsidP="0070108B">
      <w:pPr>
        <w:pStyle w:val="NoSpacing"/>
        <w:rPr>
          <w:rFonts w:ascii="Minion Pro Med" w:hAnsi="Minion Pro Med"/>
          <w:sz w:val="18"/>
          <w:szCs w:val="18"/>
        </w:rPr>
      </w:pPr>
      <w:r w:rsidRPr="00913232">
        <w:rPr>
          <w:rFonts w:ascii="Minion Pro Med" w:hAnsi="Minion Pro Med"/>
          <w:sz w:val="18"/>
          <w:szCs w:val="18"/>
        </w:rPr>
        <w:t xml:space="preserve">Moran, </w:t>
      </w:r>
      <w:r w:rsidR="00DE2309" w:rsidRPr="00913232">
        <w:rPr>
          <w:rFonts w:ascii="Minion Pro Med" w:hAnsi="Minion Pro Med"/>
          <w:sz w:val="18"/>
          <w:szCs w:val="18"/>
        </w:rPr>
        <w:t xml:space="preserve">R. </w:t>
      </w:r>
      <w:r w:rsidRPr="00913232">
        <w:rPr>
          <w:rFonts w:ascii="Minion Pro Med" w:hAnsi="Minion Pro Med"/>
          <w:sz w:val="18"/>
          <w:szCs w:val="18"/>
        </w:rPr>
        <w:t xml:space="preserve"> 2013: ‘Testimony, Illocution and the Second Person’. Aristotelian Society Supplementary Volume, 87, pp. 115–135.</w:t>
      </w:r>
    </w:p>
    <w:p w14:paraId="2E2EDEE0" w14:textId="77777777" w:rsidR="00A75161" w:rsidRPr="00913232" w:rsidRDefault="00A75161" w:rsidP="0070108B">
      <w:pPr>
        <w:pStyle w:val="NoSpacing"/>
        <w:rPr>
          <w:rFonts w:ascii="Minion Pro Med" w:hAnsi="Minion Pro Med"/>
          <w:sz w:val="18"/>
          <w:szCs w:val="18"/>
        </w:rPr>
      </w:pPr>
      <w:r w:rsidRPr="00913232">
        <w:rPr>
          <w:rFonts w:ascii="Minion Pro Med" w:hAnsi="Minion Pro Med"/>
          <w:sz w:val="18"/>
          <w:szCs w:val="18"/>
        </w:rPr>
        <w:t>O’Neill, O. 1989” “Reason and Politics in the Kantian Enterprise,” in Constructions of Reason, 3–27 (Cambridge University Press)</w:t>
      </w:r>
    </w:p>
    <w:p w14:paraId="5728FFD4" w14:textId="77777777" w:rsidR="00913466" w:rsidRPr="00913232" w:rsidRDefault="00913466" w:rsidP="0070108B">
      <w:pPr>
        <w:pStyle w:val="NoSpacing"/>
        <w:rPr>
          <w:rFonts w:ascii="Minion Pro Med" w:hAnsi="Minion Pro Med"/>
          <w:sz w:val="18"/>
          <w:szCs w:val="18"/>
        </w:rPr>
      </w:pPr>
      <w:r w:rsidRPr="00913232">
        <w:rPr>
          <w:rFonts w:ascii="Minion Pro Med" w:hAnsi="Minion Pro Med"/>
          <w:sz w:val="18"/>
          <w:szCs w:val="18"/>
        </w:rPr>
        <w:t xml:space="preserve">Raz, J. 1986: </w:t>
      </w:r>
      <w:r w:rsidRPr="00913232">
        <w:rPr>
          <w:rFonts w:ascii="Minion Pro Med" w:hAnsi="Minion Pro Med"/>
          <w:sz w:val="18"/>
          <w:szCs w:val="18"/>
          <w:u w:val="single"/>
        </w:rPr>
        <w:t>The Morality of Freedom,</w:t>
      </w:r>
      <w:r w:rsidRPr="00913232">
        <w:rPr>
          <w:rFonts w:ascii="Minion Pro Med" w:hAnsi="Minion Pro Med"/>
          <w:sz w:val="18"/>
          <w:szCs w:val="18"/>
        </w:rPr>
        <w:t xml:space="preserve"> Oxford University Press</w:t>
      </w:r>
    </w:p>
    <w:p w14:paraId="5AEB5AA8" w14:textId="77777777" w:rsidR="00A64924" w:rsidRPr="00913232" w:rsidRDefault="00A64924" w:rsidP="0070108B">
      <w:pPr>
        <w:pStyle w:val="NoSpacing"/>
        <w:rPr>
          <w:rFonts w:ascii="Minion Pro Med" w:hAnsi="Minion Pro Med"/>
          <w:sz w:val="18"/>
          <w:szCs w:val="18"/>
        </w:rPr>
      </w:pPr>
      <w:r w:rsidRPr="00913232">
        <w:rPr>
          <w:rFonts w:ascii="Minion Pro Med" w:hAnsi="Minion Pro Med"/>
          <w:sz w:val="18"/>
          <w:szCs w:val="18"/>
        </w:rPr>
        <w:t xml:space="preserve">Rödl, S. 2007: </w:t>
      </w:r>
      <w:r w:rsidRPr="00913232">
        <w:rPr>
          <w:rFonts w:ascii="Minion Pro Med" w:hAnsi="Minion Pro Med"/>
          <w:sz w:val="18"/>
          <w:szCs w:val="18"/>
          <w:u w:val="single"/>
        </w:rPr>
        <w:t>Self-Consciousness</w:t>
      </w:r>
      <w:r w:rsidRPr="00913232">
        <w:rPr>
          <w:rFonts w:ascii="Minion Pro Med" w:hAnsi="Minion Pro Med"/>
          <w:sz w:val="18"/>
          <w:szCs w:val="18"/>
        </w:rPr>
        <w:t>. Harvard University Press.</w:t>
      </w:r>
    </w:p>
    <w:p w14:paraId="1201B56D" w14:textId="77777777" w:rsidR="004C7784" w:rsidRPr="00913232" w:rsidRDefault="00DE2309" w:rsidP="0070108B">
      <w:pPr>
        <w:pStyle w:val="NoSpacing"/>
        <w:rPr>
          <w:rFonts w:ascii="Minion Pro Med" w:hAnsi="Minion Pro Med"/>
          <w:sz w:val="18"/>
          <w:szCs w:val="18"/>
        </w:rPr>
      </w:pPr>
      <w:r w:rsidRPr="00913232">
        <w:rPr>
          <w:rFonts w:ascii="Minion Pro Med" w:hAnsi="Minion Pro Med"/>
          <w:sz w:val="18"/>
          <w:szCs w:val="18"/>
        </w:rPr>
        <w:t>Sartre, J-P. 1956:</w:t>
      </w:r>
      <w:r w:rsidR="0064259A" w:rsidRPr="00913232">
        <w:rPr>
          <w:rFonts w:ascii="Minion Pro Med" w:hAnsi="Minion Pro Med"/>
          <w:sz w:val="18"/>
          <w:szCs w:val="18"/>
        </w:rPr>
        <w:t xml:space="preserve"> </w:t>
      </w:r>
      <w:r w:rsidR="0064259A" w:rsidRPr="00913232">
        <w:rPr>
          <w:rFonts w:ascii="Minion Pro Med" w:hAnsi="Minion Pro Med"/>
          <w:sz w:val="18"/>
          <w:szCs w:val="18"/>
          <w:u w:val="single"/>
        </w:rPr>
        <w:t>Being and Nothingness</w:t>
      </w:r>
      <w:r w:rsidR="00A64924" w:rsidRPr="00913232">
        <w:rPr>
          <w:rFonts w:ascii="Minion Pro Med" w:hAnsi="Minion Pro Med"/>
          <w:sz w:val="18"/>
          <w:szCs w:val="18"/>
        </w:rPr>
        <w:t xml:space="preserve">, trans. Hazel E. Barnes. </w:t>
      </w:r>
      <w:r w:rsidR="0064259A" w:rsidRPr="00913232">
        <w:rPr>
          <w:rFonts w:ascii="Minion Pro Med" w:hAnsi="Minion Pro Med"/>
          <w:sz w:val="18"/>
          <w:szCs w:val="18"/>
        </w:rPr>
        <w:t>New York: Philosophical</w:t>
      </w:r>
      <w:r w:rsidR="00A64924" w:rsidRPr="00913232">
        <w:rPr>
          <w:rFonts w:ascii="Minion Pro Med" w:hAnsi="Minion Pro Med"/>
          <w:sz w:val="18"/>
          <w:szCs w:val="18"/>
        </w:rPr>
        <w:t xml:space="preserve"> Library</w:t>
      </w:r>
      <w:r w:rsidR="0064259A" w:rsidRPr="00913232">
        <w:rPr>
          <w:rFonts w:ascii="Minion Pro Med" w:hAnsi="Minion Pro Med"/>
          <w:sz w:val="18"/>
          <w:szCs w:val="18"/>
        </w:rPr>
        <w:t>.</w:t>
      </w:r>
    </w:p>
    <w:p w14:paraId="6699DAA1" w14:textId="77777777" w:rsidR="00EE4565" w:rsidRPr="00913232" w:rsidRDefault="00EE4565" w:rsidP="0070108B">
      <w:pPr>
        <w:pStyle w:val="NoSpacing"/>
        <w:rPr>
          <w:rFonts w:ascii="Minion Pro Med" w:hAnsi="Minion Pro Med"/>
          <w:sz w:val="18"/>
          <w:szCs w:val="18"/>
        </w:rPr>
      </w:pPr>
      <w:r w:rsidRPr="00913232">
        <w:rPr>
          <w:rFonts w:ascii="Minion Pro Med" w:hAnsi="Minion Pro Med"/>
          <w:sz w:val="18"/>
          <w:szCs w:val="18"/>
        </w:rPr>
        <w:t>Vanderveken,</w:t>
      </w:r>
      <w:r w:rsidR="00DE2309" w:rsidRPr="00913232">
        <w:rPr>
          <w:rFonts w:ascii="Minion Pro Med" w:hAnsi="Minion Pro Med"/>
          <w:sz w:val="18"/>
          <w:szCs w:val="18"/>
        </w:rPr>
        <w:t xml:space="preserve"> </w:t>
      </w:r>
      <w:r w:rsidRPr="00913232">
        <w:rPr>
          <w:rFonts w:ascii="Minion Pro Med" w:hAnsi="Minion Pro Med"/>
          <w:sz w:val="18"/>
          <w:szCs w:val="18"/>
        </w:rPr>
        <w:t xml:space="preserve">D 1990:  </w:t>
      </w:r>
      <w:r w:rsidRPr="00913232">
        <w:rPr>
          <w:rFonts w:ascii="Minion Pro Med" w:hAnsi="Minion Pro Med"/>
          <w:sz w:val="18"/>
          <w:szCs w:val="18"/>
          <w:u w:val="single"/>
        </w:rPr>
        <w:t>Meaning and Speech Acts, Volume 1: Principles  of Language</w:t>
      </w:r>
      <w:r w:rsidRPr="00913232">
        <w:rPr>
          <w:rFonts w:ascii="Minion Pro Med" w:hAnsi="Minion Pro Med"/>
          <w:sz w:val="18"/>
          <w:szCs w:val="18"/>
        </w:rPr>
        <w:t xml:space="preserve"> Use Cambridge University Press, 1990</w:t>
      </w:r>
    </w:p>
    <w:p w14:paraId="37654FFE" w14:textId="77777777" w:rsidR="00944E63" w:rsidRPr="00913232" w:rsidRDefault="00944E63" w:rsidP="0070108B">
      <w:pPr>
        <w:pStyle w:val="NoSpacing"/>
        <w:rPr>
          <w:rFonts w:ascii="Minion Pro Med" w:hAnsi="Minion Pro Med"/>
          <w:sz w:val="18"/>
          <w:szCs w:val="18"/>
        </w:rPr>
      </w:pPr>
      <w:r w:rsidRPr="00913232">
        <w:rPr>
          <w:rFonts w:ascii="Minion Pro Med" w:hAnsi="Minion Pro Med"/>
          <w:sz w:val="18"/>
          <w:szCs w:val="18"/>
        </w:rPr>
        <w:t xml:space="preserve">Wanderer, J 2014: Review - Epistemic Authority. International Journal of Philosophical Studies 22 (5)  </w:t>
      </w:r>
    </w:p>
    <w:p w14:paraId="44BAA6A1" w14:textId="77777777" w:rsidR="0049171D" w:rsidRPr="00913232" w:rsidRDefault="00DE2309" w:rsidP="0070108B">
      <w:pPr>
        <w:pStyle w:val="NoSpacing"/>
        <w:rPr>
          <w:rFonts w:ascii="Minion Pro Med" w:hAnsi="Minion Pro Med"/>
          <w:sz w:val="18"/>
          <w:szCs w:val="18"/>
        </w:rPr>
      </w:pPr>
      <w:r w:rsidRPr="00913232">
        <w:rPr>
          <w:rFonts w:ascii="Minion Pro Med" w:hAnsi="Minion Pro Med"/>
          <w:sz w:val="18"/>
          <w:szCs w:val="18"/>
        </w:rPr>
        <w:t>Wanderer,</w:t>
      </w:r>
      <w:r w:rsidR="0049171D" w:rsidRPr="00913232">
        <w:rPr>
          <w:rFonts w:ascii="Minion Pro Med" w:hAnsi="Minion Pro Med"/>
          <w:sz w:val="18"/>
          <w:szCs w:val="18"/>
        </w:rPr>
        <w:t xml:space="preserve"> </w:t>
      </w:r>
      <w:r w:rsidR="00476C03" w:rsidRPr="00913232">
        <w:rPr>
          <w:rFonts w:ascii="Minion Pro Med" w:hAnsi="Minion Pro Med"/>
          <w:sz w:val="18"/>
          <w:szCs w:val="18"/>
        </w:rPr>
        <w:t xml:space="preserve">J: </w:t>
      </w:r>
      <w:r w:rsidR="0049171D" w:rsidRPr="00913232">
        <w:rPr>
          <w:rFonts w:ascii="Minion Pro Med" w:hAnsi="Minion Pro Med"/>
          <w:sz w:val="18"/>
          <w:szCs w:val="18"/>
        </w:rPr>
        <w:t xml:space="preserve">Forthcoming. Alethic Holdings. Philosophical Topics. </w:t>
      </w:r>
    </w:p>
    <w:p w14:paraId="479742C8" w14:textId="77777777" w:rsidR="00944E63" w:rsidRPr="00913232" w:rsidRDefault="00944E63" w:rsidP="00944E63">
      <w:pPr>
        <w:pStyle w:val="NoSpacing"/>
        <w:rPr>
          <w:rFonts w:ascii="Minion Pro Med" w:hAnsi="Minion Pro Med"/>
          <w:sz w:val="18"/>
          <w:szCs w:val="18"/>
        </w:rPr>
      </w:pPr>
      <w:r w:rsidRPr="00913232">
        <w:rPr>
          <w:rFonts w:ascii="Minion Pro Med" w:hAnsi="Minion Pro Med"/>
          <w:sz w:val="18"/>
          <w:szCs w:val="18"/>
        </w:rPr>
        <w:t xml:space="preserve">Zagzebski,L. 2012 </w:t>
      </w:r>
      <w:r w:rsidRPr="00913232">
        <w:rPr>
          <w:rFonts w:ascii="Minion Pro Med" w:hAnsi="Minion Pro Med"/>
          <w:sz w:val="18"/>
          <w:szCs w:val="18"/>
          <w:u w:val="single"/>
        </w:rPr>
        <w:t>Epistemic Authority: A Theory of Trust, Authority, and Autonomy in</w:t>
      </w:r>
      <w:r w:rsidRPr="00913232">
        <w:rPr>
          <w:rFonts w:ascii="Minion Pro Med" w:hAnsi="Minion Pro Med"/>
          <w:sz w:val="18"/>
          <w:szCs w:val="18"/>
        </w:rPr>
        <w:t xml:space="preserve"> Belief. Oxford University Press.</w:t>
      </w:r>
    </w:p>
    <w:p w14:paraId="10E9D9C3" w14:textId="77777777" w:rsidR="00944E63" w:rsidRPr="00913232" w:rsidRDefault="00944E63" w:rsidP="0070108B">
      <w:pPr>
        <w:pStyle w:val="NoSpacing"/>
        <w:rPr>
          <w:rFonts w:ascii="Minion Pro Med" w:hAnsi="Minion Pro Med"/>
        </w:rPr>
      </w:pPr>
    </w:p>
    <w:sectPr w:rsidR="00944E63" w:rsidRPr="00913232" w:rsidSect="00BF77D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7777B" w14:textId="77777777" w:rsidR="00101571" w:rsidRDefault="00101571" w:rsidP="00A35F53">
      <w:pPr>
        <w:spacing w:after="0" w:line="240" w:lineRule="auto"/>
      </w:pPr>
      <w:r>
        <w:separator/>
      </w:r>
    </w:p>
  </w:endnote>
  <w:endnote w:type="continuationSeparator" w:id="0">
    <w:p w14:paraId="2185414A" w14:textId="77777777" w:rsidR="00101571" w:rsidRDefault="00101571" w:rsidP="00A35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Minion Pro Med">
    <w:altName w:val="Times New Roman"/>
    <w:panose1 w:val="00000000000000000000"/>
    <w:charset w:val="00"/>
    <w:family w:val="roman"/>
    <w:notTrueType/>
    <w:pitch w:val="variable"/>
    <w:sig w:usb0="00000001" w:usb1="00000001"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5E8D5" w14:textId="77777777" w:rsidR="00101571" w:rsidRDefault="00101571" w:rsidP="00A35F53">
      <w:pPr>
        <w:spacing w:after="0" w:line="240" w:lineRule="auto"/>
      </w:pPr>
      <w:r>
        <w:separator/>
      </w:r>
    </w:p>
  </w:footnote>
  <w:footnote w:type="continuationSeparator" w:id="0">
    <w:p w14:paraId="78B4674F" w14:textId="77777777" w:rsidR="00101571" w:rsidRDefault="00101571" w:rsidP="00A35F53">
      <w:pPr>
        <w:spacing w:after="0" w:line="240" w:lineRule="auto"/>
      </w:pPr>
      <w:r>
        <w:continuationSeparator/>
      </w:r>
    </w:p>
  </w:footnote>
  <w:footnote w:id="1">
    <w:p w14:paraId="6F54A38F" w14:textId="1B58521D" w:rsidR="00794DDF" w:rsidRPr="00913232" w:rsidRDefault="00794DDF" w:rsidP="00963B29">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Cf. Richard Moran (2005, 2006, 2013). This essay is part of an extended attempt to think through the implications of Moran’s account of the expressive dimension of language use.  </w:t>
      </w:r>
    </w:p>
  </w:footnote>
  <w:footnote w:id="2">
    <w:p w14:paraId="1D13A501"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Fisch and Benbaji (2011) – to which all page numbers [in square brackets] refer. </w:t>
      </w:r>
    </w:p>
  </w:footnote>
  <w:footnote w:id="3">
    <w:p w14:paraId="15ADDB2D" w14:textId="2652D6B0" w:rsidR="00794DDF" w:rsidRPr="00913232" w:rsidRDefault="00794DDF" w:rsidP="00ED7A6E">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Fisch and Benbaji are thus not focused on activities within the shared Rawlsian perspective of ‘public reason’. See Gaus (1996) for a helpful exposition of this perspective. </w:t>
      </w:r>
    </w:p>
  </w:footnote>
  <w:footnote w:id="4">
    <w:p w14:paraId="49BE0F96" w14:textId="77777777" w:rsidR="00794DDF" w:rsidRPr="00913232" w:rsidRDefault="00794DDF" w:rsidP="000D5335">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Cf. Lear (2011)</w:t>
      </w:r>
    </w:p>
  </w:footnote>
  <w:footnote w:id="5">
    <w:p w14:paraId="1B68B6D9"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Lear (2011: 15-16).</w:t>
      </w:r>
    </w:p>
  </w:footnote>
  <w:footnote w:id="6">
    <w:p w14:paraId="1B3B7601"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A much-discussed Sartrean theme – e.g. his (1956:261–262).</w:t>
      </w:r>
    </w:p>
  </w:footnote>
  <w:footnote w:id="7">
    <w:p w14:paraId="532ACFAA"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Hornsby (1994:195)</w:t>
      </w:r>
    </w:p>
  </w:footnote>
  <w:footnote w:id="8">
    <w:p w14:paraId="2C6D9BA7"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I owe this formulation to a conversation with Adrian Haddock.</w:t>
      </w:r>
    </w:p>
  </w:footnote>
  <w:footnote w:id="9">
    <w:p w14:paraId="03F928EB"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I develop this account more fully in Wanderer (forthcoming). It is indebted to Rödl (2007: Chapter 6). For a similar </w:t>
      </w:r>
      <w:r w:rsidR="00A265A5" w:rsidRPr="00913232">
        <w:rPr>
          <w:rFonts w:ascii="Minion Pro Med" w:hAnsi="Minion Pro Med"/>
        </w:rPr>
        <w:t>account</w:t>
      </w:r>
      <w:r w:rsidRPr="00913232">
        <w:rPr>
          <w:rFonts w:ascii="Minion Pro Med" w:hAnsi="Minion Pro Med"/>
        </w:rPr>
        <w:t xml:space="preserve">, see Lauer (forthcoming). </w:t>
      </w:r>
    </w:p>
  </w:footnote>
  <w:footnote w:id="10">
    <w:p w14:paraId="08A36B48"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Compare: Dewey (2008, 8: 140).</w:t>
      </w:r>
    </w:p>
  </w:footnote>
  <w:footnote w:id="11">
    <w:p w14:paraId="00576D92"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In what follows, I am drawing primarily on Rödl (2007). The use of italics in the text is an informal adoption of related formalisations by Geach (1957) and Castañeda (1969).</w:t>
      </w:r>
    </w:p>
  </w:footnote>
  <w:footnote w:id="12">
    <w:p w14:paraId="3513274C" w14:textId="5302E199" w:rsidR="00794DDF" w:rsidRPr="00913232" w:rsidRDefault="00794DDF" w:rsidP="00ED7A6E">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It is tempting to use the first-person plural in capturing its self-conscious character: ‘we ourselves are performing a given illocutionary act together’. Whilst such a formulation may work for some social actions (such as collective actions - ‘we ourselves are sailing a boat together’), it fails to capture the self-conscious recognition of the agent-patient structure of the transaction. </w:t>
      </w:r>
    </w:p>
  </w:footnote>
  <w:footnote w:id="13">
    <w:p w14:paraId="3AD75D5C" w14:textId="77777777" w:rsidR="00794DDF" w:rsidRPr="00913232" w:rsidRDefault="00794DDF" w:rsidP="00404ABB">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Austin (1962)</w:t>
      </w:r>
    </w:p>
  </w:footnote>
  <w:footnote w:id="14">
    <w:p w14:paraId="732576F9"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E.g. Austin (1962: 102); Vanderveken (1990: 168). I return to this placing in the next section. </w:t>
      </w:r>
    </w:p>
  </w:footnote>
  <w:footnote w:id="15">
    <w:p w14:paraId="7F522584"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Rödl (2007: 197)</w:t>
      </w:r>
    </w:p>
  </w:footnote>
  <w:footnote w:id="16">
    <w:p w14:paraId="0D762AEC" w14:textId="3095853F"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Convincing is one of Austin’s first examples of perlocutionary acts in ‘How </w:t>
      </w:r>
      <w:proofErr w:type="gramStart"/>
      <w:r w:rsidRPr="00913232">
        <w:rPr>
          <w:rFonts w:ascii="Minion Pro Med" w:hAnsi="Minion Pro Med"/>
        </w:rPr>
        <w:t>To</w:t>
      </w:r>
      <w:proofErr w:type="gramEnd"/>
      <w:r w:rsidRPr="00913232">
        <w:rPr>
          <w:rFonts w:ascii="Minion Pro Med" w:hAnsi="Minion Pro Med"/>
        </w:rPr>
        <w:t xml:space="preserve"> Do Things With Words’: “We can similarly distinguish the locutionary act ‘he said that…’ from the illocutionary act ‘he argued that …’ and the perlocutionary act ‘he convinced me that….’” </w:t>
      </w:r>
      <w:r w:rsidR="00005354" w:rsidRPr="00913232">
        <w:rPr>
          <w:rFonts w:ascii="Minion Pro Med" w:hAnsi="Minion Pro Med"/>
        </w:rPr>
        <w:t xml:space="preserve">(Austin 1962: </w:t>
      </w:r>
      <w:r w:rsidRPr="00913232">
        <w:rPr>
          <w:rFonts w:ascii="Minion Pro Med" w:hAnsi="Minion Pro Med"/>
        </w:rPr>
        <w:t>102</w:t>
      </w:r>
      <w:r w:rsidR="00005354" w:rsidRPr="00913232">
        <w:rPr>
          <w:rFonts w:ascii="Minion Pro Med" w:hAnsi="Minion Pro Med"/>
        </w:rPr>
        <w:t>)</w:t>
      </w:r>
      <w:r w:rsidRPr="00913232">
        <w:rPr>
          <w:rFonts w:ascii="Minion Pro Med" w:hAnsi="Minion Pro Med"/>
        </w:rPr>
        <w:t xml:space="preserve">. This is introduced by Austin separately from the list of what have become more familiar examples (such as ‘alarming’ noted above), and differs from the familiar examples in important ways – notably in lacking the purported passivity of the response often taken as characteristic of the domain of perlocutionary affects. For current purposes, we can ignore the question of the relationship between convincing and other, more familiar perlocutionary acts. </w:t>
      </w:r>
    </w:p>
  </w:footnote>
  <w:footnote w:id="17">
    <w:p w14:paraId="09595DDB"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For example, Arendt (1954); Friedman (1990). </w:t>
      </w:r>
    </w:p>
  </w:footnote>
  <w:footnote w:id="18">
    <w:p w14:paraId="44723DED"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This point is explored in McMyler (2011) and Zagzebski (2012)</w:t>
      </w:r>
      <w:r w:rsidR="00005354" w:rsidRPr="00913232">
        <w:rPr>
          <w:rFonts w:ascii="Minion Pro Med" w:hAnsi="Minion Pro Med"/>
        </w:rPr>
        <w:t>. (This is not to imply that such an extension is uncontentious – see Friedman (1990)</w:t>
      </w:r>
      <w:r w:rsidR="003C026A">
        <w:rPr>
          <w:rFonts w:ascii="Minion Pro Med" w:hAnsi="Minion Pro Med"/>
        </w:rPr>
        <w:t>)</w:t>
      </w:r>
      <w:r w:rsidR="00005354" w:rsidRPr="00913232">
        <w:rPr>
          <w:rFonts w:ascii="Minion Pro Med" w:hAnsi="Minion Pro Med"/>
        </w:rPr>
        <w:t xml:space="preserve">.  </w:t>
      </w:r>
    </w:p>
  </w:footnote>
  <w:footnote w:id="19">
    <w:p w14:paraId="6DBE7CBE"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Garsten (2006:7)</w:t>
      </w:r>
    </w:p>
  </w:footnote>
  <w:footnote w:id="20">
    <w:p w14:paraId="3FC48873"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To stress: Garsten’s goal here is not to characterize the whole category of coercion per se, but the specific case of mental manipulation (what he dubs ‘indoctrination or brainwashing’). Thus, whilst there may be cases of coercion in both the practical and theoretical sphere that do engage with an agent’s capacity for rational deliberation, we are interested in what some have called ‘compelled coercion’, where the coercion achieves it influence by overwhelming or by bypassing the agent’s capacity for rational deliberation. Cf. McMyler (2011).</w:t>
      </w:r>
    </w:p>
  </w:footnote>
  <w:footnote w:id="21">
    <w:p w14:paraId="71B36E54" w14:textId="77777777" w:rsidR="00794DDF" w:rsidRPr="00913232" w:rsidRDefault="00794DDF" w:rsidP="000E67C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See previous footnote. </w:t>
      </w:r>
    </w:p>
  </w:footnote>
  <w:footnote w:id="22">
    <w:p w14:paraId="0B9C8275" w14:textId="7325937B"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For an important statement of this suggestion, see O’Neill (1989: Chapter 1). My thinking here is also indebted to Laden (2012), though I reject a central feature of his understanding, one that extrudes the activities of judging and</w:t>
      </w:r>
      <w:r w:rsidR="00ED7A6E">
        <w:rPr>
          <w:rFonts w:ascii="Minion Pro Med" w:hAnsi="Minion Pro Med"/>
        </w:rPr>
        <w:t xml:space="preserve"> </w:t>
      </w:r>
      <w:r w:rsidRPr="00913232">
        <w:rPr>
          <w:rFonts w:ascii="Minion Pro Med" w:hAnsi="Minion Pro Med"/>
        </w:rPr>
        <w:t>asserting from the space of reasoning. Laden takes these to be precluded by the Kantian-inspired contention that no act of reasoning can be immune to criticism, which he interprets as excluding any activity, such as arriving at a judgment about what to do or believe, that attempts to bring reasoning to an end (e.g. 2012, p. 27). Yet, as Laden himself concedes, most consider the Kantian-inspired contention to be satisfied by the never-ending possibility of revision rather than absence of judgment. Privileging acts such as asserting and judging over and above other examples of reasoning may be mistaken, but extruding such activities from the space of reasoning entirely makes the space barely recognizable as reasoning at all.</w:t>
      </w:r>
    </w:p>
  </w:footnote>
  <w:footnote w:id="23">
    <w:p w14:paraId="0E457263"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Initially set out in Raz (1986)</w:t>
      </w:r>
    </w:p>
  </w:footnote>
  <w:footnote w:id="24">
    <w:p w14:paraId="1941F611"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Cf. Zagzebski (2012) for this extension of Raz’s conception from the practical to the theoretical sphere. For concerns about this extension, see Wanderer (2014).</w:t>
      </w:r>
    </w:p>
  </w:footnote>
  <w:footnote w:id="25">
    <w:p w14:paraId="1289A333"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Cavell (2006: 181)</w:t>
      </w:r>
    </w:p>
  </w:footnote>
  <w:footnote w:id="26">
    <w:p w14:paraId="454697C5"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Cavell (2006: 183)</w:t>
      </w:r>
    </w:p>
  </w:footnote>
  <w:footnote w:id="27">
    <w:p w14:paraId="40393BE8"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Cavell (2006: 183)</w:t>
      </w:r>
    </w:p>
  </w:footnote>
  <w:footnote w:id="28">
    <w:p w14:paraId="6EBBF6DD" w14:textId="77777777" w:rsidR="00B418C9" w:rsidRPr="00913232" w:rsidRDefault="00B418C9" w:rsidP="00B418C9">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Cavell (2006:182)</w:t>
      </w:r>
    </w:p>
  </w:footnote>
  <w:footnote w:id="29">
    <w:p w14:paraId="3BFA7658" w14:textId="77777777" w:rsidR="00794DDF" w:rsidRPr="00913232" w:rsidRDefault="00794DDF">
      <w:pPr>
        <w:pStyle w:val="FootnoteText"/>
        <w:rPr>
          <w:rFonts w:ascii="Minion Pro Med" w:hAnsi="Minion Pro Med"/>
        </w:rPr>
      </w:pPr>
      <w:r w:rsidRPr="00913232">
        <w:rPr>
          <w:rStyle w:val="FootnoteReference"/>
          <w:rFonts w:ascii="Minion Pro Med" w:hAnsi="Minion Pro Med"/>
        </w:rPr>
        <w:footnoteRef/>
      </w:r>
      <w:r w:rsidRPr="00913232">
        <w:rPr>
          <w:rFonts w:ascii="Minion Pro Med" w:hAnsi="Minion Pro Med"/>
        </w:rPr>
        <w:t xml:space="preserve"> Lear (2011: 10). Compare Moran (2013).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9774B" w14:textId="77777777" w:rsidR="00794DDF" w:rsidRDefault="00A75505">
    <w:pPr>
      <w:pStyle w:val="Header"/>
      <w:jc w:val="right"/>
    </w:pPr>
    <w:r>
      <w:fldChar w:fldCharType="begin"/>
    </w:r>
    <w:r>
      <w:instrText xml:space="preserve"> PAGE   \* MERGEFORMAT </w:instrText>
    </w:r>
    <w:r>
      <w:fldChar w:fldCharType="separate"/>
    </w:r>
    <w:r w:rsidR="00A31398">
      <w:rPr>
        <w:noProof/>
      </w:rPr>
      <w:t>18</w:t>
    </w:r>
    <w:r>
      <w:rPr>
        <w:noProof/>
      </w:rPr>
      <w:fldChar w:fldCharType="end"/>
    </w:r>
  </w:p>
  <w:p w14:paraId="1EB25B9A" w14:textId="77777777" w:rsidR="00794DDF" w:rsidRDefault="00794D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100F0"/>
    <w:multiLevelType w:val="hybridMultilevel"/>
    <w:tmpl w:val="75AE1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1E6F73"/>
    <w:multiLevelType w:val="hybridMultilevel"/>
    <w:tmpl w:val="44EC5FCC"/>
    <w:lvl w:ilvl="0" w:tplc="608E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75B31B9"/>
    <w:multiLevelType w:val="hybridMultilevel"/>
    <w:tmpl w:val="2B026B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367741"/>
    <w:multiLevelType w:val="hybridMultilevel"/>
    <w:tmpl w:val="348EB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3E6"/>
    <w:rsid w:val="0000289F"/>
    <w:rsid w:val="00005354"/>
    <w:rsid w:val="00007B3C"/>
    <w:rsid w:val="000133B5"/>
    <w:rsid w:val="00015509"/>
    <w:rsid w:val="00022C4E"/>
    <w:rsid w:val="000249C6"/>
    <w:rsid w:val="00030109"/>
    <w:rsid w:val="00033B2D"/>
    <w:rsid w:val="00035A19"/>
    <w:rsid w:val="000421AB"/>
    <w:rsid w:val="00043CED"/>
    <w:rsid w:val="000461AC"/>
    <w:rsid w:val="00047177"/>
    <w:rsid w:val="00047951"/>
    <w:rsid w:val="00054FCD"/>
    <w:rsid w:val="00056FA9"/>
    <w:rsid w:val="0006265B"/>
    <w:rsid w:val="00062D99"/>
    <w:rsid w:val="00071DE3"/>
    <w:rsid w:val="000732CE"/>
    <w:rsid w:val="00075B9C"/>
    <w:rsid w:val="000846D4"/>
    <w:rsid w:val="0008488A"/>
    <w:rsid w:val="00087B5D"/>
    <w:rsid w:val="000907CF"/>
    <w:rsid w:val="00090FBC"/>
    <w:rsid w:val="000934D0"/>
    <w:rsid w:val="00093820"/>
    <w:rsid w:val="00095B89"/>
    <w:rsid w:val="00096EE7"/>
    <w:rsid w:val="000A124A"/>
    <w:rsid w:val="000A5B6E"/>
    <w:rsid w:val="000B3007"/>
    <w:rsid w:val="000B7770"/>
    <w:rsid w:val="000C3738"/>
    <w:rsid w:val="000C763B"/>
    <w:rsid w:val="000D25B4"/>
    <w:rsid w:val="000D4178"/>
    <w:rsid w:val="000D5335"/>
    <w:rsid w:val="000D63A7"/>
    <w:rsid w:val="000E2930"/>
    <w:rsid w:val="000E42FF"/>
    <w:rsid w:val="000E4889"/>
    <w:rsid w:val="000E67CF"/>
    <w:rsid w:val="000F2692"/>
    <w:rsid w:val="000F427B"/>
    <w:rsid w:val="00101571"/>
    <w:rsid w:val="00101DE2"/>
    <w:rsid w:val="00101EA3"/>
    <w:rsid w:val="00105250"/>
    <w:rsid w:val="00111AFA"/>
    <w:rsid w:val="00113503"/>
    <w:rsid w:val="00115810"/>
    <w:rsid w:val="00115D3B"/>
    <w:rsid w:val="00117D49"/>
    <w:rsid w:val="00122958"/>
    <w:rsid w:val="00132127"/>
    <w:rsid w:val="001327F2"/>
    <w:rsid w:val="0013441C"/>
    <w:rsid w:val="00141687"/>
    <w:rsid w:val="00150831"/>
    <w:rsid w:val="001514D0"/>
    <w:rsid w:val="001527EC"/>
    <w:rsid w:val="00153EBB"/>
    <w:rsid w:val="00160D59"/>
    <w:rsid w:val="001618B1"/>
    <w:rsid w:val="001625C2"/>
    <w:rsid w:val="00164076"/>
    <w:rsid w:val="0016495C"/>
    <w:rsid w:val="00165001"/>
    <w:rsid w:val="00170358"/>
    <w:rsid w:val="00172607"/>
    <w:rsid w:val="00177663"/>
    <w:rsid w:val="0018236F"/>
    <w:rsid w:val="00186B3B"/>
    <w:rsid w:val="00191D62"/>
    <w:rsid w:val="001A1F2D"/>
    <w:rsid w:val="001A57FD"/>
    <w:rsid w:val="001A64BB"/>
    <w:rsid w:val="001A7F18"/>
    <w:rsid w:val="001B215A"/>
    <w:rsid w:val="001C2229"/>
    <w:rsid w:val="001C4F10"/>
    <w:rsid w:val="001D1071"/>
    <w:rsid w:val="001D1500"/>
    <w:rsid w:val="001D2669"/>
    <w:rsid w:val="001D3CC1"/>
    <w:rsid w:val="001E102D"/>
    <w:rsid w:val="001E16FC"/>
    <w:rsid w:val="001E6F1A"/>
    <w:rsid w:val="001E7BC0"/>
    <w:rsid w:val="001F4227"/>
    <w:rsid w:val="001F7375"/>
    <w:rsid w:val="001F7DF6"/>
    <w:rsid w:val="00202379"/>
    <w:rsid w:val="002025A1"/>
    <w:rsid w:val="00202CE0"/>
    <w:rsid w:val="00205184"/>
    <w:rsid w:val="00207235"/>
    <w:rsid w:val="00212987"/>
    <w:rsid w:val="00220A5E"/>
    <w:rsid w:val="00222273"/>
    <w:rsid w:val="00227E82"/>
    <w:rsid w:val="00241933"/>
    <w:rsid w:val="00244EDB"/>
    <w:rsid w:val="002452C7"/>
    <w:rsid w:val="002456A5"/>
    <w:rsid w:val="00252A83"/>
    <w:rsid w:val="002561CB"/>
    <w:rsid w:val="002649F6"/>
    <w:rsid w:val="00266C1A"/>
    <w:rsid w:val="00271460"/>
    <w:rsid w:val="002736E4"/>
    <w:rsid w:val="00281D7E"/>
    <w:rsid w:val="0028315B"/>
    <w:rsid w:val="002909A1"/>
    <w:rsid w:val="002916F1"/>
    <w:rsid w:val="00294EE5"/>
    <w:rsid w:val="002969EB"/>
    <w:rsid w:val="002B5A26"/>
    <w:rsid w:val="002C098D"/>
    <w:rsid w:val="002C129D"/>
    <w:rsid w:val="002C4C5B"/>
    <w:rsid w:val="002D2FC4"/>
    <w:rsid w:val="002E0B8A"/>
    <w:rsid w:val="002E59AE"/>
    <w:rsid w:val="002F252F"/>
    <w:rsid w:val="002F531A"/>
    <w:rsid w:val="002F7C98"/>
    <w:rsid w:val="00303A17"/>
    <w:rsid w:val="003050BB"/>
    <w:rsid w:val="00306CE0"/>
    <w:rsid w:val="003078EE"/>
    <w:rsid w:val="003134E8"/>
    <w:rsid w:val="00321250"/>
    <w:rsid w:val="00324136"/>
    <w:rsid w:val="003273EC"/>
    <w:rsid w:val="003418A1"/>
    <w:rsid w:val="00342827"/>
    <w:rsid w:val="003428A9"/>
    <w:rsid w:val="00342FFF"/>
    <w:rsid w:val="00343075"/>
    <w:rsid w:val="00355A6E"/>
    <w:rsid w:val="00357627"/>
    <w:rsid w:val="003607FB"/>
    <w:rsid w:val="003622C0"/>
    <w:rsid w:val="003624C9"/>
    <w:rsid w:val="00362A04"/>
    <w:rsid w:val="003633D9"/>
    <w:rsid w:val="003675D1"/>
    <w:rsid w:val="0037339E"/>
    <w:rsid w:val="0037390D"/>
    <w:rsid w:val="00377673"/>
    <w:rsid w:val="00382593"/>
    <w:rsid w:val="0038390F"/>
    <w:rsid w:val="00386F91"/>
    <w:rsid w:val="00395470"/>
    <w:rsid w:val="0039613A"/>
    <w:rsid w:val="003A3EDA"/>
    <w:rsid w:val="003A69C1"/>
    <w:rsid w:val="003B18CD"/>
    <w:rsid w:val="003B528B"/>
    <w:rsid w:val="003B7B96"/>
    <w:rsid w:val="003C008D"/>
    <w:rsid w:val="003C01A5"/>
    <w:rsid w:val="003C026A"/>
    <w:rsid w:val="003C4C55"/>
    <w:rsid w:val="003C5FAA"/>
    <w:rsid w:val="003C6194"/>
    <w:rsid w:val="003C63C6"/>
    <w:rsid w:val="003D3D2E"/>
    <w:rsid w:val="003D59AE"/>
    <w:rsid w:val="003D6DC1"/>
    <w:rsid w:val="003E2BA6"/>
    <w:rsid w:val="003E33E3"/>
    <w:rsid w:val="003E67C0"/>
    <w:rsid w:val="003E6E37"/>
    <w:rsid w:val="003E7347"/>
    <w:rsid w:val="003E74AE"/>
    <w:rsid w:val="003F128D"/>
    <w:rsid w:val="003F16D2"/>
    <w:rsid w:val="00404ABB"/>
    <w:rsid w:val="00412882"/>
    <w:rsid w:val="00423039"/>
    <w:rsid w:val="0042332C"/>
    <w:rsid w:val="00423936"/>
    <w:rsid w:val="00426899"/>
    <w:rsid w:val="004330D8"/>
    <w:rsid w:val="004348AA"/>
    <w:rsid w:val="004375A6"/>
    <w:rsid w:val="00441A49"/>
    <w:rsid w:val="004445BB"/>
    <w:rsid w:val="004469E8"/>
    <w:rsid w:val="00451268"/>
    <w:rsid w:val="00452D5A"/>
    <w:rsid w:val="00453D6D"/>
    <w:rsid w:val="00454003"/>
    <w:rsid w:val="00454B43"/>
    <w:rsid w:val="004559DA"/>
    <w:rsid w:val="00455F8A"/>
    <w:rsid w:val="0046400A"/>
    <w:rsid w:val="004653C3"/>
    <w:rsid w:val="00465F05"/>
    <w:rsid w:val="00467A8F"/>
    <w:rsid w:val="00476C03"/>
    <w:rsid w:val="0048397B"/>
    <w:rsid w:val="00485321"/>
    <w:rsid w:val="00487A9D"/>
    <w:rsid w:val="0049171D"/>
    <w:rsid w:val="00492AAF"/>
    <w:rsid w:val="0049499E"/>
    <w:rsid w:val="00496E73"/>
    <w:rsid w:val="004A2E25"/>
    <w:rsid w:val="004A787F"/>
    <w:rsid w:val="004B1024"/>
    <w:rsid w:val="004B1710"/>
    <w:rsid w:val="004B6BE2"/>
    <w:rsid w:val="004C2711"/>
    <w:rsid w:val="004C42AA"/>
    <w:rsid w:val="004C6BE4"/>
    <w:rsid w:val="004C6D3C"/>
    <w:rsid w:val="004C7784"/>
    <w:rsid w:val="004D1203"/>
    <w:rsid w:val="004D226C"/>
    <w:rsid w:val="004D637E"/>
    <w:rsid w:val="004E0A60"/>
    <w:rsid w:val="004E40FB"/>
    <w:rsid w:val="004E67E4"/>
    <w:rsid w:val="004F343A"/>
    <w:rsid w:val="00503102"/>
    <w:rsid w:val="0050676E"/>
    <w:rsid w:val="00516914"/>
    <w:rsid w:val="00516FCD"/>
    <w:rsid w:val="005230C2"/>
    <w:rsid w:val="0052531C"/>
    <w:rsid w:val="00531A54"/>
    <w:rsid w:val="00532840"/>
    <w:rsid w:val="005359C4"/>
    <w:rsid w:val="00545857"/>
    <w:rsid w:val="00545F3D"/>
    <w:rsid w:val="00550C28"/>
    <w:rsid w:val="0055351D"/>
    <w:rsid w:val="005549F5"/>
    <w:rsid w:val="00560E49"/>
    <w:rsid w:val="00564C21"/>
    <w:rsid w:val="00565C5D"/>
    <w:rsid w:val="0056662E"/>
    <w:rsid w:val="0057259C"/>
    <w:rsid w:val="005776EC"/>
    <w:rsid w:val="00591A94"/>
    <w:rsid w:val="0059491A"/>
    <w:rsid w:val="005A548A"/>
    <w:rsid w:val="005A6FFA"/>
    <w:rsid w:val="005B2907"/>
    <w:rsid w:val="005B5C09"/>
    <w:rsid w:val="005C0C15"/>
    <w:rsid w:val="005C333D"/>
    <w:rsid w:val="005C36FA"/>
    <w:rsid w:val="005D068F"/>
    <w:rsid w:val="005D3220"/>
    <w:rsid w:val="005E116C"/>
    <w:rsid w:val="005E5224"/>
    <w:rsid w:val="005F19C3"/>
    <w:rsid w:val="005F1FD3"/>
    <w:rsid w:val="005F3494"/>
    <w:rsid w:val="005F7D61"/>
    <w:rsid w:val="00601F2B"/>
    <w:rsid w:val="006030B0"/>
    <w:rsid w:val="00604519"/>
    <w:rsid w:val="00605B00"/>
    <w:rsid w:val="0061088C"/>
    <w:rsid w:val="00613866"/>
    <w:rsid w:val="006201E8"/>
    <w:rsid w:val="00623275"/>
    <w:rsid w:val="00634079"/>
    <w:rsid w:val="00634E4E"/>
    <w:rsid w:val="00641A65"/>
    <w:rsid w:val="0064259A"/>
    <w:rsid w:val="00642725"/>
    <w:rsid w:val="006427AC"/>
    <w:rsid w:val="006462B7"/>
    <w:rsid w:val="00652A36"/>
    <w:rsid w:val="00653D7F"/>
    <w:rsid w:val="00666223"/>
    <w:rsid w:val="006767B1"/>
    <w:rsid w:val="00680A7A"/>
    <w:rsid w:val="0068207E"/>
    <w:rsid w:val="0068235C"/>
    <w:rsid w:val="00682D66"/>
    <w:rsid w:val="006832EE"/>
    <w:rsid w:val="006846A2"/>
    <w:rsid w:val="0069661F"/>
    <w:rsid w:val="006972A2"/>
    <w:rsid w:val="006A320C"/>
    <w:rsid w:val="006B0D47"/>
    <w:rsid w:val="006B1E6C"/>
    <w:rsid w:val="006C2CFB"/>
    <w:rsid w:val="006C4BD2"/>
    <w:rsid w:val="006C4D56"/>
    <w:rsid w:val="006D234F"/>
    <w:rsid w:val="006D2923"/>
    <w:rsid w:val="006D610B"/>
    <w:rsid w:val="006D7C03"/>
    <w:rsid w:val="006E1B17"/>
    <w:rsid w:val="006E213F"/>
    <w:rsid w:val="006E5768"/>
    <w:rsid w:val="006E761A"/>
    <w:rsid w:val="006F1A31"/>
    <w:rsid w:val="007003D7"/>
    <w:rsid w:val="0070108B"/>
    <w:rsid w:val="00704C27"/>
    <w:rsid w:val="00711442"/>
    <w:rsid w:val="00714279"/>
    <w:rsid w:val="00721C6F"/>
    <w:rsid w:val="0072292F"/>
    <w:rsid w:val="00723325"/>
    <w:rsid w:val="00723D70"/>
    <w:rsid w:val="00725AFC"/>
    <w:rsid w:val="00731FDF"/>
    <w:rsid w:val="0073487F"/>
    <w:rsid w:val="00735044"/>
    <w:rsid w:val="00735ECB"/>
    <w:rsid w:val="0074179E"/>
    <w:rsid w:val="007432CB"/>
    <w:rsid w:val="0074361A"/>
    <w:rsid w:val="00745B8E"/>
    <w:rsid w:val="007517D1"/>
    <w:rsid w:val="007527CA"/>
    <w:rsid w:val="007635AF"/>
    <w:rsid w:val="007636CE"/>
    <w:rsid w:val="007665A5"/>
    <w:rsid w:val="0076685A"/>
    <w:rsid w:val="0077022B"/>
    <w:rsid w:val="007731CE"/>
    <w:rsid w:val="00774261"/>
    <w:rsid w:val="007752DE"/>
    <w:rsid w:val="0077668A"/>
    <w:rsid w:val="0078372C"/>
    <w:rsid w:val="007845B2"/>
    <w:rsid w:val="0078612C"/>
    <w:rsid w:val="00786AC1"/>
    <w:rsid w:val="007945B6"/>
    <w:rsid w:val="00794DDF"/>
    <w:rsid w:val="007A0D6B"/>
    <w:rsid w:val="007A1BD8"/>
    <w:rsid w:val="007A381A"/>
    <w:rsid w:val="007A4E95"/>
    <w:rsid w:val="007A50CA"/>
    <w:rsid w:val="007A514C"/>
    <w:rsid w:val="007A5D05"/>
    <w:rsid w:val="007C2105"/>
    <w:rsid w:val="007C2CBC"/>
    <w:rsid w:val="007C6ED8"/>
    <w:rsid w:val="007D30DA"/>
    <w:rsid w:val="007D33FA"/>
    <w:rsid w:val="007D5BBC"/>
    <w:rsid w:val="007D7507"/>
    <w:rsid w:val="007E0265"/>
    <w:rsid w:val="007E33A5"/>
    <w:rsid w:val="00801998"/>
    <w:rsid w:val="008039AA"/>
    <w:rsid w:val="00803A00"/>
    <w:rsid w:val="008065BD"/>
    <w:rsid w:val="008110F0"/>
    <w:rsid w:val="00815023"/>
    <w:rsid w:val="00822122"/>
    <w:rsid w:val="0082660D"/>
    <w:rsid w:val="00826CF8"/>
    <w:rsid w:val="008335EF"/>
    <w:rsid w:val="00834723"/>
    <w:rsid w:val="00835107"/>
    <w:rsid w:val="008410D4"/>
    <w:rsid w:val="008414EF"/>
    <w:rsid w:val="00845524"/>
    <w:rsid w:val="0084723A"/>
    <w:rsid w:val="008509E4"/>
    <w:rsid w:val="008620D8"/>
    <w:rsid w:val="00872674"/>
    <w:rsid w:val="00880098"/>
    <w:rsid w:val="00883B94"/>
    <w:rsid w:val="00890C89"/>
    <w:rsid w:val="00893220"/>
    <w:rsid w:val="00895D7F"/>
    <w:rsid w:val="00897710"/>
    <w:rsid w:val="00897F36"/>
    <w:rsid w:val="008A423A"/>
    <w:rsid w:val="008B00B9"/>
    <w:rsid w:val="008B17EC"/>
    <w:rsid w:val="008B24BF"/>
    <w:rsid w:val="008B275C"/>
    <w:rsid w:val="008B5CF2"/>
    <w:rsid w:val="008B6054"/>
    <w:rsid w:val="008C2CC4"/>
    <w:rsid w:val="008C3C58"/>
    <w:rsid w:val="008D0F40"/>
    <w:rsid w:val="008D7538"/>
    <w:rsid w:val="008E0266"/>
    <w:rsid w:val="008E0965"/>
    <w:rsid w:val="008F0037"/>
    <w:rsid w:val="008F2E46"/>
    <w:rsid w:val="008F3A29"/>
    <w:rsid w:val="008F5C4E"/>
    <w:rsid w:val="00900C10"/>
    <w:rsid w:val="00905A5B"/>
    <w:rsid w:val="00906CC2"/>
    <w:rsid w:val="00912D62"/>
    <w:rsid w:val="00913232"/>
    <w:rsid w:val="00913466"/>
    <w:rsid w:val="00913950"/>
    <w:rsid w:val="00914DA1"/>
    <w:rsid w:val="009161DD"/>
    <w:rsid w:val="0092535D"/>
    <w:rsid w:val="0092754E"/>
    <w:rsid w:val="00927B61"/>
    <w:rsid w:val="00931A39"/>
    <w:rsid w:val="00931B89"/>
    <w:rsid w:val="0093542F"/>
    <w:rsid w:val="00941628"/>
    <w:rsid w:val="00941F1A"/>
    <w:rsid w:val="009428EF"/>
    <w:rsid w:val="00944178"/>
    <w:rsid w:val="00944E63"/>
    <w:rsid w:val="0095058F"/>
    <w:rsid w:val="00952217"/>
    <w:rsid w:val="00952618"/>
    <w:rsid w:val="00955F5E"/>
    <w:rsid w:val="00956AD3"/>
    <w:rsid w:val="00957B2A"/>
    <w:rsid w:val="00960377"/>
    <w:rsid w:val="00963B29"/>
    <w:rsid w:val="00971F10"/>
    <w:rsid w:val="00986C92"/>
    <w:rsid w:val="0099663B"/>
    <w:rsid w:val="009A0CB6"/>
    <w:rsid w:val="009A2EE6"/>
    <w:rsid w:val="009B187E"/>
    <w:rsid w:val="009B3554"/>
    <w:rsid w:val="009B6836"/>
    <w:rsid w:val="009C189E"/>
    <w:rsid w:val="009C2A99"/>
    <w:rsid w:val="009C2D50"/>
    <w:rsid w:val="009C7B7A"/>
    <w:rsid w:val="009D28EE"/>
    <w:rsid w:val="009E141B"/>
    <w:rsid w:val="009F0A29"/>
    <w:rsid w:val="009F79F2"/>
    <w:rsid w:val="00A0259E"/>
    <w:rsid w:val="00A030F3"/>
    <w:rsid w:val="00A05CF8"/>
    <w:rsid w:val="00A0680F"/>
    <w:rsid w:val="00A06C4B"/>
    <w:rsid w:val="00A21318"/>
    <w:rsid w:val="00A21532"/>
    <w:rsid w:val="00A265A5"/>
    <w:rsid w:val="00A31398"/>
    <w:rsid w:val="00A35F53"/>
    <w:rsid w:val="00A42090"/>
    <w:rsid w:val="00A45A5B"/>
    <w:rsid w:val="00A5184F"/>
    <w:rsid w:val="00A52DE3"/>
    <w:rsid w:val="00A537F3"/>
    <w:rsid w:val="00A5400C"/>
    <w:rsid w:val="00A57635"/>
    <w:rsid w:val="00A64924"/>
    <w:rsid w:val="00A6497D"/>
    <w:rsid w:val="00A66457"/>
    <w:rsid w:val="00A75161"/>
    <w:rsid w:val="00A75505"/>
    <w:rsid w:val="00A82131"/>
    <w:rsid w:val="00A87562"/>
    <w:rsid w:val="00A877A4"/>
    <w:rsid w:val="00A90A0A"/>
    <w:rsid w:val="00A90DB6"/>
    <w:rsid w:val="00A9333A"/>
    <w:rsid w:val="00A95738"/>
    <w:rsid w:val="00A978AF"/>
    <w:rsid w:val="00A97B89"/>
    <w:rsid w:val="00AA0DC4"/>
    <w:rsid w:val="00AA48F1"/>
    <w:rsid w:val="00AB3DEF"/>
    <w:rsid w:val="00AB4FA3"/>
    <w:rsid w:val="00AB59BE"/>
    <w:rsid w:val="00AC0E6A"/>
    <w:rsid w:val="00AC1995"/>
    <w:rsid w:val="00AC58A5"/>
    <w:rsid w:val="00AC641A"/>
    <w:rsid w:val="00AD2D1C"/>
    <w:rsid w:val="00AE1681"/>
    <w:rsid w:val="00AE475C"/>
    <w:rsid w:val="00AE5467"/>
    <w:rsid w:val="00AF11FF"/>
    <w:rsid w:val="00AF5805"/>
    <w:rsid w:val="00AF7FC4"/>
    <w:rsid w:val="00B03D8B"/>
    <w:rsid w:val="00B074E4"/>
    <w:rsid w:val="00B11642"/>
    <w:rsid w:val="00B16003"/>
    <w:rsid w:val="00B35BE8"/>
    <w:rsid w:val="00B373E6"/>
    <w:rsid w:val="00B418C9"/>
    <w:rsid w:val="00B42857"/>
    <w:rsid w:val="00B50502"/>
    <w:rsid w:val="00B50ECC"/>
    <w:rsid w:val="00B52FDF"/>
    <w:rsid w:val="00B53B1F"/>
    <w:rsid w:val="00B5752F"/>
    <w:rsid w:val="00B639FA"/>
    <w:rsid w:val="00B6521F"/>
    <w:rsid w:val="00B662D8"/>
    <w:rsid w:val="00B670D4"/>
    <w:rsid w:val="00B74648"/>
    <w:rsid w:val="00B74763"/>
    <w:rsid w:val="00B74E60"/>
    <w:rsid w:val="00B75A27"/>
    <w:rsid w:val="00B76B8A"/>
    <w:rsid w:val="00B9528E"/>
    <w:rsid w:val="00BA149C"/>
    <w:rsid w:val="00BA1DE7"/>
    <w:rsid w:val="00BA70F1"/>
    <w:rsid w:val="00BA7AA2"/>
    <w:rsid w:val="00BB5322"/>
    <w:rsid w:val="00BB6459"/>
    <w:rsid w:val="00BC07B6"/>
    <w:rsid w:val="00BC1AA3"/>
    <w:rsid w:val="00BD0BBD"/>
    <w:rsid w:val="00BF1842"/>
    <w:rsid w:val="00BF28AE"/>
    <w:rsid w:val="00BF6202"/>
    <w:rsid w:val="00BF6D75"/>
    <w:rsid w:val="00BF77D5"/>
    <w:rsid w:val="00C001C1"/>
    <w:rsid w:val="00C007FF"/>
    <w:rsid w:val="00C025DD"/>
    <w:rsid w:val="00C03475"/>
    <w:rsid w:val="00C03536"/>
    <w:rsid w:val="00C07CA4"/>
    <w:rsid w:val="00C122E2"/>
    <w:rsid w:val="00C14CC0"/>
    <w:rsid w:val="00C170AE"/>
    <w:rsid w:val="00C20A05"/>
    <w:rsid w:val="00C262C6"/>
    <w:rsid w:val="00C27961"/>
    <w:rsid w:val="00C37899"/>
    <w:rsid w:val="00C44139"/>
    <w:rsid w:val="00C4478E"/>
    <w:rsid w:val="00C51609"/>
    <w:rsid w:val="00C51E0E"/>
    <w:rsid w:val="00C65BB1"/>
    <w:rsid w:val="00C66BC5"/>
    <w:rsid w:val="00C70AEE"/>
    <w:rsid w:val="00C81415"/>
    <w:rsid w:val="00C8148C"/>
    <w:rsid w:val="00C81557"/>
    <w:rsid w:val="00C84F93"/>
    <w:rsid w:val="00C87E07"/>
    <w:rsid w:val="00C9249F"/>
    <w:rsid w:val="00C92E80"/>
    <w:rsid w:val="00C9303E"/>
    <w:rsid w:val="00C930CA"/>
    <w:rsid w:val="00CA21AC"/>
    <w:rsid w:val="00CA636A"/>
    <w:rsid w:val="00CA7144"/>
    <w:rsid w:val="00CA7429"/>
    <w:rsid w:val="00CB0175"/>
    <w:rsid w:val="00CB069F"/>
    <w:rsid w:val="00CB0E24"/>
    <w:rsid w:val="00CB2223"/>
    <w:rsid w:val="00CB4B35"/>
    <w:rsid w:val="00CB5EDE"/>
    <w:rsid w:val="00CB653B"/>
    <w:rsid w:val="00CC1D73"/>
    <w:rsid w:val="00CC1F72"/>
    <w:rsid w:val="00CC44C2"/>
    <w:rsid w:val="00CC483A"/>
    <w:rsid w:val="00CC5786"/>
    <w:rsid w:val="00CD0938"/>
    <w:rsid w:val="00CD45C9"/>
    <w:rsid w:val="00CD5F7B"/>
    <w:rsid w:val="00CE5125"/>
    <w:rsid w:val="00CF2C15"/>
    <w:rsid w:val="00CF3EA2"/>
    <w:rsid w:val="00CF568B"/>
    <w:rsid w:val="00CF6FA2"/>
    <w:rsid w:val="00D05836"/>
    <w:rsid w:val="00D07360"/>
    <w:rsid w:val="00D1115F"/>
    <w:rsid w:val="00D115D3"/>
    <w:rsid w:val="00D126A0"/>
    <w:rsid w:val="00D13ACA"/>
    <w:rsid w:val="00D1793A"/>
    <w:rsid w:val="00D200C7"/>
    <w:rsid w:val="00D201FE"/>
    <w:rsid w:val="00D20442"/>
    <w:rsid w:val="00D23E62"/>
    <w:rsid w:val="00D24C5B"/>
    <w:rsid w:val="00D272FB"/>
    <w:rsid w:val="00D43857"/>
    <w:rsid w:val="00D45B33"/>
    <w:rsid w:val="00D53903"/>
    <w:rsid w:val="00D56220"/>
    <w:rsid w:val="00D5676D"/>
    <w:rsid w:val="00D57290"/>
    <w:rsid w:val="00D66155"/>
    <w:rsid w:val="00D7083D"/>
    <w:rsid w:val="00D72040"/>
    <w:rsid w:val="00D7260E"/>
    <w:rsid w:val="00D81DBA"/>
    <w:rsid w:val="00D8289C"/>
    <w:rsid w:val="00D838ED"/>
    <w:rsid w:val="00D8416A"/>
    <w:rsid w:val="00D90F07"/>
    <w:rsid w:val="00D9119A"/>
    <w:rsid w:val="00D92104"/>
    <w:rsid w:val="00DB5AA8"/>
    <w:rsid w:val="00DC2453"/>
    <w:rsid w:val="00DC50EA"/>
    <w:rsid w:val="00DC6740"/>
    <w:rsid w:val="00DC778B"/>
    <w:rsid w:val="00DE0CB4"/>
    <w:rsid w:val="00DE2309"/>
    <w:rsid w:val="00DE45C5"/>
    <w:rsid w:val="00DE626A"/>
    <w:rsid w:val="00DE6439"/>
    <w:rsid w:val="00DE7B84"/>
    <w:rsid w:val="00DF6268"/>
    <w:rsid w:val="00DF6D42"/>
    <w:rsid w:val="00E026EA"/>
    <w:rsid w:val="00E02B1E"/>
    <w:rsid w:val="00E02CE8"/>
    <w:rsid w:val="00E05EEA"/>
    <w:rsid w:val="00E07B37"/>
    <w:rsid w:val="00E07D3C"/>
    <w:rsid w:val="00E104FA"/>
    <w:rsid w:val="00E11AA2"/>
    <w:rsid w:val="00E140AC"/>
    <w:rsid w:val="00E15EAB"/>
    <w:rsid w:val="00E16A36"/>
    <w:rsid w:val="00E16A70"/>
    <w:rsid w:val="00E20AB7"/>
    <w:rsid w:val="00E20D4A"/>
    <w:rsid w:val="00E219AD"/>
    <w:rsid w:val="00E21E51"/>
    <w:rsid w:val="00E250E6"/>
    <w:rsid w:val="00E31281"/>
    <w:rsid w:val="00E364F3"/>
    <w:rsid w:val="00E4725D"/>
    <w:rsid w:val="00E55567"/>
    <w:rsid w:val="00E62193"/>
    <w:rsid w:val="00E72BB6"/>
    <w:rsid w:val="00E74E55"/>
    <w:rsid w:val="00E81943"/>
    <w:rsid w:val="00E86007"/>
    <w:rsid w:val="00E93B93"/>
    <w:rsid w:val="00EA2F99"/>
    <w:rsid w:val="00EA37E6"/>
    <w:rsid w:val="00EA40C9"/>
    <w:rsid w:val="00EA573E"/>
    <w:rsid w:val="00EA5DF8"/>
    <w:rsid w:val="00EB2D35"/>
    <w:rsid w:val="00EB6221"/>
    <w:rsid w:val="00EC3B4C"/>
    <w:rsid w:val="00EC3CB9"/>
    <w:rsid w:val="00EC7976"/>
    <w:rsid w:val="00ED020C"/>
    <w:rsid w:val="00ED0ACE"/>
    <w:rsid w:val="00ED53EA"/>
    <w:rsid w:val="00ED7A6E"/>
    <w:rsid w:val="00EE0AD7"/>
    <w:rsid w:val="00EE4565"/>
    <w:rsid w:val="00EE46B7"/>
    <w:rsid w:val="00EF6205"/>
    <w:rsid w:val="00EF6874"/>
    <w:rsid w:val="00F0020F"/>
    <w:rsid w:val="00F10C87"/>
    <w:rsid w:val="00F1141B"/>
    <w:rsid w:val="00F11EFC"/>
    <w:rsid w:val="00F1634E"/>
    <w:rsid w:val="00F22777"/>
    <w:rsid w:val="00F3025F"/>
    <w:rsid w:val="00F30DE7"/>
    <w:rsid w:val="00F37C80"/>
    <w:rsid w:val="00F45EE2"/>
    <w:rsid w:val="00F46B04"/>
    <w:rsid w:val="00F46CAD"/>
    <w:rsid w:val="00F52D85"/>
    <w:rsid w:val="00F6239C"/>
    <w:rsid w:val="00F65F1D"/>
    <w:rsid w:val="00F73F5F"/>
    <w:rsid w:val="00F77500"/>
    <w:rsid w:val="00F87E16"/>
    <w:rsid w:val="00F915E7"/>
    <w:rsid w:val="00F9235D"/>
    <w:rsid w:val="00F926F5"/>
    <w:rsid w:val="00F9640C"/>
    <w:rsid w:val="00F96D6F"/>
    <w:rsid w:val="00FA0FDE"/>
    <w:rsid w:val="00FA22DE"/>
    <w:rsid w:val="00FB6E9D"/>
    <w:rsid w:val="00FB775B"/>
    <w:rsid w:val="00FC0640"/>
    <w:rsid w:val="00FC198E"/>
    <w:rsid w:val="00FC2F61"/>
    <w:rsid w:val="00FC638B"/>
    <w:rsid w:val="00FC6C94"/>
    <w:rsid w:val="00FD03D9"/>
    <w:rsid w:val="00FD782C"/>
    <w:rsid w:val="00FE28B4"/>
    <w:rsid w:val="00FE696D"/>
    <w:rsid w:val="00FF1170"/>
    <w:rsid w:val="00FF1DE8"/>
    <w:rsid w:val="00FF311D"/>
    <w:rsid w:val="00FF57B8"/>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F0B4F"/>
  <w15:docId w15:val="{724AE3BA-6AD0-41EA-BC43-E9E1BADA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77D5"/>
    <w:pPr>
      <w:spacing w:after="200" w:line="276" w:lineRule="auto"/>
    </w:pPr>
    <w:rPr>
      <w:sz w:val="22"/>
      <w:szCs w:val="22"/>
      <w:lang w:bidi="ar-SA"/>
    </w:rPr>
  </w:style>
  <w:style w:type="paragraph" w:styleId="Heading1">
    <w:name w:val="heading 1"/>
    <w:basedOn w:val="Normal"/>
    <w:next w:val="Normal"/>
    <w:link w:val="Heading1Char"/>
    <w:uiPriority w:val="9"/>
    <w:qFormat/>
    <w:rsid w:val="00362A04"/>
    <w:pPr>
      <w:keepNext/>
      <w:keepLines/>
      <w:spacing w:before="480" w:after="0"/>
      <w:outlineLvl w:val="0"/>
    </w:pPr>
    <w:rPr>
      <w:rFonts w:ascii="Cambria" w:eastAsia="Times New Roman" w:hAnsi="Cambria" w:cs="Times New Roman"/>
      <w:b/>
      <w:bCs/>
      <w:color w:val="365F91"/>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DBA"/>
    <w:pPr>
      <w:ind w:left="720"/>
      <w:contextualSpacing/>
    </w:pPr>
  </w:style>
  <w:style w:type="paragraph" w:styleId="FootnoteText">
    <w:name w:val="footnote text"/>
    <w:basedOn w:val="Normal"/>
    <w:link w:val="FootnoteTextChar"/>
    <w:uiPriority w:val="99"/>
    <w:unhideWhenUsed/>
    <w:rsid w:val="00A35F53"/>
    <w:pPr>
      <w:spacing w:after="0" w:line="240" w:lineRule="auto"/>
    </w:pPr>
    <w:rPr>
      <w:sz w:val="20"/>
      <w:szCs w:val="20"/>
    </w:rPr>
  </w:style>
  <w:style w:type="character" w:customStyle="1" w:styleId="FootnoteTextChar">
    <w:name w:val="Footnote Text Char"/>
    <w:link w:val="FootnoteText"/>
    <w:uiPriority w:val="99"/>
    <w:rsid w:val="00A35F53"/>
    <w:rPr>
      <w:sz w:val="20"/>
      <w:szCs w:val="20"/>
    </w:rPr>
  </w:style>
  <w:style w:type="character" w:styleId="FootnoteReference">
    <w:name w:val="footnote reference"/>
    <w:uiPriority w:val="99"/>
    <w:semiHidden/>
    <w:unhideWhenUsed/>
    <w:rsid w:val="00A35F53"/>
    <w:rPr>
      <w:vertAlign w:val="superscript"/>
    </w:rPr>
  </w:style>
  <w:style w:type="paragraph" w:styleId="Header">
    <w:name w:val="header"/>
    <w:basedOn w:val="Normal"/>
    <w:link w:val="HeaderChar"/>
    <w:uiPriority w:val="99"/>
    <w:unhideWhenUsed/>
    <w:rsid w:val="001E6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F1A"/>
  </w:style>
  <w:style w:type="paragraph" w:styleId="Footer">
    <w:name w:val="footer"/>
    <w:basedOn w:val="Normal"/>
    <w:link w:val="FooterChar"/>
    <w:uiPriority w:val="99"/>
    <w:unhideWhenUsed/>
    <w:rsid w:val="001E6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F1A"/>
  </w:style>
  <w:style w:type="paragraph" w:styleId="BalloonText">
    <w:name w:val="Balloon Text"/>
    <w:basedOn w:val="Normal"/>
    <w:link w:val="BalloonTextChar"/>
    <w:uiPriority w:val="99"/>
    <w:semiHidden/>
    <w:unhideWhenUsed/>
    <w:rsid w:val="00E250E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250E6"/>
    <w:rPr>
      <w:rFonts w:ascii="Tahoma" w:hAnsi="Tahoma" w:cs="Tahoma"/>
      <w:sz w:val="16"/>
      <w:szCs w:val="16"/>
    </w:rPr>
  </w:style>
  <w:style w:type="character" w:styleId="Hyperlink">
    <w:name w:val="Hyperlink"/>
    <w:uiPriority w:val="99"/>
    <w:unhideWhenUsed/>
    <w:rsid w:val="00B74648"/>
    <w:rPr>
      <w:color w:val="0000FF"/>
      <w:u w:val="single"/>
    </w:rPr>
  </w:style>
  <w:style w:type="paragraph" w:styleId="NoSpacing">
    <w:name w:val="No Spacing"/>
    <w:uiPriority w:val="1"/>
    <w:qFormat/>
    <w:rsid w:val="00A6497D"/>
    <w:rPr>
      <w:rFonts w:eastAsia="Times New Roman"/>
      <w:sz w:val="22"/>
      <w:szCs w:val="22"/>
      <w:lang w:val="en-ZA" w:eastAsia="en-ZA" w:bidi="ar-SA"/>
    </w:rPr>
  </w:style>
  <w:style w:type="character" w:customStyle="1" w:styleId="Heading1Char">
    <w:name w:val="Heading 1 Char"/>
    <w:link w:val="Heading1"/>
    <w:uiPriority w:val="9"/>
    <w:rsid w:val="00362A04"/>
    <w:rPr>
      <w:rFonts w:ascii="Cambria" w:eastAsia="Times New Roman" w:hAnsi="Cambria" w:cs="Times New Roman"/>
      <w:b/>
      <w:bCs/>
      <w:color w:val="365F91"/>
      <w:sz w:val="28"/>
      <w:szCs w:val="28"/>
      <w:lang w:eastAsia="ja-JP"/>
    </w:rPr>
  </w:style>
  <w:style w:type="character" w:styleId="CommentReference">
    <w:name w:val="annotation reference"/>
    <w:basedOn w:val="DefaultParagraphFont"/>
    <w:uiPriority w:val="99"/>
    <w:semiHidden/>
    <w:unhideWhenUsed/>
    <w:rsid w:val="00A0680F"/>
    <w:rPr>
      <w:sz w:val="16"/>
      <w:szCs w:val="16"/>
    </w:rPr>
  </w:style>
  <w:style w:type="paragraph" w:styleId="CommentText">
    <w:name w:val="annotation text"/>
    <w:basedOn w:val="Normal"/>
    <w:link w:val="CommentTextChar"/>
    <w:uiPriority w:val="99"/>
    <w:semiHidden/>
    <w:unhideWhenUsed/>
    <w:rsid w:val="00A0680F"/>
    <w:pPr>
      <w:spacing w:line="240" w:lineRule="auto"/>
    </w:pPr>
    <w:rPr>
      <w:sz w:val="20"/>
      <w:szCs w:val="20"/>
    </w:rPr>
  </w:style>
  <w:style w:type="character" w:customStyle="1" w:styleId="CommentTextChar">
    <w:name w:val="Comment Text Char"/>
    <w:basedOn w:val="DefaultParagraphFont"/>
    <w:link w:val="CommentText"/>
    <w:uiPriority w:val="99"/>
    <w:semiHidden/>
    <w:rsid w:val="00A0680F"/>
    <w:rPr>
      <w:lang w:bidi="ar-SA"/>
    </w:rPr>
  </w:style>
  <w:style w:type="paragraph" w:styleId="CommentSubject">
    <w:name w:val="annotation subject"/>
    <w:basedOn w:val="CommentText"/>
    <w:next w:val="CommentText"/>
    <w:link w:val="CommentSubjectChar"/>
    <w:uiPriority w:val="99"/>
    <w:semiHidden/>
    <w:unhideWhenUsed/>
    <w:rsid w:val="00A0680F"/>
    <w:rPr>
      <w:b/>
      <w:bCs/>
    </w:rPr>
  </w:style>
  <w:style w:type="character" w:customStyle="1" w:styleId="CommentSubjectChar">
    <w:name w:val="Comment Subject Char"/>
    <w:basedOn w:val="CommentTextChar"/>
    <w:link w:val="CommentSubject"/>
    <w:uiPriority w:val="99"/>
    <w:semiHidden/>
    <w:rsid w:val="00A0680F"/>
    <w:rPr>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719488">
      <w:bodyDiv w:val="1"/>
      <w:marLeft w:val="0"/>
      <w:marRight w:val="0"/>
      <w:marTop w:val="0"/>
      <w:marBottom w:val="0"/>
      <w:divBdr>
        <w:top w:val="none" w:sz="0" w:space="0" w:color="auto"/>
        <w:left w:val="none" w:sz="0" w:space="0" w:color="auto"/>
        <w:bottom w:val="none" w:sz="0" w:space="0" w:color="auto"/>
        <w:right w:val="none" w:sz="0" w:space="0" w:color="auto"/>
      </w:divBdr>
      <w:divsChild>
        <w:div w:id="369499458">
          <w:marLeft w:val="0"/>
          <w:marRight w:val="0"/>
          <w:marTop w:val="0"/>
          <w:marBottom w:val="0"/>
          <w:divBdr>
            <w:top w:val="none" w:sz="0" w:space="0" w:color="auto"/>
            <w:left w:val="none" w:sz="0" w:space="0" w:color="auto"/>
            <w:bottom w:val="none" w:sz="0" w:space="0" w:color="auto"/>
            <w:right w:val="none" w:sz="0" w:space="0" w:color="auto"/>
          </w:divBdr>
        </w:div>
        <w:div w:id="910190875">
          <w:marLeft w:val="0"/>
          <w:marRight w:val="0"/>
          <w:marTop w:val="0"/>
          <w:marBottom w:val="0"/>
          <w:divBdr>
            <w:top w:val="none" w:sz="0" w:space="0" w:color="auto"/>
            <w:left w:val="none" w:sz="0" w:space="0" w:color="auto"/>
            <w:bottom w:val="none" w:sz="0" w:space="0" w:color="auto"/>
            <w:right w:val="none" w:sz="0" w:space="0" w:color="auto"/>
          </w:divBdr>
        </w:div>
        <w:div w:id="1146242093">
          <w:marLeft w:val="0"/>
          <w:marRight w:val="0"/>
          <w:marTop w:val="0"/>
          <w:marBottom w:val="0"/>
          <w:divBdr>
            <w:top w:val="none" w:sz="0" w:space="0" w:color="auto"/>
            <w:left w:val="none" w:sz="0" w:space="0" w:color="auto"/>
            <w:bottom w:val="none" w:sz="0" w:space="0" w:color="auto"/>
            <w:right w:val="none" w:sz="0" w:space="0" w:color="auto"/>
          </w:divBdr>
        </w:div>
        <w:div w:id="1262102318">
          <w:marLeft w:val="0"/>
          <w:marRight w:val="0"/>
          <w:marTop w:val="0"/>
          <w:marBottom w:val="0"/>
          <w:divBdr>
            <w:top w:val="none" w:sz="0" w:space="0" w:color="auto"/>
            <w:left w:val="none" w:sz="0" w:space="0" w:color="auto"/>
            <w:bottom w:val="none" w:sz="0" w:space="0" w:color="auto"/>
            <w:right w:val="none" w:sz="0" w:space="0" w:color="auto"/>
          </w:divBdr>
        </w:div>
        <w:div w:id="2049983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hdl.handle.net/2027/spo.3521354.0005.005"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ah/Documents/OneDrive/Documents/GENERAL%20ACADEMIC/FISCH-BENBAJI%20BOOK/CHAPTERS/WANDERER,%20JEREMY/Wanderer,%20On%20Changing%20Your%20Mi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26A1C-05B7-254A-B5AB-0A6DFBA8B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Wanderer, On Changing Your Mind.dot</Template>
  <TotalTime>1</TotalTime>
  <Pages>18</Pages>
  <Words>7533</Words>
  <Characters>42941</Characters>
  <Application>Microsoft Macintosh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50374</CharactersWithSpaces>
  <SharedDoc>false</SharedDoc>
  <HLinks>
    <vt:vector size="6" baseType="variant">
      <vt:variant>
        <vt:i4>2228322</vt:i4>
      </vt:variant>
      <vt:variant>
        <vt:i4>0</vt:i4>
      </vt:variant>
      <vt:variant>
        <vt:i4>0</vt:i4>
      </vt:variant>
      <vt:variant>
        <vt:i4>5</vt:i4>
      </vt:variant>
      <vt:variant>
        <vt:lpwstr>http://hdl.handle.net/2027/spo.3521354.0005.005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Noah Efron</cp:lastModifiedBy>
  <cp:revision>2</cp:revision>
  <cp:lastPrinted>2014-11-17T08:16:00Z</cp:lastPrinted>
  <dcterms:created xsi:type="dcterms:W3CDTF">2020-07-21T15:03:00Z</dcterms:created>
  <dcterms:modified xsi:type="dcterms:W3CDTF">2020-07-21T15:03:00Z</dcterms:modified>
</cp:coreProperties>
</file>