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12100" w14:textId="2BE48AC8" w:rsidR="005C2A54" w:rsidRPr="004C7092" w:rsidRDefault="00D24A94" w:rsidP="004C7092">
      <w:pPr>
        <w:bidi w:val="0"/>
        <w:spacing w:line="480" w:lineRule="auto"/>
        <w:jc w:val="center"/>
        <w:rPr>
          <w:rFonts w:asciiTheme="majorBidi" w:hAnsiTheme="majorBidi" w:cstheme="majorBidi"/>
          <w:b/>
          <w:bCs/>
        </w:rPr>
      </w:pPr>
      <w:r>
        <w:rPr>
          <w:rFonts w:asciiTheme="majorBidi" w:hAnsiTheme="majorBidi" w:cstheme="majorBidi"/>
          <w:b/>
          <w:bCs/>
        </w:rPr>
        <w:t>Was there an</w:t>
      </w:r>
      <w:r w:rsidR="00745B18" w:rsidRPr="004C7092">
        <w:rPr>
          <w:rFonts w:asciiTheme="majorBidi" w:hAnsiTheme="majorBidi" w:cstheme="majorBidi"/>
          <w:b/>
          <w:bCs/>
        </w:rPr>
        <w:t xml:space="preserve"> English National Identity</w:t>
      </w:r>
      <w:r w:rsidR="00C60AFE">
        <w:rPr>
          <w:rFonts w:asciiTheme="majorBidi" w:hAnsiTheme="majorBidi" w:cstheme="majorBidi" w:hint="cs"/>
          <w:b/>
          <w:bCs/>
          <w:rtl/>
        </w:rPr>
        <w:t>?</w:t>
      </w:r>
      <w:r w:rsidR="00AD7589" w:rsidRPr="004C7092">
        <w:rPr>
          <w:rFonts w:asciiTheme="majorBidi" w:hAnsiTheme="majorBidi" w:cstheme="majorBidi"/>
          <w:b/>
          <w:bCs/>
        </w:rPr>
        <w:t xml:space="preserve"> </w:t>
      </w:r>
      <w:r>
        <w:rPr>
          <w:rFonts w:asciiTheme="majorBidi" w:hAnsiTheme="majorBidi" w:cstheme="majorBidi"/>
          <w:b/>
          <w:bCs/>
        </w:rPr>
        <w:t xml:space="preserve">A Troubled </w:t>
      </w:r>
      <w:r w:rsidR="0038261F">
        <w:rPr>
          <w:rFonts w:asciiTheme="majorBidi" w:hAnsiTheme="majorBidi" w:cstheme="majorBidi"/>
          <w:b/>
          <w:bCs/>
        </w:rPr>
        <w:t xml:space="preserve">Historiographical </w:t>
      </w:r>
      <w:r>
        <w:rPr>
          <w:rFonts w:asciiTheme="majorBidi" w:hAnsiTheme="majorBidi" w:cstheme="majorBidi"/>
          <w:b/>
          <w:bCs/>
        </w:rPr>
        <w:t>Discourse</w:t>
      </w:r>
      <w:r w:rsidR="00677E67" w:rsidRPr="004C7092">
        <w:rPr>
          <w:rFonts w:asciiTheme="majorBidi" w:hAnsiTheme="majorBidi" w:cstheme="majorBidi"/>
          <w:b/>
          <w:bCs/>
        </w:rPr>
        <w:t xml:space="preserve"> </w:t>
      </w:r>
      <w:r w:rsidR="00F8385B" w:rsidRPr="004C7092">
        <w:rPr>
          <w:rFonts w:asciiTheme="majorBidi" w:hAnsiTheme="majorBidi" w:cstheme="majorBidi"/>
          <w:b/>
          <w:bCs/>
        </w:rPr>
        <w:t xml:space="preserve"> </w:t>
      </w:r>
    </w:p>
    <w:p w14:paraId="690F642C" w14:textId="77777777" w:rsidR="00486D46" w:rsidRPr="004C7092" w:rsidRDefault="00486D46" w:rsidP="004C7092">
      <w:pPr>
        <w:bidi w:val="0"/>
        <w:spacing w:line="480" w:lineRule="auto"/>
        <w:jc w:val="both"/>
        <w:rPr>
          <w:rFonts w:asciiTheme="majorBidi" w:hAnsiTheme="majorBidi" w:cstheme="majorBidi"/>
        </w:rPr>
      </w:pPr>
    </w:p>
    <w:sdt>
      <w:sdtPr>
        <w:rPr>
          <w:rFonts w:asciiTheme="majorBidi" w:eastAsia="Times New Roman" w:hAnsiTheme="majorBidi" w:cs="Times New Roman"/>
          <w:color w:val="auto"/>
          <w:sz w:val="24"/>
          <w:szCs w:val="24"/>
          <w:lang w:bidi="he-IL"/>
        </w:rPr>
        <w:id w:val="-1281498387"/>
        <w:docPartObj>
          <w:docPartGallery w:val="Table of Contents"/>
          <w:docPartUnique/>
        </w:docPartObj>
      </w:sdtPr>
      <w:sdtEndPr>
        <w:rPr>
          <w:b/>
          <w:bCs/>
          <w:noProof/>
        </w:rPr>
      </w:sdtEndPr>
      <w:sdtContent>
        <w:p w14:paraId="0E82CBBF" w14:textId="19409D88" w:rsidR="00BC1E73" w:rsidRPr="004C7092" w:rsidRDefault="00BC1E73" w:rsidP="00780185">
          <w:pPr>
            <w:pStyle w:val="ad"/>
            <w:spacing w:line="480" w:lineRule="auto"/>
            <w:rPr>
              <w:rFonts w:asciiTheme="majorBidi" w:hAnsiTheme="majorBidi"/>
              <w:sz w:val="24"/>
              <w:szCs w:val="24"/>
            </w:rPr>
          </w:pPr>
          <w:r w:rsidRPr="004C7092">
            <w:rPr>
              <w:rFonts w:asciiTheme="majorBidi" w:hAnsiTheme="majorBidi"/>
              <w:sz w:val="24"/>
              <w:szCs w:val="24"/>
            </w:rPr>
            <w:t>Contents</w:t>
          </w:r>
        </w:p>
        <w:p w14:paraId="5EB3444D" w14:textId="77777777" w:rsidR="00780185" w:rsidRDefault="00BC1E73" w:rsidP="00780185">
          <w:pPr>
            <w:pStyle w:val="TOC1"/>
            <w:tabs>
              <w:tab w:val="right" w:leader="dot" w:pos="9736"/>
            </w:tabs>
            <w:bidi w:val="0"/>
            <w:rPr>
              <w:rFonts w:asciiTheme="minorHAnsi" w:eastAsiaTheme="minorEastAsia" w:hAnsiTheme="minorHAnsi" w:cstheme="minorBidi"/>
              <w:noProof/>
              <w:sz w:val="22"/>
              <w:szCs w:val="22"/>
              <w:rtl/>
            </w:rPr>
          </w:pPr>
          <w:r w:rsidRPr="004C7092">
            <w:rPr>
              <w:rFonts w:asciiTheme="majorBidi" w:hAnsiTheme="majorBidi" w:cstheme="majorBidi"/>
            </w:rPr>
            <w:fldChar w:fldCharType="begin"/>
          </w:r>
          <w:r w:rsidRPr="004C7092">
            <w:rPr>
              <w:rFonts w:asciiTheme="majorBidi" w:hAnsiTheme="majorBidi" w:cstheme="majorBidi"/>
            </w:rPr>
            <w:instrText xml:space="preserve"> TOC \o "1-3" \h \z \u </w:instrText>
          </w:r>
          <w:r w:rsidRPr="004C7092">
            <w:rPr>
              <w:rFonts w:asciiTheme="majorBidi" w:hAnsiTheme="majorBidi" w:cstheme="majorBidi"/>
            </w:rPr>
            <w:fldChar w:fldCharType="separate"/>
          </w:r>
          <w:hyperlink w:anchor="_Toc42845029" w:history="1">
            <w:r w:rsidR="00780185" w:rsidRPr="00D90DAA">
              <w:rPr>
                <w:rStyle w:val="Hyperlink"/>
                <w:rFonts w:asciiTheme="majorBidi" w:hAnsiTheme="majorBidi" w:cstheme="majorBidi"/>
                <w:i/>
                <w:iCs/>
                <w:noProof/>
              </w:rPr>
              <w:t>Abstract</w:t>
            </w:r>
            <w:r w:rsidR="00780185">
              <w:rPr>
                <w:noProof/>
                <w:webHidden/>
                <w:rtl/>
              </w:rPr>
              <w:tab/>
            </w:r>
            <w:r w:rsidR="00780185">
              <w:rPr>
                <w:noProof/>
                <w:webHidden/>
                <w:rtl/>
              </w:rPr>
              <w:fldChar w:fldCharType="begin"/>
            </w:r>
            <w:r w:rsidR="00780185">
              <w:rPr>
                <w:noProof/>
                <w:webHidden/>
                <w:rtl/>
              </w:rPr>
              <w:instrText xml:space="preserve"> </w:instrText>
            </w:r>
            <w:r w:rsidR="00780185">
              <w:rPr>
                <w:noProof/>
                <w:webHidden/>
              </w:rPr>
              <w:instrText>PAGEREF</w:instrText>
            </w:r>
            <w:r w:rsidR="00780185">
              <w:rPr>
                <w:noProof/>
                <w:webHidden/>
                <w:rtl/>
              </w:rPr>
              <w:instrText xml:space="preserve"> _</w:instrText>
            </w:r>
            <w:r w:rsidR="00780185">
              <w:rPr>
                <w:noProof/>
                <w:webHidden/>
              </w:rPr>
              <w:instrText>Toc42845029 \h</w:instrText>
            </w:r>
            <w:r w:rsidR="00780185">
              <w:rPr>
                <w:noProof/>
                <w:webHidden/>
                <w:rtl/>
              </w:rPr>
              <w:instrText xml:space="preserve"> </w:instrText>
            </w:r>
            <w:r w:rsidR="00780185">
              <w:rPr>
                <w:noProof/>
                <w:webHidden/>
                <w:rtl/>
              </w:rPr>
            </w:r>
            <w:r w:rsidR="00780185">
              <w:rPr>
                <w:noProof/>
                <w:webHidden/>
                <w:rtl/>
              </w:rPr>
              <w:fldChar w:fldCharType="separate"/>
            </w:r>
            <w:r w:rsidR="00780185">
              <w:rPr>
                <w:noProof/>
                <w:webHidden/>
                <w:rtl/>
              </w:rPr>
              <w:t>1</w:t>
            </w:r>
            <w:r w:rsidR="00780185">
              <w:rPr>
                <w:noProof/>
                <w:webHidden/>
                <w:rtl/>
              </w:rPr>
              <w:fldChar w:fldCharType="end"/>
            </w:r>
          </w:hyperlink>
        </w:p>
        <w:p w14:paraId="1E50390B" w14:textId="77777777" w:rsidR="00780185" w:rsidRDefault="00413FBE" w:rsidP="00780185">
          <w:pPr>
            <w:pStyle w:val="TOC1"/>
            <w:tabs>
              <w:tab w:val="right" w:leader="dot" w:pos="9736"/>
            </w:tabs>
            <w:bidi w:val="0"/>
            <w:rPr>
              <w:rFonts w:asciiTheme="minorHAnsi" w:eastAsiaTheme="minorEastAsia" w:hAnsiTheme="minorHAnsi" w:cstheme="minorBidi"/>
              <w:noProof/>
              <w:sz w:val="22"/>
              <w:szCs w:val="22"/>
              <w:rtl/>
            </w:rPr>
          </w:pPr>
          <w:hyperlink w:anchor="_Toc42845030" w:history="1">
            <w:r w:rsidR="00780185" w:rsidRPr="00D90DAA">
              <w:rPr>
                <w:rStyle w:val="Hyperlink"/>
                <w:rFonts w:asciiTheme="majorBidi" w:hAnsiTheme="majorBidi" w:cstheme="majorBidi"/>
                <w:i/>
                <w:iCs/>
                <w:noProof/>
              </w:rPr>
              <w:t>Introduction</w:t>
            </w:r>
            <w:r w:rsidR="00780185">
              <w:rPr>
                <w:noProof/>
                <w:webHidden/>
                <w:rtl/>
              </w:rPr>
              <w:tab/>
            </w:r>
            <w:r w:rsidR="00780185">
              <w:rPr>
                <w:noProof/>
                <w:webHidden/>
                <w:rtl/>
              </w:rPr>
              <w:fldChar w:fldCharType="begin"/>
            </w:r>
            <w:r w:rsidR="00780185">
              <w:rPr>
                <w:noProof/>
                <w:webHidden/>
                <w:rtl/>
              </w:rPr>
              <w:instrText xml:space="preserve"> </w:instrText>
            </w:r>
            <w:r w:rsidR="00780185">
              <w:rPr>
                <w:noProof/>
                <w:webHidden/>
              </w:rPr>
              <w:instrText>PAGEREF</w:instrText>
            </w:r>
            <w:r w:rsidR="00780185">
              <w:rPr>
                <w:noProof/>
                <w:webHidden/>
                <w:rtl/>
              </w:rPr>
              <w:instrText xml:space="preserve"> _</w:instrText>
            </w:r>
            <w:r w:rsidR="00780185">
              <w:rPr>
                <w:noProof/>
                <w:webHidden/>
              </w:rPr>
              <w:instrText>Toc42845030 \h</w:instrText>
            </w:r>
            <w:r w:rsidR="00780185">
              <w:rPr>
                <w:noProof/>
                <w:webHidden/>
                <w:rtl/>
              </w:rPr>
              <w:instrText xml:space="preserve"> </w:instrText>
            </w:r>
            <w:r w:rsidR="00780185">
              <w:rPr>
                <w:noProof/>
                <w:webHidden/>
                <w:rtl/>
              </w:rPr>
            </w:r>
            <w:r w:rsidR="00780185">
              <w:rPr>
                <w:noProof/>
                <w:webHidden/>
                <w:rtl/>
              </w:rPr>
              <w:fldChar w:fldCharType="separate"/>
            </w:r>
            <w:r w:rsidR="00780185">
              <w:rPr>
                <w:noProof/>
                <w:webHidden/>
                <w:rtl/>
              </w:rPr>
              <w:t>2</w:t>
            </w:r>
            <w:r w:rsidR="00780185">
              <w:rPr>
                <w:noProof/>
                <w:webHidden/>
                <w:rtl/>
              </w:rPr>
              <w:fldChar w:fldCharType="end"/>
            </w:r>
          </w:hyperlink>
        </w:p>
        <w:p w14:paraId="06A92EEB" w14:textId="77777777" w:rsidR="00780185" w:rsidRDefault="00413FBE" w:rsidP="00780185">
          <w:pPr>
            <w:pStyle w:val="TOC1"/>
            <w:tabs>
              <w:tab w:val="right" w:leader="dot" w:pos="9736"/>
            </w:tabs>
            <w:bidi w:val="0"/>
            <w:rPr>
              <w:rFonts w:asciiTheme="minorHAnsi" w:eastAsiaTheme="minorEastAsia" w:hAnsiTheme="minorHAnsi" w:cstheme="minorBidi"/>
              <w:noProof/>
              <w:sz w:val="22"/>
              <w:szCs w:val="22"/>
              <w:rtl/>
            </w:rPr>
          </w:pPr>
          <w:hyperlink w:anchor="_Toc42845031" w:history="1">
            <w:r w:rsidR="00780185" w:rsidRPr="00D90DAA">
              <w:rPr>
                <w:rStyle w:val="Hyperlink"/>
                <w:rFonts w:asciiTheme="majorBidi" w:hAnsiTheme="majorBidi" w:cstheme="majorBidi"/>
                <w:i/>
                <w:iCs/>
                <w:noProof/>
              </w:rPr>
              <w:t>Protestantism and the Nation – One under Heaven?</w:t>
            </w:r>
            <w:r w:rsidR="00780185">
              <w:rPr>
                <w:noProof/>
                <w:webHidden/>
                <w:rtl/>
              </w:rPr>
              <w:tab/>
            </w:r>
            <w:r w:rsidR="00780185">
              <w:rPr>
                <w:noProof/>
                <w:webHidden/>
                <w:rtl/>
              </w:rPr>
              <w:fldChar w:fldCharType="begin"/>
            </w:r>
            <w:r w:rsidR="00780185">
              <w:rPr>
                <w:noProof/>
                <w:webHidden/>
                <w:rtl/>
              </w:rPr>
              <w:instrText xml:space="preserve"> </w:instrText>
            </w:r>
            <w:r w:rsidR="00780185">
              <w:rPr>
                <w:noProof/>
                <w:webHidden/>
              </w:rPr>
              <w:instrText>PAGEREF</w:instrText>
            </w:r>
            <w:r w:rsidR="00780185">
              <w:rPr>
                <w:noProof/>
                <w:webHidden/>
                <w:rtl/>
              </w:rPr>
              <w:instrText xml:space="preserve"> _</w:instrText>
            </w:r>
            <w:r w:rsidR="00780185">
              <w:rPr>
                <w:noProof/>
                <w:webHidden/>
              </w:rPr>
              <w:instrText>Toc42845031 \h</w:instrText>
            </w:r>
            <w:r w:rsidR="00780185">
              <w:rPr>
                <w:noProof/>
                <w:webHidden/>
                <w:rtl/>
              </w:rPr>
              <w:instrText xml:space="preserve"> </w:instrText>
            </w:r>
            <w:r w:rsidR="00780185">
              <w:rPr>
                <w:noProof/>
                <w:webHidden/>
                <w:rtl/>
              </w:rPr>
            </w:r>
            <w:r w:rsidR="00780185">
              <w:rPr>
                <w:noProof/>
                <w:webHidden/>
                <w:rtl/>
              </w:rPr>
              <w:fldChar w:fldCharType="separate"/>
            </w:r>
            <w:r w:rsidR="00780185">
              <w:rPr>
                <w:noProof/>
                <w:webHidden/>
                <w:rtl/>
              </w:rPr>
              <w:t>4</w:t>
            </w:r>
            <w:r w:rsidR="00780185">
              <w:rPr>
                <w:noProof/>
                <w:webHidden/>
                <w:rtl/>
              </w:rPr>
              <w:fldChar w:fldCharType="end"/>
            </w:r>
          </w:hyperlink>
        </w:p>
        <w:p w14:paraId="2379B1A2" w14:textId="77777777" w:rsidR="00780185" w:rsidRDefault="00413FBE" w:rsidP="00780185">
          <w:pPr>
            <w:pStyle w:val="TOC3"/>
            <w:tabs>
              <w:tab w:val="right" w:leader="dot" w:pos="9736"/>
            </w:tabs>
            <w:bidi w:val="0"/>
            <w:rPr>
              <w:rFonts w:asciiTheme="minorHAnsi" w:eastAsiaTheme="minorEastAsia" w:hAnsiTheme="minorHAnsi" w:cstheme="minorBidi"/>
              <w:noProof/>
              <w:sz w:val="22"/>
              <w:szCs w:val="22"/>
              <w:rtl/>
            </w:rPr>
          </w:pPr>
          <w:hyperlink w:anchor="_Toc42845032" w:history="1">
            <w:r w:rsidR="00780185" w:rsidRPr="00D90DAA">
              <w:rPr>
                <w:rStyle w:val="Hyperlink"/>
                <w:rFonts w:asciiTheme="majorBidi" w:hAnsiTheme="majorBidi" w:cstheme="majorBidi"/>
                <w:i/>
                <w:iCs/>
                <w:noProof/>
              </w:rPr>
              <w:t>Protestant Nation</w:t>
            </w:r>
            <w:r w:rsidR="00780185">
              <w:rPr>
                <w:noProof/>
                <w:webHidden/>
                <w:rtl/>
              </w:rPr>
              <w:tab/>
            </w:r>
            <w:r w:rsidR="00780185">
              <w:rPr>
                <w:noProof/>
                <w:webHidden/>
                <w:rtl/>
              </w:rPr>
              <w:fldChar w:fldCharType="begin"/>
            </w:r>
            <w:r w:rsidR="00780185">
              <w:rPr>
                <w:noProof/>
                <w:webHidden/>
                <w:rtl/>
              </w:rPr>
              <w:instrText xml:space="preserve"> </w:instrText>
            </w:r>
            <w:r w:rsidR="00780185">
              <w:rPr>
                <w:noProof/>
                <w:webHidden/>
              </w:rPr>
              <w:instrText>PAGEREF</w:instrText>
            </w:r>
            <w:r w:rsidR="00780185">
              <w:rPr>
                <w:noProof/>
                <w:webHidden/>
                <w:rtl/>
              </w:rPr>
              <w:instrText xml:space="preserve"> _</w:instrText>
            </w:r>
            <w:r w:rsidR="00780185">
              <w:rPr>
                <w:noProof/>
                <w:webHidden/>
              </w:rPr>
              <w:instrText>Toc42845032 \h</w:instrText>
            </w:r>
            <w:r w:rsidR="00780185">
              <w:rPr>
                <w:noProof/>
                <w:webHidden/>
                <w:rtl/>
              </w:rPr>
              <w:instrText xml:space="preserve"> </w:instrText>
            </w:r>
            <w:r w:rsidR="00780185">
              <w:rPr>
                <w:noProof/>
                <w:webHidden/>
                <w:rtl/>
              </w:rPr>
            </w:r>
            <w:r w:rsidR="00780185">
              <w:rPr>
                <w:noProof/>
                <w:webHidden/>
                <w:rtl/>
              </w:rPr>
              <w:fldChar w:fldCharType="separate"/>
            </w:r>
            <w:r w:rsidR="00780185">
              <w:rPr>
                <w:noProof/>
                <w:webHidden/>
                <w:rtl/>
              </w:rPr>
              <w:t>4</w:t>
            </w:r>
            <w:r w:rsidR="00780185">
              <w:rPr>
                <w:noProof/>
                <w:webHidden/>
                <w:rtl/>
              </w:rPr>
              <w:fldChar w:fldCharType="end"/>
            </w:r>
          </w:hyperlink>
        </w:p>
        <w:p w14:paraId="0EA0598A" w14:textId="77777777" w:rsidR="00780185" w:rsidRDefault="00413FBE" w:rsidP="00780185">
          <w:pPr>
            <w:pStyle w:val="TOC3"/>
            <w:tabs>
              <w:tab w:val="right" w:leader="dot" w:pos="9736"/>
            </w:tabs>
            <w:bidi w:val="0"/>
            <w:rPr>
              <w:rFonts w:asciiTheme="minorHAnsi" w:eastAsiaTheme="minorEastAsia" w:hAnsiTheme="minorHAnsi" w:cstheme="minorBidi"/>
              <w:noProof/>
              <w:sz w:val="22"/>
              <w:szCs w:val="22"/>
              <w:rtl/>
            </w:rPr>
          </w:pPr>
          <w:hyperlink w:anchor="_Toc42845033" w:history="1">
            <w:r w:rsidR="00780185" w:rsidRPr="00D90DAA">
              <w:rPr>
                <w:rStyle w:val="Hyperlink"/>
                <w:rFonts w:asciiTheme="majorBidi" w:hAnsiTheme="majorBidi" w:cstheme="majorBidi"/>
                <w:i/>
                <w:iCs/>
                <w:noProof/>
              </w:rPr>
              <w:t>Protestantism and/vs. Political Freedom</w:t>
            </w:r>
            <w:r w:rsidR="00780185">
              <w:rPr>
                <w:noProof/>
                <w:webHidden/>
                <w:rtl/>
              </w:rPr>
              <w:tab/>
            </w:r>
            <w:r w:rsidR="00780185">
              <w:rPr>
                <w:noProof/>
                <w:webHidden/>
                <w:rtl/>
              </w:rPr>
              <w:fldChar w:fldCharType="begin"/>
            </w:r>
            <w:r w:rsidR="00780185">
              <w:rPr>
                <w:noProof/>
                <w:webHidden/>
                <w:rtl/>
              </w:rPr>
              <w:instrText xml:space="preserve"> </w:instrText>
            </w:r>
            <w:r w:rsidR="00780185">
              <w:rPr>
                <w:noProof/>
                <w:webHidden/>
              </w:rPr>
              <w:instrText>PAGEREF</w:instrText>
            </w:r>
            <w:r w:rsidR="00780185">
              <w:rPr>
                <w:noProof/>
                <w:webHidden/>
                <w:rtl/>
              </w:rPr>
              <w:instrText xml:space="preserve"> _</w:instrText>
            </w:r>
            <w:r w:rsidR="00780185">
              <w:rPr>
                <w:noProof/>
                <w:webHidden/>
              </w:rPr>
              <w:instrText>Toc42845033 \h</w:instrText>
            </w:r>
            <w:r w:rsidR="00780185">
              <w:rPr>
                <w:noProof/>
                <w:webHidden/>
                <w:rtl/>
              </w:rPr>
              <w:instrText xml:space="preserve"> </w:instrText>
            </w:r>
            <w:r w:rsidR="00780185">
              <w:rPr>
                <w:noProof/>
                <w:webHidden/>
                <w:rtl/>
              </w:rPr>
            </w:r>
            <w:r w:rsidR="00780185">
              <w:rPr>
                <w:noProof/>
                <w:webHidden/>
                <w:rtl/>
              </w:rPr>
              <w:fldChar w:fldCharType="separate"/>
            </w:r>
            <w:r w:rsidR="00780185">
              <w:rPr>
                <w:noProof/>
                <w:webHidden/>
                <w:rtl/>
              </w:rPr>
              <w:t>10</w:t>
            </w:r>
            <w:r w:rsidR="00780185">
              <w:rPr>
                <w:noProof/>
                <w:webHidden/>
                <w:rtl/>
              </w:rPr>
              <w:fldChar w:fldCharType="end"/>
            </w:r>
          </w:hyperlink>
        </w:p>
        <w:p w14:paraId="3897B3C3" w14:textId="77777777" w:rsidR="00780185" w:rsidRDefault="00413FBE" w:rsidP="00780185">
          <w:pPr>
            <w:pStyle w:val="TOC1"/>
            <w:tabs>
              <w:tab w:val="right" w:leader="dot" w:pos="9736"/>
            </w:tabs>
            <w:bidi w:val="0"/>
            <w:rPr>
              <w:rFonts w:asciiTheme="minorHAnsi" w:eastAsiaTheme="minorEastAsia" w:hAnsiTheme="minorHAnsi" w:cstheme="minorBidi"/>
              <w:noProof/>
              <w:sz w:val="22"/>
              <w:szCs w:val="22"/>
              <w:rtl/>
            </w:rPr>
          </w:pPr>
          <w:hyperlink w:anchor="_Toc42845034" w:history="1">
            <w:r w:rsidR="00780185" w:rsidRPr="00D90DAA">
              <w:rPr>
                <w:rStyle w:val="Hyperlink"/>
                <w:rFonts w:asciiTheme="majorBidi" w:hAnsiTheme="majorBidi" w:cstheme="majorBidi"/>
                <w:i/>
                <w:iCs/>
                <w:noProof/>
              </w:rPr>
              <w:t>Empire – Connections and Contradictions</w:t>
            </w:r>
            <w:r w:rsidR="00780185">
              <w:rPr>
                <w:noProof/>
                <w:webHidden/>
                <w:rtl/>
              </w:rPr>
              <w:tab/>
            </w:r>
            <w:r w:rsidR="00780185">
              <w:rPr>
                <w:noProof/>
                <w:webHidden/>
                <w:rtl/>
              </w:rPr>
              <w:fldChar w:fldCharType="begin"/>
            </w:r>
            <w:r w:rsidR="00780185">
              <w:rPr>
                <w:noProof/>
                <w:webHidden/>
                <w:rtl/>
              </w:rPr>
              <w:instrText xml:space="preserve"> </w:instrText>
            </w:r>
            <w:r w:rsidR="00780185">
              <w:rPr>
                <w:noProof/>
                <w:webHidden/>
              </w:rPr>
              <w:instrText>PAGEREF</w:instrText>
            </w:r>
            <w:r w:rsidR="00780185">
              <w:rPr>
                <w:noProof/>
                <w:webHidden/>
                <w:rtl/>
              </w:rPr>
              <w:instrText xml:space="preserve"> _</w:instrText>
            </w:r>
            <w:r w:rsidR="00780185">
              <w:rPr>
                <w:noProof/>
                <w:webHidden/>
              </w:rPr>
              <w:instrText>Toc42845034 \h</w:instrText>
            </w:r>
            <w:r w:rsidR="00780185">
              <w:rPr>
                <w:noProof/>
                <w:webHidden/>
                <w:rtl/>
              </w:rPr>
              <w:instrText xml:space="preserve"> </w:instrText>
            </w:r>
            <w:r w:rsidR="00780185">
              <w:rPr>
                <w:noProof/>
                <w:webHidden/>
                <w:rtl/>
              </w:rPr>
            </w:r>
            <w:r w:rsidR="00780185">
              <w:rPr>
                <w:noProof/>
                <w:webHidden/>
                <w:rtl/>
              </w:rPr>
              <w:fldChar w:fldCharType="separate"/>
            </w:r>
            <w:r w:rsidR="00780185">
              <w:rPr>
                <w:noProof/>
                <w:webHidden/>
                <w:rtl/>
              </w:rPr>
              <w:t>14</w:t>
            </w:r>
            <w:r w:rsidR="00780185">
              <w:rPr>
                <w:noProof/>
                <w:webHidden/>
                <w:rtl/>
              </w:rPr>
              <w:fldChar w:fldCharType="end"/>
            </w:r>
          </w:hyperlink>
        </w:p>
        <w:p w14:paraId="2ED81542" w14:textId="77777777" w:rsidR="00780185" w:rsidRDefault="00413FBE" w:rsidP="00780185">
          <w:pPr>
            <w:pStyle w:val="TOC3"/>
            <w:tabs>
              <w:tab w:val="right" w:leader="dot" w:pos="9736"/>
            </w:tabs>
            <w:bidi w:val="0"/>
            <w:rPr>
              <w:rFonts w:asciiTheme="minorHAnsi" w:eastAsiaTheme="minorEastAsia" w:hAnsiTheme="minorHAnsi" w:cstheme="minorBidi"/>
              <w:noProof/>
              <w:sz w:val="22"/>
              <w:szCs w:val="22"/>
              <w:rtl/>
            </w:rPr>
          </w:pPr>
          <w:hyperlink w:anchor="_Toc42845035" w:history="1">
            <w:r w:rsidR="00780185" w:rsidRPr="00D90DAA">
              <w:rPr>
                <w:rStyle w:val="Hyperlink"/>
                <w:rFonts w:asciiTheme="majorBidi" w:hAnsiTheme="majorBidi" w:cstheme="majorBidi"/>
                <w:i/>
                <w:iCs/>
                <w:noProof/>
              </w:rPr>
              <w:t>Empire and Nation</w:t>
            </w:r>
            <w:r w:rsidR="00780185">
              <w:rPr>
                <w:noProof/>
                <w:webHidden/>
                <w:rtl/>
              </w:rPr>
              <w:tab/>
            </w:r>
            <w:r w:rsidR="00780185">
              <w:rPr>
                <w:noProof/>
                <w:webHidden/>
                <w:rtl/>
              </w:rPr>
              <w:fldChar w:fldCharType="begin"/>
            </w:r>
            <w:r w:rsidR="00780185">
              <w:rPr>
                <w:noProof/>
                <w:webHidden/>
                <w:rtl/>
              </w:rPr>
              <w:instrText xml:space="preserve"> </w:instrText>
            </w:r>
            <w:r w:rsidR="00780185">
              <w:rPr>
                <w:noProof/>
                <w:webHidden/>
              </w:rPr>
              <w:instrText>PAGEREF</w:instrText>
            </w:r>
            <w:r w:rsidR="00780185">
              <w:rPr>
                <w:noProof/>
                <w:webHidden/>
                <w:rtl/>
              </w:rPr>
              <w:instrText xml:space="preserve"> _</w:instrText>
            </w:r>
            <w:r w:rsidR="00780185">
              <w:rPr>
                <w:noProof/>
                <w:webHidden/>
              </w:rPr>
              <w:instrText>Toc42845035 \h</w:instrText>
            </w:r>
            <w:r w:rsidR="00780185">
              <w:rPr>
                <w:noProof/>
                <w:webHidden/>
                <w:rtl/>
              </w:rPr>
              <w:instrText xml:space="preserve"> </w:instrText>
            </w:r>
            <w:r w:rsidR="00780185">
              <w:rPr>
                <w:noProof/>
                <w:webHidden/>
                <w:rtl/>
              </w:rPr>
            </w:r>
            <w:r w:rsidR="00780185">
              <w:rPr>
                <w:noProof/>
                <w:webHidden/>
                <w:rtl/>
              </w:rPr>
              <w:fldChar w:fldCharType="separate"/>
            </w:r>
            <w:r w:rsidR="00780185">
              <w:rPr>
                <w:noProof/>
                <w:webHidden/>
                <w:rtl/>
              </w:rPr>
              <w:t>14</w:t>
            </w:r>
            <w:r w:rsidR="00780185">
              <w:rPr>
                <w:noProof/>
                <w:webHidden/>
                <w:rtl/>
              </w:rPr>
              <w:fldChar w:fldCharType="end"/>
            </w:r>
          </w:hyperlink>
        </w:p>
        <w:p w14:paraId="32B46184" w14:textId="77777777" w:rsidR="00780185" w:rsidRDefault="00413FBE" w:rsidP="00780185">
          <w:pPr>
            <w:pStyle w:val="TOC3"/>
            <w:tabs>
              <w:tab w:val="right" w:leader="dot" w:pos="9736"/>
            </w:tabs>
            <w:bidi w:val="0"/>
            <w:rPr>
              <w:rFonts w:asciiTheme="minorHAnsi" w:eastAsiaTheme="minorEastAsia" w:hAnsiTheme="minorHAnsi" w:cstheme="minorBidi"/>
              <w:noProof/>
              <w:sz w:val="22"/>
              <w:szCs w:val="22"/>
              <w:rtl/>
            </w:rPr>
          </w:pPr>
          <w:hyperlink w:anchor="_Toc42845036" w:history="1">
            <w:r w:rsidR="00780185" w:rsidRPr="00D90DAA">
              <w:rPr>
                <w:rStyle w:val="Hyperlink"/>
                <w:rFonts w:asciiTheme="majorBidi" w:hAnsiTheme="majorBidi" w:cstheme="majorBidi"/>
                <w:i/>
                <w:iCs/>
                <w:noProof/>
              </w:rPr>
              <w:t>Empire and Protestantism</w:t>
            </w:r>
            <w:r w:rsidR="00780185">
              <w:rPr>
                <w:noProof/>
                <w:webHidden/>
                <w:rtl/>
              </w:rPr>
              <w:tab/>
            </w:r>
            <w:r w:rsidR="00780185">
              <w:rPr>
                <w:noProof/>
                <w:webHidden/>
                <w:rtl/>
              </w:rPr>
              <w:fldChar w:fldCharType="begin"/>
            </w:r>
            <w:r w:rsidR="00780185">
              <w:rPr>
                <w:noProof/>
                <w:webHidden/>
                <w:rtl/>
              </w:rPr>
              <w:instrText xml:space="preserve"> </w:instrText>
            </w:r>
            <w:r w:rsidR="00780185">
              <w:rPr>
                <w:noProof/>
                <w:webHidden/>
              </w:rPr>
              <w:instrText>PAGEREF</w:instrText>
            </w:r>
            <w:r w:rsidR="00780185">
              <w:rPr>
                <w:noProof/>
                <w:webHidden/>
                <w:rtl/>
              </w:rPr>
              <w:instrText xml:space="preserve"> _</w:instrText>
            </w:r>
            <w:r w:rsidR="00780185">
              <w:rPr>
                <w:noProof/>
                <w:webHidden/>
              </w:rPr>
              <w:instrText>Toc42845036 \h</w:instrText>
            </w:r>
            <w:r w:rsidR="00780185">
              <w:rPr>
                <w:noProof/>
                <w:webHidden/>
                <w:rtl/>
              </w:rPr>
              <w:instrText xml:space="preserve"> </w:instrText>
            </w:r>
            <w:r w:rsidR="00780185">
              <w:rPr>
                <w:noProof/>
                <w:webHidden/>
                <w:rtl/>
              </w:rPr>
            </w:r>
            <w:r w:rsidR="00780185">
              <w:rPr>
                <w:noProof/>
                <w:webHidden/>
                <w:rtl/>
              </w:rPr>
              <w:fldChar w:fldCharType="separate"/>
            </w:r>
            <w:r w:rsidR="00780185">
              <w:rPr>
                <w:noProof/>
                <w:webHidden/>
                <w:rtl/>
              </w:rPr>
              <w:t>16</w:t>
            </w:r>
            <w:r w:rsidR="00780185">
              <w:rPr>
                <w:noProof/>
                <w:webHidden/>
                <w:rtl/>
              </w:rPr>
              <w:fldChar w:fldCharType="end"/>
            </w:r>
          </w:hyperlink>
        </w:p>
        <w:p w14:paraId="4D0DC4F1" w14:textId="77777777" w:rsidR="00780185" w:rsidRDefault="00413FBE" w:rsidP="00780185">
          <w:pPr>
            <w:pStyle w:val="TOC3"/>
            <w:tabs>
              <w:tab w:val="right" w:leader="dot" w:pos="9736"/>
            </w:tabs>
            <w:bidi w:val="0"/>
            <w:rPr>
              <w:rFonts w:asciiTheme="minorHAnsi" w:eastAsiaTheme="minorEastAsia" w:hAnsiTheme="minorHAnsi" w:cstheme="minorBidi"/>
              <w:noProof/>
              <w:sz w:val="22"/>
              <w:szCs w:val="22"/>
              <w:rtl/>
            </w:rPr>
          </w:pPr>
          <w:hyperlink w:anchor="_Toc42845037" w:history="1">
            <w:r w:rsidR="00780185" w:rsidRPr="00D90DAA">
              <w:rPr>
                <w:rStyle w:val="Hyperlink"/>
                <w:rFonts w:asciiTheme="majorBidi" w:hAnsiTheme="majorBidi" w:cstheme="majorBidi"/>
                <w:i/>
                <w:iCs/>
                <w:noProof/>
              </w:rPr>
              <w:t>Empire and Liberty</w:t>
            </w:r>
            <w:r w:rsidR="00780185">
              <w:rPr>
                <w:noProof/>
                <w:webHidden/>
                <w:rtl/>
              </w:rPr>
              <w:tab/>
            </w:r>
            <w:r w:rsidR="00780185">
              <w:rPr>
                <w:noProof/>
                <w:webHidden/>
                <w:rtl/>
              </w:rPr>
              <w:fldChar w:fldCharType="begin"/>
            </w:r>
            <w:r w:rsidR="00780185">
              <w:rPr>
                <w:noProof/>
                <w:webHidden/>
                <w:rtl/>
              </w:rPr>
              <w:instrText xml:space="preserve"> </w:instrText>
            </w:r>
            <w:r w:rsidR="00780185">
              <w:rPr>
                <w:noProof/>
                <w:webHidden/>
              </w:rPr>
              <w:instrText>PAGEREF</w:instrText>
            </w:r>
            <w:r w:rsidR="00780185">
              <w:rPr>
                <w:noProof/>
                <w:webHidden/>
                <w:rtl/>
              </w:rPr>
              <w:instrText xml:space="preserve"> _</w:instrText>
            </w:r>
            <w:r w:rsidR="00780185">
              <w:rPr>
                <w:noProof/>
                <w:webHidden/>
              </w:rPr>
              <w:instrText>Toc42845037 \h</w:instrText>
            </w:r>
            <w:r w:rsidR="00780185">
              <w:rPr>
                <w:noProof/>
                <w:webHidden/>
                <w:rtl/>
              </w:rPr>
              <w:instrText xml:space="preserve"> </w:instrText>
            </w:r>
            <w:r w:rsidR="00780185">
              <w:rPr>
                <w:noProof/>
                <w:webHidden/>
                <w:rtl/>
              </w:rPr>
            </w:r>
            <w:r w:rsidR="00780185">
              <w:rPr>
                <w:noProof/>
                <w:webHidden/>
                <w:rtl/>
              </w:rPr>
              <w:fldChar w:fldCharType="separate"/>
            </w:r>
            <w:r w:rsidR="00780185">
              <w:rPr>
                <w:noProof/>
                <w:webHidden/>
                <w:rtl/>
              </w:rPr>
              <w:t>19</w:t>
            </w:r>
            <w:r w:rsidR="00780185">
              <w:rPr>
                <w:noProof/>
                <w:webHidden/>
                <w:rtl/>
              </w:rPr>
              <w:fldChar w:fldCharType="end"/>
            </w:r>
          </w:hyperlink>
        </w:p>
        <w:p w14:paraId="2449300A" w14:textId="77777777" w:rsidR="00780185" w:rsidRDefault="00413FBE" w:rsidP="00780185">
          <w:pPr>
            <w:pStyle w:val="TOC1"/>
            <w:tabs>
              <w:tab w:val="right" w:leader="dot" w:pos="9736"/>
            </w:tabs>
            <w:bidi w:val="0"/>
            <w:rPr>
              <w:rFonts w:asciiTheme="minorHAnsi" w:eastAsiaTheme="minorEastAsia" w:hAnsiTheme="minorHAnsi" w:cstheme="minorBidi"/>
              <w:noProof/>
              <w:sz w:val="22"/>
              <w:szCs w:val="22"/>
              <w:rtl/>
            </w:rPr>
          </w:pPr>
          <w:hyperlink w:anchor="_Toc42845038" w:history="1">
            <w:r w:rsidR="00780185" w:rsidRPr="00D90DAA">
              <w:rPr>
                <w:rStyle w:val="Hyperlink"/>
                <w:rFonts w:asciiTheme="majorBidi" w:hAnsiTheme="majorBidi" w:cstheme="majorBidi"/>
                <w:i/>
                <w:iCs/>
                <w:noProof/>
              </w:rPr>
              <w:t>Conclu</w:t>
            </w:r>
            <w:r w:rsidR="00780185" w:rsidRPr="00D90DAA">
              <w:rPr>
                <w:rStyle w:val="Hyperlink"/>
                <w:rFonts w:asciiTheme="majorBidi" w:hAnsiTheme="majorBidi" w:cstheme="majorBidi"/>
                <w:i/>
                <w:iCs/>
                <w:noProof/>
              </w:rPr>
              <w:t>s</w:t>
            </w:r>
            <w:r w:rsidR="00780185" w:rsidRPr="00D90DAA">
              <w:rPr>
                <w:rStyle w:val="Hyperlink"/>
                <w:rFonts w:asciiTheme="majorBidi" w:hAnsiTheme="majorBidi" w:cstheme="majorBidi"/>
                <w:i/>
                <w:iCs/>
                <w:noProof/>
              </w:rPr>
              <w:t>ion</w:t>
            </w:r>
            <w:r w:rsidR="00780185">
              <w:rPr>
                <w:noProof/>
                <w:webHidden/>
                <w:rtl/>
              </w:rPr>
              <w:tab/>
            </w:r>
            <w:r w:rsidR="00780185">
              <w:rPr>
                <w:noProof/>
                <w:webHidden/>
                <w:rtl/>
              </w:rPr>
              <w:fldChar w:fldCharType="begin"/>
            </w:r>
            <w:r w:rsidR="00780185">
              <w:rPr>
                <w:noProof/>
                <w:webHidden/>
                <w:rtl/>
              </w:rPr>
              <w:instrText xml:space="preserve"> </w:instrText>
            </w:r>
            <w:r w:rsidR="00780185">
              <w:rPr>
                <w:noProof/>
                <w:webHidden/>
              </w:rPr>
              <w:instrText>PAGEREF</w:instrText>
            </w:r>
            <w:r w:rsidR="00780185">
              <w:rPr>
                <w:noProof/>
                <w:webHidden/>
                <w:rtl/>
              </w:rPr>
              <w:instrText xml:space="preserve"> _</w:instrText>
            </w:r>
            <w:r w:rsidR="00780185">
              <w:rPr>
                <w:noProof/>
                <w:webHidden/>
              </w:rPr>
              <w:instrText>Toc42845038 \h</w:instrText>
            </w:r>
            <w:r w:rsidR="00780185">
              <w:rPr>
                <w:noProof/>
                <w:webHidden/>
                <w:rtl/>
              </w:rPr>
              <w:instrText xml:space="preserve"> </w:instrText>
            </w:r>
            <w:r w:rsidR="00780185">
              <w:rPr>
                <w:noProof/>
                <w:webHidden/>
                <w:rtl/>
              </w:rPr>
            </w:r>
            <w:r w:rsidR="00780185">
              <w:rPr>
                <w:noProof/>
                <w:webHidden/>
                <w:rtl/>
              </w:rPr>
              <w:fldChar w:fldCharType="separate"/>
            </w:r>
            <w:r w:rsidR="00780185">
              <w:rPr>
                <w:noProof/>
                <w:webHidden/>
                <w:rtl/>
              </w:rPr>
              <w:t>22</w:t>
            </w:r>
            <w:r w:rsidR="00780185">
              <w:rPr>
                <w:noProof/>
                <w:webHidden/>
                <w:rtl/>
              </w:rPr>
              <w:fldChar w:fldCharType="end"/>
            </w:r>
          </w:hyperlink>
        </w:p>
        <w:p w14:paraId="26C4A4FC" w14:textId="77777777" w:rsidR="00780185" w:rsidRDefault="00413FBE" w:rsidP="00780185">
          <w:pPr>
            <w:pStyle w:val="TOC1"/>
            <w:tabs>
              <w:tab w:val="right" w:leader="dot" w:pos="9736"/>
            </w:tabs>
            <w:bidi w:val="0"/>
            <w:rPr>
              <w:rFonts w:asciiTheme="minorHAnsi" w:eastAsiaTheme="minorEastAsia" w:hAnsiTheme="minorHAnsi" w:cstheme="minorBidi"/>
              <w:noProof/>
              <w:sz w:val="22"/>
              <w:szCs w:val="22"/>
              <w:rtl/>
            </w:rPr>
          </w:pPr>
          <w:hyperlink w:anchor="_Toc42845039" w:history="1">
            <w:r w:rsidR="00780185" w:rsidRPr="00D90DAA">
              <w:rPr>
                <w:rStyle w:val="Hyperlink"/>
                <w:rFonts w:asciiTheme="majorBidi" w:hAnsiTheme="majorBidi" w:cstheme="majorBidi"/>
                <w:i/>
                <w:iCs/>
                <w:noProof/>
              </w:rPr>
              <w:t>References</w:t>
            </w:r>
            <w:r w:rsidR="00780185">
              <w:rPr>
                <w:noProof/>
                <w:webHidden/>
                <w:rtl/>
              </w:rPr>
              <w:tab/>
            </w:r>
            <w:r w:rsidR="00780185">
              <w:rPr>
                <w:noProof/>
                <w:webHidden/>
                <w:rtl/>
              </w:rPr>
              <w:fldChar w:fldCharType="begin"/>
            </w:r>
            <w:r w:rsidR="00780185">
              <w:rPr>
                <w:noProof/>
                <w:webHidden/>
                <w:rtl/>
              </w:rPr>
              <w:instrText xml:space="preserve"> </w:instrText>
            </w:r>
            <w:r w:rsidR="00780185">
              <w:rPr>
                <w:noProof/>
                <w:webHidden/>
              </w:rPr>
              <w:instrText>PAGEREF</w:instrText>
            </w:r>
            <w:r w:rsidR="00780185">
              <w:rPr>
                <w:noProof/>
                <w:webHidden/>
                <w:rtl/>
              </w:rPr>
              <w:instrText xml:space="preserve"> _</w:instrText>
            </w:r>
            <w:r w:rsidR="00780185">
              <w:rPr>
                <w:noProof/>
                <w:webHidden/>
              </w:rPr>
              <w:instrText>Toc42845039 \h</w:instrText>
            </w:r>
            <w:r w:rsidR="00780185">
              <w:rPr>
                <w:noProof/>
                <w:webHidden/>
                <w:rtl/>
              </w:rPr>
              <w:instrText xml:space="preserve"> </w:instrText>
            </w:r>
            <w:r w:rsidR="00780185">
              <w:rPr>
                <w:noProof/>
                <w:webHidden/>
                <w:rtl/>
              </w:rPr>
            </w:r>
            <w:r w:rsidR="00780185">
              <w:rPr>
                <w:noProof/>
                <w:webHidden/>
                <w:rtl/>
              </w:rPr>
              <w:fldChar w:fldCharType="separate"/>
            </w:r>
            <w:r w:rsidR="00780185">
              <w:rPr>
                <w:noProof/>
                <w:webHidden/>
                <w:rtl/>
              </w:rPr>
              <w:t>23</w:t>
            </w:r>
            <w:r w:rsidR="00780185">
              <w:rPr>
                <w:noProof/>
                <w:webHidden/>
                <w:rtl/>
              </w:rPr>
              <w:fldChar w:fldCharType="end"/>
            </w:r>
          </w:hyperlink>
        </w:p>
        <w:p w14:paraId="35ACB2F4" w14:textId="77777777" w:rsidR="00BC1E73" w:rsidRPr="004C7092" w:rsidRDefault="00BC1E73" w:rsidP="00780185">
          <w:pPr>
            <w:bidi w:val="0"/>
            <w:spacing w:line="480" w:lineRule="auto"/>
            <w:rPr>
              <w:rFonts w:asciiTheme="majorBidi" w:hAnsiTheme="majorBidi" w:cstheme="majorBidi"/>
            </w:rPr>
          </w:pPr>
          <w:r w:rsidRPr="004C7092">
            <w:rPr>
              <w:rFonts w:asciiTheme="majorBidi" w:hAnsiTheme="majorBidi" w:cstheme="majorBidi"/>
              <w:b/>
              <w:bCs/>
              <w:noProof/>
            </w:rPr>
            <w:fldChar w:fldCharType="end"/>
          </w:r>
        </w:p>
      </w:sdtContent>
    </w:sdt>
    <w:p w14:paraId="3D5A160E" w14:textId="77777777" w:rsidR="00BC1E73" w:rsidRPr="004C7092" w:rsidRDefault="00BC1E73" w:rsidP="004C7092">
      <w:pPr>
        <w:bidi w:val="0"/>
        <w:spacing w:line="480" w:lineRule="auto"/>
        <w:rPr>
          <w:rFonts w:asciiTheme="majorBidi" w:hAnsiTheme="majorBidi" w:cstheme="majorBidi"/>
          <w:b/>
          <w:bCs/>
        </w:rPr>
      </w:pPr>
    </w:p>
    <w:p w14:paraId="40CCBFB8" w14:textId="2277196A" w:rsidR="00022F9B" w:rsidRPr="00022F9B" w:rsidRDefault="00022F9B" w:rsidP="00022F9B">
      <w:pPr>
        <w:pStyle w:val="1"/>
        <w:bidi w:val="0"/>
        <w:rPr>
          <w:rFonts w:asciiTheme="majorBidi" w:hAnsiTheme="majorBidi" w:cstheme="majorBidi"/>
          <w:b w:val="0"/>
          <w:bCs w:val="0"/>
          <w:i/>
          <w:iCs/>
          <w:sz w:val="24"/>
          <w:szCs w:val="24"/>
        </w:rPr>
      </w:pPr>
      <w:bookmarkStart w:id="0" w:name="_Toc42845029"/>
      <w:bookmarkStart w:id="1" w:name="_Toc443517854"/>
      <w:r w:rsidRPr="00022F9B">
        <w:rPr>
          <w:rFonts w:asciiTheme="majorBidi" w:hAnsiTheme="majorBidi" w:cstheme="majorBidi"/>
          <w:b w:val="0"/>
          <w:bCs w:val="0"/>
          <w:i/>
          <w:iCs/>
          <w:sz w:val="24"/>
          <w:szCs w:val="24"/>
        </w:rPr>
        <w:t>Abstract</w:t>
      </w:r>
      <w:bookmarkEnd w:id="0"/>
      <w:r w:rsidR="002606CE">
        <w:rPr>
          <w:rFonts w:asciiTheme="majorBidi" w:hAnsiTheme="majorBidi" w:cstheme="majorBidi"/>
          <w:b w:val="0"/>
          <w:bCs w:val="0"/>
          <w:i/>
          <w:iCs/>
          <w:sz w:val="24"/>
          <w:szCs w:val="24"/>
        </w:rPr>
        <w:t xml:space="preserve"> </w:t>
      </w:r>
    </w:p>
    <w:p w14:paraId="0851BBDA" w14:textId="77777777" w:rsidR="00022F9B" w:rsidRPr="00E14C07" w:rsidRDefault="00022F9B" w:rsidP="00022F9B">
      <w:pPr>
        <w:autoSpaceDE w:val="0"/>
        <w:autoSpaceDN w:val="0"/>
        <w:bidi w:val="0"/>
        <w:adjustRightInd w:val="0"/>
        <w:spacing w:line="480" w:lineRule="auto"/>
        <w:jc w:val="both"/>
        <w:rPr>
          <w:rFonts w:asciiTheme="majorBidi" w:hAnsiTheme="majorBidi" w:cstheme="majorBidi"/>
          <w:rtl/>
        </w:rPr>
      </w:pPr>
      <w:r w:rsidRPr="00E14C07">
        <w:rPr>
          <w:rFonts w:asciiTheme="majorBidi" w:hAnsiTheme="majorBidi" w:cstheme="majorBidi"/>
        </w:rPr>
        <w:t>Historiography on English identity finds it hard to agree on its definition. It is the aim of this paper to show that the debates around English identity should be understood as emanating from the ingrained tensions between three topoi of discourse on the English national identity.</w:t>
      </w:r>
    </w:p>
    <w:p w14:paraId="42A048F3" w14:textId="62E98DEC" w:rsidR="00022F9B" w:rsidRPr="00E14C07" w:rsidRDefault="00022F9B" w:rsidP="00022F9B">
      <w:pPr>
        <w:autoSpaceDE w:val="0"/>
        <w:autoSpaceDN w:val="0"/>
        <w:bidi w:val="0"/>
        <w:adjustRightInd w:val="0"/>
        <w:spacing w:line="480" w:lineRule="auto"/>
        <w:jc w:val="both"/>
        <w:rPr>
          <w:rFonts w:asciiTheme="majorBidi" w:hAnsiTheme="majorBidi" w:cstheme="majorBidi"/>
        </w:rPr>
      </w:pPr>
      <w:r w:rsidRPr="00E14C07">
        <w:rPr>
          <w:rFonts w:asciiTheme="majorBidi" w:hAnsiTheme="majorBidi" w:cstheme="majorBidi"/>
        </w:rPr>
        <w:t xml:space="preserve">Current historiography emphasizes the centrality of Protestantism to the emergence of an English identity. Despite the preoccupation of </w:t>
      </w:r>
      <w:r>
        <w:rPr>
          <w:rFonts w:asciiTheme="majorBidi" w:hAnsiTheme="majorBidi" w:cstheme="majorBidi"/>
        </w:rPr>
        <w:t>nineteenth</w:t>
      </w:r>
      <w:r w:rsidRPr="00E14C07">
        <w:rPr>
          <w:rFonts w:asciiTheme="majorBidi" w:hAnsiTheme="majorBidi" w:cstheme="majorBidi"/>
        </w:rPr>
        <w:t xml:space="preserve"> century historiography with the loss of faith and the secularization of the state, civil religion was still Protestant. English identity in the </w:t>
      </w:r>
      <w:r>
        <w:rPr>
          <w:rFonts w:asciiTheme="majorBidi" w:hAnsiTheme="majorBidi" w:cstheme="majorBidi"/>
        </w:rPr>
        <w:t>nineteenth</w:t>
      </w:r>
      <w:r w:rsidRPr="00E14C07">
        <w:rPr>
          <w:rFonts w:asciiTheme="majorBidi" w:hAnsiTheme="majorBidi" w:cstheme="majorBidi"/>
        </w:rPr>
        <w:t xml:space="preserve"> century is supposed to be deeply indebted to the pivotal role of the empire, </w:t>
      </w:r>
      <w:r>
        <w:rPr>
          <w:rFonts w:asciiTheme="majorBidi" w:hAnsiTheme="majorBidi" w:cstheme="majorBidi"/>
        </w:rPr>
        <w:t>yet empire was a focal point of growing crises, especially at the end of the century. P</w:t>
      </w:r>
      <w:r w:rsidRPr="00E14C07">
        <w:rPr>
          <w:rFonts w:asciiTheme="majorBidi" w:hAnsiTheme="majorBidi" w:cstheme="majorBidi"/>
        </w:rPr>
        <w:t xml:space="preserve">olitical histories of the </w:t>
      </w:r>
      <w:r>
        <w:rPr>
          <w:rFonts w:asciiTheme="majorBidi" w:hAnsiTheme="majorBidi" w:cstheme="majorBidi"/>
        </w:rPr>
        <w:t>nineteenth</w:t>
      </w:r>
      <w:r w:rsidRPr="00E14C07">
        <w:rPr>
          <w:rFonts w:asciiTheme="majorBidi" w:hAnsiTheme="majorBidi" w:cstheme="majorBidi"/>
        </w:rPr>
        <w:t xml:space="preserve"> century characterize Britain as a liberal country. In fact, as the </w:t>
      </w:r>
      <w:r>
        <w:rPr>
          <w:rFonts w:asciiTheme="majorBidi" w:hAnsiTheme="majorBidi" w:cstheme="majorBidi"/>
        </w:rPr>
        <w:t>nineteenth</w:t>
      </w:r>
      <w:r w:rsidRPr="00E14C07">
        <w:rPr>
          <w:rFonts w:asciiTheme="majorBidi" w:hAnsiTheme="majorBidi" w:cstheme="majorBidi"/>
        </w:rPr>
        <w:t xml:space="preserve"> century advanced, Liberalism undermined Protestantism by creating a more inclusive and a more secular British citizenship and was striking at the empire by calling for more liberty for colonized peoples. Yet, </w:t>
      </w:r>
      <w:r w:rsidRPr="00E14C07">
        <w:rPr>
          <w:rFonts w:asciiTheme="majorBidi" w:hAnsiTheme="majorBidi" w:cstheme="majorBidi"/>
        </w:rPr>
        <w:lastRenderedPageBreak/>
        <w:t xml:space="preserve">these very debates within current historiography </w:t>
      </w:r>
      <w:r>
        <w:rPr>
          <w:rFonts w:asciiTheme="majorBidi" w:hAnsiTheme="majorBidi" w:cstheme="majorBidi"/>
        </w:rPr>
        <w:t xml:space="preserve">as within Victorian society, </w:t>
      </w:r>
      <w:r w:rsidRPr="00E14C07">
        <w:rPr>
          <w:rFonts w:asciiTheme="majorBidi" w:hAnsiTheme="majorBidi" w:cstheme="majorBidi"/>
        </w:rPr>
        <w:t xml:space="preserve">reflect the centrality of Protestantism, political </w:t>
      </w:r>
      <w:proofErr w:type="gramStart"/>
      <w:r w:rsidRPr="00E14C07">
        <w:rPr>
          <w:rFonts w:asciiTheme="majorBidi" w:hAnsiTheme="majorBidi" w:cstheme="majorBidi"/>
        </w:rPr>
        <w:t>freedom</w:t>
      </w:r>
      <w:proofErr w:type="gramEnd"/>
      <w:r w:rsidRPr="00E14C07">
        <w:rPr>
          <w:rFonts w:asciiTheme="majorBidi" w:hAnsiTheme="majorBidi" w:cstheme="majorBidi"/>
        </w:rPr>
        <w:t xml:space="preserve"> and empire </w:t>
      </w:r>
      <w:r>
        <w:rPr>
          <w:rFonts w:asciiTheme="majorBidi" w:hAnsiTheme="majorBidi" w:cstheme="majorBidi"/>
        </w:rPr>
        <w:t>as the focal points of the discourse on national identity</w:t>
      </w:r>
      <w:r w:rsidRPr="00E14C07">
        <w:rPr>
          <w:rFonts w:asciiTheme="majorBidi" w:hAnsiTheme="majorBidi" w:cstheme="majorBidi"/>
        </w:rPr>
        <w:t xml:space="preserve">. </w:t>
      </w:r>
    </w:p>
    <w:p w14:paraId="26250941" w14:textId="77777777" w:rsidR="00402183" w:rsidRDefault="00402183" w:rsidP="00022F9B">
      <w:pPr>
        <w:bidi w:val="0"/>
        <w:rPr>
          <w:b/>
          <w:bCs/>
          <w:i/>
          <w:iCs/>
        </w:rPr>
      </w:pPr>
    </w:p>
    <w:p w14:paraId="1530C0A5" w14:textId="6E8620DD" w:rsidR="00022F9B" w:rsidRDefault="00402183" w:rsidP="00402183">
      <w:pPr>
        <w:bidi w:val="0"/>
      </w:pPr>
      <w:r w:rsidRPr="00402183">
        <w:rPr>
          <w:b/>
          <w:bCs/>
          <w:i/>
          <w:iCs/>
        </w:rPr>
        <w:t>Key words</w:t>
      </w:r>
      <w:r>
        <w:t>: British National identity, British Empire, Liberalism, Protestantism, secularization.</w:t>
      </w:r>
    </w:p>
    <w:p w14:paraId="0B3E4267" w14:textId="77777777" w:rsidR="00402183" w:rsidRPr="00022F9B" w:rsidRDefault="00402183" w:rsidP="00402183">
      <w:pPr>
        <w:bidi w:val="0"/>
      </w:pPr>
    </w:p>
    <w:p w14:paraId="440CE1A4" w14:textId="77777777" w:rsidR="0005138E" w:rsidRPr="004C7092" w:rsidRDefault="0005138E" w:rsidP="00022F9B">
      <w:pPr>
        <w:pStyle w:val="1"/>
        <w:bidi w:val="0"/>
        <w:spacing w:line="480" w:lineRule="auto"/>
        <w:rPr>
          <w:rFonts w:asciiTheme="majorBidi" w:hAnsiTheme="majorBidi" w:cstheme="majorBidi"/>
          <w:i/>
          <w:iCs/>
          <w:sz w:val="24"/>
          <w:szCs w:val="24"/>
        </w:rPr>
      </w:pPr>
      <w:bookmarkStart w:id="2" w:name="_Toc42845030"/>
      <w:r w:rsidRPr="004C7092">
        <w:rPr>
          <w:rFonts w:asciiTheme="majorBidi" w:hAnsiTheme="majorBidi" w:cstheme="majorBidi"/>
          <w:i/>
          <w:iCs/>
          <w:sz w:val="24"/>
          <w:szCs w:val="24"/>
        </w:rPr>
        <w:t>Introduction</w:t>
      </w:r>
      <w:bookmarkEnd w:id="1"/>
      <w:bookmarkEnd w:id="2"/>
    </w:p>
    <w:p w14:paraId="3D392027" w14:textId="26CA42E9" w:rsidR="004E3E80" w:rsidRPr="004C7092" w:rsidRDefault="00440A47" w:rsidP="004C7092">
      <w:pPr>
        <w:bidi w:val="0"/>
        <w:spacing w:line="480" w:lineRule="auto"/>
        <w:jc w:val="both"/>
        <w:rPr>
          <w:rFonts w:asciiTheme="majorBidi" w:hAnsiTheme="majorBidi" w:cstheme="majorBidi"/>
        </w:rPr>
      </w:pPr>
      <w:r w:rsidRPr="004C7092">
        <w:rPr>
          <w:rFonts w:asciiTheme="majorBidi" w:hAnsiTheme="majorBidi" w:cstheme="majorBidi"/>
        </w:rPr>
        <w:t xml:space="preserve">The second half of the </w:t>
      </w:r>
      <w:r w:rsidR="00527F71" w:rsidRPr="004C7092">
        <w:rPr>
          <w:rFonts w:asciiTheme="majorBidi" w:hAnsiTheme="majorBidi" w:cstheme="majorBidi"/>
        </w:rPr>
        <w:t xml:space="preserve">nineteenth </w:t>
      </w:r>
      <w:r w:rsidRPr="004C7092">
        <w:rPr>
          <w:rFonts w:asciiTheme="majorBidi" w:hAnsiTheme="majorBidi" w:cstheme="majorBidi"/>
        </w:rPr>
        <w:t>century saw an abundance of writings on the national identity</w:t>
      </w:r>
      <w:r w:rsidR="00B859A3" w:rsidRPr="004C7092">
        <w:rPr>
          <w:rFonts w:asciiTheme="majorBidi" w:hAnsiTheme="majorBidi" w:cstheme="majorBidi"/>
        </w:rPr>
        <w:t xml:space="preserve"> of England</w:t>
      </w:r>
      <w:r w:rsidRPr="004C7092">
        <w:rPr>
          <w:rFonts w:asciiTheme="majorBidi" w:hAnsiTheme="majorBidi" w:cstheme="majorBidi"/>
        </w:rPr>
        <w:t>.</w:t>
      </w:r>
      <w:r w:rsidRPr="004C7092">
        <w:rPr>
          <w:rStyle w:val="a5"/>
          <w:rFonts w:asciiTheme="majorBidi" w:hAnsiTheme="majorBidi" w:cstheme="majorBidi"/>
          <w:rtl/>
        </w:rPr>
        <w:t xml:space="preserve"> </w:t>
      </w:r>
      <w:r w:rsidRPr="004C7092">
        <w:rPr>
          <w:rFonts w:asciiTheme="majorBidi" w:hAnsiTheme="majorBidi" w:cstheme="majorBidi"/>
        </w:rPr>
        <w:t>Liberal writers did not define Englishness in racial terms or as a transmitted character</w:t>
      </w:r>
      <w:r w:rsidR="00745B18" w:rsidRPr="004C7092">
        <w:rPr>
          <w:rFonts w:asciiTheme="majorBidi" w:hAnsiTheme="majorBidi" w:cstheme="majorBidi"/>
        </w:rPr>
        <w:t xml:space="preserve"> trait</w:t>
      </w:r>
      <w:r w:rsidRPr="004C7092">
        <w:rPr>
          <w:rFonts w:asciiTheme="majorBidi" w:hAnsiTheme="majorBidi" w:cstheme="majorBidi"/>
        </w:rPr>
        <w:t>. The characteristics they noted were freedom and freedom of thought, self</w:t>
      </w:r>
      <w:r w:rsidR="001039C4" w:rsidRPr="004C7092">
        <w:rPr>
          <w:rFonts w:asciiTheme="majorBidi" w:hAnsiTheme="majorBidi" w:cstheme="majorBidi"/>
        </w:rPr>
        <w:t>-</w:t>
      </w:r>
      <w:r w:rsidRPr="004C7092">
        <w:rPr>
          <w:rFonts w:asciiTheme="majorBidi" w:hAnsiTheme="majorBidi" w:cstheme="majorBidi"/>
        </w:rPr>
        <w:t xml:space="preserve">government, </w:t>
      </w:r>
      <w:r w:rsidR="00745B18" w:rsidRPr="004C7092">
        <w:rPr>
          <w:rFonts w:asciiTheme="majorBidi" w:hAnsiTheme="majorBidi" w:cstheme="majorBidi"/>
        </w:rPr>
        <w:t>P</w:t>
      </w:r>
      <w:r w:rsidRPr="004C7092">
        <w:rPr>
          <w:rFonts w:asciiTheme="majorBidi" w:hAnsiTheme="majorBidi" w:cstheme="majorBidi"/>
        </w:rPr>
        <w:t xml:space="preserve">rotestant piety, </w:t>
      </w:r>
      <w:proofErr w:type="gramStart"/>
      <w:r w:rsidRPr="004C7092">
        <w:rPr>
          <w:rFonts w:asciiTheme="majorBidi" w:hAnsiTheme="majorBidi" w:cstheme="majorBidi"/>
        </w:rPr>
        <w:t>initiative</w:t>
      </w:r>
      <w:proofErr w:type="gramEnd"/>
      <w:r w:rsidRPr="004C7092">
        <w:rPr>
          <w:rFonts w:asciiTheme="majorBidi" w:hAnsiTheme="majorBidi" w:cstheme="majorBidi"/>
        </w:rPr>
        <w:t xml:space="preserve"> and expansion</w:t>
      </w:r>
      <w:r w:rsidR="00C34211" w:rsidRPr="004C7092">
        <w:rPr>
          <w:rFonts w:asciiTheme="majorBidi" w:hAnsiTheme="majorBidi" w:cstheme="majorBidi"/>
        </w:rPr>
        <w:t xml:space="preserve"> (Nadler 2000, 224-244; Stapleton 2000, 256-260; Stapleton 1997b, 36).</w:t>
      </w:r>
      <w:r w:rsidR="004E3E80" w:rsidRPr="004C7092">
        <w:rPr>
          <w:rFonts w:asciiTheme="majorBidi" w:hAnsiTheme="majorBidi" w:cstheme="majorBidi"/>
        </w:rPr>
        <w:t xml:space="preserve"> Conservatives were writing on English identity as part of their critique of Industrial Capitalism, emphasizing the pastoral, seafaring, freedom loving, and Protestant character of this identity</w:t>
      </w:r>
      <w:r w:rsidR="00332ABB" w:rsidRPr="004C7092">
        <w:rPr>
          <w:rFonts w:asciiTheme="majorBidi" w:hAnsiTheme="majorBidi" w:cstheme="majorBidi"/>
        </w:rPr>
        <w:t xml:space="preserve"> </w:t>
      </w:r>
      <w:bookmarkStart w:id="3" w:name="OLE_LINK9"/>
      <w:bookmarkStart w:id="4" w:name="OLE_LINK10"/>
      <w:r w:rsidR="00332ABB" w:rsidRPr="004C7092">
        <w:rPr>
          <w:rFonts w:asciiTheme="majorBidi" w:hAnsiTheme="majorBidi" w:cstheme="majorBidi"/>
          <w:sz w:val="22"/>
          <w:szCs w:val="22"/>
        </w:rPr>
        <w:t>(</w:t>
      </w:r>
      <w:proofErr w:type="spellStart"/>
      <w:r w:rsidR="00332ABB" w:rsidRPr="004C7092">
        <w:rPr>
          <w:rFonts w:asciiTheme="majorBidi" w:hAnsiTheme="majorBidi" w:cstheme="majorBidi"/>
          <w:sz w:val="22"/>
          <w:szCs w:val="22"/>
        </w:rPr>
        <w:t>Heyck</w:t>
      </w:r>
      <w:proofErr w:type="spellEnd"/>
      <w:r w:rsidR="00332ABB" w:rsidRPr="004C7092">
        <w:rPr>
          <w:rFonts w:asciiTheme="majorBidi" w:hAnsiTheme="majorBidi" w:cstheme="majorBidi"/>
          <w:sz w:val="22"/>
          <w:szCs w:val="22"/>
        </w:rPr>
        <w:t xml:space="preserve"> 1998,</w:t>
      </w:r>
      <w:bookmarkEnd w:id="3"/>
      <w:bookmarkEnd w:id="4"/>
      <w:r w:rsidR="00332ABB" w:rsidRPr="004C7092">
        <w:rPr>
          <w:rFonts w:asciiTheme="majorBidi" w:hAnsiTheme="majorBidi" w:cstheme="majorBidi"/>
          <w:sz w:val="22"/>
          <w:szCs w:val="22"/>
        </w:rPr>
        <w:t xml:space="preserve"> 199-201).</w:t>
      </w:r>
      <w:r w:rsidR="004E3E80" w:rsidRPr="004C7092">
        <w:rPr>
          <w:rFonts w:asciiTheme="majorBidi" w:hAnsiTheme="majorBidi" w:cstheme="majorBidi"/>
        </w:rPr>
        <w:t xml:space="preserve"> </w:t>
      </w:r>
    </w:p>
    <w:p w14:paraId="53934E42" w14:textId="77777777" w:rsidR="004E3E80" w:rsidRPr="004C7092" w:rsidRDefault="004E3E80" w:rsidP="004C7092">
      <w:pPr>
        <w:bidi w:val="0"/>
        <w:spacing w:line="480" w:lineRule="auto"/>
        <w:jc w:val="both"/>
        <w:rPr>
          <w:rFonts w:asciiTheme="majorBidi" w:hAnsiTheme="majorBidi" w:cstheme="majorBidi"/>
        </w:rPr>
      </w:pPr>
    </w:p>
    <w:p w14:paraId="552E2EDD" w14:textId="6A090C39" w:rsidR="004E3E80" w:rsidRPr="004C7092" w:rsidRDefault="004E3E80" w:rsidP="004C7092">
      <w:pPr>
        <w:bidi w:val="0"/>
        <w:spacing w:line="480" w:lineRule="auto"/>
        <w:jc w:val="both"/>
        <w:rPr>
          <w:rFonts w:asciiTheme="majorBidi" w:hAnsiTheme="majorBidi" w:cstheme="majorBidi"/>
        </w:rPr>
      </w:pPr>
      <w:r w:rsidRPr="004C7092">
        <w:rPr>
          <w:rFonts w:asciiTheme="majorBidi" w:hAnsiTheme="majorBidi" w:cstheme="majorBidi"/>
        </w:rPr>
        <w:t>The second half of the twentieth century saw the beginning of a growing volume of historiography on English national identity. Current historiography on nationalism emphasizes the centrality of Protestantism to the emergence of an English and British identity. Yet, historiography of religion in the nineteenth century is mostly preoccupied with the loss of faith and the secularization of the state. Colonial history claims that English identity in the nineteenth century is deeply indebted to the pivotal role of the empire, yet the jury is still out on the question of how central the empire was to the working classes. On the other hand, political histories of Britain and Europe in the nineteenth century depict Britain, first and foremost, as a liberal country, a characteristic that receives only indirect attention in the identity historiography.</w:t>
      </w:r>
    </w:p>
    <w:p w14:paraId="67C8BBE9" w14:textId="77777777" w:rsidR="004E3E80" w:rsidRPr="004C7092" w:rsidRDefault="004E3E80" w:rsidP="004C7092">
      <w:pPr>
        <w:bidi w:val="0"/>
        <w:spacing w:line="480" w:lineRule="auto"/>
        <w:jc w:val="both"/>
        <w:rPr>
          <w:rFonts w:asciiTheme="majorBidi" w:hAnsiTheme="majorBidi" w:cstheme="majorBidi"/>
          <w:rtl/>
        </w:rPr>
      </w:pPr>
      <w:r w:rsidRPr="004C7092">
        <w:rPr>
          <w:rFonts w:asciiTheme="majorBidi" w:hAnsiTheme="majorBidi" w:cstheme="majorBidi"/>
        </w:rPr>
        <w:t xml:space="preserve"> </w:t>
      </w:r>
    </w:p>
    <w:p w14:paraId="1ADDBB81" w14:textId="5D285A1F" w:rsidR="004E3E80" w:rsidRPr="004C7092" w:rsidRDefault="004E3E80" w:rsidP="004C7092">
      <w:pPr>
        <w:bidi w:val="0"/>
        <w:spacing w:line="480" w:lineRule="auto"/>
        <w:jc w:val="both"/>
        <w:rPr>
          <w:rFonts w:asciiTheme="majorBidi" w:hAnsiTheme="majorBidi" w:cstheme="majorBidi"/>
        </w:rPr>
      </w:pPr>
      <w:r w:rsidRPr="004C7092">
        <w:rPr>
          <w:rFonts w:asciiTheme="majorBidi" w:hAnsiTheme="majorBidi" w:cstheme="majorBidi"/>
        </w:rPr>
        <w:t xml:space="preserve">The Victorian writings mentioned above would suggest that secularization notwithstanding, Protestantism must have retained a centrality that the discourse of secularization obscures. The </w:t>
      </w:r>
      <w:r w:rsidRPr="004C7092">
        <w:rPr>
          <w:rFonts w:asciiTheme="majorBidi" w:hAnsiTheme="majorBidi" w:cstheme="majorBidi"/>
        </w:rPr>
        <w:lastRenderedPageBreak/>
        <w:t xml:space="preserve">empire, at least in its guise as English greatness and prowess, as seafaring or expansionist, whether present in the working classes’ daily life or otherwise, was very critical to writers when thinking of England. Political freedom, though mainly advocated by the Liberals, was sometimes advanced by the opposite side, proving a common ground, </w:t>
      </w:r>
      <w:proofErr w:type="gramStart"/>
      <w:r w:rsidRPr="004C7092">
        <w:rPr>
          <w:rFonts w:asciiTheme="majorBidi" w:hAnsiTheme="majorBidi" w:cstheme="majorBidi"/>
        </w:rPr>
        <w:t>more often than not</w:t>
      </w:r>
      <w:proofErr w:type="gramEnd"/>
      <w:r w:rsidR="00C65DD4" w:rsidRPr="004C7092">
        <w:rPr>
          <w:rFonts w:asciiTheme="majorBidi" w:hAnsiTheme="majorBidi" w:cstheme="majorBidi"/>
        </w:rPr>
        <w:t xml:space="preserve"> (Colley 1992</w:t>
      </w:r>
      <w:r w:rsidR="00F3572E" w:rsidRPr="004C7092">
        <w:rPr>
          <w:rFonts w:asciiTheme="majorBidi" w:hAnsiTheme="majorBidi" w:cstheme="majorBidi"/>
        </w:rPr>
        <w:t>b,</w:t>
      </w:r>
      <w:r w:rsidR="00C65DD4" w:rsidRPr="004C7092">
        <w:rPr>
          <w:rFonts w:asciiTheme="majorBidi" w:hAnsiTheme="majorBidi" w:cstheme="majorBidi"/>
        </w:rPr>
        <w:t xml:space="preserve"> 101-144</w:t>
      </w:r>
      <w:r w:rsidR="00F3572E" w:rsidRPr="004C7092">
        <w:rPr>
          <w:rFonts w:asciiTheme="majorBidi" w:hAnsiTheme="majorBidi" w:cstheme="majorBidi"/>
        </w:rPr>
        <w:t>)</w:t>
      </w:r>
      <w:r w:rsidRPr="004C7092">
        <w:rPr>
          <w:rFonts w:asciiTheme="majorBidi" w:hAnsiTheme="majorBidi" w:cstheme="majorBidi"/>
        </w:rPr>
        <w:t>.</w:t>
      </w:r>
      <w:r w:rsidRPr="004C7092">
        <w:rPr>
          <w:rStyle w:val="ac"/>
          <w:rFonts w:asciiTheme="majorBidi" w:hAnsiTheme="majorBidi" w:cstheme="majorBidi"/>
        </w:rPr>
        <w:footnoteReference w:id="1"/>
      </w:r>
      <w:r w:rsidRPr="004C7092">
        <w:rPr>
          <w:rFonts w:asciiTheme="majorBidi" w:hAnsiTheme="majorBidi" w:cstheme="majorBidi"/>
        </w:rPr>
        <w:t xml:space="preserve"> </w:t>
      </w:r>
    </w:p>
    <w:p w14:paraId="476EFFE1" w14:textId="77777777" w:rsidR="004E3E80" w:rsidRPr="004C7092" w:rsidRDefault="004E3E80" w:rsidP="004C7092">
      <w:pPr>
        <w:bidi w:val="0"/>
        <w:spacing w:line="480" w:lineRule="auto"/>
        <w:jc w:val="both"/>
        <w:rPr>
          <w:rFonts w:asciiTheme="majorBidi" w:hAnsiTheme="majorBidi" w:cstheme="majorBidi"/>
        </w:rPr>
      </w:pPr>
    </w:p>
    <w:p w14:paraId="72107159" w14:textId="030F4563" w:rsidR="004E3E80" w:rsidRPr="004C7092" w:rsidRDefault="004E3E80" w:rsidP="004C7092">
      <w:pPr>
        <w:bidi w:val="0"/>
        <w:spacing w:line="480" w:lineRule="auto"/>
        <w:jc w:val="both"/>
        <w:rPr>
          <w:rFonts w:asciiTheme="majorBidi" w:hAnsiTheme="majorBidi" w:cstheme="majorBidi"/>
        </w:rPr>
      </w:pPr>
      <w:proofErr w:type="gramStart"/>
      <w:r w:rsidRPr="004C7092">
        <w:rPr>
          <w:rFonts w:asciiTheme="majorBidi" w:hAnsiTheme="majorBidi" w:cstheme="majorBidi"/>
        </w:rPr>
        <w:t>So</w:t>
      </w:r>
      <w:proofErr w:type="gramEnd"/>
      <w:r w:rsidRPr="004C7092">
        <w:rPr>
          <w:rFonts w:asciiTheme="majorBidi" w:hAnsiTheme="majorBidi" w:cstheme="majorBidi"/>
        </w:rPr>
        <w:t xml:space="preserve"> which was it? Was England Protestant or a freedom-loving nation that granted civil rights to all faiths? Was </w:t>
      </w:r>
      <w:r w:rsidR="00C65DD4" w:rsidRPr="004C7092">
        <w:rPr>
          <w:rFonts w:asciiTheme="majorBidi" w:hAnsiTheme="majorBidi" w:cstheme="majorBidi"/>
        </w:rPr>
        <w:t>England</w:t>
      </w:r>
      <w:r w:rsidRPr="004C7092">
        <w:rPr>
          <w:rFonts w:asciiTheme="majorBidi" w:hAnsiTheme="majorBidi" w:cstheme="majorBidi"/>
        </w:rPr>
        <w:t xml:space="preserve"> imperial or national? Regarding the inception of English nationalism, Krishnan Kumar comments on the historiographic disagreement, arguing that if scholars can’t agree on anything, they are probably all wrong</w:t>
      </w:r>
      <w:r w:rsidR="00FD39F0" w:rsidRPr="004C7092">
        <w:rPr>
          <w:rFonts w:asciiTheme="majorBidi" w:hAnsiTheme="majorBidi" w:cstheme="majorBidi"/>
        </w:rPr>
        <w:t xml:space="preserve"> (Kumar 2001, 41)</w:t>
      </w:r>
      <w:r w:rsidRPr="004C7092">
        <w:rPr>
          <w:rFonts w:asciiTheme="majorBidi" w:hAnsiTheme="majorBidi" w:cstheme="majorBidi"/>
        </w:rPr>
        <w:t xml:space="preserve">. However, they may all yet be right. Indeed, the reason Kumar objects to the existence of Englishness is that it would clash with the interests of a British Empire, and identification with Protestantism required the opposite of a sense of national interest. Yet, a comprehensive picture might accommodate these conflicting ideas. Taking a new look at current historiography, this </w:t>
      </w:r>
      <w:proofErr w:type="gramStart"/>
      <w:r w:rsidRPr="004C7092">
        <w:rPr>
          <w:rFonts w:asciiTheme="majorBidi" w:hAnsiTheme="majorBidi" w:cstheme="majorBidi"/>
        </w:rPr>
        <w:t>paper  suggests</w:t>
      </w:r>
      <w:proofErr w:type="gramEnd"/>
      <w:r w:rsidRPr="004C7092">
        <w:rPr>
          <w:rFonts w:asciiTheme="majorBidi" w:hAnsiTheme="majorBidi" w:cstheme="majorBidi"/>
        </w:rPr>
        <w:t xml:space="preserve"> that a synthesis of these themes as competing components could better describe British national identity than any partial explanation. I will explore a synthesis that suggests both a convergence and a conflict between religion, political freedom, and empire as components of national identity which would explain the divergent and conflicted renderings of English identity in the nineteenth century.</w:t>
      </w:r>
      <w:r w:rsidR="00944D98" w:rsidRPr="004C7092">
        <w:rPr>
          <w:rFonts w:asciiTheme="majorBidi" w:hAnsiTheme="majorBidi" w:cstheme="majorBidi"/>
        </w:rPr>
        <w:t xml:space="preserve"> </w:t>
      </w:r>
      <w:r w:rsidRPr="004C7092">
        <w:rPr>
          <w:rFonts w:asciiTheme="majorBidi" w:hAnsiTheme="majorBidi" w:cstheme="majorBidi"/>
        </w:rPr>
        <w:t xml:space="preserve">Each of these three themes had built-in contradictions with the others, though co-existing peacefully for long stretches of time. Yet, they also had clashing potential by their very definition, and came into growing tension by the end of the century between 1870 and 1914. </w:t>
      </w:r>
    </w:p>
    <w:p w14:paraId="7A257296" w14:textId="77777777" w:rsidR="004E3E80" w:rsidRPr="004C7092" w:rsidRDefault="004E3E80" w:rsidP="004C7092">
      <w:pPr>
        <w:bidi w:val="0"/>
        <w:spacing w:line="480" w:lineRule="auto"/>
        <w:jc w:val="both"/>
        <w:rPr>
          <w:rFonts w:asciiTheme="majorBidi" w:hAnsiTheme="majorBidi" w:cstheme="majorBidi"/>
        </w:rPr>
      </w:pPr>
    </w:p>
    <w:p w14:paraId="52087CD4" w14:textId="2344176A" w:rsidR="004E3E80" w:rsidRPr="004C7092" w:rsidRDefault="004E3E80" w:rsidP="004C7092">
      <w:pPr>
        <w:bidi w:val="0"/>
        <w:spacing w:line="480" w:lineRule="auto"/>
        <w:jc w:val="both"/>
        <w:rPr>
          <w:rFonts w:asciiTheme="majorBidi" w:hAnsiTheme="majorBidi" w:cstheme="majorBidi"/>
          <w:rtl/>
        </w:rPr>
      </w:pPr>
      <w:r w:rsidRPr="004C7092">
        <w:rPr>
          <w:rFonts w:asciiTheme="majorBidi" w:hAnsiTheme="majorBidi" w:cstheme="majorBidi"/>
        </w:rPr>
        <w:t xml:space="preserve">National identity is probably one of the most complicated concepts; its mere definition has comprised an entire branch of historiography that is growing in volume. Therefore, following Peter </w:t>
      </w:r>
      <w:proofErr w:type="spellStart"/>
      <w:r w:rsidRPr="004C7092">
        <w:rPr>
          <w:rFonts w:asciiTheme="majorBidi" w:hAnsiTheme="majorBidi" w:cstheme="majorBidi"/>
        </w:rPr>
        <w:lastRenderedPageBreak/>
        <w:t>Mandler’s</w:t>
      </w:r>
      <w:proofErr w:type="spellEnd"/>
      <w:r w:rsidRPr="004C7092">
        <w:rPr>
          <w:rFonts w:asciiTheme="majorBidi" w:hAnsiTheme="majorBidi" w:cstheme="majorBidi"/>
        </w:rPr>
        <w:t xml:space="preserve"> advice, I will use it here in the sense of the social capital that gives it meaning: a system of symbols, expressions and institutions that convey the connection between state and nation, especially those expressions that contrast the self with the "other"</w:t>
      </w:r>
      <w:r w:rsidR="00FD39F0" w:rsidRPr="004C7092">
        <w:rPr>
          <w:rFonts w:asciiTheme="majorBidi" w:hAnsiTheme="majorBidi" w:cstheme="majorBidi"/>
        </w:rPr>
        <w:t xml:space="preserve"> (</w:t>
      </w:r>
      <w:proofErr w:type="spellStart"/>
      <w:r w:rsidR="00FD39F0" w:rsidRPr="004C7092">
        <w:rPr>
          <w:rFonts w:asciiTheme="majorBidi" w:hAnsiTheme="majorBidi" w:cstheme="majorBidi"/>
        </w:rPr>
        <w:t>Mandler</w:t>
      </w:r>
      <w:proofErr w:type="spellEnd"/>
      <w:r w:rsidR="00FD39F0" w:rsidRPr="004C7092">
        <w:rPr>
          <w:rFonts w:asciiTheme="majorBidi" w:hAnsiTheme="majorBidi" w:cstheme="majorBidi"/>
        </w:rPr>
        <w:t xml:space="preserve"> 2006, 281)</w:t>
      </w:r>
      <w:r w:rsidRPr="004C7092">
        <w:rPr>
          <w:rFonts w:asciiTheme="majorBidi" w:hAnsiTheme="majorBidi" w:cstheme="majorBidi"/>
        </w:rPr>
        <w:t>. British and English identity should be differentiated as well, and I will deal predominantly with the English, although as late as the turn of the nineteenth century the two were often used interchangeably.</w:t>
      </w:r>
    </w:p>
    <w:p w14:paraId="09A9CC1F" w14:textId="77777777" w:rsidR="004E3E80" w:rsidRPr="004C7092" w:rsidRDefault="004E3E80" w:rsidP="004C7092">
      <w:pPr>
        <w:bidi w:val="0"/>
        <w:spacing w:line="480" w:lineRule="auto"/>
        <w:jc w:val="both"/>
        <w:rPr>
          <w:rFonts w:asciiTheme="majorBidi" w:hAnsiTheme="majorBidi" w:cstheme="majorBidi"/>
        </w:rPr>
      </w:pPr>
    </w:p>
    <w:p w14:paraId="7BD951D9" w14:textId="7F1E94D6" w:rsidR="004E3E80" w:rsidRPr="004C7092" w:rsidRDefault="004E3E80" w:rsidP="004C7092">
      <w:pPr>
        <w:pStyle w:val="1"/>
        <w:bidi w:val="0"/>
        <w:spacing w:line="480" w:lineRule="auto"/>
        <w:rPr>
          <w:rFonts w:asciiTheme="majorBidi" w:hAnsiTheme="majorBidi" w:cstheme="majorBidi"/>
          <w:sz w:val="24"/>
          <w:szCs w:val="24"/>
        </w:rPr>
      </w:pPr>
      <w:bookmarkStart w:id="5" w:name="_Toc443517855"/>
      <w:bookmarkStart w:id="6" w:name="_Toc42845031"/>
      <w:r w:rsidRPr="004C7092">
        <w:rPr>
          <w:rFonts w:asciiTheme="majorBidi" w:hAnsiTheme="majorBidi" w:cstheme="majorBidi"/>
          <w:i/>
          <w:iCs/>
          <w:sz w:val="24"/>
          <w:szCs w:val="24"/>
        </w:rPr>
        <w:t xml:space="preserve">Protestantism and the </w:t>
      </w:r>
      <w:bookmarkEnd w:id="5"/>
      <w:r w:rsidRPr="004C7092">
        <w:rPr>
          <w:rFonts w:asciiTheme="majorBidi" w:hAnsiTheme="majorBidi" w:cstheme="majorBidi"/>
          <w:i/>
          <w:iCs/>
          <w:sz w:val="24"/>
          <w:szCs w:val="24"/>
        </w:rPr>
        <w:t>Nation – One under Heaven?</w:t>
      </w:r>
      <w:bookmarkEnd w:id="6"/>
    </w:p>
    <w:p w14:paraId="4FA07EB2" w14:textId="63CBA10B" w:rsidR="004E3E80" w:rsidRPr="004C7092" w:rsidRDefault="004E3E80" w:rsidP="004C7092">
      <w:pPr>
        <w:pStyle w:val="3"/>
        <w:bidi w:val="0"/>
        <w:spacing w:line="480" w:lineRule="auto"/>
        <w:rPr>
          <w:rFonts w:asciiTheme="majorBidi" w:hAnsiTheme="majorBidi" w:cstheme="majorBidi"/>
          <w:sz w:val="24"/>
          <w:szCs w:val="24"/>
        </w:rPr>
      </w:pPr>
      <w:bookmarkStart w:id="7" w:name="_Toc42845032"/>
      <w:r w:rsidRPr="004C7092">
        <w:rPr>
          <w:rFonts w:asciiTheme="majorBidi" w:hAnsiTheme="majorBidi" w:cstheme="majorBidi"/>
          <w:b w:val="0"/>
          <w:bCs w:val="0"/>
          <w:i/>
          <w:iCs/>
          <w:sz w:val="24"/>
          <w:szCs w:val="24"/>
        </w:rPr>
        <w:t>Protestant Nation</w:t>
      </w:r>
      <w:bookmarkEnd w:id="7"/>
    </w:p>
    <w:p w14:paraId="5B25EF09" w14:textId="450BDF0B" w:rsidR="004E3E80" w:rsidRPr="004C7092" w:rsidRDefault="004E3E80" w:rsidP="004C7092">
      <w:pPr>
        <w:bidi w:val="0"/>
        <w:spacing w:line="480" w:lineRule="auto"/>
        <w:jc w:val="both"/>
        <w:rPr>
          <w:rFonts w:asciiTheme="majorBidi" w:hAnsiTheme="majorBidi" w:cstheme="majorBidi"/>
        </w:rPr>
      </w:pPr>
      <w:r w:rsidRPr="004C7092">
        <w:rPr>
          <w:rFonts w:asciiTheme="majorBidi" w:hAnsiTheme="majorBidi" w:cstheme="majorBidi"/>
        </w:rPr>
        <w:t>The vast historiography on secularization practically rules out a role for religion in a modern society, as secularization and nationalism are perceived as concomitant parts of modernity</w:t>
      </w:r>
      <w:r w:rsidR="00FD39F0" w:rsidRPr="004C7092">
        <w:rPr>
          <w:rFonts w:asciiTheme="majorBidi" w:hAnsiTheme="majorBidi" w:cstheme="majorBidi"/>
        </w:rPr>
        <w:t xml:space="preserve"> (Israel 2006, 52)</w:t>
      </w:r>
      <w:r w:rsidRPr="004C7092">
        <w:rPr>
          <w:rFonts w:asciiTheme="majorBidi" w:hAnsiTheme="majorBidi" w:cstheme="majorBidi"/>
        </w:rPr>
        <w:t>.</w:t>
      </w:r>
      <w:r w:rsidRPr="004C7092">
        <w:rPr>
          <w:rFonts w:asciiTheme="majorBidi" w:hAnsiTheme="majorBidi" w:cstheme="majorBidi"/>
          <w:vertAlign w:val="superscript"/>
          <w:rtl/>
        </w:rPr>
        <w:t xml:space="preserve"> </w:t>
      </w:r>
      <w:r w:rsidRPr="004C7092">
        <w:rPr>
          <w:rFonts w:asciiTheme="majorBidi" w:hAnsiTheme="majorBidi" w:cstheme="majorBidi"/>
        </w:rPr>
        <w:t>The general narrative is therefore that as liberal society advances, religion retreats, and, by the same token, toleration, both political and religious, spreads</w:t>
      </w:r>
      <w:r w:rsidR="00FD39F0" w:rsidRPr="004C7092">
        <w:rPr>
          <w:rFonts w:asciiTheme="majorBidi" w:hAnsiTheme="majorBidi" w:cstheme="majorBidi"/>
        </w:rPr>
        <w:t xml:space="preserve"> (</w:t>
      </w:r>
      <w:proofErr w:type="spellStart"/>
      <w:r w:rsidR="00FD39F0" w:rsidRPr="004C7092">
        <w:rPr>
          <w:rFonts w:asciiTheme="majorBidi" w:hAnsiTheme="majorBidi" w:cstheme="majorBidi"/>
        </w:rPr>
        <w:t>Sidenvall</w:t>
      </w:r>
      <w:proofErr w:type="spellEnd"/>
      <w:r w:rsidR="00FD39F0" w:rsidRPr="004C7092">
        <w:rPr>
          <w:rFonts w:asciiTheme="majorBidi" w:hAnsiTheme="majorBidi" w:cstheme="majorBidi"/>
        </w:rPr>
        <w:t xml:space="preserve"> 2005, 176)</w:t>
      </w:r>
      <w:r w:rsidRPr="004C7092">
        <w:rPr>
          <w:rFonts w:asciiTheme="majorBidi" w:hAnsiTheme="majorBidi" w:cstheme="majorBidi"/>
        </w:rPr>
        <w:t xml:space="preserve">. In fact, nationalism is sometimes perceived as the ideological and emotional legitimation of the modern state filling the empty spot left by an </w:t>
      </w:r>
      <w:proofErr w:type="gramStart"/>
      <w:r w:rsidRPr="004C7092">
        <w:rPr>
          <w:rFonts w:asciiTheme="majorBidi" w:hAnsiTheme="majorBidi" w:cstheme="majorBidi"/>
        </w:rPr>
        <w:t>ever receding</w:t>
      </w:r>
      <w:proofErr w:type="gramEnd"/>
      <w:r w:rsidRPr="004C7092">
        <w:rPr>
          <w:rFonts w:asciiTheme="majorBidi" w:hAnsiTheme="majorBidi" w:cstheme="majorBidi"/>
        </w:rPr>
        <w:t xml:space="preserve"> Church</w:t>
      </w:r>
      <w:r w:rsidR="00FD39F0" w:rsidRPr="004C7092">
        <w:rPr>
          <w:rFonts w:asciiTheme="majorBidi" w:hAnsiTheme="majorBidi" w:cstheme="majorBidi"/>
        </w:rPr>
        <w:t xml:space="preserve"> (</w:t>
      </w:r>
      <w:proofErr w:type="spellStart"/>
      <w:r w:rsidR="00FD39F0" w:rsidRPr="004C7092">
        <w:rPr>
          <w:rFonts w:asciiTheme="majorBidi" w:hAnsiTheme="majorBidi" w:cstheme="majorBidi"/>
        </w:rPr>
        <w:t>Asad</w:t>
      </w:r>
      <w:proofErr w:type="spellEnd"/>
      <w:r w:rsidR="00FD39F0" w:rsidRPr="004C7092">
        <w:rPr>
          <w:rFonts w:asciiTheme="majorBidi" w:hAnsiTheme="majorBidi" w:cstheme="majorBidi"/>
        </w:rPr>
        <w:t xml:space="preserve"> 1999)</w:t>
      </w:r>
      <w:r w:rsidRPr="004C7092">
        <w:rPr>
          <w:rFonts w:asciiTheme="majorBidi" w:hAnsiTheme="majorBidi" w:cstheme="majorBidi"/>
        </w:rPr>
        <w:t>.</w:t>
      </w:r>
      <w:r w:rsidRPr="004C7092">
        <w:rPr>
          <w:rStyle w:val="ac"/>
          <w:rFonts w:asciiTheme="majorBidi" w:hAnsiTheme="majorBidi" w:cstheme="majorBidi"/>
        </w:rPr>
        <w:footnoteReference w:id="2"/>
      </w:r>
      <w:r w:rsidRPr="004C7092">
        <w:rPr>
          <w:rFonts w:asciiTheme="majorBidi" w:hAnsiTheme="majorBidi" w:cstheme="majorBidi"/>
        </w:rPr>
        <w:t xml:space="preserve"> </w:t>
      </w:r>
    </w:p>
    <w:p w14:paraId="59501A30" w14:textId="77777777" w:rsidR="004E3E80" w:rsidRPr="004C7092" w:rsidRDefault="004E3E80" w:rsidP="004C7092">
      <w:pPr>
        <w:bidi w:val="0"/>
        <w:spacing w:line="480" w:lineRule="auto"/>
        <w:jc w:val="both"/>
        <w:rPr>
          <w:rFonts w:asciiTheme="majorBidi" w:hAnsiTheme="majorBidi" w:cstheme="majorBidi"/>
        </w:rPr>
      </w:pPr>
    </w:p>
    <w:p w14:paraId="71098F2F" w14:textId="64601A00" w:rsidR="004E3E80" w:rsidRPr="004C7092" w:rsidRDefault="004E3E80" w:rsidP="004C7092">
      <w:pPr>
        <w:bidi w:val="0"/>
        <w:spacing w:line="480" w:lineRule="auto"/>
        <w:jc w:val="both"/>
        <w:rPr>
          <w:rFonts w:asciiTheme="majorBidi" w:hAnsiTheme="majorBidi" w:cstheme="majorBidi"/>
        </w:rPr>
      </w:pPr>
      <w:r w:rsidRPr="004C7092">
        <w:rPr>
          <w:rFonts w:asciiTheme="majorBidi" w:hAnsiTheme="majorBidi" w:cstheme="majorBidi"/>
        </w:rPr>
        <w:t xml:space="preserve">Yet, Protestantism and its place in English public culture and identity during the nineteenth century seems pivotal, though the definition of its exact nature draws the most varied opinions: from Kumar, who sees its centrality and believes it negates a national identity, to Linda Colley, who in her influential work extolls the centrality of Protestantism for the forging of the British combined identity in the </w:t>
      </w:r>
      <w:r w:rsidR="00F3572E" w:rsidRPr="004C7092">
        <w:rPr>
          <w:rFonts w:asciiTheme="majorBidi" w:hAnsiTheme="majorBidi" w:cstheme="majorBidi"/>
        </w:rPr>
        <w:t>eighteenth</w:t>
      </w:r>
      <w:r w:rsidRPr="004C7092">
        <w:rPr>
          <w:rFonts w:asciiTheme="majorBidi" w:hAnsiTheme="majorBidi" w:cstheme="majorBidi"/>
        </w:rPr>
        <w:t xml:space="preserve"> century</w:t>
      </w:r>
      <w:r w:rsidR="00F3572E" w:rsidRPr="004C7092">
        <w:rPr>
          <w:rFonts w:asciiTheme="majorBidi" w:hAnsiTheme="majorBidi" w:cstheme="majorBidi"/>
        </w:rPr>
        <w:t xml:space="preserve"> (Colley 1992b, 329)</w:t>
      </w:r>
      <w:r w:rsidRPr="004C7092">
        <w:rPr>
          <w:rFonts w:asciiTheme="majorBidi" w:hAnsiTheme="majorBidi" w:cstheme="majorBidi"/>
        </w:rPr>
        <w:t xml:space="preserve">. The presence of Protestantism as a cornerstone of the English state is thus a matter of general consent. It was national identity, as </w:t>
      </w:r>
      <w:proofErr w:type="spellStart"/>
      <w:r w:rsidRPr="004C7092">
        <w:rPr>
          <w:rFonts w:asciiTheme="majorBidi" w:hAnsiTheme="majorBidi" w:cstheme="majorBidi"/>
        </w:rPr>
        <w:t>Liah</w:t>
      </w:r>
      <w:proofErr w:type="spellEnd"/>
      <w:r w:rsidRPr="004C7092">
        <w:rPr>
          <w:rFonts w:asciiTheme="majorBidi" w:hAnsiTheme="majorBidi" w:cstheme="majorBidi"/>
        </w:rPr>
        <w:t xml:space="preserve"> </w:t>
      </w:r>
      <w:proofErr w:type="spellStart"/>
      <w:r w:rsidRPr="004C7092">
        <w:rPr>
          <w:rFonts w:asciiTheme="majorBidi" w:hAnsiTheme="majorBidi" w:cstheme="majorBidi"/>
        </w:rPr>
        <w:t>Greenfeld</w:t>
      </w:r>
      <w:proofErr w:type="spellEnd"/>
      <w:r w:rsidRPr="004C7092">
        <w:rPr>
          <w:rFonts w:asciiTheme="majorBidi" w:hAnsiTheme="majorBidi" w:cstheme="majorBidi"/>
        </w:rPr>
        <w:t xml:space="preserve"> would have it, or a political culture, as Colley describes so vividly. As it was </w:t>
      </w:r>
      <w:r w:rsidRPr="004C7092">
        <w:rPr>
          <w:rFonts w:asciiTheme="majorBidi" w:hAnsiTheme="majorBidi" w:cstheme="majorBidi"/>
        </w:rPr>
        <w:lastRenderedPageBreak/>
        <w:t>“enthusiastically endorsed by the mass of people”, Kumar would probably prefer to call it popular culture. By the beginning of the nineteenth century, a long-term enduring pattern was being created</w:t>
      </w:r>
      <w:r w:rsidR="00E179F6" w:rsidRPr="004C7092">
        <w:rPr>
          <w:rFonts w:asciiTheme="majorBidi" w:hAnsiTheme="majorBidi" w:cstheme="majorBidi"/>
        </w:rPr>
        <w:t xml:space="preserve"> (Jenkins 1975;</w:t>
      </w:r>
      <w:r w:rsidR="0025159B" w:rsidRPr="004C7092">
        <w:rPr>
          <w:rFonts w:asciiTheme="majorBidi" w:hAnsiTheme="majorBidi" w:cstheme="majorBidi"/>
        </w:rPr>
        <w:t xml:space="preserve"> Robbins 1993, 85-104; Smith 2008; Colley 1992b, 53</w:t>
      </w:r>
      <w:r w:rsidR="00D00B0C" w:rsidRPr="004C7092">
        <w:rPr>
          <w:rFonts w:asciiTheme="majorBidi" w:hAnsiTheme="majorBidi" w:cstheme="majorBidi"/>
          <w:rtl/>
        </w:rPr>
        <w:t>(</w:t>
      </w:r>
      <w:r w:rsidRPr="004C7092">
        <w:rPr>
          <w:rFonts w:asciiTheme="majorBidi" w:hAnsiTheme="majorBidi" w:cstheme="majorBidi"/>
        </w:rPr>
        <w:t>.</w:t>
      </w:r>
      <w:r w:rsidRPr="004C7092">
        <w:rPr>
          <w:rStyle w:val="ac"/>
          <w:rFonts w:asciiTheme="majorBidi" w:hAnsiTheme="majorBidi" w:cstheme="majorBidi"/>
          <w:rtl/>
        </w:rPr>
        <w:footnoteReference w:id="3"/>
      </w:r>
      <w:r w:rsidRPr="004C7092">
        <w:rPr>
          <w:rFonts w:asciiTheme="majorBidi" w:hAnsiTheme="majorBidi" w:cstheme="majorBidi"/>
        </w:rPr>
        <w:t xml:space="preserve"> Perhaps the very plurality and diversity of the British religious spectrum, Protestant and otherwise, prevented a major confrontation between church and state in British politics</w:t>
      </w:r>
      <w:r w:rsidR="004326BC" w:rsidRPr="004C7092">
        <w:rPr>
          <w:rFonts w:asciiTheme="majorBidi" w:hAnsiTheme="majorBidi" w:cstheme="majorBidi"/>
          <w:rtl/>
        </w:rPr>
        <w:t xml:space="preserve"> </w:t>
      </w:r>
      <w:r w:rsidR="004326BC" w:rsidRPr="004C7092">
        <w:rPr>
          <w:rFonts w:asciiTheme="majorBidi" w:hAnsiTheme="majorBidi" w:cstheme="majorBidi"/>
        </w:rPr>
        <w:t>(Beckford 1991, 179).</w:t>
      </w:r>
      <w:r w:rsidRPr="004C7092">
        <w:rPr>
          <w:rFonts w:asciiTheme="majorBidi" w:hAnsiTheme="majorBidi" w:cstheme="majorBidi"/>
        </w:rPr>
        <w:t xml:space="preserve"> The growing separation of religion and state during the nineteenth century did much to make the society more pluralistic, but religion was still a major preoccupation of Victorian society. </w:t>
      </w:r>
    </w:p>
    <w:p w14:paraId="16C6DF8F" w14:textId="77777777" w:rsidR="004E3E80" w:rsidRPr="004C7092" w:rsidRDefault="004E3E80" w:rsidP="004C7092">
      <w:pPr>
        <w:bidi w:val="0"/>
        <w:spacing w:line="480" w:lineRule="auto"/>
        <w:jc w:val="both"/>
        <w:rPr>
          <w:rFonts w:asciiTheme="majorBidi" w:hAnsiTheme="majorBidi" w:cstheme="majorBidi"/>
        </w:rPr>
      </w:pPr>
    </w:p>
    <w:p w14:paraId="4D4AA1BE" w14:textId="3F8C8D3D" w:rsidR="004E3E80" w:rsidRPr="004C7092" w:rsidRDefault="004E3E80" w:rsidP="004C7092">
      <w:pPr>
        <w:bidi w:val="0"/>
        <w:spacing w:line="480" w:lineRule="auto"/>
        <w:jc w:val="both"/>
        <w:rPr>
          <w:rStyle w:val="ac"/>
          <w:rFonts w:asciiTheme="majorBidi" w:hAnsiTheme="majorBidi" w:cstheme="majorBidi"/>
        </w:rPr>
      </w:pPr>
      <w:r w:rsidRPr="004C7092">
        <w:rPr>
          <w:rFonts w:asciiTheme="majorBidi" w:hAnsiTheme="majorBidi" w:cstheme="majorBidi"/>
        </w:rPr>
        <w:t xml:space="preserve">Even the historiography on secularization cannot rule out this omnipresence of religion in </w:t>
      </w:r>
      <w:r w:rsidR="0025159B" w:rsidRPr="004C7092">
        <w:rPr>
          <w:rFonts w:asciiTheme="majorBidi" w:hAnsiTheme="majorBidi" w:cstheme="majorBidi"/>
        </w:rPr>
        <w:t>nineteenth</w:t>
      </w:r>
      <w:r w:rsidRPr="004C7092">
        <w:rPr>
          <w:rFonts w:asciiTheme="majorBidi" w:hAnsiTheme="majorBidi" w:cstheme="majorBidi"/>
        </w:rPr>
        <w:t>-century discourse on Englishness, if only because the exact meaning and scope of secularization are far from agreed upon. In the private sphere, the famous crisis of faith of the era was also at times a crisis of doubt.</w:t>
      </w:r>
      <w:r w:rsidRPr="004C7092">
        <w:rPr>
          <w:rStyle w:val="ac"/>
          <w:rFonts w:asciiTheme="majorBidi" w:hAnsiTheme="majorBidi" w:cstheme="majorBidi"/>
          <w:rtl/>
        </w:rPr>
        <w:footnoteReference w:id="4"/>
      </w:r>
      <w:r w:rsidRPr="004C7092">
        <w:rPr>
          <w:rFonts w:asciiTheme="majorBidi" w:hAnsiTheme="majorBidi" w:cstheme="majorBidi"/>
        </w:rPr>
        <w:t xml:space="preserve"> One study has re-branded Britain of 1800 to 1963 </w:t>
      </w:r>
      <w:r w:rsidR="0025159B" w:rsidRPr="004C7092">
        <w:rPr>
          <w:rFonts w:asciiTheme="majorBidi" w:hAnsiTheme="majorBidi" w:cstheme="majorBidi"/>
        </w:rPr>
        <w:t>“</w:t>
      </w:r>
      <w:r w:rsidRPr="004C7092">
        <w:rPr>
          <w:rFonts w:asciiTheme="majorBidi" w:hAnsiTheme="majorBidi" w:cstheme="majorBidi"/>
        </w:rPr>
        <w:t>a highly religious nation,</w:t>
      </w:r>
      <w:r w:rsidR="0025159B" w:rsidRPr="004C7092">
        <w:rPr>
          <w:rFonts w:asciiTheme="majorBidi" w:hAnsiTheme="majorBidi" w:cstheme="majorBidi"/>
        </w:rPr>
        <w:t>”</w:t>
      </w:r>
      <w:r w:rsidRPr="004C7092">
        <w:rPr>
          <w:rFonts w:asciiTheme="majorBidi" w:hAnsiTheme="majorBidi" w:cstheme="majorBidi"/>
        </w:rPr>
        <w:t xml:space="preserve"> and the period as </w:t>
      </w:r>
      <w:r w:rsidR="0025159B" w:rsidRPr="004C7092">
        <w:rPr>
          <w:rFonts w:asciiTheme="majorBidi" w:hAnsiTheme="majorBidi" w:cstheme="majorBidi"/>
        </w:rPr>
        <w:t>“</w:t>
      </w:r>
      <w:r w:rsidRPr="004C7092">
        <w:rPr>
          <w:rFonts w:asciiTheme="majorBidi" w:hAnsiTheme="majorBidi" w:cstheme="majorBidi"/>
        </w:rPr>
        <w:t>the nation's last puritan age</w:t>
      </w:r>
      <w:r w:rsidR="0025159B" w:rsidRPr="004C7092">
        <w:rPr>
          <w:rFonts w:asciiTheme="majorBidi" w:hAnsiTheme="majorBidi" w:cstheme="majorBidi"/>
        </w:rPr>
        <w:t>”</w:t>
      </w:r>
      <w:r w:rsidR="00A36835" w:rsidRPr="004C7092">
        <w:rPr>
          <w:rFonts w:asciiTheme="majorBidi" w:hAnsiTheme="majorBidi" w:cstheme="majorBidi"/>
        </w:rPr>
        <w:t xml:space="preserve"> (Brown 2005, 9).</w:t>
      </w:r>
      <w:r w:rsidRPr="004C7092">
        <w:rPr>
          <w:rFonts w:asciiTheme="majorBidi" w:hAnsiTheme="majorBidi" w:cstheme="majorBidi"/>
        </w:rPr>
        <w:t xml:space="preserve"> The detrimental influence of urbanization and of the growing working classes on the nation’s religiosity has also been contested. The 1851 census can show that while industrialization had indeed weakened loyalty to the established church, the industrialized areas were under growing religious influence, although highly dependent on local conditions</w:t>
      </w:r>
      <w:r w:rsidR="00222685" w:rsidRPr="004C7092">
        <w:rPr>
          <w:rFonts w:asciiTheme="majorBidi" w:hAnsiTheme="majorBidi" w:cstheme="majorBidi"/>
          <w:rtl/>
        </w:rPr>
        <w:t xml:space="preserve"> </w:t>
      </w:r>
      <w:r w:rsidR="00222685" w:rsidRPr="004C7092">
        <w:rPr>
          <w:rFonts w:asciiTheme="majorBidi" w:hAnsiTheme="majorBidi" w:cstheme="majorBidi"/>
        </w:rPr>
        <w:t>(</w:t>
      </w:r>
      <w:proofErr w:type="spellStart"/>
      <w:r w:rsidR="00222685" w:rsidRPr="004C7092">
        <w:rPr>
          <w:rFonts w:asciiTheme="majorBidi" w:hAnsiTheme="majorBidi" w:cstheme="majorBidi"/>
        </w:rPr>
        <w:t>Wolffe</w:t>
      </w:r>
      <w:proofErr w:type="spellEnd"/>
      <w:r w:rsidR="00222685" w:rsidRPr="004C7092">
        <w:rPr>
          <w:rFonts w:asciiTheme="majorBidi" w:hAnsiTheme="majorBidi" w:cstheme="majorBidi"/>
        </w:rPr>
        <w:t xml:space="preserve"> 2008 74-5, 85).</w:t>
      </w:r>
      <w:r w:rsidRPr="004C7092">
        <w:rPr>
          <w:rStyle w:val="ac"/>
          <w:rFonts w:asciiTheme="majorBidi" w:hAnsiTheme="majorBidi" w:cstheme="majorBidi"/>
          <w:rtl/>
        </w:rPr>
        <w:t xml:space="preserve"> </w:t>
      </w:r>
      <w:r w:rsidRPr="004C7092">
        <w:rPr>
          <w:rStyle w:val="ac"/>
          <w:rFonts w:asciiTheme="majorBidi" w:hAnsiTheme="majorBidi" w:cstheme="majorBidi"/>
          <w:rtl/>
        </w:rPr>
        <w:footnoteReference w:id="5"/>
      </w:r>
      <w:r w:rsidRPr="004C7092">
        <w:rPr>
          <w:rFonts w:asciiTheme="majorBidi" w:hAnsiTheme="majorBidi" w:cstheme="majorBidi"/>
        </w:rPr>
        <w:t xml:space="preserve"> The dropping of active participation during the nineteenth century, could be counterbalanced by the claim that belonging and believing held </w:t>
      </w:r>
      <w:r w:rsidRPr="004C7092">
        <w:rPr>
          <w:rFonts w:asciiTheme="majorBidi" w:hAnsiTheme="majorBidi" w:cstheme="majorBidi"/>
        </w:rPr>
        <w:lastRenderedPageBreak/>
        <w:t>strong.</w:t>
      </w:r>
      <w:r w:rsidRPr="004C7092">
        <w:rPr>
          <w:rStyle w:val="ac"/>
          <w:rFonts w:asciiTheme="majorBidi" w:hAnsiTheme="majorBidi" w:cstheme="majorBidi"/>
        </w:rPr>
        <w:footnoteReference w:id="6"/>
      </w:r>
      <w:r w:rsidRPr="004C7092">
        <w:rPr>
          <w:rFonts w:asciiTheme="majorBidi" w:hAnsiTheme="majorBidi" w:cstheme="majorBidi"/>
        </w:rPr>
        <w:t xml:space="preserve"> Indeed, anti-Christianity or anti-clericalism remained a marginal phenomen</w:t>
      </w:r>
      <w:r w:rsidR="000B2980" w:rsidRPr="004C7092">
        <w:rPr>
          <w:rFonts w:asciiTheme="majorBidi" w:hAnsiTheme="majorBidi" w:cstheme="majorBidi"/>
        </w:rPr>
        <w:t>on</w:t>
      </w:r>
      <w:r w:rsidRPr="004C7092">
        <w:rPr>
          <w:rFonts w:asciiTheme="majorBidi" w:hAnsiTheme="majorBidi" w:cstheme="majorBidi"/>
        </w:rPr>
        <w:t xml:space="preserve"> in England</w:t>
      </w:r>
      <w:r w:rsidR="000B2980" w:rsidRPr="004C7092">
        <w:rPr>
          <w:rFonts w:asciiTheme="majorBidi" w:hAnsiTheme="majorBidi" w:cstheme="majorBidi"/>
        </w:rPr>
        <w:t xml:space="preserve"> (Larsen 2001, 529; Beckford 1993, 180).</w:t>
      </w:r>
      <w:r w:rsidRPr="004C7092">
        <w:rPr>
          <w:rFonts w:asciiTheme="majorBidi" w:hAnsiTheme="majorBidi" w:cstheme="majorBidi"/>
        </w:rPr>
        <w:t xml:space="preserve"> And even avowed secularists like John Stuart Mill propounded Christianity's superiority</w:t>
      </w:r>
      <w:r w:rsidR="000B2980" w:rsidRPr="004C7092">
        <w:rPr>
          <w:rFonts w:asciiTheme="majorBidi" w:hAnsiTheme="majorBidi" w:cstheme="majorBidi"/>
        </w:rPr>
        <w:t xml:space="preserve"> (Alexander 2000, 90-94).</w:t>
      </w:r>
      <w:r w:rsidRPr="004C7092">
        <w:rPr>
          <w:rFonts w:asciiTheme="majorBidi" w:hAnsiTheme="majorBidi" w:cstheme="majorBidi"/>
        </w:rPr>
        <w:t xml:space="preserve"> As Asa Briggs noted, during the mid-Victorian years, “the religious climate was more exciting and important than anything else. The amount of pamphlet and periodical literature devoted to religious problems was far greater than that devoted to economic and social problems</w:t>
      </w:r>
      <w:r w:rsidR="000B2980" w:rsidRPr="004C7092">
        <w:rPr>
          <w:rFonts w:asciiTheme="majorBidi" w:hAnsiTheme="majorBidi" w:cstheme="majorBidi"/>
        </w:rPr>
        <w:t xml:space="preserve">” </w:t>
      </w:r>
      <w:r w:rsidR="00B1332E" w:rsidRPr="004C7092">
        <w:rPr>
          <w:rFonts w:asciiTheme="majorBidi" w:hAnsiTheme="majorBidi" w:cstheme="majorBidi"/>
        </w:rPr>
        <w:t>(Briggs 1963, 49).</w:t>
      </w:r>
      <w:r w:rsidRPr="004C7092">
        <w:rPr>
          <w:rFonts w:asciiTheme="majorBidi" w:hAnsiTheme="majorBidi" w:cstheme="majorBidi"/>
        </w:rPr>
        <w:t xml:space="preserve"> A large portion of Victorian </w:t>
      </w:r>
      <w:r w:rsidRPr="004C7092">
        <w:rPr>
          <w:rFonts w:asciiTheme="majorBidi" w:hAnsiTheme="majorBidi" w:cstheme="majorBidi"/>
          <w:i/>
          <w:iCs/>
        </w:rPr>
        <w:t>belles-lettres</w:t>
      </w:r>
      <w:r w:rsidRPr="004C7092">
        <w:rPr>
          <w:rFonts w:asciiTheme="majorBidi" w:hAnsiTheme="majorBidi" w:cstheme="majorBidi"/>
        </w:rPr>
        <w:t xml:space="preserve"> dealt with religious questions as social issues. Religious books, both fiction and non-fiction, were among the highest ranking on the best-seller lists of bookstores during the years 1891-1906.</w:t>
      </w:r>
      <w:r w:rsidRPr="004C7092">
        <w:rPr>
          <w:rStyle w:val="ac"/>
          <w:rFonts w:asciiTheme="majorBidi" w:hAnsiTheme="majorBidi" w:cstheme="majorBidi"/>
          <w:rtl/>
        </w:rPr>
        <w:footnoteReference w:id="7"/>
      </w:r>
    </w:p>
    <w:p w14:paraId="432BDA94" w14:textId="77777777" w:rsidR="004E3E80" w:rsidRPr="004C7092" w:rsidRDefault="004E3E80" w:rsidP="004C7092">
      <w:pPr>
        <w:bidi w:val="0"/>
        <w:spacing w:line="480" w:lineRule="auto"/>
        <w:jc w:val="both"/>
        <w:rPr>
          <w:rStyle w:val="ac"/>
          <w:rFonts w:asciiTheme="majorBidi" w:hAnsiTheme="majorBidi" w:cstheme="majorBidi"/>
        </w:rPr>
      </w:pPr>
    </w:p>
    <w:p w14:paraId="046D3078" w14:textId="6D6A93DF" w:rsidR="004E3E80" w:rsidRPr="004C7092" w:rsidRDefault="004E3E80" w:rsidP="004C7092">
      <w:pPr>
        <w:bidi w:val="0"/>
        <w:spacing w:line="480" w:lineRule="auto"/>
        <w:jc w:val="both"/>
        <w:rPr>
          <w:rFonts w:asciiTheme="majorBidi" w:hAnsiTheme="majorBidi" w:cstheme="majorBidi"/>
        </w:rPr>
      </w:pPr>
      <w:r w:rsidRPr="004C7092">
        <w:rPr>
          <w:rFonts w:asciiTheme="majorBidi" w:hAnsiTheme="majorBidi" w:cstheme="majorBidi"/>
        </w:rPr>
        <w:t xml:space="preserve">Furthermore, the Victorians' </w:t>
      </w:r>
      <w:proofErr w:type="gramStart"/>
      <w:r w:rsidRPr="004C7092">
        <w:rPr>
          <w:rFonts w:asciiTheme="majorBidi" w:hAnsiTheme="majorBidi" w:cstheme="majorBidi"/>
        </w:rPr>
        <w:t>world-view</w:t>
      </w:r>
      <w:proofErr w:type="gramEnd"/>
      <w:r w:rsidRPr="004C7092">
        <w:rPr>
          <w:rFonts w:asciiTheme="majorBidi" w:hAnsiTheme="majorBidi" w:cstheme="majorBidi"/>
        </w:rPr>
        <w:t xml:space="preserve"> owed much to Puritan writings and especially to John </w:t>
      </w:r>
      <w:r w:rsidR="00B1332E" w:rsidRPr="004C7092">
        <w:rPr>
          <w:rFonts w:asciiTheme="majorBidi" w:hAnsiTheme="majorBidi" w:cstheme="majorBidi"/>
        </w:rPr>
        <w:t>Bunyan's book (Fraser, 2002, 111)</w:t>
      </w:r>
      <w:r w:rsidRPr="004C7092">
        <w:rPr>
          <w:rFonts w:asciiTheme="majorBidi" w:hAnsiTheme="majorBidi" w:cstheme="majorBidi"/>
        </w:rPr>
        <w:t>. The nineteenth century still used the old language typical of Bunyan and Protestant spiritual personal development, even when God was left out. The pilgrim depicted in Victorian literature was essentially a secular one, symbols like the vanity mirror, prison of self, labyrinth of life, dunghill as the origin of the pilgrim, and the rescue of the shipwrecked pilgrim were perpetuated. And these emblems, one and all, as expressions of the conception of life as embattled progress retained a Protestant language and discourse</w:t>
      </w:r>
      <w:r w:rsidR="007F57CD" w:rsidRPr="004C7092">
        <w:rPr>
          <w:rFonts w:asciiTheme="majorBidi" w:hAnsiTheme="majorBidi" w:cstheme="majorBidi"/>
        </w:rPr>
        <w:t xml:space="preserve"> (Qualls 1982, 1-16)</w:t>
      </w:r>
      <w:r w:rsidRPr="004C7092">
        <w:rPr>
          <w:rFonts w:asciiTheme="majorBidi" w:hAnsiTheme="majorBidi" w:cstheme="majorBidi"/>
        </w:rPr>
        <w:t>. Although historical Christianity was often replaced with a humanistic secular version, the cultural ties with the Protestant tradition were kept alive.</w:t>
      </w:r>
      <w:r w:rsidRPr="004C7092">
        <w:rPr>
          <w:rStyle w:val="ac"/>
          <w:rFonts w:asciiTheme="majorBidi" w:hAnsiTheme="majorBidi" w:cstheme="majorBidi"/>
        </w:rPr>
        <w:footnoteReference w:id="8"/>
      </w:r>
      <w:r w:rsidRPr="004C7092">
        <w:rPr>
          <w:rFonts w:asciiTheme="majorBidi" w:hAnsiTheme="majorBidi" w:cstheme="majorBidi"/>
        </w:rPr>
        <w:t xml:space="preserve"> At other times Victorians employed a rhetoric that, though religious in form, avoided the challenges posed to it by modernity</w:t>
      </w:r>
      <w:r w:rsidR="00F91694" w:rsidRPr="004C7092">
        <w:rPr>
          <w:rFonts w:asciiTheme="majorBidi" w:hAnsiTheme="majorBidi" w:cstheme="majorBidi"/>
        </w:rPr>
        <w:t xml:space="preserve"> (Ralls 1974, 256.)</w:t>
      </w:r>
      <w:r w:rsidRPr="004C7092">
        <w:rPr>
          <w:rFonts w:asciiTheme="majorBidi" w:hAnsiTheme="majorBidi" w:cstheme="majorBidi"/>
        </w:rPr>
        <w:t>.</w:t>
      </w:r>
      <w:r w:rsidRPr="004C7092">
        <w:rPr>
          <w:rStyle w:val="ac"/>
          <w:rFonts w:asciiTheme="majorBidi" w:hAnsiTheme="majorBidi" w:cstheme="majorBidi"/>
        </w:rPr>
        <w:t xml:space="preserve"> </w:t>
      </w:r>
      <w:r w:rsidRPr="004C7092">
        <w:rPr>
          <w:rStyle w:val="ac"/>
          <w:rFonts w:asciiTheme="majorBidi" w:hAnsiTheme="majorBidi" w:cstheme="majorBidi"/>
        </w:rPr>
        <w:footnoteReference w:id="9"/>
      </w:r>
    </w:p>
    <w:p w14:paraId="6BE910C1" w14:textId="77777777" w:rsidR="004E3E80" w:rsidRPr="004C7092" w:rsidRDefault="004E3E80" w:rsidP="004C7092">
      <w:pPr>
        <w:bidi w:val="0"/>
        <w:spacing w:line="480" w:lineRule="auto"/>
        <w:jc w:val="both"/>
        <w:rPr>
          <w:rFonts w:asciiTheme="majorBidi" w:hAnsiTheme="majorBidi" w:cstheme="majorBidi"/>
        </w:rPr>
      </w:pPr>
    </w:p>
    <w:p w14:paraId="6734BFE9" w14:textId="40492F19" w:rsidR="004E3E80" w:rsidRPr="004C7092" w:rsidRDefault="004E3E80" w:rsidP="004C7092">
      <w:pPr>
        <w:bidi w:val="0"/>
        <w:spacing w:line="480" w:lineRule="auto"/>
        <w:jc w:val="both"/>
        <w:rPr>
          <w:rFonts w:asciiTheme="majorBidi" w:hAnsiTheme="majorBidi" w:cstheme="majorBidi"/>
        </w:rPr>
      </w:pPr>
      <w:r w:rsidRPr="004C7092">
        <w:rPr>
          <w:rFonts w:asciiTheme="majorBidi" w:hAnsiTheme="majorBidi" w:cstheme="majorBidi"/>
        </w:rPr>
        <w:t>Beyond the importance of private religion is Protestantism’s role in shaping collective identity, through the public and national role of the Church of England. Parliament dealt not only with religious subjects pertaining to the status and government of the Church of England but also with religion as a complicating factor in education, in Ireland, and in party politics</w:t>
      </w:r>
      <w:r w:rsidR="00E9121A" w:rsidRPr="004C7092">
        <w:rPr>
          <w:rFonts w:asciiTheme="majorBidi" w:hAnsiTheme="majorBidi" w:cstheme="majorBidi"/>
        </w:rPr>
        <w:t xml:space="preserve"> (</w:t>
      </w:r>
      <w:proofErr w:type="spellStart"/>
      <w:r w:rsidR="00E9121A" w:rsidRPr="004C7092">
        <w:rPr>
          <w:rFonts w:asciiTheme="majorBidi" w:hAnsiTheme="majorBidi" w:cstheme="majorBidi"/>
        </w:rPr>
        <w:t>Arnstein</w:t>
      </w:r>
      <w:proofErr w:type="spellEnd"/>
      <w:r w:rsidR="00E9121A" w:rsidRPr="004C7092">
        <w:rPr>
          <w:rFonts w:asciiTheme="majorBidi" w:hAnsiTheme="majorBidi" w:cstheme="majorBidi"/>
        </w:rPr>
        <w:t xml:space="preserve">, Bright, Peterson and </w:t>
      </w:r>
      <w:proofErr w:type="spellStart"/>
      <w:r w:rsidR="00E9121A" w:rsidRPr="004C7092">
        <w:rPr>
          <w:rFonts w:asciiTheme="majorBidi" w:hAnsiTheme="majorBidi" w:cstheme="majorBidi"/>
        </w:rPr>
        <w:t>Temperley</w:t>
      </w:r>
      <w:proofErr w:type="spellEnd"/>
      <w:r w:rsidR="00E9121A" w:rsidRPr="004C7092">
        <w:rPr>
          <w:rFonts w:asciiTheme="majorBidi" w:hAnsiTheme="majorBidi" w:cstheme="majorBidi"/>
        </w:rPr>
        <w:t xml:space="preserve"> 1989, 150).</w:t>
      </w:r>
      <w:r w:rsidRPr="004C7092">
        <w:rPr>
          <w:rFonts w:asciiTheme="majorBidi" w:hAnsiTheme="majorBidi" w:cstheme="majorBidi"/>
        </w:rPr>
        <w:t xml:space="preserve"> The repeal of the Test Act in 1828-9 divorced the alleged connection between members of church and state. </w:t>
      </w:r>
      <w:proofErr w:type="gramStart"/>
      <w:r w:rsidRPr="004C7092">
        <w:rPr>
          <w:rFonts w:asciiTheme="majorBidi" w:hAnsiTheme="majorBidi" w:cstheme="majorBidi"/>
        </w:rPr>
        <w:t>But,</w:t>
      </w:r>
      <w:proofErr w:type="gramEnd"/>
      <w:r w:rsidRPr="004C7092">
        <w:rPr>
          <w:rFonts w:asciiTheme="majorBidi" w:hAnsiTheme="majorBidi" w:cstheme="majorBidi"/>
        </w:rPr>
        <w:t xml:space="preserve"> the agitation for disestablishment in the 1830s was withstood, and at least the symbolic status of the Church of England was left virtually intact</w:t>
      </w:r>
      <w:r w:rsidR="00E9121A" w:rsidRPr="004C7092">
        <w:rPr>
          <w:rFonts w:asciiTheme="majorBidi" w:hAnsiTheme="majorBidi" w:cstheme="majorBidi"/>
        </w:rPr>
        <w:t xml:space="preserve"> (</w:t>
      </w:r>
      <w:proofErr w:type="spellStart"/>
      <w:r w:rsidR="00E9121A" w:rsidRPr="004C7092">
        <w:rPr>
          <w:rFonts w:asciiTheme="majorBidi" w:hAnsiTheme="majorBidi" w:cstheme="majorBidi"/>
        </w:rPr>
        <w:t>Wolffe</w:t>
      </w:r>
      <w:proofErr w:type="spellEnd"/>
      <w:r w:rsidR="00E9121A" w:rsidRPr="004C7092">
        <w:rPr>
          <w:rFonts w:asciiTheme="majorBidi" w:hAnsiTheme="majorBidi" w:cstheme="majorBidi"/>
        </w:rPr>
        <w:t xml:space="preserve"> 2002, 13; McLeod 2007, 17).</w:t>
      </w:r>
      <w:r w:rsidRPr="004C7092">
        <w:rPr>
          <w:rFonts w:asciiTheme="majorBidi" w:hAnsiTheme="majorBidi" w:cstheme="majorBidi"/>
        </w:rPr>
        <w:t xml:space="preserve"> </w:t>
      </w:r>
    </w:p>
    <w:p w14:paraId="17109D51" w14:textId="77777777" w:rsidR="004E3E80" w:rsidRPr="004C7092" w:rsidRDefault="004E3E80" w:rsidP="004C7092">
      <w:pPr>
        <w:bidi w:val="0"/>
        <w:spacing w:line="480" w:lineRule="auto"/>
        <w:jc w:val="both"/>
        <w:rPr>
          <w:rFonts w:asciiTheme="majorBidi" w:hAnsiTheme="majorBidi" w:cstheme="majorBidi"/>
        </w:rPr>
      </w:pPr>
    </w:p>
    <w:p w14:paraId="6DB33AF6" w14:textId="22219358" w:rsidR="004E3E80" w:rsidRPr="004C7092" w:rsidRDefault="004E3E80" w:rsidP="004C7092">
      <w:pPr>
        <w:bidi w:val="0"/>
        <w:spacing w:line="480" w:lineRule="auto"/>
        <w:jc w:val="both"/>
        <w:rPr>
          <w:rFonts w:asciiTheme="majorBidi" w:hAnsiTheme="majorBidi" w:cstheme="majorBidi"/>
        </w:rPr>
      </w:pPr>
      <w:r w:rsidRPr="004C7092">
        <w:rPr>
          <w:rFonts w:asciiTheme="majorBidi" w:hAnsiTheme="majorBidi" w:cstheme="majorBidi"/>
        </w:rPr>
        <w:t>Over time, the connection between church and state has changed from one in which the church provided political legitimation to one that expressed a set of symbols which construct identity</w:t>
      </w:r>
      <w:r w:rsidR="00E9121A" w:rsidRPr="004C7092">
        <w:rPr>
          <w:rFonts w:asciiTheme="majorBidi" w:hAnsiTheme="majorBidi" w:cstheme="majorBidi"/>
        </w:rPr>
        <w:t xml:space="preserve"> (Hall 1992, 292).</w:t>
      </w:r>
      <w:r w:rsidRPr="004C7092">
        <w:rPr>
          <w:rStyle w:val="ac"/>
          <w:rFonts w:asciiTheme="majorBidi" w:hAnsiTheme="majorBidi" w:cstheme="majorBidi"/>
          <w:rtl/>
        </w:rPr>
        <w:t xml:space="preserve"> </w:t>
      </w:r>
      <w:r w:rsidRPr="004C7092">
        <w:rPr>
          <w:rStyle w:val="ac"/>
          <w:rFonts w:asciiTheme="majorBidi" w:hAnsiTheme="majorBidi" w:cstheme="majorBidi"/>
          <w:rtl/>
        </w:rPr>
        <w:footnoteReference w:id="10"/>
      </w:r>
      <w:r w:rsidRPr="004C7092">
        <w:rPr>
          <w:rFonts w:asciiTheme="majorBidi" w:hAnsiTheme="majorBidi" w:cstheme="majorBidi"/>
        </w:rPr>
        <w:t xml:space="preserve">At the end of the nineteenth century, the Anglican Church was still the “main religious </w:t>
      </w:r>
      <w:r w:rsidR="00B56C83" w:rsidRPr="004C7092">
        <w:rPr>
          <w:rFonts w:asciiTheme="majorBidi" w:hAnsiTheme="majorBidi" w:cstheme="majorBidi"/>
        </w:rPr>
        <w:t>expression of national identity</w:t>
      </w:r>
      <w:r w:rsidRPr="004C7092">
        <w:rPr>
          <w:rFonts w:asciiTheme="majorBidi" w:hAnsiTheme="majorBidi" w:cstheme="majorBidi"/>
        </w:rPr>
        <w:t>”</w:t>
      </w:r>
      <w:r w:rsidR="00B56C83" w:rsidRPr="004C7092">
        <w:rPr>
          <w:rFonts w:asciiTheme="majorBidi" w:hAnsiTheme="majorBidi" w:cstheme="majorBidi"/>
        </w:rPr>
        <w:t xml:space="preserve"> (</w:t>
      </w:r>
      <w:proofErr w:type="spellStart"/>
      <w:r w:rsidR="00B56C83" w:rsidRPr="004C7092">
        <w:rPr>
          <w:rFonts w:asciiTheme="majorBidi" w:hAnsiTheme="majorBidi" w:cstheme="majorBidi"/>
        </w:rPr>
        <w:t>Wolffe</w:t>
      </w:r>
      <w:proofErr w:type="spellEnd"/>
      <w:r w:rsidR="00B56C83" w:rsidRPr="004C7092">
        <w:rPr>
          <w:rFonts w:asciiTheme="majorBidi" w:hAnsiTheme="majorBidi" w:cstheme="majorBidi"/>
        </w:rPr>
        <w:t xml:space="preserve"> 2006, p. 321).</w:t>
      </w:r>
      <w:r w:rsidRPr="004C7092">
        <w:rPr>
          <w:rFonts w:asciiTheme="majorBidi" w:hAnsiTheme="majorBidi" w:cstheme="majorBidi"/>
        </w:rPr>
        <w:t xml:space="preserve"> The church certainly still regarded itself as representative of a spiritual worldview beyond itself. Cosmo Gordon Lang, Archbishop of York (1909-1928) and Archbishop of Canterbury (1928-1942) presented the church as “a sort of subconscious continuity which endures and profoundly affects the character of each generation of citizens who enter it</w:t>
      </w:r>
      <w:r w:rsidR="009971DF" w:rsidRPr="004C7092">
        <w:rPr>
          <w:rFonts w:asciiTheme="majorBidi" w:hAnsiTheme="majorBidi" w:cstheme="majorBidi"/>
        </w:rPr>
        <w:t xml:space="preserve">” (Lang 1913, 1204; </w:t>
      </w:r>
      <w:proofErr w:type="spellStart"/>
      <w:r w:rsidR="009971DF" w:rsidRPr="004C7092">
        <w:rPr>
          <w:rFonts w:asciiTheme="majorBidi" w:hAnsiTheme="majorBidi" w:cstheme="majorBidi"/>
        </w:rPr>
        <w:t>Marrin</w:t>
      </w:r>
      <w:proofErr w:type="spellEnd"/>
      <w:r w:rsidR="009971DF" w:rsidRPr="004C7092">
        <w:rPr>
          <w:rFonts w:asciiTheme="majorBidi" w:hAnsiTheme="majorBidi" w:cstheme="majorBidi"/>
        </w:rPr>
        <w:t xml:space="preserve"> 1974, 6; Weldon 1902).</w:t>
      </w:r>
      <w:r w:rsidRPr="004C7092">
        <w:rPr>
          <w:rFonts w:asciiTheme="majorBidi" w:hAnsiTheme="majorBidi" w:cstheme="majorBidi"/>
        </w:rPr>
        <w:t xml:space="preserve"> Farfetched as this may have sounded, even </w:t>
      </w:r>
      <w:r w:rsidR="009971DF" w:rsidRPr="004C7092">
        <w:rPr>
          <w:rFonts w:asciiTheme="majorBidi" w:hAnsiTheme="majorBidi" w:cstheme="majorBidi"/>
        </w:rPr>
        <w:t>at the time</w:t>
      </w:r>
      <w:r w:rsidRPr="004C7092">
        <w:rPr>
          <w:rFonts w:asciiTheme="majorBidi" w:hAnsiTheme="majorBidi" w:cstheme="majorBidi"/>
        </w:rPr>
        <w:t>, the church did provide a symbol of national distinctiveness and cohesiveness, and it certainly represented national continuity in Parliament, in coronation and armistice ceremonies, in the ancient universities, in ecclesiastical courts, and in historical buildings</w:t>
      </w:r>
      <w:r w:rsidR="009971DF" w:rsidRPr="004C7092">
        <w:rPr>
          <w:rFonts w:asciiTheme="majorBidi" w:hAnsiTheme="majorBidi" w:cstheme="majorBidi"/>
        </w:rPr>
        <w:t xml:space="preserve"> (Beckford 1993, 187-8)</w:t>
      </w:r>
      <w:r w:rsidRPr="004C7092">
        <w:rPr>
          <w:rFonts w:asciiTheme="majorBidi" w:hAnsiTheme="majorBidi" w:cstheme="majorBidi"/>
        </w:rPr>
        <w:t xml:space="preserve">. National ceremonies, especially new ones that needed a “traditional” hue, were all within the church’s fold, space, and symbolic language. The thanksgiving on the recovery of the Prince of Wales (1872) at St. Paul’s expressed Gladstone’s notion of the religiosity of royal </w:t>
      </w:r>
      <w:r w:rsidRPr="004C7092">
        <w:rPr>
          <w:rFonts w:asciiTheme="majorBidi" w:hAnsiTheme="majorBidi" w:cstheme="majorBidi"/>
        </w:rPr>
        <w:lastRenderedPageBreak/>
        <w:t>ceremony. The royal actors performed their parts as exemplars in a great morality play steeped with historical precedent and tradition. The centerpiece of each of the Jubilees, just as of the thanksgiving, was a religious service</w:t>
      </w:r>
      <w:r w:rsidR="00DA0238" w:rsidRPr="004C7092">
        <w:rPr>
          <w:rFonts w:asciiTheme="majorBidi" w:hAnsiTheme="majorBidi" w:cstheme="majorBidi"/>
        </w:rPr>
        <w:t xml:space="preserve"> (Kuhn 1987, 155-156, 159, 162).</w:t>
      </w:r>
      <w:r w:rsidRPr="004C7092">
        <w:rPr>
          <w:rFonts w:asciiTheme="majorBidi" w:hAnsiTheme="majorBidi" w:cstheme="majorBidi"/>
        </w:rPr>
        <w:t xml:space="preserve"> Later ceremonies, including the royal funerals of the Duke of Clarence (1892), Victoria (1901) and Edward VII (1910), were all in the same vein</w:t>
      </w:r>
      <w:r w:rsidR="00DA0238" w:rsidRPr="004C7092">
        <w:rPr>
          <w:rFonts w:asciiTheme="majorBidi" w:hAnsiTheme="majorBidi" w:cstheme="majorBidi"/>
        </w:rPr>
        <w:t xml:space="preserve"> (</w:t>
      </w:r>
      <w:proofErr w:type="spellStart"/>
      <w:r w:rsidR="00DA0238" w:rsidRPr="004C7092">
        <w:rPr>
          <w:rFonts w:asciiTheme="majorBidi" w:hAnsiTheme="majorBidi" w:cstheme="majorBidi"/>
        </w:rPr>
        <w:t>Wolffe</w:t>
      </w:r>
      <w:proofErr w:type="spellEnd"/>
      <w:r w:rsidR="00DA0238" w:rsidRPr="004C7092">
        <w:rPr>
          <w:rFonts w:asciiTheme="majorBidi" w:hAnsiTheme="majorBidi" w:cstheme="majorBidi"/>
        </w:rPr>
        <w:t xml:space="preserve"> 2006, 321-2)</w:t>
      </w:r>
      <w:r w:rsidRPr="004C7092">
        <w:rPr>
          <w:rFonts w:asciiTheme="majorBidi" w:hAnsiTheme="majorBidi" w:cstheme="majorBidi"/>
        </w:rPr>
        <w:t>.</w:t>
      </w:r>
      <w:r w:rsidRPr="004C7092">
        <w:rPr>
          <w:rStyle w:val="ac"/>
          <w:rFonts w:asciiTheme="majorBidi" w:hAnsiTheme="majorBidi" w:cstheme="majorBidi"/>
          <w:rtl/>
        </w:rPr>
        <w:t xml:space="preserve"> </w:t>
      </w:r>
    </w:p>
    <w:p w14:paraId="0FE9F019" w14:textId="77777777" w:rsidR="004E3E80" w:rsidRPr="004C7092" w:rsidRDefault="004E3E80" w:rsidP="004C7092">
      <w:pPr>
        <w:bidi w:val="0"/>
        <w:spacing w:line="480" w:lineRule="auto"/>
        <w:jc w:val="both"/>
        <w:rPr>
          <w:rFonts w:asciiTheme="majorBidi" w:hAnsiTheme="majorBidi" w:cstheme="majorBidi"/>
        </w:rPr>
      </w:pPr>
    </w:p>
    <w:p w14:paraId="1CACA4F5" w14:textId="1D63D9EF" w:rsidR="004E3E80" w:rsidRPr="004C7092" w:rsidRDefault="004E3E80" w:rsidP="004C7092">
      <w:pPr>
        <w:bidi w:val="0"/>
        <w:spacing w:line="480" w:lineRule="auto"/>
        <w:jc w:val="both"/>
        <w:rPr>
          <w:rFonts w:asciiTheme="majorBidi" w:hAnsiTheme="majorBidi" w:cstheme="majorBidi"/>
        </w:rPr>
      </w:pPr>
      <w:r w:rsidRPr="004C7092">
        <w:rPr>
          <w:rFonts w:asciiTheme="majorBidi" w:hAnsiTheme="majorBidi" w:cstheme="majorBidi"/>
        </w:rPr>
        <w:t xml:space="preserve">Westminster Abbey as the place of burial for national figures can exemplify the use of the church as a national space of commemoration. Figures who had been awarded a place in the nation’s eternal memory were interred in Westminster Abbey, regardless of their own religious (or non-religious) standing. Among them was Charles Dickens (d. 1870), who had moved from the Established Church to </w:t>
      </w:r>
      <w:proofErr w:type="spellStart"/>
      <w:r w:rsidRPr="004C7092">
        <w:rPr>
          <w:rFonts w:asciiTheme="majorBidi" w:hAnsiTheme="majorBidi" w:cstheme="majorBidi"/>
        </w:rPr>
        <w:t>Uniterianism</w:t>
      </w:r>
      <w:proofErr w:type="spellEnd"/>
      <w:r w:rsidRPr="004C7092">
        <w:rPr>
          <w:rFonts w:asciiTheme="majorBidi" w:hAnsiTheme="majorBidi" w:cstheme="majorBidi"/>
        </w:rPr>
        <w:t xml:space="preserve"> and back. Leaving Mr. </w:t>
      </w:r>
      <w:proofErr w:type="spellStart"/>
      <w:r w:rsidRPr="004C7092">
        <w:rPr>
          <w:rFonts w:asciiTheme="majorBidi" w:hAnsiTheme="majorBidi" w:cstheme="majorBidi"/>
        </w:rPr>
        <w:t>Chadband</w:t>
      </w:r>
      <w:proofErr w:type="spellEnd"/>
      <w:r w:rsidRPr="004C7092">
        <w:rPr>
          <w:rFonts w:asciiTheme="majorBidi" w:hAnsiTheme="majorBidi" w:cstheme="majorBidi"/>
        </w:rPr>
        <w:t xml:space="preserve"> (</w:t>
      </w:r>
      <w:r w:rsidRPr="004C7092">
        <w:rPr>
          <w:rFonts w:asciiTheme="majorBidi" w:hAnsiTheme="majorBidi" w:cstheme="majorBidi"/>
          <w:i/>
          <w:iCs/>
        </w:rPr>
        <w:t>Bleak House</w:t>
      </w:r>
      <w:r w:rsidRPr="004C7092">
        <w:rPr>
          <w:rFonts w:asciiTheme="majorBidi" w:hAnsiTheme="majorBidi" w:cstheme="majorBidi"/>
        </w:rPr>
        <w:t>) to teach the public the ridicule of conventional religiosity, Dickens himself retained a remarkable lack of specificity in terms of doctrine</w:t>
      </w:r>
      <w:r w:rsidR="00DA0238" w:rsidRPr="004C7092">
        <w:rPr>
          <w:rFonts w:asciiTheme="majorBidi" w:hAnsiTheme="majorBidi" w:cstheme="majorBidi"/>
        </w:rPr>
        <w:t xml:space="preserve"> (</w:t>
      </w:r>
      <w:proofErr w:type="spellStart"/>
      <w:r w:rsidR="00DA0238" w:rsidRPr="004C7092">
        <w:rPr>
          <w:rFonts w:asciiTheme="majorBidi" w:hAnsiTheme="majorBidi" w:cstheme="majorBidi"/>
        </w:rPr>
        <w:t>Walder</w:t>
      </w:r>
      <w:proofErr w:type="spellEnd"/>
      <w:r w:rsidR="00DA0238" w:rsidRPr="004C7092">
        <w:rPr>
          <w:rFonts w:asciiTheme="majorBidi" w:hAnsiTheme="majorBidi" w:cstheme="majorBidi"/>
        </w:rPr>
        <w:t xml:space="preserve"> 2007, 1-16; </w:t>
      </w:r>
      <w:proofErr w:type="spellStart"/>
      <w:r w:rsidR="00DA0238" w:rsidRPr="004C7092">
        <w:rPr>
          <w:rFonts w:asciiTheme="majorBidi" w:hAnsiTheme="majorBidi" w:cstheme="majorBidi"/>
        </w:rPr>
        <w:t>Wolffe</w:t>
      </w:r>
      <w:proofErr w:type="spellEnd"/>
      <w:r w:rsidR="00DA0238" w:rsidRPr="004C7092">
        <w:rPr>
          <w:rFonts w:asciiTheme="majorBidi" w:hAnsiTheme="majorBidi" w:cstheme="majorBidi"/>
        </w:rPr>
        <w:t xml:space="preserve"> 2002, 185).</w:t>
      </w:r>
      <w:r w:rsidRPr="004C7092">
        <w:rPr>
          <w:rFonts w:asciiTheme="majorBidi" w:hAnsiTheme="majorBidi" w:cstheme="majorBidi"/>
        </w:rPr>
        <w:t xml:space="preserve"> On the other hand, David Livingstone (d. 1874), a member with the London Missionary Society, was a Scottish Congregationalist</w:t>
      </w:r>
      <w:r w:rsidR="00DA0238" w:rsidRPr="004C7092">
        <w:rPr>
          <w:rFonts w:asciiTheme="majorBidi" w:hAnsiTheme="majorBidi" w:cstheme="majorBidi"/>
          <w:rtl/>
        </w:rPr>
        <w:t xml:space="preserve"> </w:t>
      </w:r>
      <w:r w:rsidR="00DA0238" w:rsidRPr="004C7092">
        <w:rPr>
          <w:rFonts w:asciiTheme="majorBidi" w:hAnsiTheme="majorBidi" w:cstheme="majorBidi"/>
        </w:rPr>
        <w:t>(</w:t>
      </w:r>
      <w:proofErr w:type="spellStart"/>
      <w:r w:rsidR="00DA0238" w:rsidRPr="004C7092">
        <w:rPr>
          <w:rFonts w:asciiTheme="majorBidi" w:hAnsiTheme="majorBidi" w:cstheme="majorBidi"/>
        </w:rPr>
        <w:t>Wolfee</w:t>
      </w:r>
      <w:proofErr w:type="spellEnd"/>
      <w:r w:rsidR="00DA0238" w:rsidRPr="004C7092">
        <w:rPr>
          <w:rFonts w:asciiTheme="majorBidi" w:hAnsiTheme="majorBidi" w:cstheme="majorBidi"/>
        </w:rPr>
        <w:t xml:space="preserve"> 2002, 217).</w:t>
      </w:r>
      <w:r w:rsidRPr="004C7092">
        <w:rPr>
          <w:rFonts w:asciiTheme="majorBidi" w:hAnsiTheme="majorBidi" w:cstheme="majorBidi"/>
        </w:rPr>
        <w:t xml:space="preserve"> Charles Darwin (d. 1882), despite his proverbial nod to convention in his writings, thought it best to describe himself as an agnostic</w:t>
      </w:r>
      <w:r w:rsidR="00DA0238" w:rsidRPr="004C7092">
        <w:rPr>
          <w:rFonts w:asciiTheme="majorBidi" w:hAnsiTheme="majorBidi" w:cstheme="majorBidi"/>
        </w:rPr>
        <w:t xml:space="preserve"> and may have been a deist (Darwin 1879; Brooke 2009, pp. 67-72)</w:t>
      </w:r>
      <w:r w:rsidRPr="004C7092">
        <w:rPr>
          <w:rFonts w:asciiTheme="majorBidi" w:hAnsiTheme="majorBidi" w:cstheme="majorBidi"/>
        </w:rPr>
        <w:t xml:space="preserve">, and Alfred, Lord Tennyson (d. 1892) had a spell of Catholicism </w:t>
      </w:r>
      <w:proofErr w:type="gramStart"/>
      <w:r w:rsidRPr="004C7092">
        <w:rPr>
          <w:rFonts w:asciiTheme="majorBidi" w:hAnsiTheme="majorBidi" w:cstheme="majorBidi"/>
        </w:rPr>
        <w:t>in spite of</w:t>
      </w:r>
      <w:proofErr w:type="gramEnd"/>
      <w:r w:rsidRPr="004C7092">
        <w:rPr>
          <w:rFonts w:asciiTheme="majorBidi" w:hAnsiTheme="majorBidi" w:cstheme="majorBidi"/>
        </w:rPr>
        <w:t xml:space="preserve"> being the poet laureate of the Protestant establishment</w:t>
      </w:r>
      <w:r w:rsidR="00DA0238" w:rsidRPr="004C7092">
        <w:rPr>
          <w:rFonts w:asciiTheme="majorBidi" w:hAnsiTheme="majorBidi" w:cstheme="majorBidi"/>
        </w:rPr>
        <w:t xml:space="preserve"> (Taylor 2009, 285-312)</w:t>
      </w:r>
      <w:r w:rsidRPr="004C7092">
        <w:rPr>
          <w:rFonts w:asciiTheme="majorBidi" w:hAnsiTheme="majorBidi" w:cstheme="majorBidi"/>
        </w:rPr>
        <w:t>. In all these cases, personal faith had little to do with their place of burial. They all prove the ability of the church to widen its acceptance and thus to create for itself a national face</w:t>
      </w:r>
      <w:r w:rsidR="0028545A" w:rsidRPr="004C7092">
        <w:rPr>
          <w:rFonts w:asciiTheme="majorBidi" w:hAnsiTheme="majorBidi" w:cstheme="majorBidi"/>
        </w:rPr>
        <w:t xml:space="preserve"> (</w:t>
      </w:r>
      <w:proofErr w:type="spellStart"/>
      <w:r w:rsidR="0028545A" w:rsidRPr="004C7092">
        <w:rPr>
          <w:rFonts w:asciiTheme="majorBidi" w:hAnsiTheme="majorBidi" w:cstheme="majorBidi"/>
        </w:rPr>
        <w:t>Wolffe</w:t>
      </w:r>
      <w:proofErr w:type="spellEnd"/>
      <w:r w:rsidR="0028545A" w:rsidRPr="004C7092">
        <w:rPr>
          <w:rFonts w:asciiTheme="majorBidi" w:hAnsiTheme="majorBidi" w:cstheme="majorBidi"/>
        </w:rPr>
        <w:t xml:space="preserve"> 2002, 167).</w:t>
      </w:r>
    </w:p>
    <w:p w14:paraId="2641157C" w14:textId="77777777" w:rsidR="004E3E80" w:rsidRPr="004C7092" w:rsidRDefault="004E3E80" w:rsidP="004C7092">
      <w:pPr>
        <w:bidi w:val="0"/>
        <w:spacing w:line="480" w:lineRule="auto"/>
        <w:jc w:val="both"/>
        <w:rPr>
          <w:rFonts w:asciiTheme="majorBidi" w:hAnsiTheme="majorBidi" w:cstheme="majorBidi"/>
        </w:rPr>
      </w:pPr>
    </w:p>
    <w:p w14:paraId="29E1FEA7" w14:textId="59920196" w:rsidR="004E3E80" w:rsidRPr="004C7092" w:rsidRDefault="004E3E80" w:rsidP="004C7092">
      <w:pPr>
        <w:bidi w:val="0"/>
        <w:spacing w:line="480" w:lineRule="auto"/>
        <w:jc w:val="both"/>
        <w:rPr>
          <w:rFonts w:asciiTheme="majorBidi" w:hAnsiTheme="majorBidi" w:cstheme="majorBidi"/>
        </w:rPr>
      </w:pPr>
      <w:r w:rsidRPr="004C7092">
        <w:rPr>
          <w:rStyle w:val="description"/>
          <w:rFonts w:asciiTheme="majorBidi" w:hAnsiTheme="majorBidi" w:cstheme="majorBidi"/>
        </w:rPr>
        <w:t>As most of the religious culture alluded to here is secular in its concerns and institutions, the religion would be best defined as “civil religion”</w:t>
      </w:r>
      <w:r w:rsidR="0028545A" w:rsidRPr="004C7092">
        <w:rPr>
          <w:rStyle w:val="description"/>
          <w:rFonts w:asciiTheme="majorBidi" w:hAnsiTheme="majorBidi" w:cstheme="majorBidi"/>
        </w:rPr>
        <w:t xml:space="preserve"> (</w:t>
      </w:r>
      <w:proofErr w:type="spellStart"/>
      <w:r w:rsidR="0028545A" w:rsidRPr="004C7092">
        <w:rPr>
          <w:rStyle w:val="description"/>
          <w:rFonts w:asciiTheme="majorBidi" w:hAnsiTheme="majorBidi" w:cstheme="majorBidi"/>
        </w:rPr>
        <w:t>Bellah</w:t>
      </w:r>
      <w:proofErr w:type="spellEnd"/>
      <w:r w:rsidR="0028545A" w:rsidRPr="004C7092">
        <w:rPr>
          <w:rStyle w:val="description"/>
          <w:rFonts w:asciiTheme="majorBidi" w:hAnsiTheme="majorBidi" w:cstheme="majorBidi"/>
        </w:rPr>
        <w:t xml:space="preserve"> 1967)</w:t>
      </w:r>
      <w:r w:rsidRPr="004C7092">
        <w:rPr>
          <w:rStyle w:val="description"/>
          <w:rFonts w:asciiTheme="majorBidi" w:hAnsiTheme="majorBidi" w:cstheme="majorBidi"/>
        </w:rPr>
        <w:t>.</w:t>
      </w:r>
      <w:r w:rsidRPr="004C7092">
        <w:rPr>
          <w:rStyle w:val="ac"/>
          <w:rFonts w:asciiTheme="majorBidi" w:hAnsiTheme="majorBidi" w:cstheme="majorBidi"/>
          <w:rtl/>
        </w:rPr>
        <w:footnoteReference w:id="11"/>
      </w:r>
      <w:r w:rsidRPr="004C7092">
        <w:rPr>
          <w:rStyle w:val="description"/>
          <w:rFonts w:asciiTheme="majorBidi" w:hAnsiTheme="majorBidi" w:cstheme="majorBidi"/>
        </w:rPr>
        <w:t xml:space="preserve"> T</w:t>
      </w:r>
      <w:r w:rsidRPr="004C7092">
        <w:rPr>
          <w:rFonts w:asciiTheme="majorBidi" w:hAnsiTheme="majorBidi" w:cstheme="majorBidi"/>
        </w:rPr>
        <w:t xml:space="preserve">he Church of England was the perfect </w:t>
      </w:r>
      <w:r w:rsidRPr="004C7092">
        <w:rPr>
          <w:rFonts w:asciiTheme="majorBidi" w:hAnsiTheme="majorBidi" w:cstheme="majorBidi"/>
        </w:rPr>
        <w:lastRenderedPageBreak/>
        <w:t>vehicle for civil religion in England. Its diverse character as an alliance “of sects, a protective umbrella for the most wide-ranging variations in doctrine and liturgical practice,” emphasizes the state as the organizing influence</w:t>
      </w:r>
      <w:r w:rsidR="0028545A" w:rsidRPr="004C7092">
        <w:rPr>
          <w:rFonts w:asciiTheme="majorBidi" w:hAnsiTheme="majorBidi" w:cstheme="majorBidi"/>
        </w:rPr>
        <w:t xml:space="preserve"> (Yates 1998, 384).</w:t>
      </w:r>
      <w:r w:rsidRPr="004C7092">
        <w:rPr>
          <w:rFonts w:asciiTheme="majorBidi" w:hAnsiTheme="majorBidi" w:cstheme="majorBidi"/>
        </w:rPr>
        <w:t xml:space="preserve"> Thus, the Church of England’s </w:t>
      </w:r>
      <w:proofErr w:type="spellStart"/>
      <w:r w:rsidRPr="004C7092">
        <w:rPr>
          <w:rFonts w:asciiTheme="majorBidi" w:hAnsiTheme="majorBidi" w:cstheme="majorBidi"/>
        </w:rPr>
        <w:t>Erastianism</w:t>
      </w:r>
      <w:proofErr w:type="spellEnd"/>
      <w:r w:rsidRPr="004C7092">
        <w:rPr>
          <w:rFonts w:asciiTheme="majorBidi" w:hAnsiTheme="majorBidi" w:cstheme="majorBidi"/>
        </w:rPr>
        <w:t xml:space="preserve"> constitutes it as a civic-religious organization focused on England, despite being part of universal Christianity</w:t>
      </w:r>
      <w:r w:rsidR="00B70715" w:rsidRPr="004C7092">
        <w:rPr>
          <w:rFonts w:asciiTheme="majorBidi" w:hAnsiTheme="majorBidi" w:cstheme="majorBidi"/>
        </w:rPr>
        <w:t xml:space="preserve"> (Beckford 1993, 194).</w:t>
      </w:r>
      <w:r w:rsidRPr="004C7092">
        <w:rPr>
          <w:rFonts w:asciiTheme="majorBidi" w:hAnsiTheme="majorBidi" w:cstheme="majorBidi"/>
        </w:rPr>
        <w:t xml:space="preserve"> In its centrality for state rituals, as well as for schools and communities, it provided a means of socialization into the basic components of the polity as national values: the monarchy, Parliament, the armed forces and the empire, lending to these rituals legitimacy and the aura of continuity and tradition. By such means was a sense of ethnic identity </w:t>
      </w:r>
      <w:proofErr w:type="gramStart"/>
      <w:r w:rsidRPr="004C7092">
        <w:rPr>
          <w:rFonts w:asciiTheme="majorBidi" w:hAnsiTheme="majorBidi" w:cstheme="majorBidi"/>
        </w:rPr>
        <w:t>generated</w:t>
      </w:r>
      <w:r w:rsidR="00B70715" w:rsidRPr="004C7092">
        <w:rPr>
          <w:rFonts w:asciiTheme="majorBidi" w:hAnsiTheme="majorBidi" w:cstheme="majorBidi"/>
        </w:rPr>
        <w:t xml:space="preserve"> </w:t>
      </w:r>
      <w:r w:rsidR="00B70715" w:rsidRPr="004C7092">
        <w:rPr>
          <w:rFonts w:asciiTheme="majorBidi" w:hAnsiTheme="majorBidi" w:cstheme="majorBidi"/>
          <w:rtl/>
        </w:rPr>
        <w:t xml:space="preserve"> </w:t>
      </w:r>
      <w:r w:rsidR="00B70715" w:rsidRPr="004C7092">
        <w:rPr>
          <w:rFonts w:asciiTheme="majorBidi" w:hAnsiTheme="majorBidi" w:cstheme="majorBidi"/>
        </w:rPr>
        <w:t>(</w:t>
      </w:r>
      <w:proofErr w:type="spellStart"/>
      <w:proofErr w:type="gramEnd"/>
      <w:r w:rsidR="00B70715" w:rsidRPr="004C7092">
        <w:rPr>
          <w:rFonts w:asciiTheme="majorBidi" w:hAnsiTheme="majorBidi" w:cstheme="majorBidi"/>
        </w:rPr>
        <w:t>Bocock</w:t>
      </w:r>
      <w:proofErr w:type="spellEnd"/>
      <w:r w:rsidR="00B70715" w:rsidRPr="004C7092">
        <w:rPr>
          <w:rFonts w:asciiTheme="majorBidi" w:hAnsiTheme="majorBidi" w:cstheme="majorBidi"/>
        </w:rPr>
        <w:t>, 1985, 220-221, 224).</w:t>
      </w:r>
    </w:p>
    <w:p w14:paraId="5DF326E1" w14:textId="77777777" w:rsidR="004E3E80" w:rsidRPr="004C7092" w:rsidRDefault="004E3E80" w:rsidP="004C7092">
      <w:pPr>
        <w:bidi w:val="0"/>
        <w:spacing w:line="480" w:lineRule="auto"/>
        <w:jc w:val="both"/>
        <w:rPr>
          <w:rFonts w:asciiTheme="majorBidi" w:hAnsiTheme="majorBidi" w:cstheme="majorBidi"/>
        </w:rPr>
      </w:pPr>
    </w:p>
    <w:p w14:paraId="07A61D28" w14:textId="05DEF5EA" w:rsidR="004E3E80" w:rsidRPr="004C7092" w:rsidRDefault="004E3E80" w:rsidP="004C7092">
      <w:pPr>
        <w:bidi w:val="0"/>
        <w:spacing w:line="480" w:lineRule="auto"/>
        <w:jc w:val="both"/>
        <w:rPr>
          <w:rFonts w:asciiTheme="majorBidi" w:hAnsiTheme="majorBidi" w:cstheme="majorBidi"/>
          <w:rtl/>
        </w:rPr>
      </w:pPr>
      <w:r w:rsidRPr="004C7092">
        <w:rPr>
          <w:rFonts w:asciiTheme="majorBidi" w:hAnsiTheme="majorBidi" w:cstheme="majorBidi"/>
        </w:rPr>
        <w:t>Religion as a central and largely consensual component of national identity was emphasized by the fact that there never has been a religious party, per se, in British politics.</w:t>
      </w:r>
      <w:r w:rsidRPr="004C7092">
        <w:rPr>
          <w:rStyle w:val="ac"/>
          <w:rFonts w:asciiTheme="majorBidi" w:hAnsiTheme="majorBidi" w:cstheme="majorBidi"/>
          <w:rtl/>
        </w:rPr>
        <w:footnoteReference w:id="12"/>
      </w:r>
      <w:r w:rsidRPr="004C7092">
        <w:rPr>
          <w:rFonts w:asciiTheme="majorBidi" w:hAnsiTheme="majorBidi" w:cstheme="majorBidi"/>
        </w:rPr>
        <w:t xml:space="preserve"> Religious questions have had political reverberations, and political parties had characteristic religious affiliations among their voters. But above all political diversity Protestantism reigned as common denominator vs. the religious other, especially the Catholic</w:t>
      </w:r>
      <w:r w:rsidR="00B70715" w:rsidRPr="004C7092">
        <w:rPr>
          <w:rFonts w:asciiTheme="majorBidi" w:hAnsiTheme="majorBidi" w:cstheme="majorBidi"/>
        </w:rPr>
        <w:t xml:space="preserve"> (Colley 1992a, 317; Kotler-Berkowitz, 536, 541, 550).</w:t>
      </w:r>
      <w:r w:rsidRPr="004C7092">
        <w:rPr>
          <w:rFonts w:asciiTheme="majorBidi" w:hAnsiTheme="majorBidi" w:cstheme="majorBidi"/>
        </w:rPr>
        <w:t xml:space="preserve"> The drive for no-popery in mid-century and against ritualism at the end of the century both epitomized the broad social alliance that Protestantism could muster, even if it failed in the end</w:t>
      </w:r>
      <w:r w:rsidR="0016324A" w:rsidRPr="004C7092">
        <w:rPr>
          <w:rFonts w:asciiTheme="majorBidi" w:hAnsiTheme="majorBidi" w:cstheme="majorBidi"/>
        </w:rPr>
        <w:t xml:space="preserve"> (Machin 1982, 277-8; </w:t>
      </w:r>
      <w:proofErr w:type="spellStart"/>
      <w:r w:rsidR="0016324A" w:rsidRPr="004C7092">
        <w:rPr>
          <w:rFonts w:asciiTheme="majorBidi" w:hAnsiTheme="majorBidi" w:cstheme="majorBidi"/>
        </w:rPr>
        <w:t>Whisenant</w:t>
      </w:r>
      <w:proofErr w:type="spellEnd"/>
      <w:r w:rsidR="0016324A" w:rsidRPr="004C7092">
        <w:rPr>
          <w:rFonts w:asciiTheme="majorBidi" w:hAnsiTheme="majorBidi" w:cstheme="majorBidi"/>
        </w:rPr>
        <w:t xml:space="preserve"> 2001, 477).</w:t>
      </w:r>
      <w:r w:rsidRPr="004C7092">
        <w:rPr>
          <w:rFonts w:asciiTheme="majorBidi" w:hAnsiTheme="majorBidi" w:cstheme="majorBidi"/>
        </w:rPr>
        <w:t xml:space="preserve"> The royal commission that subverted their aim in the name of “an appreciation of the continuity of the church,” re-affirmed yet again the church’s civic national </w:t>
      </w:r>
      <w:proofErr w:type="gramStart"/>
      <w:r w:rsidRPr="004C7092">
        <w:rPr>
          <w:rFonts w:asciiTheme="majorBidi" w:hAnsiTheme="majorBidi" w:cstheme="majorBidi"/>
        </w:rPr>
        <w:t>role</w:t>
      </w:r>
      <w:r w:rsidR="0016324A" w:rsidRPr="004C7092">
        <w:rPr>
          <w:rFonts w:asciiTheme="majorBidi" w:hAnsiTheme="majorBidi" w:cstheme="majorBidi"/>
        </w:rPr>
        <w:t xml:space="preserve"> </w:t>
      </w:r>
      <w:r w:rsidR="0016324A" w:rsidRPr="004C7092">
        <w:rPr>
          <w:rFonts w:asciiTheme="majorBidi" w:hAnsiTheme="majorBidi" w:cstheme="majorBidi"/>
          <w:rtl/>
        </w:rPr>
        <w:t xml:space="preserve"> </w:t>
      </w:r>
      <w:r w:rsidR="0016324A" w:rsidRPr="004C7092">
        <w:rPr>
          <w:rFonts w:asciiTheme="majorBidi" w:hAnsiTheme="majorBidi" w:cstheme="majorBidi"/>
        </w:rPr>
        <w:t>(</w:t>
      </w:r>
      <w:proofErr w:type="gramEnd"/>
      <w:r w:rsidR="0016324A" w:rsidRPr="004C7092">
        <w:rPr>
          <w:rFonts w:asciiTheme="majorBidi" w:hAnsiTheme="majorBidi" w:cstheme="majorBidi"/>
        </w:rPr>
        <w:t>Machin 1982, 301).</w:t>
      </w:r>
      <w:r w:rsidRPr="004C7092">
        <w:rPr>
          <w:rFonts w:asciiTheme="majorBidi" w:hAnsiTheme="majorBidi" w:cstheme="majorBidi"/>
        </w:rPr>
        <w:t xml:space="preserve"> </w:t>
      </w:r>
    </w:p>
    <w:p w14:paraId="5BA9A99B" w14:textId="5457245A" w:rsidR="004E3E80" w:rsidRPr="004C7092" w:rsidRDefault="004E3E80" w:rsidP="004C7092">
      <w:pPr>
        <w:pStyle w:val="3"/>
        <w:bidi w:val="0"/>
        <w:spacing w:line="480" w:lineRule="auto"/>
        <w:rPr>
          <w:rFonts w:asciiTheme="majorBidi" w:hAnsiTheme="majorBidi" w:cstheme="majorBidi"/>
          <w:sz w:val="24"/>
          <w:szCs w:val="24"/>
        </w:rPr>
      </w:pPr>
      <w:bookmarkStart w:id="8" w:name="_Toc42845033"/>
      <w:r w:rsidRPr="004C7092">
        <w:rPr>
          <w:rFonts w:asciiTheme="majorBidi" w:hAnsiTheme="majorBidi" w:cstheme="majorBidi"/>
          <w:b w:val="0"/>
          <w:bCs w:val="0"/>
          <w:i/>
          <w:iCs/>
          <w:sz w:val="24"/>
          <w:szCs w:val="24"/>
        </w:rPr>
        <w:lastRenderedPageBreak/>
        <w:t>Protestantism and/vs. Political Freedom</w:t>
      </w:r>
      <w:bookmarkEnd w:id="8"/>
    </w:p>
    <w:p w14:paraId="4B71454B" w14:textId="62772845" w:rsidR="004E3E80" w:rsidRPr="004C7092" w:rsidRDefault="004E3E80" w:rsidP="004C7092">
      <w:pPr>
        <w:bidi w:val="0"/>
        <w:spacing w:line="480" w:lineRule="auto"/>
        <w:jc w:val="both"/>
        <w:rPr>
          <w:rFonts w:asciiTheme="majorBidi" w:hAnsiTheme="majorBidi" w:cstheme="majorBidi"/>
        </w:rPr>
      </w:pPr>
      <w:r w:rsidRPr="004C7092">
        <w:rPr>
          <w:rFonts w:asciiTheme="majorBidi" w:hAnsiTheme="majorBidi" w:cstheme="majorBidi"/>
        </w:rPr>
        <w:t>In historiography, as well as in popular perceptions of the modern English state, the centrality of Protestantism is assured by its association to another pivotal ideal – political freedom. National myth has connected the fight for civil and religious liberties and the centrality of Parliament since the</w:t>
      </w:r>
      <w:r w:rsidR="0016324A" w:rsidRPr="004C7092">
        <w:rPr>
          <w:rFonts w:asciiTheme="majorBidi" w:hAnsiTheme="majorBidi" w:cstheme="majorBidi"/>
        </w:rPr>
        <w:t xml:space="preserve"> </w:t>
      </w:r>
      <w:proofErr w:type="spellStart"/>
      <w:r w:rsidR="0016324A" w:rsidRPr="004C7092">
        <w:rPr>
          <w:rFonts w:asciiTheme="majorBidi" w:hAnsiTheme="majorBidi" w:cstheme="majorBidi"/>
        </w:rPr>
        <w:t>seventeent</w:t>
      </w:r>
      <w:proofErr w:type="spellEnd"/>
      <w:r w:rsidRPr="004C7092">
        <w:rPr>
          <w:rFonts w:asciiTheme="majorBidi" w:hAnsiTheme="majorBidi" w:cstheme="majorBidi"/>
        </w:rPr>
        <w:t xml:space="preserve"> century as the source and reason behind the flourishing of English economic and political power. </w:t>
      </w:r>
      <w:proofErr w:type="spellStart"/>
      <w:r w:rsidRPr="004C7092">
        <w:rPr>
          <w:rFonts w:asciiTheme="majorBidi" w:hAnsiTheme="majorBidi" w:cstheme="majorBidi"/>
        </w:rPr>
        <w:t>Liah</w:t>
      </w:r>
      <w:proofErr w:type="spellEnd"/>
      <w:r w:rsidRPr="004C7092">
        <w:rPr>
          <w:rFonts w:asciiTheme="majorBidi" w:hAnsiTheme="majorBidi" w:cstheme="majorBidi"/>
        </w:rPr>
        <w:t xml:space="preserve"> </w:t>
      </w:r>
      <w:proofErr w:type="spellStart"/>
      <w:r w:rsidRPr="004C7092">
        <w:rPr>
          <w:rFonts w:asciiTheme="majorBidi" w:hAnsiTheme="majorBidi" w:cstheme="majorBidi"/>
        </w:rPr>
        <w:t>Greenfeld</w:t>
      </w:r>
      <w:proofErr w:type="spellEnd"/>
      <w:r w:rsidRPr="004C7092">
        <w:rPr>
          <w:rFonts w:asciiTheme="majorBidi" w:hAnsiTheme="majorBidi" w:cstheme="majorBidi"/>
        </w:rPr>
        <w:t xml:space="preserve"> contends that already during the reign of the Tudors, English nationalism was republican. The popular expression of Protestantism in the </w:t>
      </w:r>
      <w:r w:rsidR="0016324A" w:rsidRPr="004C7092">
        <w:rPr>
          <w:rFonts w:asciiTheme="majorBidi" w:hAnsiTheme="majorBidi" w:cstheme="majorBidi"/>
        </w:rPr>
        <w:t>eighteenth</w:t>
      </w:r>
      <w:r w:rsidRPr="004C7092">
        <w:rPr>
          <w:rFonts w:asciiTheme="majorBidi" w:hAnsiTheme="majorBidi" w:cstheme="majorBidi"/>
        </w:rPr>
        <w:t xml:space="preserve"> century was in part the contrast with Catholic </w:t>
      </w:r>
      <w:proofErr w:type="gramStart"/>
      <w:r w:rsidRPr="004C7092">
        <w:rPr>
          <w:rFonts w:asciiTheme="majorBidi" w:hAnsiTheme="majorBidi" w:cstheme="majorBidi"/>
        </w:rPr>
        <w:t>monarchies, and</w:t>
      </w:r>
      <w:proofErr w:type="gramEnd"/>
      <w:r w:rsidRPr="004C7092">
        <w:rPr>
          <w:rFonts w:asciiTheme="majorBidi" w:hAnsiTheme="majorBidi" w:cstheme="majorBidi"/>
        </w:rPr>
        <w:t xml:space="preserve"> identified instead with parliamentary government and peaceful progress</w:t>
      </w:r>
      <w:r w:rsidR="0016324A" w:rsidRPr="004C7092">
        <w:rPr>
          <w:rFonts w:asciiTheme="majorBidi" w:hAnsiTheme="majorBidi" w:cstheme="majorBidi"/>
        </w:rPr>
        <w:t xml:space="preserve"> (Kumar 2000, 589)</w:t>
      </w:r>
      <w:r w:rsidRPr="004C7092">
        <w:rPr>
          <w:rFonts w:asciiTheme="majorBidi" w:hAnsiTheme="majorBidi" w:cstheme="majorBidi"/>
        </w:rPr>
        <w:t xml:space="preserve">. In the nineteenth century, Walter Ralls reminds us, “A correct definition of liberalism according to Matthew Arnold in </w:t>
      </w:r>
      <w:r w:rsidRPr="004C7092">
        <w:rPr>
          <w:rFonts w:asciiTheme="majorBidi" w:hAnsiTheme="majorBidi" w:cstheme="majorBidi"/>
          <w:i/>
          <w:iCs/>
        </w:rPr>
        <w:t>Culture and Anarchy</w:t>
      </w:r>
      <w:r w:rsidRPr="004C7092">
        <w:rPr>
          <w:rFonts w:asciiTheme="majorBidi" w:hAnsiTheme="majorBidi" w:cstheme="majorBidi"/>
        </w:rPr>
        <w:t xml:space="preserve"> must include as a cardinal tenet the ‘Protestantism of the Protestant religion</w:t>
      </w:r>
      <w:r w:rsidR="0090558D" w:rsidRPr="004C7092">
        <w:rPr>
          <w:rFonts w:asciiTheme="majorBidi" w:hAnsiTheme="majorBidi" w:cstheme="majorBidi"/>
        </w:rPr>
        <w:t>’” (Ralls 1974, 244)</w:t>
      </w:r>
      <w:r w:rsidRPr="004C7092">
        <w:rPr>
          <w:rFonts w:asciiTheme="majorBidi" w:hAnsiTheme="majorBidi" w:cstheme="majorBidi"/>
        </w:rPr>
        <w:t xml:space="preserve">.’” Indeed, liberalism was then, and is now contested ground. </w:t>
      </w:r>
      <w:proofErr w:type="gramStart"/>
      <w:r w:rsidRPr="004C7092">
        <w:rPr>
          <w:rFonts w:asciiTheme="majorBidi" w:hAnsiTheme="majorBidi" w:cstheme="majorBidi"/>
        </w:rPr>
        <w:t>But,</w:t>
      </w:r>
      <w:proofErr w:type="gramEnd"/>
      <w:r w:rsidRPr="004C7092">
        <w:rPr>
          <w:rFonts w:asciiTheme="majorBidi" w:hAnsiTheme="majorBidi" w:cstheme="majorBidi"/>
        </w:rPr>
        <w:t xml:space="preserve"> I will try to show in what follows in this section, that by any definition of those who were self-proclaimed liberals, or recognized as such by others, it was avowed as an English trait and that it had an ambivalent relationship with other such self-avowed “traits”</w:t>
      </w:r>
      <w:r w:rsidR="0090558D" w:rsidRPr="004C7092">
        <w:rPr>
          <w:rFonts w:asciiTheme="majorBidi" w:hAnsiTheme="majorBidi" w:cstheme="majorBidi"/>
        </w:rPr>
        <w:t xml:space="preserve"> (Bell 2016d, 91-2, 97).</w:t>
      </w:r>
    </w:p>
    <w:p w14:paraId="7A0ABE01" w14:textId="77777777" w:rsidR="004E3E80" w:rsidRPr="004C7092" w:rsidRDefault="004E3E80" w:rsidP="004C7092">
      <w:pPr>
        <w:bidi w:val="0"/>
        <w:spacing w:line="480" w:lineRule="auto"/>
        <w:jc w:val="both"/>
        <w:rPr>
          <w:rFonts w:asciiTheme="majorBidi" w:hAnsiTheme="majorBidi" w:cstheme="majorBidi"/>
        </w:rPr>
      </w:pPr>
    </w:p>
    <w:p w14:paraId="2212D4B0" w14:textId="35E44465" w:rsidR="004E3E80" w:rsidRPr="004C7092" w:rsidRDefault="004E3E80" w:rsidP="004C7092">
      <w:pPr>
        <w:bidi w:val="0"/>
        <w:spacing w:line="480" w:lineRule="auto"/>
        <w:jc w:val="both"/>
        <w:rPr>
          <w:rFonts w:asciiTheme="majorBidi" w:hAnsiTheme="majorBidi" w:cstheme="majorBidi"/>
        </w:rPr>
      </w:pPr>
      <w:r w:rsidRPr="004C7092">
        <w:rPr>
          <w:rFonts w:asciiTheme="majorBidi" w:hAnsiTheme="majorBidi" w:cstheme="majorBidi"/>
        </w:rPr>
        <w:t>The ideal of the sovereignty of Parliament was deeply ingrained and was shared across parties and ideologies. The self-congratulatory notion that the 1688-9 order was the perfect combination for the preservation of liberty was strongly challenged at the end of the eighteenth century. However, the outcome of these challenges was that the “sense of liberties enshrined in common law and the acceptance of parliamentary sovereignty” became the characteristics of British liberalism</w:t>
      </w:r>
      <w:r w:rsidR="0090558D" w:rsidRPr="004C7092">
        <w:rPr>
          <w:rFonts w:asciiTheme="majorBidi" w:hAnsiTheme="majorBidi" w:cstheme="majorBidi"/>
        </w:rPr>
        <w:t xml:space="preserve"> </w:t>
      </w:r>
      <w:r w:rsidR="0067778E" w:rsidRPr="004C7092">
        <w:rPr>
          <w:rFonts w:asciiTheme="majorBidi" w:hAnsiTheme="majorBidi" w:cstheme="majorBidi"/>
        </w:rPr>
        <w:t>(Sykes</w:t>
      </w:r>
      <w:r w:rsidR="0067778E" w:rsidRPr="004C7092">
        <w:rPr>
          <w:rFonts w:asciiTheme="majorBidi" w:hAnsiTheme="majorBidi" w:cstheme="majorBidi"/>
          <w:rtl/>
        </w:rPr>
        <w:t xml:space="preserve"> </w:t>
      </w:r>
      <w:r w:rsidR="0067778E" w:rsidRPr="004C7092">
        <w:rPr>
          <w:rFonts w:asciiTheme="majorBidi" w:hAnsiTheme="majorBidi" w:cstheme="majorBidi"/>
        </w:rPr>
        <w:t>1997, 1-6).</w:t>
      </w:r>
      <w:r w:rsidRPr="004C7092">
        <w:rPr>
          <w:rFonts w:asciiTheme="majorBidi" w:hAnsiTheme="majorBidi" w:cstheme="majorBidi"/>
        </w:rPr>
        <w:t xml:space="preserve"> In political histories, nineteenth-century England is best associated with Liberalism with a capital L, especially after 1846 as the Liberals established something approaching political and cultural hegemony</w:t>
      </w:r>
      <w:r w:rsidR="0067778E" w:rsidRPr="004C7092">
        <w:rPr>
          <w:rFonts w:asciiTheme="majorBidi" w:hAnsiTheme="majorBidi" w:cstheme="majorBidi"/>
        </w:rPr>
        <w:t>, to the extent that at the end of the century it would carry its sway over religious thought and movements as well (</w:t>
      </w:r>
      <w:proofErr w:type="spellStart"/>
      <w:r w:rsidR="0067778E" w:rsidRPr="004C7092">
        <w:rPr>
          <w:rFonts w:asciiTheme="majorBidi" w:hAnsiTheme="majorBidi" w:cstheme="majorBidi"/>
        </w:rPr>
        <w:t>Wolffe</w:t>
      </w:r>
      <w:proofErr w:type="spellEnd"/>
      <w:r w:rsidR="0067778E" w:rsidRPr="004C7092">
        <w:rPr>
          <w:rFonts w:asciiTheme="majorBidi" w:hAnsiTheme="majorBidi" w:cstheme="majorBidi"/>
        </w:rPr>
        <w:t xml:space="preserve"> 2002, 162-169</w:t>
      </w:r>
      <w:r w:rsidR="0067778E" w:rsidRPr="004C7092">
        <w:rPr>
          <w:rFonts w:asciiTheme="majorBidi" w:hAnsiTheme="majorBidi" w:cstheme="majorBidi"/>
          <w:rtl/>
        </w:rPr>
        <w:t>(</w:t>
      </w:r>
      <w:r w:rsidR="0067778E" w:rsidRPr="004C7092">
        <w:rPr>
          <w:rFonts w:asciiTheme="majorBidi" w:hAnsiTheme="majorBidi" w:cstheme="majorBidi"/>
        </w:rPr>
        <w:t>.</w:t>
      </w:r>
      <w:r w:rsidRPr="004C7092">
        <w:rPr>
          <w:rFonts w:asciiTheme="majorBidi" w:hAnsiTheme="majorBidi" w:cstheme="majorBidi"/>
        </w:rPr>
        <w:t xml:space="preserve">For most of the nineteenth century, </w:t>
      </w:r>
      <w:r w:rsidRPr="004C7092">
        <w:rPr>
          <w:rFonts w:asciiTheme="majorBidi" w:hAnsiTheme="majorBidi" w:cstheme="majorBidi"/>
        </w:rPr>
        <w:lastRenderedPageBreak/>
        <w:t>England’s image was propagated as crusading for the extension of constitutional liberties throughout Europe</w:t>
      </w:r>
      <w:r w:rsidR="0067778E" w:rsidRPr="004C7092">
        <w:rPr>
          <w:rFonts w:asciiTheme="majorBidi" w:hAnsiTheme="majorBidi" w:cstheme="majorBidi"/>
        </w:rPr>
        <w:t xml:space="preserve"> (Parry 2006)</w:t>
      </w:r>
      <w:r w:rsidRPr="004C7092">
        <w:rPr>
          <w:rFonts w:asciiTheme="majorBidi" w:hAnsiTheme="majorBidi" w:cstheme="majorBidi"/>
        </w:rPr>
        <w:t xml:space="preserve">. </w:t>
      </w:r>
    </w:p>
    <w:p w14:paraId="477636CF" w14:textId="77777777" w:rsidR="004E3E80" w:rsidRPr="004C7092" w:rsidRDefault="004E3E80" w:rsidP="004C7092">
      <w:pPr>
        <w:bidi w:val="0"/>
        <w:spacing w:line="480" w:lineRule="auto"/>
        <w:jc w:val="both"/>
        <w:rPr>
          <w:rFonts w:asciiTheme="majorBidi" w:hAnsiTheme="majorBidi" w:cstheme="majorBidi"/>
        </w:rPr>
      </w:pPr>
    </w:p>
    <w:p w14:paraId="1D2178FF" w14:textId="0A4BE4A7" w:rsidR="004E3E80" w:rsidRPr="004C7092" w:rsidRDefault="004E3E80" w:rsidP="004C7092">
      <w:pPr>
        <w:bidi w:val="0"/>
        <w:spacing w:line="480" w:lineRule="auto"/>
        <w:jc w:val="both"/>
        <w:rPr>
          <w:rFonts w:asciiTheme="majorBidi" w:hAnsiTheme="majorBidi" w:cstheme="majorBidi"/>
        </w:rPr>
      </w:pPr>
      <w:r w:rsidRPr="004C7092">
        <w:rPr>
          <w:rFonts w:asciiTheme="majorBidi" w:hAnsiTheme="majorBidi" w:cstheme="majorBidi"/>
        </w:rPr>
        <w:t>The idea of parliamentarian liberty was closely related to the idea of the Nation bound by the Law, which was an old and widely proliferated standing at least until the mid- nineteenth century</w:t>
      </w:r>
      <w:r w:rsidR="000A6B49" w:rsidRPr="004C7092">
        <w:rPr>
          <w:rFonts w:asciiTheme="majorBidi" w:hAnsiTheme="majorBidi" w:cstheme="majorBidi"/>
        </w:rPr>
        <w:t xml:space="preserve"> (Colls 2002, 23-30)</w:t>
      </w:r>
      <w:r w:rsidRPr="004C7092">
        <w:rPr>
          <w:rFonts w:asciiTheme="majorBidi" w:hAnsiTheme="majorBidi" w:cstheme="majorBidi"/>
        </w:rPr>
        <w:t xml:space="preserve">. Peter </w:t>
      </w:r>
      <w:proofErr w:type="spellStart"/>
      <w:r w:rsidRPr="004C7092">
        <w:rPr>
          <w:rFonts w:asciiTheme="majorBidi" w:hAnsiTheme="majorBidi" w:cstheme="majorBidi"/>
        </w:rPr>
        <w:t>Mandler</w:t>
      </w:r>
      <w:proofErr w:type="spellEnd"/>
      <w:r w:rsidRPr="004C7092">
        <w:rPr>
          <w:rFonts w:asciiTheme="majorBidi" w:hAnsiTheme="majorBidi" w:cstheme="majorBidi"/>
        </w:rPr>
        <w:t xml:space="preserve"> expressed it as an inhibition of the development of biological racism and organic nationalism, and Julia Stapleton as a convergence of liberalism and nationalism</w:t>
      </w:r>
      <w:r w:rsidR="000A6B49" w:rsidRPr="004C7092">
        <w:rPr>
          <w:rFonts w:asciiTheme="majorBidi" w:hAnsiTheme="majorBidi" w:cstheme="majorBidi"/>
        </w:rPr>
        <w:t xml:space="preserve"> (Stapleton 1997a, 256-60).</w:t>
      </w:r>
      <w:r w:rsidRPr="004C7092">
        <w:rPr>
          <w:rFonts w:asciiTheme="majorBidi" w:hAnsiTheme="majorBidi" w:cstheme="majorBidi"/>
        </w:rPr>
        <w:t xml:space="preserve"> Even in Edwardian England, thoughts about the nation remained informed by “a broad-based liberalism</w:t>
      </w:r>
      <w:r w:rsidR="000A6B49" w:rsidRPr="004C7092">
        <w:rPr>
          <w:rFonts w:asciiTheme="majorBidi" w:hAnsiTheme="majorBidi" w:cstheme="majorBidi"/>
        </w:rPr>
        <w:t xml:space="preserve"> that cut across the boundaries</w:t>
      </w:r>
      <w:r w:rsidRPr="004C7092">
        <w:rPr>
          <w:rFonts w:asciiTheme="majorBidi" w:hAnsiTheme="majorBidi" w:cstheme="majorBidi"/>
        </w:rPr>
        <w:t>”</w:t>
      </w:r>
      <w:r w:rsidR="000A6B49" w:rsidRPr="004C7092">
        <w:rPr>
          <w:rFonts w:asciiTheme="majorBidi" w:hAnsiTheme="majorBidi" w:cstheme="majorBidi"/>
        </w:rPr>
        <w:t xml:space="preserve"> (Stapleton</w:t>
      </w:r>
      <w:r w:rsidR="000A6B49" w:rsidRPr="004C7092">
        <w:rPr>
          <w:rStyle w:val="ac"/>
          <w:rFonts w:asciiTheme="majorBidi" w:hAnsiTheme="majorBidi" w:cstheme="majorBidi"/>
        </w:rPr>
        <w:t xml:space="preserve"> </w:t>
      </w:r>
      <w:r w:rsidR="000A6B49" w:rsidRPr="004C7092">
        <w:rPr>
          <w:rFonts w:asciiTheme="majorBidi" w:hAnsiTheme="majorBidi" w:cstheme="majorBidi"/>
        </w:rPr>
        <w:t xml:space="preserve"> 2005, 154).</w:t>
      </w:r>
      <w:r w:rsidRPr="004C7092">
        <w:rPr>
          <w:rFonts w:asciiTheme="majorBidi" w:hAnsiTheme="majorBidi" w:cstheme="majorBidi"/>
        </w:rPr>
        <w:t xml:space="preserve"> </w:t>
      </w:r>
    </w:p>
    <w:p w14:paraId="282B814A" w14:textId="77777777" w:rsidR="004E3E80" w:rsidRPr="004C7092" w:rsidRDefault="004E3E80" w:rsidP="004C7092">
      <w:pPr>
        <w:bidi w:val="0"/>
        <w:spacing w:line="480" w:lineRule="auto"/>
        <w:jc w:val="both"/>
        <w:rPr>
          <w:rFonts w:asciiTheme="majorBidi" w:hAnsiTheme="majorBidi" w:cstheme="majorBidi"/>
        </w:rPr>
      </w:pPr>
    </w:p>
    <w:p w14:paraId="280BC5A2" w14:textId="5454D14E" w:rsidR="004E3E80" w:rsidRPr="004C7092" w:rsidRDefault="004E3E80" w:rsidP="004C7092">
      <w:pPr>
        <w:bidi w:val="0"/>
        <w:spacing w:line="480" w:lineRule="auto"/>
        <w:jc w:val="both"/>
        <w:rPr>
          <w:rFonts w:asciiTheme="majorBidi" w:hAnsiTheme="majorBidi" w:cstheme="majorBidi"/>
        </w:rPr>
      </w:pPr>
      <w:r w:rsidRPr="004C7092">
        <w:rPr>
          <w:rFonts w:asciiTheme="majorBidi" w:hAnsiTheme="majorBidi" w:cstheme="majorBidi"/>
        </w:rPr>
        <w:t xml:space="preserve">Yet, it was not entirely a happy marriage. The idea of political freedom did not entirely correspond with Protestantism, and the discrepancies and conflicts between the two discourses could explain why the secularization theory holds strong, along with the growing evidence for the prevalence of Protestantism. Indeed, Protestantism and a liberal concept of nationalism were not only co-existing side by side but also competing side by side. Colley, whose argument about the importance of Protestantism for English identity in the </w:t>
      </w:r>
      <w:r w:rsidR="000A6B49" w:rsidRPr="004C7092">
        <w:rPr>
          <w:rFonts w:asciiTheme="majorBidi" w:hAnsiTheme="majorBidi" w:cstheme="majorBidi"/>
        </w:rPr>
        <w:t>eighteenth</w:t>
      </w:r>
      <w:r w:rsidRPr="004C7092">
        <w:rPr>
          <w:rFonts w:asciiTheme="majorBidi" w:hAnsiTheme="majorBidi" w:cstheme="majorBidi"/>
        </w:rPr>
        <w:t xml:space="preserve"> century was mentioned earlier, also believes that Catholic emancipation at the beginning of the nineteenth century demonstrates the shrinking of “the importance of religious zeal and intolerance”</w:t>
      </w:r>
      <w:r w:rsidR="000A6B49" w:rsidRPr="004C7092">
        <w:rPr>
          <w:rFonts w:asciiTheme="majorBidi" w:hAnsiTheme="majorBidi" w:cstheme="majorBidi"/>
        </w:rPr>
        <w:t xml:space="preserve"> (Colley 1992b, 329).</w:t>
      </w:r>
      <w:r w:rsidRPr="004C7092">
        <w:rPr>
          <w:rFonts w:asciiTheme="majorBidi" w:hAnsiTheme="majorBidi" w:cstheme="majorBidi"/>
        </w:rPr>
        <w:t xml:space="preserve"> Indeed, the growing inclusiveness of British citizenship seemed like the road by which the Anglican Church and the British state travelled farther apart, giving rise to the idea that Protestantism was waning</w:t>
      </w:r>
      <w:r w:rsidR="000A6B49" w:rsidRPr="004C7092">
        <w:rPr>
          <w:rFonts w:asciiTheme="majorBidi" w:hAnsiTheme="majorBidi" w:cstheme="majorBidi"/>
        </w:rPr>
        <w:t xml:space="preserve"> (Colley 1992b, 329)</w:t>
      </w:r>
      <w:r w:rsidRPr="004C7092">
        <w:rPr>
          <w:rFonts w:asciiTheme="majorBidi" w:hAnsiTheme="majorBidi" w:cstheme="majorBidi"/>
        </w:rPr>
        <w:t xml:space="preserve">. The emancipation of the Catholics (1828) and the Dissenters (1829) broke the monopoly of the Church of England, and the inclusion of Jews (1858) broke the monopoly of the Christian religion as a prerequisite for full political rights. The Liberal Party was historically committed to this distancing between church and state by its policy of political inclusiveness. But John Russell – and he was not the only one – thought it was a consequence that could be resisted: “Our object, is if possible, to </w:t>
      </w:r>
      <w:r w:rsidRPr="004C7092">
        <w:rPr>
          <w:rFonts w:asciiTheme="majorBidi" w:hAnsiTheme="majorBidi" w:cstheme="majorBidi"/>
        </w:rPr>
        <w:lastRenderedPageBreak/>
        <w:t>conciliate the Dissenters, and having framed our measures with that end, strenuously to resist the separation of Church and State</w:t>
      </w:r>
      <w:proofErr w:type="gramStart"/>
      <w:r w:rsidRPr="004C7092">
        <w:rPr>
          <w:rFonts w:asciiTheme="majorBidi" w:hAnsiTheme="majorBidi" w:cstheme="majorBidi"/>
        </w:rPr>
        <w:t>.”</w:t>
      </w:r>
      <w:r w:rsidR="000A6B49" w:rsidRPr="004C7092">
        <w:rPr>
          <w:rFonts w:asciiTheme="majorBidi" w:hAnsiTheme="majorBidi" w:cstheme="majorBidi"/>
        </w:rPr>
        <w:t>(</w:t>
      </w:r>
      <w:proofErr w:type="spellStart"/>
      <w:proofErr w:type="gramEnd"/>
      <w:r w:rsidR="000A6B49" w:rsidRPr="004C7092">
        <w:rPr>
          <w:rFonts w:asciiTheme="majorBidi" w:hAnsiTheme="majorBidi" w:cstheme="majorBidi"/>
        </w:rPr>
        <w:t>cit</w:t>
      </w:r>
      <w:proofErr w:type="spellEnd"/>
      <w:r w:rsidR="000A6B49" w:rsidRPr="004C7092">
        <w:rPr>
          <w:rFonts w:asciiTheme="majorBidi" w:hAnsiTheme="majorBidi" w:cstheme="majorBidi"/>
        </w:rPr>
        <w:t xml:space="preserve"> in Sykes 1997, 23-4; Feldman 1994, 3).</w:t>
      </w:r>
      <w:r w:rsidRPr="004C7092">
        <w:rPr>
          <w:rFonts w:asciiTheme="majorBidi" w:hAnsiTheme="majorBidi" w:cstheme="majorBidi"/>
        </w:rPr>
        <w:t xml:space="preserve"> He also thought that the emancipation of the Jews, of which he was one of the proposers, would not erode Britain's Christian ethos</w:t>
      </w:r>
      <w:r w:rsidR="000A6B49" w:rsidRPr="004C7092">
        <w:rPr>
          <w:rFonts w:asciiTheme="majorBidi" w:hAnsiTheme="majorBidi" w:cstheme="majorBidi"/>
        </w:rPr>
        <w:t xml:space="preserve"> (Feldman 1994, 40-1)</w:t>
      </w:r>
      <w:r w:rsidRPr="004C7092">
        <w:rPr>
          <w:rFonts w:asciiTheme="majorBidi" w:hAnsiTheme="majorBidi" w:cstheme="majorBidi"/>
        </w:rPr>
        <w:t>.</w:t>
      </w:r>
      <w:r w:rsidR="000A6B49" w:rsidRPr="004C7092">
        <w:rPr>
          <w:rFonts w:asciiTheme="majorBidi" w:hAnsiTheme="majorBidi" w:cstheme="majorBidi"/>
        </w:rPr>
        <w:t xml:space="preserve"> </w:t>
      </w:r>
      <w:r w:rsidRPr="004C7092">
        <w:rPr>
          <w:rFonts w:asciiTheme="majorBidi" w:hAnsiTheme="majorBidi" w:cstheme="majorBidi"/>
        </w:rPr>
        <w:t>In fact, some of the supporters of civil rights for Jews did so with a hope of their grateful conversion</w:t>
      </w:r>
      <w:r w:rsidR="000A6B49" w:rsidRPr="004C7092">
        <w:rPr>
          <w:rFonts w:asciiTheme="majorBidi" w:hAnsiTheme="majorBidi" w:cstheme="majorBidi"/>
        </w:rPr>
        <w:t xml:space="preserve"> (</w:t>
      </w:r>
      <w:proofErr w:type="spellStart"/>
      <w:r w:rsidR="000A6B49" w:rsidRPr="004C7092">
        <w:rPr>
          <w:rFonts w:asciiTheme="majorBidi" w:hAnsiTheme="majorBidi" w:cstheme="majorBidi"/>
        </w:rPr>
        <w:t>Valman</w:t>
      </w:r>
      <w:proofErr w:type="spellEnd"/>
      <w:r w:rsidR="000A6B49" w:rsidRPr="004C7092">
        <w:rPr>
          <w:rFonts w:asciiTheme="majorBidi" w:hAnsiTheme="majorBidi" w:cstheme="majorBidi"/>
        </w:rPr>
        <w:t xml:space="preserve"> 2001, 18; Feldman 2015, p. 100).</w:t>
      </w:r>
      <w:r w:rsidRPr="004C7092">
        <w:rPr>
          <w:rFonts w:asciiTheme="majorBidi" w:hAnsiTheme="majorBidi" w:cstheme="majorBidi"/>
        </w:rPr>
        <w:t xml:space="preserve"> So, Christianization and de-Christianization were probably going on simultaneously</w:t>
      </w:r>
      <w:r w:rsidR="00397335" w:rsidRPr="004C7092">
        <w:rPr>
          <w:rFonts w:asciiTheme="majorBidi" w:hAnsiTheme="majorBidi" w:cstheme="majorBidi"/>
        </w:rPr>
        <w:t xml:space="preserve"> (McLeod 1996, 3-6;</w:t>
      </w:r>
      <w:r w:rsidR="00397335" w:rsidRPr="004C7092">
        <w:rPr>
          <w:rFonts w:asciiTheme="majorBidi" w:hAnsiTheme="majorBidi" w:cstheme="majorBidi"/>
          <w:rtl/>
        </w:rPr>
        <w:t xml:space="preserve"> </w:t>
      </w:r>
      <w:proofErr w:type="spellStart"/>
      <w:r w:rsidR="00397335" w:rsidRPr="004C7092">
        <w:rPr>
          <w:rFonts w:asciiTheme="majorBidi" w:hAnsiTheme="majorBidi" w:cstheme="majorBidi"/>
        </w:rPr>
        <w:t>Wolffe</w:t>
      </w:r>
      <w:proofErr w:type="spellEnd"/>
      <w:r w:rsidR="00397335" w:rsidRPr="004C7092">
        <w:rPr>
          <w:rFonts w:asciiTheme="majorBidi" w:hAnsiTheme="majorBidi" w:cstheme="majorBidi"/>
        </w:rPr>
        <w:t xml:space="preserve"> 2008, 93).</w:t>
      </w:r>
    </w:p>
    <w:p w14:paraId="66A991D8" w14:textId="77777777" w:rsidR="004E3E80" w:rsidRPr="004C7092" w:rsidRDefault="004E3E80" w:rsidP="004C7092">
      <w:pPr>
        <w:bidi w:val="0"/>
        <w:spacing w:line="480" w:lineRule="auto"/>
        <w:jc w:val="both"/>
        <w:rPr>
          <w:rFonts w:asciiTheme="majorBidi" w:hAnsiTheme="majorBidi" w:cstheme="majorBidi"/>
        </w:rPr>
      </w:pPr>
    </w:p>
    <w:p w14:paraId="124CFBF0" w14:textId="0DF198DE" w:rsidR="004E3E80" w:rsidRPr="004C7092" w:rsidRDefault="004E3E80" w:rsidP="004C7092">
      <w:pPr>
        <w:bidi w:val="0"/>
        <w:spacing w:line="480" w:lineRule="auto"/>
        <w:jc w:val="both"/>
        <w:rPr>
          <w:rFonts w:asciiTheme="majorBidi" w:hAnsiTheme="majorBidi" w:cstheme="majorBidi"/>
        </w:rPr>
      </w:pPr>
      <w:r w:rsidRPr="004C7092">
        <w:rPr>
          <w:rFonts w:asciiTheme="majorBidi" w:hAnsiTheme="majorBidi" w:cstheme="majorBidi"/>
        </w:rPr>
        <w:t>Another way this uneasy relationship manifested itself was in the co-existence of legal emancipation with a culture of Protestantism as the basis and excuse for exclusion of others</w:t>
      </w:r>
      <w:r w:rsidR="00397335" w:rsidRPr="004C7092">
        <w:rPr>
          <w:rFonts w:asciiTheme="majorBidi" w:hAnsiTheme="majorBidi" w:cstheme="majorBidi"/>
        </w:rPr>
        <w:t xml:space="preserve"> (</w:t>
      </w:r>
      <w:proofErr w:type="spellStart"/>
      <w:r w:rsidR="00397335" w:rsidRPr="004C7092">
        <w:rPr>
          <w:rFonts w:asciiTheme="majorBidi" w:hAnsiTheme="majorBidi" w:cstheme="majorBidi"/>
        </w:rPr>
        <w:t>Wendehorst</w:t>
      </w:r>
      <w:proofErr w:type="spellEnd"/>
      <w:r w:rsidR="00397335" w:rsidRPr="004C7092">
        <w:rPr>
          <w:rFonts w:asciiTheme="majorBidi" w:hAnsiTheme="majorBidi" w:cstheme="majorBidi"/>
        </w:rPr>
        <w:t xml:space="preserve"> 1999, 194-196). </w:t>
      </w:r>
      <w:r w:rsidRPr="004C7092">
        <w:rPr>
          <w:rFonts w:asciiTheme="majorBidi" w:hAnsiTheme="majorBidi" w:cstheme="majorBidi"/>
        </w:rPr>
        <w:t>Already during the very limited emancipation envisaged by the Jew Bill of 1753, the opposition dubbed it “</w:t>
      </w:r>
      <w:proofErr w:type="spellStart"/>
      <w:r w:rsidRPr="004C7092">
        <w:rPr>
          <w:rFonts w:asciiTheme="majorBidi" w:hAnsiTheme="majorBidi" w:cstheme="majorBidi"/>
        </w:rPr>
        <w:t>Rohmish</w:t>
      </w:r>
      <w:proofErr w:type="spellEnd"/>
      <w:r w:rsidRPr="004C7092">
        <w:rPr>
          <w:rFonts w:asciiTheme="majorBidi" w:hAnsiTheme="majorBidi" w:cstheme="majorBidi"/>
        </w:rPr>
        <w:t xml:space="preserve"> works” and juxtaposed English freedom and Protestantism with Jewish emancipation.</w:t>
      </w:r>
      <w:r w:rsidRPr="004C7092">
        <w:rPr>
          <w:rStyle w:val="ac"/>
          <w:rFonts w:asciiTheme="majorBidi" w:hAnsiTheme="majorBidi" w:cstheme="majorBidi"/>
          <w:rtl/>
        </w:rPr>
        <w:footnoteReference w:id="13"/>
      </w:r>
      <w:r w:rsidRPr="004C7092">
        <w:rPr>
          <w:rFonts w:asciiTheme="majorBidi" w:hAnsiTheme="majorBidi" w:cstheme="majorBidi"/>
        </w:rPr>
        <w:t xml:space="preserve"> Lord Russel who supported the emancipation of the Dissenters and the Jews was the one who published the “Durham Letter” against Papal Aggression as a reaction to the re-erection of Catholic hierarchy in England, thereby arousing an anti-Catholic wave</w:t>
      </w:r>
      <w:r w:rsidR="004E0D78" w:rsidRPr="004C7092">
        <w:rPr>
          <w:rFonts w:asciiTheme="majorBidi" w:hAnsiTheme="majorBidi" w:cstheme="majorBidi"/>
        </w:rPr>
        <w:t xml:space="preserve"> (</w:t>
      </w:r>
      <w:proofErr w:type="spellStart"/>
      <w:r w:rsidR="004E0D78" w:rsidRPr="004C7092">
        <w:rPr>
          <w:rFonts w:asciiTheme="majorBidi" w:hAnsiTheme="majorBidi" w:cstheme="majorBidi"/>
        </w:rPr>
        <w:t>Altholz</w:t>
      </w:r>
      <w:proofErr w:type="spellEnd"/>
      <w:r w:rsidR="004E0D78" w:rsidRPr="004C7092">
        <w:rPr>
          <w:rFonts w:asciiTheme="majorBidi" w:hAnsiTheme="majorBidi" w:cstheme="majorBidi"/>
        </w:rPr>
        <w:t xml:space="preserve"> 1964, 93).</w:t>
      </w:r>
      <w:r w:rsidRPr="004C7092">
        <w:rPr>
          <w:rFonts w:asciiTheme="majorBidi" w:hAnsiTheme="majorBidi" w:cstheme="majorBidi"/>
        </w:rPr>
        <w:t xml:space="preserve"> Jews and Catholics, emancipation notwithstanding, retained the position of “the other” both culturally and socially. Catholics, especially Irish Catholics, were treated more violently than Jews, with repetitious eruptions against them throughout the nineteenth century, compared to one violent attack against the Jews in Wales in </w:t>
      </w:r>
      <w:proofErr w:type="gramStart"/>
      <w:r w:rsidRPr="004C7092">
        <w:rPr>
          <w:rFonts w:asciiTheme="majorBidi" w:hAnsiTheme="majorBidi" w:cstheme="majorBidi"/>
        </w:rPr>
        <w:t>1911</w:t>
      </w:r>
      <w:r w:rsidR="004E0D78" w:rsidRPr="004C7092">
        <w:rPr>
          <w:rFonts w:asciiTheme="majorBidi" w:hAnsiTheme="majorBidi" w:cstheme="majorBidi"/>
        </w:rPr>
        <w:t xml:space="preserve"> </w:t>
      </w:r>
      <w:r w:rsidR="004E0D78" w:rsidRPr="004C7092">
        <w:rPr>
          <w:rFonts w:asciiTheme="majorBidi" w:hAnsiTheme="majorBidi" w:cstheme="majorBidi"/>
          <w:rtl/>
        </w:rPr>
        <w:t xml:space="preserve"> </w:t>
      </w:r>
      <w:r w:rsidR="004E0D78" w:rsidRPr="004C7092">
        <w:rPr>
          <w:rFonts w:asciiTheme="majorBidi" w:hAnsiTheme="majorBidi" w:cstheme="majorBidi"/>
        </w:rPr>
        <w:t>(</w:t>
      </w:r>
      <w:proofErr w:type="gramEnd"/>
      <w:r w:rsidR="004E0D78" w:rsidRPr="004C7092">
        <w:rPr>
          <w:rFonts w:asciiTheme="majorBidi" w:hAnsiTheme="majorBidi" w:cstheme="majorBidi"/>
        </w:rPr>
        <w:t>Panayi 1996, 3; Ward 2004, 122).</w:t>
      </w:r>
      <w:r w:rsidRPr="004C7092">
        <w:rPr>
          <w:rStyle w:val="ac"/>
          <w:rFonts w:asciiTheme="majorBidi" w:hAnsiTheme="majorBidi" w:cstheme="majorBidi"/>
          <w:rtl/>
        </w:rPr>
        <w:t xml:space="preserve"> </w:t>
      </w:r>
      <w:r w:rsidRPr="004C7092">
        <w:rPr>
          <w:rStyle w:val="ac"/>
          <w:rFonts w:asciiTheme="majorBidi" w:hAnsiTheme="majorBidi" w:cstheme="majorBidi"/>
          <w:rtl/>
        </w:rPr>
        <w:footnoteReference w:id="14"/>
      </w:r>
    </w:p>
    <w:p w14:paraId="2E69F251" w14:textId="77777777" w:rsidR="004E3E80" w:rsidRPr="004C7092" w:rsidRDefault="004E3E80" w:rsidP="004C7092">
      <w:pPr>
        <w:bidi w:val="0"/>
        <w:spacing w:line="480" w:lineRule="auto"/>
        <w:jc w:val="both"/>
        <w:rPr>
          <w:rFonts w:asciiTheme="majorBidi" w:hAnsiTheme="majorBidi" w:cstheme="majorBidi"/>
        </w:rPr>
      </w:pPr>
    </w:p>
    <w:p w14:paraId="79737CE6" w14:textId="719C3163" w:rsidR="004E3E80" w:rsidRPr="004C7092" w:rsidRDefault="004E3E80" w:rsidP="004C7092">
      <w:pPr>
        <w:bidi w:val="0"/>
        <w:spacing w:line="480" w:lineRule="auto"/>
        <w:jc w:val="both"/>
        <w:rPr>
          <w:rFonts w:asciiTheme="majorBidi" w:hAnsiTheme="majorBidi" w:cstheme="majorBidi"/>
        </w:rPr>
      </w:pPr>
      <w:r w:rsidRPr="004C7092">
        <w:rPr>
          <w:rFonts w:asciiTheme="majorBidi" w:hAnsiTheme="majorBidi" w:cstheme="majorBidi"/>
        </w:rPr>
        <w:t xml:space="preserve">Catholicism could have been conceived as part of the same Christian faith community, couched in toleration, especially when given the context of the inclusive trends of the Anglican Church at the </w:t>
      </w:r>
      <w:r w:rsidRPr="004C7092">
        <w:rPr>
          <w:rFonts w:asciiTheme="majorBidi" w:hAnsiTheme="majorBidi" w:cstheme="majorBidi"/>
        </w:rPr>
        <w:lastRenderedPageBreak/>
        <w:t>time; they were certainly part of a long English Catholic history.</w:t>
      </w:r>
      <w:r w:rsidRPr="004C7092">
        <w:rPr>
          <w:rStyle w:val="ac"/>
          <w:rFonts w:asciiTheme="majorBidi" w:hAnsiTheme="majorBidi" w:cstheme="majorBidi"/>
          <w:rtl/>
        </w:rPr>
        <w:footnoteReference w:id="15"/>
      </w:r>
      <w:r w:rsidRPr="004C7092">
        <w:rPr>
          <w:rFonts w:asciiTheme="majorBidi" w:hAnsiTheme="majorBidi" w:cstheme="majorBidi"/>
        </w:rPr>
        <w:t xml:space="preserve"> A constant trickle of converts to Catholicism along with the growing tolerance with which they were accepted and the fact that the Irish could become “British gentlemen,” point to such common ground.</w:t>
      </w:r>
      <w:r w:rsidRPr="004C7092">
        <w:rPr>
          <w:rStyle w:val="ac"/>
          <w:rFonts w:asciiTheme="majorBidi" w:hAnsiTheme="majorBidi" w:cstheme="majorBidi"/>
        </w:rPr>
        <w:footnoteReference w:id="16"/>
      </w:r>
      <w:r w:rsidRPr="004C7092">
        <w:rPr>
          <w:rFonts w:asciiTheme="majorBidi" w:hAnsiTheme="majorBidi" w:cstheme="majorBidi"/>
        </w:rPr>
        <w:t xml:space="preserve"> </w:t>
      </w:r>
    </w:p>
    <w:p w14:paraId="2AB1CAFC" w14:textId="77777777" w:rsidR="004E3E80" w:rsidRPr="004C7092" w:rsidRDefault="004E3E80" w:rsidP="004C7092">
      <w:pPr>
        <w:bidi w:val="0"/>
        <w:spacing w:line="480" w:lineRule="auto"/>
        <w:jc w:val="both"/>
        <w:rPr>
          <w:rFonts w:asciiTheme="majorBidi" w:hAnsiTheme="majorBidi" w:cstheme="majorBidi"/>
        </w:rPr>
      </w:pPr>
    </w:p>
    <w:p w14:paraId="0C7C5EA2" w14:textId="0B939199" w:rsidR="004E3E80" w:rsidRPr="004C7092" w:rsidRDefault="004E3E80" w:rsidP="004C7092">
      <w:pPr>
        <w:bidi w:val="0"/>
        <w:spacing w:line="480" w:lineRule="auto"/>
        <w:jc w:val="both"/>
        <w:rPr>
          <w:rFonts w:asciiTheme="majorBidi" w:hAnsiTheme="majorBidi" w:cstheme="majorBidi"/>
        </w:rPr>
      </w:pPr>
      <w:r w:rsidRPr="004C7092">
        <w:rPr>
          <w:rFonts w:asciiTheme="majorBidi" w:hAnsiTheme="majorBidi" w:cstheme="majorBidi"/>
        </w:rPr>
        <w:t xml:space="preserve">However, on the whole, Catholics suffered more often and more violent attacks than Jews from riots, religious intolerance and vicious expressions of </w:t>
      </w:r>
      <w:proofErr w:type="gramStart"/>
      <w:r w:rsidRPr="004C7092">
        <w:rPr>
          <w:rFonts w:asciiTheme="majorBidi" w:hAnsiTheme="majorBidi" w:cstheme="majorBidi"/>
        </w:rPr>
        <w:t>hatred</w:t>
      </w:r>
      <w:r w:rsidR="00CD1398" w:rsidRPr="004C7092">
        <w:rPr>
          <w:rFonts w:asciiTheme="majorBidi" w:hAnsiTheme="majorBidi" w:cstheme="majorBidi"/>
        </w:rPr>
        <w:t xml:space="preserve">  (</w:t>
      </w:r>
      <w:proofErr w:type="spellStart"/>
      <w:proofErr w:type="gramEnd"/>
      <w:r w:rsidR="00CD1398" w:rsidRPr="004C7092">
        <w:rPr>
          <w:rFonts w:asciiTheme="majorBidi" w:hAnsiTheme="majorBidi" w:cstheme="majorBidi"/>
        </w:rPr>
        <w:t>Endelman</w:t>
      </w:r>
      <w:proofErr w:type="spellEnd"/>
      <w:r w:rsidR="00CD1398" w:rsidRPr="004C7092">
        <w:rPr>
          <w:rFonts w:asciiTheme="majorBidi" w:hAnsiTheme="majorBidi" w:cstheme="majorBidi"/>
        </w:rPr>
        <w:t xml:space="preserve"> 1986, 109; Panayi 1996, 3; Ward 2004, 122).</w:t>
      </w:r>
      <w:r w:rsidRPr="004C7092">
        <w:rPr>
          <w:rFonts w:asciiTheme="majorBidi" w:hAnsiTheme="majorBidi" w:cstheme="majorBidi"/>
        </w:rPr>
        <w:t xml:space="preserve"> Indeed, eruptions of hatred against religious minorities did not necessarily emanate from a religious background. The Irish Catholics were influenced by what John Hewitt called</w:t>
      </w:r>
    </w:p>
    <w:p w14:paraId="1A4730E4" w14:textId="77777777" w:rsidR="004E3E80" w:rsidRPr="004C7092" w:rsidRDefault="004E3E80" w:rsidP="004C7092">
      <w:pPr>
        <w:bidi w:val="0"/>
        <w:spacing w:line="480" w:lineRule="auto"/>
        <w:ind w:right="1800" w:firstLine="1800"/>
        <w:jc w:val="center"/>
        <w:rPr>
          <w:rFonts w:asciiTheme="majorBidi" w:hAnsiTheme="majorBidi" w:cstheme="majorBidi"/>
        </w:rPr>
      </w:pPr>
      <w:r w:rsidRPr="004C7092">
        <w:rPr>
          <w:rFonts w:asciiTheme="majorBidi" w:hAnsiTheme="majorBidi" w:cstheme="majorBidi"/>
        </w:rPr>
        <w:t xml:space="preserve">              …the history:</w:t>
      </w:r>
    </w:p>
    <w:p w14:paraId="382B4B9B" w14:textId="77777777" w:rsidR="004E3E80" w:rsidRPr="004C7092" w:rsidRDefault="004E3E80" w:rsidP="004C7092">
      <w:pPr>
        <w:bidi w:val="0"/>
        <w:spacing w:line="480" w:lineRule="auto"/>
        <w:ind w:right="1800" w:firstLine="1800"/>
        <w:jc w:val="both"/>
        <w:rPr>
          <w:rFonts w:asciiTheme="majorBidi" w:hAnsiTheme="majorBidi" w:cstheme="majorBidi"/>
        </w:rPr>
      </w:pPr>
      <w:r w:rsidRPr="004C7092">
        <w:rPr>
          <w:rFonts w:asciiTheme="majorBidi" w:hAnsiTheme="majorBidi" w:cstheme="majorBidi"/>
        </w:rPr>
        <w:t xml:space="preserve">The savage complications of our </w:t>
      </w:r>
      <w:proofErr w:type="gramStart"/>
      <w:r w:rsidRPr="004C7092">
        <w:rPr>
          <w:rFonts w:asciiTheme="majorBidi" w:hAnsiTheme="majorBidi" w:cstheme="majorBidi"/>
        </w:rPr>
        <w:t>past;</w:t>
      </w:r>
      <w:proofErr w:type="gramEnd"/>
    </w:p>
    <w:p w14:paraId="70005CA9" w14:textId="77777777" w:rsidR="004E3E80" w:rsidRPr="004C7092" w:rsidRDefault="004E3E80" w:rsidP="004C7092">
      <w:pPr>
        <w:bidi w:val="0"/>
        <w:spacing w:line="480" w:lineRule="auto"/>
        <w:ind w:right="1800" w:firstLine="1800"/>
        <w:jc w:val="both"/>
        <w:rPr>
          <w:rFonts w:asciiTheme="majorBidi" w:hAnsiTheme="majorBidi" w:cstheme="majorBidi"/>
        </w:rPr>
      </w:pPr>
      <w:r w:rsidRPr="004C7092">
        <w:rPr>
          <w:rFonts w:asciiTheme="majorBidi" w:hAnsiTheme="majorBidi" w:cstheme="majorBidi"/>
        </w:rPr>
        <w:t>our luckless country where old wrongs outlast,</w:t>
      </w:r>
    </w:p>
    <w:p w14:paraId="6E96F976" w14:textId="77777777" w:rsidR="00644CA7" w:rsidRPr="004C7092" w:rsidRDefault="004E3E80" w:rsidP="004C7092">
      <w:pPr>
        <w:bidi w:val="0"/>
        <w:spacing w:line="480" w:lineRule="auto"/>
        <w:ind w:right="26" w:firstLine="1800"/>
        <w:jc w:val="both"/>
        <w:rPr>
          <w:rFonts w:asciiTheme="majorBidi" w:hAnsiTheme="majorBidi" w:cstheme="majorBidi"/>
        </w:rPr>
      </w:pPr>
      <w:r w:rsidRPr="004C7092">
        <w:rPr>
          <w:rFonts w:asciiTheme="majorBidi" w:hAnsiTheme="majorBidi" w:cstheme="majorBidi"/>
        </w:rPr>
        <w:t>in raging viruses of bigotry, their first infection…</w:t>
      </w:r>
    </w:p>
    <w:p w14:paraId="7FC16BE5" w14:textId="4DEB6A18" w:rsidR="004E3E80" w:rsidRPr="004C7092" w:rsidRDefault="00CD1398" w:rsidP="004C7092">
      <w:pPr>
        <w:bidi w:val="0"/>
        <w:spacing w:line="480" w:lineRule="auto"/>
        <w:ind w:right="26"/>
        <w:jc w:val="both"/>
        <w:rPr>
          <w:rFonts w:asciiTheme="majorBidi" w:hAnsiTheme="majorBidi" w:cstheme="majorBidi"/>
        </w:rPr>
      </w:pPr>
      <w:r w:rsidRPr="004C7092">
        <w:rPr>
          <w:rFonts w:asciiTheme="majorBidi" w:hAnsiTheme="majorBidi" w:cstheme="majorBidi"/>
          <w:rtl/>
        </w:rPr>
        <w:t xml:space="preserve"> </w:t>
      </w:r>
      <w:r w:rsidRPr="004C7092">
        <w:rPr>
          <w:rFonts w:asciiTheme="majorBidi" w:hAnsiTheme="majorBidi" w:cstheme="majorBidi"/>
        </w:rPr>
        <w:t>(</w:t>
      </w:r>
      <w:proofErr w:type="spellStart"/>
      <w:r w:rsidRPr="004C7092">
        <w:rPr>
          <w:rFonts w:asciiTheme="majorBidi" w:hAnsiTheme="majorBidi" w:cstheme="majorBidi"/>
        </w:rPr>
        <w:t>Nairn</w:t>
      </w:r>
      <w:proofErr w:type="spellEnd"/>
      <w:r w:rsidRPr="004C7092">
        <w:rPr>
          <w:rFonts w:asciiTheme="majorBidi" w:hAnsiTheme="majorBidi" w:cstheme="majorBidi"/>
        </w:rPr>
        <w:t> </w:t>
      </w:r>
      <w:proofErr w:type="gramStart"/>
      <w:r w:rsidRPr="004C7092">
        <w:rPr>
          <w:rFonts w:asciiTheme="majorBidi" w:hAnsiTheme="majorBidi" w:cstheme="majorBidi"/>
        </w:rPr>
        <w:t>1977,  213</w:t>
      </w:r>
      <w:proofErr w:type="gramEnd"/>
      <w:r w:rsidRPr="004C7092">
        <w:rPr>
          <w:rFonts w:asciiTheme="majorBidi" w:hAnsiTheme="majorBidi" w:cstheme="majorBidi"/>
        </w:rPr>
        <w:t xml:space="preserve">). </w:t>
      </w:r>
      <w:r w:rsidR="004E3E80" w:rsidRPr="004C7092">
        <w:rPr>
          <w:rFonts w:asciiTheme="majorBidi" w:hAnsiTheme="majorBidi" w:cstheme="majorBidi"/>
        </w:rPr>
        <w:t>Or perhaps it was ethnic or racist discrimination</w:t>
      </w:r>
      <w:r w:rsidR="00644CA7" w:rsidRPr="004C7092">
        <w:rPr>
          <w:rFonts w:asciiTheme="majorBidi" w:hAnsiTheme="majorBidi" w:cstheme="majorBidi"/>
        </w:rPr>
        <w:t xml:space="preserve"> (Hall 2000, 204-221; </w:t>
      </w:r>
      <w:proofErr w:type="spellStart"/>
      <w:r w:rsidR="00644CA7" w:rsidRPr="004C7092">
        <w:rPr>
          <w:rFonts w:asciiTheme="majorBidi" w:hAnsiTheme="majorBidi" w:cstheme="majorBidi"/>
        </w:rPr>
        <w:t>Poovey</w:t>
      </w:r>
      <w:proofErr w:type="spellEnd"/>
      <w:r w:rsidR="00644CA7" w:rsidRPr="004C7092">
        <w:rPr>
          <w:rFonts w:asciiTheme="majorBidi" w:hAnsiTheme="majorBidi" w:cstheme="majorBidi"/>
        </w:rPr>
        <w:t xml:space="preserve"> 1993, 204). </w:t>
      </w:r>
      <w:r w:rsidR="004E3E80" w:rsidRPr="004C7092">
        <w:rPr>
          <w:rFonts w:asciiTheme="majorBidi" w:hAnsiTheme="majorBidi" w:cstheme="majorBidi"/>
        </w:rPr>
        <w:t>After all, the writings against the small Catholic Italian immigrant community in the 1890s were also couched in racist terms, describing the immigrants with “ineradicably bad…degraded habits…innate and lasting as they are”</w:t>
      </w:r>
      <w:r w:rsidR="00644CA7" w:rsidRPr="004C7092">
        <w:rPr>
          <w:rFonts w:asciiTheme="majorBidi" w:hAnsiTheme="majorBidi" w:cstheme="majorBidi"/>
        </w:rPr>
        <w:t xml:space="preserve"> (</w:t>
      </w:r>
      <w:proofErr w:type="spellStart"/>
      <w:r w:rsidR="00644CA7" w:rsidRPr="004C7092">
        <w:rPr>
          <w:rFonts w:asciiTheme="majorBidi" w:hAnsiTheme="majorBidi" w:cstheme="majorBidi"/>
        </w:rPr>
        <w:t>Sponza</w:t>
      </w:r>
      <w:proofErr w:type="spellEnd"/>
      <w:r w:rsidR="00644CA7" w:rsidRPr="004C7092">
        <w:rPr>
          <w:rFonts w:asciiTheme="majorBidi" w:hAnsiTheme="majorBidi" w:cstheme="majorBidi"/>
        </w:rPr>
        <w:t> 2006, 64).</w:t>
      </w:r>
      <w:r w:rsidR="004E3E80" w:rsidRPr="004C7092">
        <w:rPr>
          <w:rStyle w:val="ac"/>
          <w:rFonts w:asciiTheme="majorBidi" w:hAnsiTheme="majorBidi" w:cstheme="majorBidi"/>
        </w:rPr>
        <w:footnoteReference w:id="17"/>
      </w:r>
      <w:r w:rsidR="004E3E80" w:rsidRPr="004C7092">
        <w:rPr>
          <w:rFonts w:asciiTheme="majorBidi" w:hAnsiTheme="majorBidi" w:cstheme="majorBidi"/>
        </w:rPr>
        <w:t xml:space="preserve"> And yet religious </w:t>
      </w:r>
      <w:r w:rsidR="004E3E80" w:rsidRPr="004C7092">
        <w:rPr>
          <w:rFonts w:asciiTheme="majorBidi" w:hAnsiTheme="majorBidi" w:cstheme="majorBidi"/>
        </w:rPr>
        <w:lastRenderedPageBreak/>
        <w:t>overtones still provided the special color of the discrimination, in an era of growing racial thinking and coexisted with an environment of legal and political liberal nationalism.</w:t>
      </w:r>
    </w:p>
    <w:p w14:paraId="3A5534F7" w14:textId="77777777" w:rsidR="004E3E80" w:rsidRPr="004C7092" w:rsidRDefault="004E3E80" w:rsidP="004C7092">
      <w:pPr>
        <w:bidi w:val="0"/>
        <w:spacing w:line="480" w:lineRule="auto"/>
        <w:jc w:val="both"/>
        <w:rPr>
          <w:rFonts w:asciiTheme="majorBidi" w:hAnsiTheme="majorBidi" w:cstheme="majorBidi"/>
        </w:rPr>
      </w:pPr>
    </w:p>
    <w:p w14:paraId="71DDBC79" w14:textId="733BC8F1" w:rsidR="004E3E80" w:rsidRPr="004C7092" w:rsidRDefault="004E3E80" w:rsidP="004C7092">
      <w:pPr>
        <w:bidi w:val="0"/>
        <w:spacing w:line="480" w:lineRule="auto"/>
        <w:jc w:val="both"/>
        <w:rPr>
          <w:rFonts w:asciiTheme="majorBidi" w:hAnsiTheme="majorBidi" w:cstheme="majorBidi"/>
        </w:rPr>
      </w:pPr>
      <w:r w:rsidRPr="004C7092">
        <w:rPr>
          <w:rFonts w:asciiTheme="majorBidi" w:hAnsiTheme="majorBidi" w:cstheme="majorBidi"/>
        </w:rPr>
        <w:t xml:space="preserve">The constantly growing conflicts between the two discourses that permeated English public life in the nineteenth century were not dominant because they agreed with and complemented each other, as some believed at the time. Nor did they rule each other out, as some of the literature on national identity suggests. Rather, the very conflicts kept both discourses alive and pivotal to the self-identification of the English polity. </w:t>
      </w:r>
    </w:p>
    <w:p w14:paraId="62945881" w14:textId="77777777" w:rsidR="004E3E80" w:rsidRPr="004C7092" w:rsidRDefault="004E3E80" w:rsidP="004C7092">
      <w:pPr>
        <w:bidi w:val="0"/>
        <w:spacing w:line="480" w:lineRule="auto"/>
        <w:jc w:val="both"/>
        <w:rPr>
          <w:rFonts w:asciiTheme="majorBidi" w:hAnsiTheme="majorBidi" w:cstheme="majorBidi"/>
        </w:rPr>
      </w:pPr>
    </w:p>
    <w:p w14:paraId="70143217" w14:textId="2207C79C" w:rsidR="004E3E80" w:rsidRPr="004C7092" w:rsidRDefault="004E3E80" w:rsidP="004C7092">
      <w:pPr>
        <w:pStyle w:val="1"/>
        <w:bidi w:val="0"/>
        <w:spacing w:line="480" w:lineRule="auto"/>
        <w:rPr>
          <w:rFonts w:asciiTheme="majorBidi" w:hAnsiTheme="majorBidi" w:cstheme="majorBidi"/>
          <w:i/>
          <w:iCs/>
          <w:sz w:val="24"/>
          <w:szCs w:val="24"/>
        </w:rPr>
      </w:pPr>
      <w:bookmarkStart w:id="9" w:name="_Toc269303825"/>
      <w:bookmarkStart w:id="10" w:name="_Toc443517856"/>
      <w:bookmarkStart w:id="11" w:name="_Toc42845034"/>
      <w:r w:rsidRPr="004C7092">
        <w:rPr>
          <w:rFonts w:asciiTheme="majorBidi" w:hAnsiTheme="majorBidi" w:cstheme="majorBidi"/>
          <w:i/>
          <w:iCs/>
          <w:sz w:val="24"/>
          <w:szCs w:val="24"/>
        </w:rPr>
        <w:t>Empire –</w:t>
      </w:r>
      <w:bookmarkEnd w:id="9"/>
      <w:bookmarkEnd w:id="10"/>
      <w:r w:rsidRPr="004C7092">
        <w:rPr>
          <w:rFonts w:asciiTheme="majorBidi" w:hAnsiTheme="majorBidi" w:cstheme="majorBidi"/>
          <w:i/>
          <w:iCs/>
          <w:sz w:val="24"/>
          <w:szCs w:val="24"/>
        </w:rPr>
        <w:t xml:space="preserve"> Connections and Contradictions</w:t>
      </w:r>
      <w:bookmarkEnd w:id="11"/>
      <w:r w:rsidRPr="004C7092">
        <w:rPr>
          <w:rFonts w:asciiTheme="majorBidi" w:hAnsiTheme="majorBidi" w:cstheme="majorBidi"/>
          <w:i/>
          <w:iCs/>
          <w:sz w:val="24"/>
          <w:szCs w:val="24"/>
        </w:rPr>
        <w:t xml:space="preserve"> </w:t>
      </w:r>
    </w:p>
    <w:p w14:paraId="0927182D" w14:textId="17E4B2EC" w:rsidR="004E3E80" w:rsidRPr="004C7092" w:rsidRDefault="004E3E80" w:rsidP="004C7092">
      <w:pPr>
        <w:pStyle w:val="3"/>
        <w:bidi w:val="0"/>
        <w:spacing w:line="480" w:lineRule="auto"/>
        <w:rPr>
          <w:rFonts w:asciiTheme="majorBidi" w:hAnsiTheme="majorBidi" w:cstheme="majorBidi"/>
          <w:b w:val="0"/>
          <w:bCs w:val="0"/>
          <w:i/>
          <w:iCs/>
          <w:sz w:val="24"/>
          <w:szCs w:val="24"/>
        </w:rPr>
      </w:pPr>
      <w:bookmarkStart w:id="12" w:name="_Toc42845035"/>
      <w:r w:rsidRPr="004C7092">
        <w:rPr>
          <w:rFonts w:asciiTheme="majorBidi" w:hAnsiTheme="majorBidi" w:cstheme="majorBidi"/>
          <w:b w:val="0"/>
          <w:bCs w:val="0"/>
          <w:i/>
          <w:iCs/>
          <w:sz w:val="24"/>
          <w:szCs w:val="24"/>
        </w:rPr>
        <w:t>Empire and Nation</w:t>
      </w:r>
      <w:bookmarkEnd w:id="12"/>
    </w:p>
    <w:p w14:paraId="2B607BD7" w14:textId="16DCBEB3" w:rsidR="004E3E80" w:rsidRPr="004C7092" w:rsidRDefault="004E3E80" w:rsidP="004C7092">
      <w:pPr>
        <w:bidi w:val="0"/>
        <w:spacing w:line="480" w:lineRule="auto"/>
        <w:jc w:val="both"/>
        <w:rPr>
          <w:rFonts w:asciiTheme="majorBidi" w:hAnsiTheme="majorBidi" w:cstheme="majorBidi"/>
        </w:rPr>
      </w:pPr>
      <w:r w:rsidRPr="004C7092">
        <w:rPr>
          <w:rFonts w:asciiTheme="majorBidi" w:hAnsiTheme="majorBidi" w:cstheme="majorBidi"/>
        </w:rPr>
        <w:t>The historiography on English identity places the discourse on empire alongside those on religion and political freedom, but it also cuts right through them. There is a voluminous literature on the connection between English and British identities and the empire</w:t>
      </w:r>
      <w:r w:rsidR="00F074C1" w:rsidRPr="004C7092">
        <w:rPr>
          <w:rFonts w:asciiTheme="majorBidi" w:hAnsiTheme="majorBidi" w:cstheme="majorBidi"/>
        </w:rPr>
        <w:t xml:space="preserve"> (Kumar 2000. 606)</w:t>
      </w:r>
      <w:r w:rsidRPr="004C7092">
        <w:rPr>
          <w:rFonts w:asciiTheme="majorBidi" w:hAnsiTheme="majorBidi" w:cstheme="majorBidi"/>
        </w:rPr>
        <w:t>. It covers the full range from being a driving force to a negation of its existence in the public mind. At the one end stands Linda Colley, who believes the empire to have been so important in the formation of a British unifying identity by providing an ultimate “other”, that the dissolution of that empire could explain the dissolution of the united British identity</w:t>
      </w:r>
      <w:r w:rsidR="00F074C1" w:rsidRPr="004C7092">
        <w:rPr>
          <w:rFonts w:asciiTheme="majorBidi" w:hAnsiTheme="majorBidi" w:cstheme="majorBidi"/>
        </w:rPr>
        <w:t xml:space="preserve"> (</w:t>
      </w:r>
      <w:r w:rsidR="00247FF4" w:rsidRPr="004C7092">
        <w:rPr>
          <w:rFonts w:asciiTheme="majorBidi" w:hAnsiTheme="majorBidi" w:cstheme="majorBidi"/>
        </w:rPr>
        <w:t xml:space="preserve">Colley </w:t>
      </w:r>
      <w:r w:rsidR="00F074C1" w:rsidRPr="004C7092">
        <w:rPr>
          <w:rFonts w:asciiTheme="majorBidi" w:hAnsiTheme="majorBidi" w:cstheme="majorBidi"/>
        </w:rPr>
        <w:t>1992a</w:t>
      </w:r>
      <w:r w:rsidR="00247FF4" w:rsidRPr="004C7092">
        <w:rPr>
          <w:rFonts w:asciiTheme="majorBidi" w:hAnsiTheme="majorBidi" w:cstheme="majorBidi"/>
        </w:rPr>
        <w:t>, 316, 327-8)</w:t>
      </w:r>
      <w:r w:rsidRPr="004C7092">
        <w:rPr>
          <w:rFonts w:asciiTheme="majorBidi" w:hAnsiTheme="majorBidi" w:cstheme="majorBidi"/>
        </w:rPr>
        <w:t xml:space="preserve">. Her thesis rather reminds one of </w:t>
      </w:r>
      <w:r w:rsidR="00247FF4" w:rsidRPr="004C7092">
        <w:rPr>
          <w:rFonts w:asciiTheme="majorBidi" w:hAnsiTheme="majorBidi" w:cstheme="majorBidi"/>
        </w:rPr>
        <w:t xml:space="preserve">the </w:t>
      </w:r>
      <w:proofErr w:type="gramStart"/>
      <w:r w:rsidR="00247FF4" w:rsidRPr="004C7092">
        <w:rPr>
          <w:rFonts w:asciiTheme="majorBidi" w:hAnsiTheme="majorBidi" w:cstheme="majorBidi"/>
        </w:rPr>
        <w:t>description</w:t>
      </w:r>
      <w:proofErr w:type="gramEnd"/>
      <w:r w:rsidR="00247FF4" w:rsidRPr="004C7092">
        <w:rPr>
          <w:rFonts w:asciiTheme="majorBidi" w:hAnsiTheme="majorBidi" w:cstheme="majorBidi"/>
        </w:rPr>
        <w:t xml:space="preserve"> given by former prime minister, </w:t>
      </w:r>
      <w:r w:rsidRPr="004C7092">
        <w:rPr>
          <w:rFonts w:asciiTheme="majorBidi" w:hAnsiTheme="majorBidi" w:cstheme="majorBidi"/>
        </w:rPr>
        <w:t>Arthur Balfour</w:t>
      </w:r>
      <w:r w:rsidR="00247FF4" w:rsidRPr="004C7092">
        <w:rPr>
          <w:rFonts w:asciiTheme="majorBidi" w:hAnsiTheme="majorBidi" w:cstheme="majorBidi"/>
        </w:rPr>
        <w:t>,</w:t>
      </w:r>
      <w:r w:rsidRPr="004C7092">
        <w:rPr>
          <w:rFonts w:asciiTheme="majorBidi" w:hAnsiTheme="majorBidi" w:cstheme="majorBidi"/>
        </w:rPr>
        <w:t xml:space="preserve"> of a civil servant posted in the far reaches of the empire as living a strong sense of difference:</w:t>
      </w:r>
      <w:r w:rsidRPr="004C7092">
        <w:rPr>
          <w:rFonts w:asciiTheme="majorBidi" w:hAnsiTheme="majorBidi" w:cstheme="majorBidi"/>
          <w:lang w:val="en-GB"/>
        </w:rPr>
        <w:t xml:space="preserve"> a different creed, a different race, a different discipline, and different conditions of life</w:t>
      </w:r>
      <w:r w:rsidR="00247FF4" w:rsidRPr="004C7092">
        <w:rPr>
          <w:rFonts w:asciiTheme="majorBidi" w:hAnsiTheme="majorBidi" w:cstheme="majorBidi"/>
          <w:lang w:val="en-GB"/>
        </w:rPr>
        <w:t xml:space="preserve"> (Balfour 1910)</w:t>
      </w:r>
      <w:r w:rsidRPr="004C7092">
        <w:rPr>
          <w:rFonts w:asciiTheme="majorBidi" w:hAnsiTheme="majorBidi" w:cstheme="majorBidi"/>
        </w:rPr>
        <w:t xml:space="preserve">. The common “other” facilitated the common identity, or perhaps, the common interests in the empire provided the cement. </w:t>
      </w:r>
    </w:p>
    <w:p w14:paraId="1C73E5C4" w14:textId="77777777" w:rsidR="004E3E80" w:rsidRPr="004C7092" w:rsidRDefault="004E3E80" w:rsidP="004C7092">
      <w:pPr>
        <w:bidi w:val="0"/>
        <w:spacing w:line="480" w:lineRule="auto"/>
        <w:jc w:val="both"/>
        <w:rPr>
          <w:rFonts w:asciiTheme="majorBidi" w:hAnsiTheme="majorBidi" w:cstheme="majorBidi"/>
        </w:rPr>
      </w:pPr>
    </w:p>
    <w:p w14:paraId="384A891A" w14:textId="7104024B" w:rsidR="004E3E80" w:rsidRPr="004C7092" w:rsidRDefault="004E3E80" w:rsidP="004C7092">
      <w:pPr>
        <w:bidi w:val="0"/>
        <w:spacing w:line="480" w:lineRule="auto"/>
        <w:jc w:val="both"/>
        <w:rPr>
          <w:rFonts w:asciiTheme="majorBidi" w:hAnsiTheme="majorBidi" w:cstheme="majorBidi"/>
        </w:rPr>
      </w:pPr>
      <w:r w:rsidRPr="004C7092">
        <w:rPr>
          <w:rFonts w:asciiTheme="majorBidi" w:hAnsiTheme="majorBidi" w:cstheme="majorBidi"/>
        </w:rPr>
        <w:lastRenderedPageBreak/>
        <w:t>Kumar, turning the problem on its head, argues that this was why the empire was not part of English nationalism but rather the core reason for the suppression of that nationalism. Nonetheless, he reaffirmed the centrality of empire for English collective culture and symbolism</w:t>
      </w:r>
      <w:r w:rsidR="00247FF4" w:rsidRPr="004C7092">
        <w:rPr>
          <w:rFonts w:asciiTheme="majorBidi" w:hAnsiTheme="majorBidi" w:cstheme="majorBidi"/>
        </w:rPr>
        <w:t xml:space="preserve"> (Kumar 2000, 589, 592; Kumar 2006, 427).</w:t>
      </w:r>
      <w:r w:rsidRPr="004C7092">
        <w:rPr>
          <w:rFonts w:asciiTheme="majorBidi" w:hAnsiTheme="majorBidi" w:cstheme="majorBidi"/>
        </w:rPr>
        <w:t xml:space="preserve"> Similarly, conferring centrality by negation, is Mira </w:t>
      </w:r>
      <w:proofErr w:type="spellStart"/>
      <w:r w:rsidRPr="004C7092">
        <w:rPr>
          <w:rFonts w:asciiTheme="majorBidi" w:hAnsiTheme="majorBidi" w:cstheme="majorBidi"/>
        </w:rPr>
        <w:t>Matikkala’s</w:t>
      </w:r>
      <w:proofErr w:type="spellEnd"/>
      <w:r w:rsidRPr="004C7092">
        <w:rPr>
          <w:rFonts w:asciiTheme="majorBidi" w:hAnsiTheme="majorBidi" w:cstheme="majorBidi"/>
        </w:rPr>
        <w:t xml:space="preserve"> book that claims two clashing identities for late nineteenth century England – constitutional and imperial</w:t>
      </w:r>
      <w:r w:rsidR="00247FF4" w:rsidRPr="004C7092">
        <w:rPr>
          <w:rFonts w:asciiTheme="majorBidi" w:hAnsiTheme="majorBidi" w:cstheme="majorBidi"/>
        </w:rPr>
        <w:t xml:space="preserve"> (</w:t>
      </w:r>
      <w:proofErr w:type="spellStart"/>
      <w:r w:rsidR="00247FF4" w:rsidRPr="004C7092">
        <w:rPr>
          <w:rFonts w:asciiTheme="majorBidi" w:hAnsiTheme="majorBidi" w:cstheme="majorBidi"/>
        </w:rPr>
        <w:t>Matikkala</w:t>
      </w:r>
      <w:proofErr w:type="spellEnd"/>
      <w:r w:rsidR="00247FF4" w:rsidRPr="004C7092">
        <w:rPr>
          <w:rFonts w:asciiTheme="majorBidi" w:hAnsiTheme="majorBidi" w:cstheme="majorBidi"/>
          <w:rtl/>
        </w:rPr>
        <w:t>,</w:t>
      </w:r>
      <w:r w:rsidR="00247FF4" w:rsidRPr="004C7092">
        <w:rPr>
          <w:rFonts w:asciiTheme="majorBidi" w:hAnsiTheme="majorBidi" w:cstheme="majorBidi"/>
        </w:rPr>
        <w:t xml:space="preserve"> 2011)</w:t>
      </w:r>
      <w:r w:rsidRPr="004C7092">
        <w:rPr>
          <w:rFonts w:asciiTheme="majorBidi" w:hAnsiTheme="majorBidi" w:cstheme="majorBidi"/>
        </w:rPr>
        <w:t>.</w:t>
      </w:r>
      <w:r w:rsidRPr="004C7092">
        <w:rPr>
          <w:rStyle w:val="ac"/>
          <w:rFonts w:asciiTheme="majorBidi" w:hAnsiTheme="majorBidi" w:cstheme="majorBidi"/>
        </w:rPr>
        <w:footnoteReference w:id="18"/>
      </w:r>
      <w:r w:rsidRPr="004C7092">
        <w:rPr>
          <w:rFonts w:asciiTheme="majorBidi" w:hAnsiTheme="majorBidi" w:cstheme="majorBidi"/>
        </w:rPr>
        <w:t xml:space="preserve"> John Mackenzie, cites a long list of popular excitements and agitations about foreign affairs and empire. </w:t>
      </w:r>
      <w:proofErr w:type="gramStart"/>
      <w:r w:rsidRPr="004C7092">
        <w:rPr>
          <w:rFonts w:asciiTheme="majorBidi" w:hAnsiTheme="majorBidi" w:cstheme="majorBidi"/>
        </w:rPr>
        <w:t>The  outbursts</w:t>
      </w:r>
      <w:proofErr w:type="gramEnd"/>
      <w:r w:rsidRPr="004C7092">
        <w:rPr>
          <w:rFonts w:asciiTheme="majorBidi" w:hAnsiTheme="majorBidi" w:cstheme="majorBidi"/>
        </w:rPr>
        <w:t xml:space="preserve"> about and public interest in foreign affairs in the final four decades of the nineteenth century might bear witness to that conclusion</w:t>
      </w:r>
      <w:r w:rsidR="002A3214" w:rsidRPr="004C7092">
        <w:rPr>
          <w:rFonts w:asciiTheme="majorBidi" w:hAnsiTheme="majorBidi" w:cstheme="majorBidi"/>
        </w:rPr>
        <w:t xml:space="preserve"> (</w:t>
      </w:r>
      <w:r w:rsidR="002A3214" w:rsidRPr="004C7092">
        <w:rPr>
          <w:rFonts w:asciiTheme="majorBidi" w:hAnsiTheme="majorBidi" w:cstheme="majorBidi"/>
          <w:lang w:val="en-GB"/>
        </w:rPr>
        <w:t>Mackenzie 1986, 1-16).</w:t>
      </w:r>
      <w:r w:rsidRPr="004C7092">
        <w:rPr>
          <w:rFonts w:asciiTheme="majorBidi" w:hAnsiTheme="majorBidi" w:cstheme="majorBidi"/>
        </w:rPr>
        <w:t xml:space="preserve"> John </w:t>
      </w:r>
      <w:proofErr w:type="spellStart"/>
      <w:r w:rsidRPr="004C7092">
        <w:rPr>
          <w:rFonts w:asciiTheme="majorBidi" w:hAnsiTheme="majorBidi" w:cstheme="majorBidi"/>
        </w:rPr>
        <w:t>Wolffe</w:t>
      </w:r>
      <w:proofErr w:type="spellEnd"/>
      <w:r w:rsidRPr="004C7092">
        <w:rPr>
          <w:rFonts w:asciiTheme="majorBidi" w:hAnsiTheme="majorBidi" w:cstheme="majorBidi"/>
        </w:rPr>
        <w:t xml:space="preserve"> claims that, the attitude toward the empire varied over time, but by 1890 it had captured the imagination, even of the </w:t>
      </w:r>
      <w:proofErr w:type="gramStart"/>
      <w:r w:rsidRPr="004C7092">
        <w:rPr>
          <w:rFonts w:asciiTheme="majorBidi" w:hAnsiTheme="majorBidi" w:cstheme="majorBidi"/>
        </w:rPr>
        <w:t>Nonconformists</w:t>
      </w:r>
      <w:r w:rsidR="002A3214" w:rsidRPr="004C7092">
        <w:rPr>
          <w:rFonts w:asciiTheme="majorBidi" w:hAnsiTheme="majorBidi" w:cstheme="majorBidi"/>
        </w:rPr>
        <w:t xml:space="preserve">  (</w:t>
      </w:r>
      <w:proofErr w:type="spellStart"/>
      <w:proofErr w:type="gramEnd"/>
      <w:r w:rsidR="002A3214" w:rsidRPr="004C7092">
        <w:rPr>
          <w:rFonts w:asciiTheme="majorBidi" w:hAnsiTheme="majorBidi" w:cstheme="majorBidi"/>
        </w:rPr>
        <w:t>Wolffe</w:t>
      </w:r>
      <w:proofErr w:type="spellEnd"/>
      <w:r w:rsidR="002A3214" w:rsidRPr="004C7092">
        <w:rPr>
          <w:rFonts w:asciiTheme="majorBidi" w:hAnsiTheme="majorBidi" w:cstheme="majorBidi"/>
        </w:rPr>
        <w:t xml:space="preserve"> 2002, 221).</w:t>
      </w:r>
      <w:r w:rsidRPr="004C7092">
        <w:rPr>
          <w:rFonts w:asciiTheme="majorBidi" w:hAnsiTheme="majorBidi" w:cstheme="majorBidi"/>
        </w:rPr>
        <w:t xml:space="preserve"> Despite all, Bernard Porter and Andrew Thompson argue that there were few specific occasions when imperialists had their way easily in British politics, and that it was apathy that constituted the dominant response to empire in Britain</w:t>
      </w:r>
      <w:r w:rsidR="002A3214" w:rsidRPr="004C7092">
        <w:rPr>
          <w:rFonts w:asciiTheme="majorBidi" w:hAnsiTheme="majorBidi" w:cstheme="majorBidi"/>
        </w:rPr>
        <w:t xml:space="preserve"> (</w:t>
      </w:r>
      <w:proofErr w:type="gramStart"/>
      <w:r w:rsidR="002A3214" w:rsidRPr="004C7092">
        <w:rPr>
          <w:rFonts w:asciiTheme="majorBidi" w:hAnsiTheme="majorBidi" w:cstheme="majorBidi"/>
        </w:rPr>
        <w:t>Porter  2004</w:t>
      </w:r>
      <w:proofErr w:type="gramEnd"/>
      <w:r w:rsidR="002A3214" w:rsidRPr="004C7092">
        <w:rPr>
          <w:rFonts w:asciiTheme="majorBidi" w:hAnsiTheme="majorBidi" w:cstheme="majorBidi"/>
        </w:rPr>
        <w:t>; Thompson  2005)</w:t>
      </w:r>
      <w:r w:rsidRPr="004C7092">
        <w:rPr>
          <w:rFonts w:asciiTheme="majorBidi" w:hAnsiTheme="majorBidi" w:cstheme="majorBidi"/>
        </w:rPr>
        <w:t>. Possibly, the centrality of empire is elusive in the literature about English identity because there was no “ordered system of ideology” about the empire. Even, when the British contemplated India they vacillated between a sense of similarity and difference.</w:t>
      </w:r>
      <w:r w:rsidRPr="004C7092">
        <w:rPr>
          <w:rStyle w:val="ac"/>
          <w:rFonts w:asciiTheme="majorBidi" w:hAnsiTheme="majorBidi" w:cstheme="majorBidi"/>
        </w:rPr>
        <w:footnoteReference w:id="19"/>
      </w:r>
      <w:r w:rsidRPr="004C7092">
        <w:rPr>
          <w:rFonts w:asciiTheme="majorBidi" w:hAnsiTheme="majorBidi" w:cstheme="majorBidi"/>
        </w:rPr>
        <w:t xml:space="preserve"> In such a case, what seemed apathy to one could well pass as vacillation to another. </w:t>
      </w:r>
    </w:p>
    <w:p w14:paraId="653E11C8" w14:textId="77777777" w:rsidR="004E3E80" w:rsidRPr="004C7092" w:rsidRDefault="004E3E80" w:rsidP="004C7092">
      <w:pPr>
        <w:bidi w:val="0"/>
        <w:spacing w:line="480" w:lineRule="auto"/>
        <w:jc w:val="both"/>
        <w:rPr>
          <w:rFonts w:asciiTheme="majorBidi" w:hAnsiTheme="majorBidi" w:cstheme="majorBidi"/>
        </w:rPr>
      </w:pPr>
    </w:p>
    <w:p w14:paraId="48EB4526" w14:textId="6AEDB569" w:rsidR="004E3E80" w:rsidRPr="004C7092" w:rsidRDefault="004E3E80" w:rsidP="004C7092">
      <w:pPr>
        <w:bidi w:val="0"/>
        <w:spacing w:line="480" w:lineRule="auto"/>
        <w:jc w:val="both"/>
        <w:rPr>
          <w:rFonts w:asciiTheme="majorBidi" w:hAnsiTheme="majorBidi" w:cstheme="majorBidi"/>
        </w:rPr>
      </w:pPr>
      <w:r w:rsidRPr="004C7092">
        <w:rPr>
          <w:rFonts w:asciiTheme="majorBidi" w:hAnsiTheme="majorBidi" w:cstheme="majorBidi"/>
        </w:rPr>
        <w:t>Stephen Howe believes that the end of the nineteenth century was the time when ideas about the empire and its importance were at their most enthusiastic, and most widely spread. But he then strongly qualifies the assessment, reviewing literature which casts doubt on the centrality of empire, ending up calling for differentiation between formal and informal empire, jingoism, Britain's foreign policy in general, and support for naval expansion</w:t>
      </w:r>
      <w:r w:rsidR="002A3214" w:rsidRPr="004C7092">
        <w:rPr>
          <w:rFonts w:asciiTheme="majorBidi" w:hAnsiTheme="majorBidi" w:cstheme="majorBidi"/>
        </w:rPr>
        <w:t xml:space="preserve"> (Howe 2008, 160</w:t>
      </w:r>
      <w:r w:rsidR="00D1204A" w:rsidRPr="004C7092">
        <w:rPr>
          <w:rFonts w:asciiTheme="majorBidi" w:hAnsiTheme="majorBidi" w:cstheme="majorBidi"/>
        </w:rPr>
        <w:t>-4</w:t>
      </w:r>
      <w:r w:rsidR="002A3214" w:rsidRPr="004C7092">
        <w:rPr>
          <w:rFonts w:asciiTheme="majorBidi" w:hAnsiTheme="majorBidi" w:cstheme="majorBidi"/>
        </w:rPr>
        <w:t>).</w:t>
      </w:r>
      <w:r w:rsidRPr="004C7092">
        <w:rPr>
          <w:rFonts w:asciiTheme="majorBidi" w:hAnsiTheme="majorBidi" w:cstheme="majorBidi"/>
        </w:rPr>
        <w:t xml:space="preserve"> Such a call pointedly </w:t>
      </w:r>
      <w:r w:rsidRPr="004C7092">
        <w:rPr>
          <w:rFonts w:asciiTheme="majorBidi" w:hAnsiTheme="majorBidi" w:cstheme="majorBidi"/>
        </w:rPr>
        <w:lastRenderedPageBreak/>
        <w:t xml:space="preserve">reminds us that the empire could mean different things to different people at the time, and thus seem ever present to some researchers but absent to others. </w:t>
      </w:r>
    </w:p>
    <w:p w14:paraId="2C733697" w14:textId="77777777" w:rsidR="00F074C1" w:rsidRPr="004C7092" w:rsidRDefault="00F074C1" w:rsidP="004C7092">
      <w:pPr>
        <w:bidi w:val="0"/>
        <w:spacing w:line="480" w:lineRule="auto"/>
        <w:jc w:val="both"/>
        <w:rPr>
          <w:rFonts w:asciiTheme="majorBidi" w:hAnsiTheme="majorBidi" w:cstheme="majorBidi"/>
          <w:rtl/>
        </w:rPr>
      </w:pPr>
    </w:p>
    <w:p w14:paraId="5E09A9ED" w14:textId="04C8AFD4" w:rsidR="004E3E80" w:rsidRPr="004C7092" w:rsidRDefault="004E3E80" w:rsidP="004C7092">
      <w:pPr>
        <w:bidi w:val="0"/>
        <w:spacing w:line="480" w:lineRule="auto"/>
        <w:jc w:val="both"/>
        <w:rPr>
          <w:rFonts w:asciiTheme="majorBidi" w:hAnsiTheme="majorBidi" w:cstheme="majorBidi"/>
        </w:rPr>
      </w:pPr>
      <w:r w:rsidRPr="004C7092">
        <w:rPr>
          <w:rFonts w:asciiTheme="majorBidi" w:hAnsiTheme="majorBidi" w:cstheme="majorBidi"/>
        </w:rPr>
        <w:t>As I will show in the following sections, current research provides ample proof that empire was central to the discourses on self-identification both by connections and by contradictions.</w:t>
      </w:r>
    </w:p>
    <w:p w14:paraId="2A54D60A" w14:textId="0DAA6C4E" w:rsidR="004E3E80" w:rsidRPr="004C7092" w:rsidRDefault="004E3E80" w:rsidP="004C7092">
      <w:pPr>
        <w:bidi w:val="0"/>
        <w:spacing w:line="480" w:lineRule="auto"/>
        <w:jc w:val="both"/>
        <w:rPr>
          <w:rFonts w:asciiTheme="majorBidi" w:hAnsiTheme="majorBidi" w:cstheme="majorBidi"/>
          <w:rtl/>
        </w:rPr>
      </w:pPr>
    </w:p>
    <w:p w14:paraId="08E303DC" w14:textId="5C70EC41" w:rsidR="004E3E80" w:rsidRPr="004C7092" w:rsidRDefault="004E3E80" w:rsidP="004C7092">
      <w:pPr>
        <w:pStyle w:val="3"/>
        <w:bidi w:val="0"/>
        <w:spacing w:line="480" w:lineRule="auto"/>
        <w:rPr>
          <w:rFonts w:asciiTheme="majorBidi" w:hAnsiTheme="majorBidi" w:cstheme="majorBidi"/>
          <w:b w:val="0"/>
          <w:bCs w:val="0"/>
          <w:i/>
          <w:iCs/>
          <w:sz w:val="24"/>
          <w:szCs w:val="24"/>
        </w:rPr>
      </w:pPr>
      <w:bookmarkStart w:id="13" w:name="_Toc42845036"/>
      <w:r w:rsidRPr="004C7092">
        <w:rPr>
          <w:rFonts w:asciiTheme="majorBidi" w:hAnsiTheme="majorBidi" w:cstheme="majorBidi"/>
          <w:b w:val="0"/>
          <w:bCs w:val="0"/>
          <w:i/>
          <w:iCs/>
          <w:sz w:val="24"/>
          <w:szCs w:val="24"/>
        </w:rPr>
        <w:t>Empire and Protestantism</w:t>
      </w:r>
      <w:bookmarkEnd w:id="13"/>
    </w:p>
    <w:p w14:paraId="1947CD14" w14:textId="79928466" w:rsidR="004E3E80" w:rsidRPr="004C7092" w:rsidRDefault="004E3E80" w:rsidP="004C7092">
      <w:pPr>
        <w:bidi w:val="0"/>
        <w:spacing w:line="480" w:lineRule="auto"/>
        <w:jc w:val="both"/>
        <w:rPr>
          <w:rFonts w:asciiTheme="majorBidi" w:hAnsiTheme="majorBidi" w:cstheme="majorBidi"/>
          <w:rtl/>
        </w:rPr>
      </w:pPr>
      <w:r w:rsidRPr="004C7092">
        <w:rPr>
          <w:rFonts w:asciiTheme="majorBidi" w:hAnsiTheme="majorBidi" w:cstheme="majorBidi"/>
        </w:rPr>
        <w:t>The empire’s diffusion in English cultural symbolism is best assessed by its relational coincidence with Protestantism and political freedom. Conservatives and liberals alike had intrinsic connections with imperialism. Since the late Walpolean era, agitation in favor of the empire was equated with liberty and property</w:t>
      </w:r>
      <w:r w:rsidR="00D1204A" w:rsidRPr="004C7092">
        <w:rPr>
          <w:rFonts w:asciiTheme="majorBidi" w:hAnsiTheme="majorBidi" w:cstheme="majorBidi"/>
        </w:rPr>
        <w:t xml:space="preserve"> (Wilson 1988, 79, 94,105, 109).</w:t>
      </w:r>
      <w:r w:rsidRPr="004C7092">
        <w:rPr>
          <w:rFonts w:asciiTheme="majorBidi" w:hAnsiTheme="majorBidi" w:cstheme="majorBidi"/>
        </w:rPr>
        <w:t xml:space="preserve"> In 1878, Robert Herbert, 4</w:t>
      </w:r>
      <w:r w:rsidRPr="004C7092">
        <w:rPr>
          <w:rFonts w:asciiTheme="majorBidi" w:hAnsiTheme="majorBidi" w:cstheme="majorBidi"/>
          <w:vertAlign w:val="superscript"/>
        </w:rPr>
        <w:t>th</w:t>
      </w:r>
      <w:r w:rsidRPr="004C7092">
        <w:rPr>
          <w:rFonts w:asciiTheme="majorBidi" w:hAnsiTheme="majorBidi" w:cstheme="majorBidi"/>
        </w:rPr>
        <w:t xml:space="preserve"> Earl of Carnarvon, promoted the idea of empire by putting forth the other two ideals as the essence of English duty: to provide “a system where the humblest may enjoy freedom from oppression and wrong equally with the </w:t>
      </w:r>
      <w:proofErr w:type="gramStart"/>
      <w:r w:rsidRPr="004C7092">
        <w:rPr>
          <w:rFonts w:asciiTheme="majorBidi" w:hAnsiTheme="majorBidi" w:cstheme="majorBidi"/>
        </w:rPr>
        <w:t>greatest;</w:t>
      </w:r>
      <w:proofErr w:type="gramEnd"/>
      <w:r w:rsidRPr="004C7092">
        <w:rPr>
          <w:rFonts w:asciiTheme="majorBidi" w:hAnsiTheme="majorBidi" w:cstheme="majorBidi"/>
        </w:rPr>
        <w:t xml:space="preserve"> where the light of religion and morality can penetrate i</w:t>
      </w:r>
      <w:r w:rsidR="00A77A87" w:rsidRPr="004C7092">
        <w:rPr>
          <w:rFonts w:asciiTheme="majorBidi" w:hAnsiTheme="majorBidi" w:cstheme="majorBidi"/>
        </w:rPr>
        <w:t>nto the darkest dwelling places</w:t>
      </w:r>
      <w:r w:rsidRPr="004C7092">
        <w:rPr>
          <w:rFonts w:asciiTheme="majorBidi" w:hAnsiTheme="majorBidi" w:cstheme="majorBidi"/>
        </w:rPr>
        <w:t>”</w:t>
      </w:r>
      <w:r w:rsidR="00A77A87" w:rsidRPr="004C7092">
        <w:rPr>
          <w:rFonts w:asciiTheme="majorBidi" w:hAnsiTheme="majorBidi" w:cstheme="majorBidi"/>
        </w:rPr>
        <w:t xml:space="preserve"> (Carnarvon 1878).</w:t>
      </w:r>
      <w:r w:rsidRPr="004C7092">
        <w:rPr>
          <w:rFonts w:asciiTheme="majorBidi" w:hAnsiTheme="majorBidi" w:cstheme="majorBidi"/>
        </w:rPr>
        <w:t xml:space="preserve"> Uday Mehta argues that imperialism stemmed from liberal assumptions about reason and historical progress. The ingrained rationality in liberalism ensured its judgmental position towards the unfamiliar, and its position of power ensured its sense of mission and reform</w:t>
      </w:r>
      <w:r w:rsidR="00C4604B" w:rsidRPr="004C7092">
        <w:rPr>
          <w:rFonts w:asciiTheme="majorBidi" w:hAnsiTheme="majorBidi" w:cstheme="majorBidi"/>
        </w:rPr>
        <w:t xml:space="preserve"> </w:t>
      </w:r>
      <w:r w:rsidR="00A77A87" w:rsidRPr="004C7092">
        <w:rPr>
          <w:rFonts w:asciiTheme="majorBidi" w:hAnsiTheme="majorBidi" w:cstheme="majorBidi"/>
          <w:sz w:val="22"/>
          <w:szCs w:val="22"/>
        </w:rPr>
        <w:t>(Mehta 1999, 12-18).</w:t>
      </w:r>
      <w:r w:rsidRPr="004C7092">
        <w:rPr>
          <w:rFonts w:asciiTheme="majorBidi" w:hAnsiTheme="majorBidi" w:cstheme="majorBidi"/>
        </w:rPr>
        <w:t xml:space="preserve"> Thomas Metcalf points to the urge for reform and universalism that made India a ready terrain for experimentation with liberal notions of administration</w:t>
      </w:r>
      <w:r w:rsidR="00A77A87" w:rsidRPr="004C7092">
        <w:rPr>
          <w:rFonts w:asciiTheme="majorBidi" w:hAnsiTheme="majorBidi" w:cstheme="majorBidi"/>
        </w:rPr>
        <w:t xml:space="preserve"> </w:t>
      </w:r>
      <w:r w:rsidR="00A77A87" w:rsidRPr="004C7092">
        <w:rPr>
          <w:rFonts w:asciiTheme="majorBidi" w:hAnsiTheme="majorBidi" w:cstheme="majorBidi"/>
          <w:sz w:val="22"/>
          <w:szCs w:val="22"/>
        </w:rPr>
        <w:t>(Metcalf 1995, 28-30).</w:t>
      </w:r>
    </w:p>
    <w:p w14:paraId="72934690" w14:textId="77777777" w:rsidR="004E3E80" w:rsidRPr="004C7092" w:rsidRDefault="004E3E80" w:rsidP="004C7092">
      <w:pPr>
        <w:bidi w:val="0"/>
        <w:spacing w:line="480" w:lineRule="auto"/>
        <w:jc w:val="both"/>
        <w:rPr>
          <w:rFonts w:asciiTheme="majorBidi" w:hAnsiTheme="majorBidi" w:cstheme="majorBidi"/>
        </w:rPr>
      </w:pPr>
    </w:p>
    <w:p w14:paraId="1706FB66" w14:textId="0BFACB25" w:rsidR="004E3E80" w:rsidRPr="004C7092" w:rsidRDefault="004E3E80" w:rsidP="004C7092">
      <w:pPr>
        <w:bidi w:val="0"/>
        <w:spacing w:line="480" w:lineRule="auto"/>
        <w:jc w:val="both"/>
        <w:rPr>
          <w:rFonts w:asciiTheme="majorBidi" w:hAnsiTheme="majorBidi" w:cstheme="majorBidi"/>
        </w:rPr>
      </w:pPr>
      <w:r w:rsidRPr="004C7092">
        <w:rPr>
          <w:rFonts w:asciiTheme="majorBidi" w:hAnsiTheme="majorBidi" w:cstheme="majorBidi"/>
        </w:rPr>
        <w:t xml:space="preserve">Likewise, the empire’s close relationship with religion is expressed through their mutual contradictions, no less than their common ground. </w:t>
      </w:r>
      <w:proofErr w:type="gramStart"/>
      <w:r w:rsidRPr="004C7092">
        <w:rPr>
          <w:rFonts w:asciiTheme="majorBidi" w:hAnsiTheme="majorBidi" w:cstheme="majorBidi"/>
        </w:rPr>
        <w:t>But,</w:t>
      </w:r>
      <w:proofErr w:type="gramEnd"/>
      <w:r w:rsidRPr="004C7092">
        <w:rPr>
          <w:rFonts w:asciiTheme="majorBidi" w:hAnsiTheme="majorBidi" w:cstheme="majorBidi"/>
        </w:rPr>
        <w:t xml:space="preserve"> their conflicts kept both in the public eye, and in political relevance, as part of collective discourse of what was or was not “English”. </w:t>
      </w:r>
    </w:p>
    <w:p w14:paraId="01E73FEA" w14:textId="77777777" w:rsidR="004E3E80" w:rsidRPr="004C7092" w:rsidRDefault="004E3E80" w:rsidP="004C7092">
      <w:pPr>
        <w:bidi w:val="0"/>
        <w:spacing w:line="480" w:lineRule="auto"/>
        <w:jc w:val="both"/>
        <w:rPr>
          <w:rFonts w:asciiTheme="majorBidi" w:hAnsiTheme="majorBidi" w:cstheme="majorBidi"/>
        </w:rPr>
      </w:pPr>
    </w:p>
    <w:p w14:paraId="74E12DB4" w14:textId="555416F1" w:rsidR="004E3E80" w:rsidRPr="004C7092" w:rsidRDefault="004E3E80" w:rsidP="004C7092">
      <w:pPr>
        <w:bidi w:val="0"/>
        <w:spacing w:line="480" w:lineRule="auto"/>
        <w:jc w:val="both"/>
        <w:rPr>
          <w:rFonts w:asciiTheme="majorBidi" w:hAnsiTheme="majorBidi" w:cstheme="majorBidi"/>
        </w:rPr>
      </w:pPr>
      <w:r w:rsidRPr="004C7092">
        <w:rPr>
          <w:rFonts w:asciiTheme="majorBidi" w:hAnsiTheme="majorBidi" w:cstheme="majorBidi"/>
        </w:rPr>
        <w:lastRenderedPageBreak/>
        <w:t xml:space="preserve">Interconnection could be dated from the Glorious Revolution when the British were free from Catholicism and </w:t>
      </w:r>
      <w:proofErr w:type="gramStart"/>
      <w:r w:rsidRPr="004C7092">
        <w:rPr>
          <w:rFonts w:asciiTheme="majorBidi" w:hAnsiTheme="majorBidi" w:cstheme="majorBidi"/>
        </w:rPr>
        <w:t>slavery, and</w:t>
      </w:r>
      <w:proofErr w:type="gramEnd"/>
      <w:r w:rsidRPr="004C7092">
        <w:rPr>
          <w:rFonts w:asciiTheme="majorBidi" w:hAnsiTheme="majorBidi" w:cstheme="majorBidi"/>
        </w:rPr>
        <w:t xml:space="preserve"> achieved a freedom to trade where they chose</w:t>
      </w:r>
      <w:r w:rsidR="00A77A87" w:rsidRPr="004C7092">
        <w:rPr>
          <w:rFonts w:asciiTheme="majorBidi" w:hAnsiTheme="majorBidi" w:cstheme="majorBidi"/>
        </w:rPr>
        <w:t xml:space="preserve"> </w:t>
      </w:r>
      <w:r w:rsidR="00A77A87" w:rsidRPr="004C7092">
        <w:rPr>
          <w:rFonts w:asciiTheme="majorBidi" w:hAnsiTheme="majorBidi" w:cstheme="majorBidi"/>
          <w:sz w:val="22"/>
          <w:szCs w:val="22"/>
        </w:rPr>
        <w:t>(Armitage</w:t>
      </w:r>
      <w:r w:rsidR="00A77A87" w:rsidRPr="004C7092">
        <w:rPr>
          <w:rFonts w:asciiTheme="majorBidi" w:hAnsiTheme="majorBidi" w:cstheme="majorBidi" w:hint="cs"/>
          <w:sz w:val="22"/>
          <w:szCs w:val="22"/>
          <w:rtl/>
        </w:rPr>
        <w:t xml:space="preserve"> </w:t>
      </w:r>
      <w:r w:rsidR="00A77A87" w:rsidRPr="004C7092">
        <w:rPr>
          <w:rFonts w:asciiTheme="majorBidi" w:hAnsiTheme="majorBidi" w:cstheme="majorBidi"/>
          <w:sz w:val="22"/>
          <w:szCs w:val="22"/>
        </w:rPr>
        <w:t>2000, 142-169; Ralls 1974, 249).</w:t>
      </w:r>
      <w:r w:rsidRPr="004C7092">
        <w:rPr>
          <w:rFonts w:asciiTheme="majorBidi" w:hAnsiTheme="majorBidi" w:cstheme="majorBidi"/>
        </w:rPr>
        <w:t xml:space="preserve"> The spreading of Protestantism as a mission of salvation and truth was a potent factor since the eighteenth century</w:t>
      </w:r>
      <w:r w:rsidR="00CE2F0A" w:rsidRPr="004C7092">
        <w:rPr>
          <w:rFonts w:asciiTheme="majorBidi" w:hAnsiTheme="majorBidi" w:cstheme="majorBidi"/>
        </w:rPr>
        <w:t xml:space="preserve"> </w:t>
      </w:r>
      <w:r w:rsidR="00CE2F0A" w:rsidRPr="004C7092">
        <w:rPr>
          <w:rFonts w:asciiTheme="majorBidi" w:hAnsiTheme="majorBidi" w:cstheme="majorBidi"/>
          <w:sz w:val="22"/>
          <w:szCs w:val="22"/>
        </w:rPr>
        <w:t>(Rowan 2007, 10-39).</w:t>
      </w:r>
      <w:r w:rsidRPr="004C7092">
        <w:rPr>
          <w:rFonts w:asciiTheme="majorBidi" w:hAnsiTheme="majorBidi" w:cstheme="majorBidi"/>
        </w:rPr>
        <w:t xml:space="preserve"> Providentialism connected the imperial spirit to a religious sense of duty so as to utilize the greatness that Britain has won for the benefit of spreading the faith, providing a legitimation and justification for the empire.</w:t>
      </w:r>
      <w:r w:rsidRPr="004C7092">
        <w:rPr>
          <w:rStyle w:val="ac"/>
          <w:rFonts w:asciiTheme="majorBidi" w:hAnsiTheme="majorBidi" w:cstheme="majorBidi"/>
          <w:rtl/>
        </w:rPr>
        <w:t xml:space="preserve"> </w:t>
      </w:r>
      <w:r w:rsidRPr="004C7092">
        <w:rPr>
          <w:rFonts w:asciiTheme="majorBidi" w:hAnsiTheme="majorBidi" w:cstheme="majorBidi"/>
        </w:rPr>
        <w:t>This sense of mission was especially propagated during the Opium Wars, during David Livingstone's mission to Africa and his short visit to Britain in 1857, and as a reaction to the Indian Mutiny</w:t>
      </w:r>
      <w:r w:rsidR="00CE2F0A" w:rsidRPr="004C7092">
        <w:rPr>
          <w:rFonts w:asciiTheme="majorBidi" w:hAnsiTheme="majorBidi" w:cstheme="majorBidi"/>
        </w:rPr>
        <w:t xml:space="preserve"> </w:t>
      </w:r>
      <w:r w:rsidR="00CE2F0A" w:rsidRPr="004C7092">
        <w:rPr>
          <w:rFonts w:asciiTheme="majorBidi" w:hAnsiTheme="majorBidi" w:cstheme="majorBidi"/>
          <w:sz w:val="22"/>
          <w:szCs w:val="22"/>
        </w:rPr>
        <w:t xml:space="preserve">(Stanley I983, 73, 75, 79, 81-91; </w:t>
      </w:r>
      <w:proofErr w:type="spellStart"/>
      <w:r w:rsidR="00CE2F0A" w:rsidRPr="004C7092">
        <w:rPr>
          <w:rFonts w:asciiTheme="majorBidi" w:hAnsiTheme="majorBidi" w:cstheme="majorBidi"/>
          <w:sz w:val="22"/>
          <w:szCs w:val="22"/>
        </w:rPr>
        <w:t>Wolffe</w:t>
      </w:r>
      <w:proofErr w:type="spellEnd"/>
      <w:r w:rsidR="00CE2F0A" w:rsidRPr="004C7092">
        <w:rPr>
          <w:rFonts w:asciiTheme="majorBidi" w:hAnsiTheme="majorBidi" w:cstheme="majorBidi"/>
          <w:sz w:val="22"/>
          <w:szCs w:val="22"/>
        </w:rPr>
        <w:t xml:space="preserve"> 2002, 215-217; Porter 1985, 598).</w:t>
      </w:r>
      <w:r w:rsidR="00CE2F0A" w:rsidRPr="004C7092">
        <w:rPr>
          <w:rFonts w:asciiTheme="majorBidi" w:hAnsiTheme="majorBidi" w:cstheme="majorBidi"/>
        </w:rPr>
        <w:t xml:space="preserve"> </w:t>
      </w:r>
      <w:r w:rsidRPr="004C7092">
        <w:rPr>
          <w:rFonts w:asciiTheme="majorBidi" w:hAnsiTheme="majorBidi" w:cstheme="majorBidi"/>
        </w:rPr>
        <w:t>In the mid-nineteenth century, the spread of Christianity and British trade were expected to be mutually dependent</w:t>
      </w:r>
      <w:r w:rsidR="00CE2F0A" w:rsidRPr="004C7092">
        <w:rPr>
          <w:rFonts w:asciiTheme="majorBidi" w:hAnsiTheme="majorBidi" w:cstheme="majorBidi"/>
        </w:rPr>
        <w:t xml:space="preserve"> </w:t>
      </w:r>
      <w:r w:rsidR="00CE2F0A" w:rsidRPr="004C7092">
        <w:rPr>
          <w:rFonts w:asciiTheme="majorBidi" w:hAnsiTheme="majorBidi" w:cstheme="majorBidi"/>
          <w:sz w:val="22"/>
          <w:szCs w:val="22"/>
        </w:rPr>
        <w:t>(Porter 1985, 597).</w:t>
      </w:r>
      <w:r w:rsidRPr="004C7092">
        <w:rPr>
          <w:rFonts w:asciiTheme="majorBidi" w:hAnsiTheme="majorBidi" w:cstheme="majorBidi"/>
        </w:rPr>
        <w:t xml:space="preserve"> The rehabilitation of Cromwell’s memory during the Victorian period emphasized this connection between Protestantism and empire</w:t>
      </w:r>
      <w:r w:rsidR="00CE2F0A" w:rsidRPr="004C7092">
        <w:rPr>
          <w:rFonts w:asciiTheme="majorBidi" w:hAnsiTheme="majorBidi" w:cstheme="majorBidi"/>
        </w:rPr>
        <w:t xml:space="preserve"> </w:t>
      </w:r>
      <w:r w:rsidR="00CE2F0A" w:rsidRPr="004C7092">
        <w:rPr>
          <w:rFonts w:asciiTheme="majorBidi" w:hAnsiTheme="majorBidi" w:cstheme="majorBidi"/>
          <w:sz w:val="22"/>
          <w:szCs w:val="22"/>
        </w:rPr>
        <w:t>(Ben-Israel 1991, 262-3; Worden 2000, 115, 122-135).</w:t>
      </w:r>
    </w:p>
    <w:p w14:paraId="4CC1A4EB" w14:textId="77777777" w:rsidR="004E3E80" w:rsidRPr="004C7092" w:rsidRDefault="004E3E80" w:rsidP="004C7092">
      <w:pPr>
        <w:bidi w:val="0"/>
        <w:spacing w:line="480" w:lineRule="auto"/>
        <w:jc w:val="both"/>
        <w:rPr>
          <w:rFonts w:asciiTheme="majorBidi" w:hAnsiTheme="majorBidi" w:cstheme="majorBidi"/>
        </w:rPr>
      </w:pPr>
    </w:p>
    <w:p w14:paraId="3BE0A36A" w14:textId="3C77C279" w:rsidR="004E3E80" w:rsidRPr="004C7092" w:rsidRDefault="004E3E80" w:rsidP="004C7092">
      <w:pPr>
        <w:bidi w:val="0"/>
        <w:spacing w:line="480" w:lineRule="auto"/>
        <w:jc w:val="both"/>
        <w:rPr>
          <w:rFonts w:asciiTheme="majorBidi" w:hAnsiTheme="majorBidi" w:cstheme="majorBidi"/>
          <w:rtl/>
        </w:rPr>
      </w:pPr>
      <w:r w:rsidRPr="004C7092">
        <w:rPr>
          <w:rStyle w:val="ac"/>
          <w:rFonts w:asciiTheme="majorBidi" w:hAnsiTheme="majorBidi" w:cstheme="majorBidi"/>
          <w:rtl/>
        </w:rPr>
        <w:t xml:space="preserve"> </w:t>
      </w:r>
      <w:r w:rsidRPr="004C7092">
        <w:rPr>
          <w:rFonts w:asciiTheme="majorBidi" w:hAnsiTheme="majorBidi" w:cstheme="majorBidi"/>
        </w:rPr>
        <w:t xml:space="preserve">In the second half of the nineteenth century, there was a considerable rise in enlistments and in donations to the missionary societies, especially after Livingstone’s death and after the visit of the singing Evangelicals, Dwight Lyman </w:t>
      </w:r>
      <w:proofErr w:type="gramStart"/>
      <w:r w:rsidRPr="004C7092">
        <w:rPr>
          <w:rFonts w:asciiTheme="majorBidi" w:hAnsiTheme="majorBidi" w:cstheme="majorBidi"/>
        </w:rPr>
        <w:t>Moody</w:t>
      </w:r>
      <w:proofErr w:type="gramEnd"/>
      <w:r w:rsidRPr="004C7092">
        <w:rPr>
          <w:rFonts w:asciiTheme="majorBidi" w:hAnsiTheme="majorBidi" w:cstheme="majorBidi"/>
        </w:rPr>
        <w:t xml:space="preserve"> and Ira D. Sankey. It reached a new peak in the 1890s, particularly in 1896. Mission stories were central in Sunday schools, providing a platform for both national pride and religious </w:t>
      </w:r>
      <w:r w:rsidRPr="004C7092">
        <w:rPr>
          <w:rFonts w:asciiTheme="majorBidi" w:hAnsiTheme="majorBidi" w:cstheme="majorBidi"/>
          <w:lang w:val="en-GB"/>
        </w:rPr>
        <w:t>fervour</w:t>
      </w:r>
      <w:r w:rsidR="00CE2F0A" w:rsidRPr="004C7092">
        <w:rPr>
          <w:rFonts w:asciiTheme="majorBidi" w:hAnsiTheme="majorBidi" w:cstheme="majorBidi"/>
          <w:sz w:val="22"/>
          <w:szCs w:val="22"/>
          <w:rtl/>
        </w:rPr>
        <w:t xml:space="preserve"> </w:t>
      </w:r>
      <w:r w:rsidR="00CE2F0A" w:rsidRPr="004C7092">
        <w:rPr>
          <w:rFonts w:asciiTheme="majorBidi" w:hAnsiTheme="majorBidi" w:cstheme="majorBidi"/>
          <w:sz w:val="22"/>
          <w:szCs w:val="22"/>
        </w:rPr>
        <w:t>(McLeod 1996, 145-6).</w:t>
      </w:r>
      <w:r w:rsidRPr="004C7092">
        <w:rPr>
          <w:rFonts w:asciiTheme="majorBidi" w:hAnsiTheme="majorBidi" w:cstheme="majorBidi"/>
        </w:rPr>
        <w:t xml:space="preserve"> The mission was central to Victorian faith, and not merely an item in a row of philanthropic works</w:t>
      </w:r>
      <w:r w:rsidR="00511F53" w:rsidRPr="004C7092">
        <w:rPr>
          <w:rFonts w:asciiTheme="majorBidi" w:hAnsiTheme="majorBidi" w:cstheme="majorBidi"/>
        </w:rPr>
        <w:t xml:space="preserve"> </w:t>
      </w:r>
      <w:r w:rsidR="00511F53" w:rsidRPr="004C7092">
        <w:rPr>
          <w:rFonts w:asciiTheme="majorBidi" w:hAnsiTheme="majorBidi" w:cstheme="majorBidi"/>
          <w:sz w:val="22"/>
          <w:szCs w:val="22"/>
        </w:rPr>
        <w:t>(Thorne 2006, 146).</w:t>
      </w:r>
      <w:r w:rsidRPr="004C7092">
        <w:rPr>
          <w:rFonts w:asciiTheme="majorBidi" w:hAnsiTheme="majorBidi" w:cstheme="majorBidi"/>
        </w:rPr>
        <w:t xml:space="preserve"> Using the missionary box, Sunday school lessons and juvenile missionary auxiliaries, the missions helped create an imperial culture that reached “</w:t>
      </w:r>
      <w:r w:rsidR="000A6446" w:rsidRPr="004C7092">
        <w:rPr>
          <w:rFonts w:asciiTheme="majorBidi" w:hAnsiTheme="majorBidi" w:cstheme="majorBidi"/>
        </w:rPr>
        <w:t>even the most isolated village</w:t>
      </w:r>
      <w:r w:rsidRPr="004C7092">
        <w:rPr>
          <w:rFonts w:asciiTheme="majorBidi" w:hAnsiTheme="majorBidi" w:cstheme="majorBidi"/>
        </w:rPr>
        <w:t>”</w:t>
      </w:r>
      <w:r w:rsidR="000A6446" w:rsidRPr="004C7092">
        <w:rPr>
          <w:rFonts w:asciiTheme="majorBidi" w:hAnsiTheme="majorBidi" w:cstheme="majorBidi"/>
        </w:rPr>
        <w:t xml:space="preserve"> (Thorne 1999, 157).</w:t>
      </w:r>
      <w:r w:rsidRPr="004C7092">
        <w:rPr>
          <w:rFonts w:asciiTheme="majorBidi" w:hAnsiTheme="majorBidi" w:cstheme="majorBidi"/>
        </w:rPr>
        <w:t xml:space="preserve"> At the turn of the century, colonial administrators came to appreciate the contribution of the missionaries in preparing the way for the white man, and in spreading civilization despite their opposition to the harsher expressions of imperialism. Sometimes critical of the culture they left behind, but still proud to carry the flag, </w:t>
      </w:r>
      <w:r w:rsidRPr="004C7092">
        <w:rPr>
          <w:rFonts w:asciiTheme="majorBidi" w:hAnsiTheme="majorBidi" w:cstheme="majorBidi"/>
        </w:rPr>
        <w:lastRenderedPageBreak/>
        <w:t>missionaries sometimes deliberately promoted imperial expansion and even took part in its administration</w:t>
      </w:r>
      <w:r w:rsidR="000A6446" w:rsidRPr="004C7092">
        <w:rPr>
          <w:rFonts w:asciiTheme="majorBidi" w:hAnsiTheme="majorBidi" w:cstheme="majorBidi"/>
        </w:rPr>
        <w:t xml:space="preserve"> </w:t>
      </w:r>
      <w:r w:rsidR="000A6446" w:rsidRPr="004C7092">
        <w:rPr>
          <w:rFonts w:asciiTheme="majorBidi" w:hAnsiTheme="majorBidi" w:cstheme="majorBidi"/>
          <w:sz w:val="22"/>
          <w:szCs w:val="22"/>
        </w:rPr>
        <w:t>(Williams 1994, 395-7)</w:t>
      </w:r>
      <w:r w:rsidRPr="004C7092">
        <w:rPr>
          <w:rFonts w:asciiTheme="majorBidi" w:hAnsiTheme="majorBidi" w:cstheme="majorBidi"/>
        </w:rPr>
        <w:t>.</w:t>
      </w:r>
      <w:r w:rsidRPr="004C7092">
        <w:rPr>
          <w:rStyle w:val="ac"/>
          <w:rFonts w:asciiTheme="majorBidi" w:hAnsiTheme="majorBidi" w:cstheme="majorBidi"/>
          <w:rtl/>
        </w:rPr>
        <w:t xml:space="preserve"> </w:t>
      </w:r>
      <w:r w:rsidRPr="004C7092">
        <w:rPr>
          <w:rStyle w:val="ac"/>
          <w:rFonts w:asciiTheme="majorBidi" w:hAnsiTheme="majorBidi" w:cstheme="majorBidi"/>
          <w:rtl/>
        </w:rPr>
        <w:footnoteReference w:id="20"/>
      </w:r>
      <w:r w:rsidRPr="004C7092">
        <w:rPr>
          <w:rFonts w:asciiTheme="majorBidi" w:hAnsiTheme="majorBidi" w:cstheme="majorBidi"/>
        </w:rPr>
        <w:t xml:space="preserve"> </w:t>
      </w:r>
    </w:p>
    <w:p w14:paraId="33E9DD65" w14:textId="77777777" w:rsidR="004E3E80" w:rsidRPr="004C7092" w:rsidRDefault="004E3E80" w:rsidP="004C7092">
      <w:pPr>
        <w:bidi w:val="0"/>
        <w:spacing w:line="480" w:lineRule="auto"/>
        <w:jc w:val="both"/>
        <w:rPr>
          <w:rFonts w:asciiTheme="majorBidi" w:hAnsiTheme="majorBidi" w:cstheme="majorBidi"/>
          <w:rtl/>
        </w:rPr>
      </w:pPr>
    </w:p>
    <w:p w14:paraId="2DDF34E6" w14:textId="08315892" w:rsidR="004E3E80" w:rsidRPr="004C7092" w:rsidRDefault="004E3E80" w:rsidP="004C7092">
      <w:pPr>
        <w:bidi w:val="0"/>
        <w:spacing w:line="480" w:lineRule="auto"/>
        <w:jc w:val="both"/>
        <w:rPr>
          <w:rFonts w:asciiTheme="majorBidi" w:hAnsiTheme="majorBidi" w:cstheme="majorBidi"/>
        </w:rPr>
      </w:pPr>
      <w:r w:rsidRPr="004C7092">
        <w:rPr>
          <w:rFonts w:asciiTheme="majorBidi" w:hAnsiTheme="majorBidi" w:cstheme="majorBidi"/>
        </w:rPr>
        <w:t>However, religion and empire were two blessings whose carriers rarely</w:t>
      </w:r>
      <w:r w:rsidR="00C4604B" w:rsidRPr="004C7092">
        <w:rPr>
          <w:rFonts w:asciiTheme="majorBidi" w:hAnsiTheme="majorBidi" w:cstheme="majorBidi"/>
        </w:rPr>
        <w:t xml:space="preserve"> thought too well of each other.</w:t>
      </w:r>
      <w:r w:rsidRPr="004C7092">
        <w:rPr>
          <w:rFonts w:asciiTheme="majorBidi" w:hAnsiTheme="majorBidi" w:cstheme="majorBidi"/>
        </w:rPr>
        <w:t xml:space="preserve"> </w:t>
      </w:r>
      <w:r w:rsidR="00C4604B" w:rsidRPr="004C7092">
        <w:rPr>
          <w:rFonts w:asciiTheme="majorBidi" w:hAnsiTheme="majorBidi" w:cstheme="majorBidi"/>
        </w:rPr>
        <w:t>T</w:t>
      </w:r>
      <w:r w:rsidRPr="004C7092">
        <w:rPr>
          <w:rFonts w:asciiTheme="majorBidi" w:hAnsiTheme="majorBidi" w:cstheme="majorBidi"/>
        </w:rPr>
        <w:t>he religious enthusiasm that drove the missionaries also fed the anti-slavery movement in the beginning of the nineteenth century</w:t>
      </w:r>
      <w:r w:rsidR="000A6446" w:rsidRPr="004C7092">
        <w:rPr>
          <w:rFonts w:asciiTheme="majorBidi" w:hAnsiTheme="majorBidi" w:cstheme="majorBidi"/>
        </w:rPr>
        <w:t xml:space="preserve"> </w:t>
      </w:r>
      <w:r w:rsidR="000A6446" w:rsidRPr="004C7092">
        <w:rPr>
          <w:rFonts w:asciiTheme="majorBidi" w:hAnsiTheme="majorBidi" w:cstheme="majorBidi"/>
          <w:sz w:val="22"/>
          <w:szCs w:val="22"/>
        </w:rPr>
        <w:t>(Williams 1994, 382-3).</w:t>
      </w:r>
      <w:r w:rsidRPr="004C7092">
        <w:rPr>
          <w:rFonts w:asciiTheme="majorBidi" w:hAnsiTheme="majorBidi" w:cstheme="majorBidi"/>
        </w:rPr>
        <w:t xml:space="preserve"> Later in the century, missionaries and commercial interests parted ways, with the missionaries’ strong objection to the trade in gin and opium. At best, practical experience varied from place to place, with no underlying theological basi</w:t>
      </w:r>
      <w:r w:rsidR="001D4394" w:rsidRPr="004C7092">
        <w:rPr>
          <w:rFonts w:asciiTheme="majorBidi" w:hAnsiTheme="majorBidi" w:cstheme="majorBidi"/>
        </w:rPr>
        <w:t xml:space="preserve">s </w:t>
      </w:r>
      <w:r w:rsidR="001D4394" w:rsidRPr="004C7092">
        <w:rPr>
          <w:rFonts w:asciiTheme="majorBidi" w:hAnsiTheme="majorBidi" w:cstheme="majorBidi"/>
          <w:sz w:val="22"/>
          <w:szCs w:val="22"/>
        </w:rPr>
        <w:t>(Porter 1985, 599).</w:t>
      </w:r>
      <w:r w:rsidRPr="004C7092">
        <w:rPr>
          <w:rFonts w:asciiTheme="majorBidi" w:hAnsiTheme="majorBidi" w:cstheme="majorBidi"/>
        </w:rPr>
        <w:t xml:space="preserve"> As providentialism was discarded in </w:t>
      </w:r>
      <w:r w:rsidRPr="004C7092">
        <w:rPr>
          <w:rFonts w:asciiTheme="majorBidi" w:hAnsiTheme="majorBidi" w:cstheme="majorBidi"/>
          <w:lang w:val="en-GB"/>
        </w:rPr>
        <w:t>favour</w:t>
      </w:r>
      <w:r w:rsidRPr="004C7092">
        <w:rPr>
          <w:rFonts w:asciiTheme="majorBidi" w:hAnsiTheme="majorBidi" w:cstheme="majorBidi"/>
        </w:rPr>
        <w:t xml:space="preserve"> of racist legitimation of the empire among British officials, Protestant missionaries stayed committed to racial equality, at least in principle</w:t>
      </w:r>
      <w:r w:rsidR="001D4394" w:rsidRPr="004C7092">
        <w:rPr>
          <w:rFonts w:asciiTheme="majorBidi" w:hAnsiTheme="majorBidi" w:cstheme="majorBidi"/>
        </w:rPr>
        <w:t xml:space="preserve"> </w:t>
      </w:r>
      <w:r w:rsidR="001D4394" w:rsidRPr="004C7092">
        <w:rPr>
          <w:rFonts w:asciiTheme="majorBidi" w:hAnsiTheme="majorBidi" w:cstheme="majorBidi"/>
          <w:sz w:val="22"/>
          <w:szCs w:val="22"/>
        </w:rPr>
        <w:t>(Porter 1985, 617-8).</w:t>
      </w:r>
      <w:r w:rsidRPr="004C7092">
        <w:rPr>
          <w:rStyle w:val="ac"/>
          <w:rFonts w:asciiTheme="majorBidi" w:hAnsiTheme="majorBidi" w:cstheme="majorBidi"/>
          <w:rtl/>
        </w:rPr>
        <w:footnoteReference w:id="21"/>
      </w:r>
      <w:r w:rsidRPr="004C7092">
        <w:rPr>
          <w:rFonts w:asciiTheme="majorBidi" w:hAnsiTheme="majorBidi" w:cstheme="majorBidi"/>
        </w:rPr>
        <w:t xml:space="preserve"> The missionaries’ viewpoint was always universal and global in scope, sometimes above and beyond the empire. Sometimes, without intending to do so, they carried an egalitarian message. Providing interpretations to local cultures and enhancing education, they sometimes supported national movements and anti-imperialist activities, willingly or not. Though British Protestant missionaries were not outright anti-imperialists, their attitude was ambivalent because they demanded fair treatment and justice</w:t>
      </w:r>
      <w:r w:rsidR="001D4394" w:rsidRPr="004C7092">
        <w:rPr>
          <w:rFonts w:asciiTheme="majorBidi" w:hAnsiTheme="majorBidi" w:cstheme="majorBidi"/>
        </w:rPr>
        <w:t xml:space="preserve"> </w:t>
      </w:r>
      <w:r w:rsidR="001D4394" w:rsidRPr="004C7092">
        <w:rPr>
          <w:rFonts w:asciiTheme="majorBidi" w:hAnsiTheme="majorBidi" w:cstheme="majorBidi"/>
          <w:sz w:val="22"/>
          <w:szCs w:val="22"/>
        </w:rPr>
        <w:t>(</w:t>
      </w:r>
      <w:r w:rsidR="001D4394" w:rsidRPr="004C7092">
        <w:rPr>
          <w:rFonts w:asciiTheme="majorBidi" w:hAnsiTheme="majorBidi" w:cstheme="majorBidi"/>
          <w:sz w:val="22"/>
          <w:szCs w:val="22"/>
          <w:lang w:val="fr-FR"/>
        </w:rPr>
        <w:t>Porter 2004, 283-315).</w:t>
      </w:r>
      <w:r w:rsidRPr="004C7092">
        <w:rPr>
          <w:rFonts w:asciiTheme="majorBidi" w:hAnsiTheme="majorBidi" w:cstheme="majorBidi"/>
        </w:rPr>
        <w:t xml:space="preserve"> </w:t>
      </w:r>
    </w:p>
    <w:p w14:paraId="66FD20C9" w14:textId="77777777" w:rsidR="004E3E80" w:rsidRPr="004C7092" w:rsidRDefault="004E3E80" w:rsidP="004C7092">
      <w:pPr>
        <w:bidi w:val="0"/>
        <w:spacing w:line="480" w:lineRule="auto"/>
        <w:jc w:val="both"/>
        <w:rPr>
          <w:rFonts w:asciiTheme="majorBidi" w:hAnsiTheme="majorBidi" w:cstheme="majorBidi"/>
        </w:rPr>
      </w:pPr>
    </w:p>
    <w:p w14:paraId="13CB189A" w14:textId="3DE67A26" w:rsidR="004E3E80" w:rsidRPr="004C7092" w:rsidRDefault="004E3E80" w:rsidP="004C7092">
      <w:pPr>
        <w:pStyle w:val="3"/>
        <w:bidi w:val="0"/>
        <w:spacing w:line="480" w:lineRule="auto"/>
        <w:rPr>
          <w:rFonts w:asciiTheme="majorBidi" w:hAnsiTheme="majorBidi" w:cstheme="majorBidi"/>
          <w:b w:val="0"/>
          <w:bCs w:val="0"/>
          <w:i/>
          <w:iCs/>
          <w:sz w:val="24"/>
          <w:szCs w:val="24"/>
        </w:rPr>
      </w:pPr>
      <w:bookmarkStart w:id="16" w:name="_Toc42845037"/>
      <w:r w:rsidRPr="004C7092">
        <w:rPr>
          <w:rFonts w:asciiTheme="majorBidi" w:hAnsiTheme="majorBidi" w:cstheme="majorBidi"/>
          <w:b w:val="0"/>
          <w:bCs w:val="0"/>
          <w:i/>
          <w:iCs/>
          <w:sz w:val="24"/>
          <w:szCs w:val="24"/>
        </w:rPr>
        <w:lastRenderedPageBreak/>
        <w:t>Empire and Liberty</w:t>
      </w:r>
      <w:bookmarkEnd w:id="16"/>
    </w:p>
    <w:p w14:paraId="5E1B06CF" w14:textId="681F9CEC" w:rsidR="004E3E80" w:rsidRPr="004C7092" w:rsidRDefault="004E3E80" w:rsidP="004C7092">
      <w:pPr>
        <w:bidi w:val="0"/>
        <w:spacing w:line="480" w:lineRule="auto"/>
        <w:jc w:val="both"/>
        <w:rPr>
          <w:rFonts w:asciiTheme="majorBidi" w:hAnsiTheme="majorBidi" w:cstheme="majorBidi"/>
        </w:rPr>
      </w:pPr>
      <w:r w:rsidRPr="004C7092">
        <w:rPr>
          <w:rFonts w:asciiTheme="majorBidi" w:hAnsiTheme="majorBidi" w:cstheme="majorBidi"/>
        </w:rPr>
        <w:t>The empire’s centrality to English self-identification was similarly kept alive through its contradictions of liberalism</w:t>
      </w:r>
      <w:r w:rsidR="00C4604B" w:rsidRPr="004C7092">
        <w:rPr>
          <w:rFonts w:asciiTheme="majorBidi" w:hAnsiTheme="majorBidi" w:cstheme="majorBidi"/>
        </w:rPr>
        <w:t xml:space="preserve"> or political freedom</w:t>
      </w:r>
      <w:r w:rsidRPr="004C7092">
        <w:rPr>
          <w:rFonts w:asciiTheme="majorBidi" w:hAnsiTheme="majorBidi" w:cstheme="majorBidi"/>
        </w:rPr>
        <w:t>. From the seventeenth century, following the reading of Roman history, empire was perceived as the opposite of republic and as a cause of loss of freedom</w:t>
      </w:r>
      <w:r w:rsidR="001D4394" w:rsidRPr="004C7092">
        <w:rPr>
          <w:rFonts w:asciiTheme="majorBidi" w:hAnsiTheme="majorBidi" w:cstheme="majorBidi"/>
        </w:rPr>
        <w:t xml:space="preserve"> </w:t>
      </w:r>
      <w:r w:rsidR="001D4394" w:rsidRPr="004C7092">
        <w:rPr>
          <w:rFonts w:asciiTheme="majorBidi" w:hAnsiTheme="majorBidi" w:cstheme="majorBidi"/>
          <w:sz w:val="22"/>
          <w:szCs w:val="22"/>
        </w:rPr>
        <w:t>(Armitage 2000, 126-139).</w:t>
      </w:r>
      <w:r w:rsidR="001D4394" w:rsidRPr="004C7092">
        <w:rPr>
          <w:rFonts w:asciiTheme="majorBidi" w:hAnsiTheme="majorBidi" w:cstheme="majorBidi"/>
        </w:rPr>
        <w:t xml:space="preserve"> </w:t>
      </w:r>
      <w:r w:rsidRPr="004C7092">
        <w:rPr>
          <w:rFonts w:asciiTheme="majorBidi" w:hAnsiTheme="majorBidi" w:cstheme="majorBidi"/>
        </w:rPr>
        <w:t xml:space="preserve">Imperial historians like Thomas Metcalf and postcolonial critics like </w:t>
      </w:r>
      <w:proofErr w:type="spellStart"/>
      <w:r w:rsidRPr="004C7092">
        <w:rPr>
          <w:rFonts w:asciiTheme="majorBidi" w:hAnsiTheme="majorBidi" w:cstheme="majorBidi"/>
        </w:rPr>
        <w:t>Javed</w:t>
      </w:r>
      <w:proofErr w:type="spellEnd"/>
      <w:r w:rsidRPr="004C7092">
        <w:rPr>
          <w:rFonts w:asciiTheme="majorBidi" w:hAnsiTheme="majorBidi" w:cstheme="majorBidi"/>
        </w:rPr>
        <w:t xml:space="preserve"> Majeed have problematized the connection between English liberalism and empire</w:t>
      </w:r>
      <w:r w:rsidR="00907302" w:rsidRPr="004C7092">
        <w:rPr>
          <w:rFonts w:asciiTheme="majorBidi" w:hAnsiTheme="majorBidi" w:cstheme="majorBidi"/>
        </w:rPr>
        <w:t xml:space="preserve"> </w:t>
      </w:r>
      <w:r w:rsidR="00907302" w:rsidRPr="004C7092">
        <w:rPr>
          <w:rFonts w:asciiTheme="majorBidi" w:hAnsiTheme="majorBidi" w:cstheme="majorBidi"/>
          <w:sz w:val="22"/>
          <w:szCs w:val="22"/>
        </w:rPr>
        <w:t>(Metcalf 1995, 28-65, 160-214; Majeed 1992).</w:t>
      </w:r>
      <w:r w:rsidRPr="004C7092">
        <w:rPr>
          <w:rFonts w:asciiTheme="majorBidi" w:hAnsiTheme="majorBidi" w:cstheme="majorBidi"/>
        </w:rPr>
        <w:t xml:space="preserve"> At least part of the tension between religion and empire was really based on the incursion of empire on the freedoms of colonized people. Thus, the ambivalent relationship between religion and empire was tied to the problematic relationship between empire and political freedom. </w:t>
      </w:r>
    </w:p>
    <w:p w14:paraId="4DE12EC1" w14:textId="77777777" w:rsidR="004E3E80" w:rsidRPr="004C7092" w:rsidRDefault="004E3E80" w:rsidP="004C7092">
      <w:pPr>
        <w:bidi w:val="0"/>
        <w:spacing w:line="480" w:lineRule="auto"/>
        <w:jc w:val="both"/>
        <w:rPr>
          <w:rFonts w:asciiTheme="majorBidi" w:hAnsiTheme="majorBidi" w:cstheme="majorBidi"/>
        </w:rPr>
      </w:pPr>
    </w:p>
    <w:p w14:paraId="52CB901B" w14:textId="10E9382D" w:rsidR="004E3E80" w:rsidRPr="004C7092" w:rsidRDefault="00C4604B" w:rsidP="004C7092">
      <w:pPr>
        <w:bidi w:val="0"/>
        <w:spacing w:line="480" w:lineRule="auto"/>
        <w:jc w:val="both"/>
        <w:rPr>
          <w:rFonts w:asciiTheme="majorBidi" w:hAnsiTheme="majorBidi" w:cstheme="majorBidi"/>
        </w:rPr>
      </w:pPr>
      <w:r w:rsidRPr="004C7092">
        <w:rPr>
          <w:rFonts w:asciiTheme="majorBidi" w:hAnsiTheme="majorBidi" w:cstheme="majorBidi"/>
        </w:rPr>
        <w:t>John Stuart Mill</w:t>
      </w:r>
      <w:r w:rsidR="004E3E80" w:rsidRPr="004C7092">
        <w:rPr>
          <w:rFonts w:asciiTheme="majorBidi" w:hAnsiTheme="majorBidi" w:cstheme="majorBidi"/>
        </w:rPr>
        <w:t>, as many Victorians, advocated the continued rule of the British empire even his later phase of “melancholic colonialism”, as an avatar of liberty</w:t>
      </w:r>
      <w:r w:rsidR="00907302" w:rsidRPr="004C7092">
        <w:rPr>
          <w:rFonts w:asciiTheme="majorBidi" w:hAnsiTheme="majorBidi" w:cstheme="majorBidi"/>
        </w:rPr>
        <w:t xml:space="preserve"> </w:t>
      </w:r>
      <w:r w:rsidR="00907302" w:rsidRPr="004C7092">
        <w:rPr>
          <w:rFonts w:asciiTheme="majorBidi" w:hAnsiTheme="majorBidi" w:cstheme="majorBidi"/>
          <w:sz w:val="22"/>
          <w:szCs w:val="22"/>
        </w:rPr>
        <w:t>(Bell, 2016b, 290-292).</w:t>
      </w:r>
      <w:r w:rsidR="004E3E80" w:rsidRPr="004C7092">
        <w:rPr>
          <w:rFonts w:asciiTheme="majorBidi" w:hAnsiTheme="majorBidi" w:cstheme="majorBidi"/>
        </w:rPr>
        <w:t xml:space="preserve"> The discrepancies between imperial rule and a theory of liberty were very apparent in </w:t>
      </w:r>
      <w:r w:rsidRPr="004C7092">
        <w:rPr>
          <w:rFonts w:asciiTheme="majorBidi" w:hAnsiTheme="majorBidi" w:cstheme="majorBidi"/>
        </w:rPr>
        <w:t xml:space="preserve">Mill’s </w:t>
      </w:r>
      <w:r w:rsidR="004E3E80" w:rsidRPr="004C7092">
        <w:rPr>
          <w:rFonts w:asciiTheme="majorBidi" w:hAnsiTheme="majorBidi" w:cstheme="majorBidi"/>
        </w:rPr>
        <w:t xml:space="preserve">writings. His appeal to recognize Indian rebels in 1857 as political, not criminal, offenders </w:t>
      </w:r>
      <w:proofErr w:type="gramStart"/>
      <w:r w:rsidR="004E3E80" w:rsidRPr="004C7092">
        <w:rPr>
          <w:rFonts w:asciiTheme="majorBidi" w:hAnsiTheme="majorBidi" w:cstheme="majorBidi"/>
        </w:rPr>
        <w:t>shows</w:t>
      </w:r>
      <w:proofErr w:type="gramEnd"/>
      <w:r w:rsidR="004E3E80" w:rsidRPr="004C7092">
        <w:rPr>
          <w:rFonts w:asciiTheme="majorBidi" w:hAnsiTheme="majorBidi" w:cstheme="majorBidi"/>
        </w:rPr>
        <w:t xml:space="preserve"> a clear consciousness of the friction between imperial rule and the preservation of freedom. Mill wanted to see democratic rule curbed, and he preferred the empire under technocratic administration, which would rule more fairly than democratic institutions</w:t>
      </w:r>
      <w:r w:rsidR="00907302" w:rsidRPr="004C7092">
        <w:rPr>
          <w:rFonts w:asciiTheme="majorBidi" w:hAnsiTheme="majorBidi" w:cstheme="majorBidi"/>
        </w:rPr>
        <w:t xml:space="preserve"> </w:t>
      </w:r>
      <w:r w:rsidR="00907302" w:rsidRPr="004C7092">
        <w:rPr>
          <w:rFonts w:asciiTheme="majorBidi" w:hAnsiTheme="majorBidi" w:cstheme="majorBidi"/>
          <w:sz w:val="22"/>
          <w:szCs w:val="22"/>
        </w:rPr>
        <w:t>(Sullivan 1983, 600-602)</w:t>
      </w:r>
      <w:r w:rsidR="004E3E80" w:rsidRPr="004C7092">
        <w:rPr>
          <w:rFonts w:asciiTheme="majorBidi" w:hAnsiTheme="majorBidi" w:cstheme="majorBidi"/>
        </w:rPr>
        <w:t>.</w:t>
      </w:r>
      <w:r w:rsidR="004E3E80" w:rsidRPr="004C7092">
        <w:rPr>
          <w:rStyle w:val="ac"/>
          <w:rFonts w:asciiTheme="majorBidi" w:hAnsiTheme="majorBidi" w:cstheme="majorBidi"/>
          <w:rtl/>
        </w:rPr>
        <w:footnoteReference w:id="22"/>
      </w:r>
      <w:r w:rsidR="004E3E80" w:rsidRPr="004C7092">
        <w:rPr>
          <w:rFonts w:asciiTheme="majorBidi" w:hAnsiTheme="majorBidi" w:cstheme="majorBidi"/>
        </w:rPr>
        <w:t xml:space="preserve"> The clash between empire and the principle of political freedom couldn’t have been more succinctly put than by Sir Henry Maine: “the virtually despotic government of a dependency by a free people”</w:t>
      </w:r>
      <w:r w:rsidR="00907302" w:rsidRPr="004C7092">
        <w:rPr>
          <w:rFonts w:asciiTheme="majorBidi" w:hAnsiTheme="majorBidi" w:cstheme="majorBidi"/>
        </w:rPr>
        <w:t xml:space="preserve"> </w:t>
      </w:r>
      <w:r w:rsidR="00907302" w:rsidRPr="004C7092">
        <w:rPr>
          <w:rFonts w:asciiTheme="majorBidi" w:hAnsiTheme="majorBidi" w:cstheme="majorBidi"/>
          <w:sz w:val="22"/>
          <w:szCs w:val="22"/>
        </w:rPr>
        <w:t>(Maine 1875).</w:t>
      </w:r>
    </w:p>
    <w:p w14:paraId="66644E86" w14:textId="77777777" w:rsidR="004E3E80" w:rsidRPr="004C7092" w:rsidRDefault="004E3E80" w:rsidP="004C7092">
      <w:pPr>
        <w:bidi w:val="0"/>
        <w:spacing w:line="480" w:lineRule="auto"/>
        <w:jc w:val="both"/>
        <w:rPr>
          <w:rFonts w:asciiTheme="majorBidi" w:hAnsiTheme="majorBidi" w:cstheme="majorBidi"/>
        </w:rPr>
      </w:pPr>
    </w:p>
    <w:p w14:paraId="66D5FB29" w14:textId="6E8BDD08" w:rsidR="004E3E80" w:rsidRPr="004C7092" w:rsidRDefault="004E3E80" w:rsidP="004C7092">
      <w:pPr>
        <w:bidi w:val="0"/>
        <w:spacing w:line="480" w:lineRule="auto"/>
        <w:jc w:val="both"/>
        <w:rPr>
          <w:rFonts w:asciiTheme="majorBidi" w:hAnsiTheme="majorBidi" w:cstheme="majorBidi"/>
        </w:rPr>
      </w:pPr>
      <w:proofErr w:type="spellStart"/>
      <w:r w:rsidRPr="004C7092">
        <w:rPr>
          <w:rFonts w:asciiTheme="majorBidi" w:hAnsiTheme="majorBidi" w:cstheme="majorBidi"/>
        </w:rPr>
        <w:t>Matikkala</w:t>
      </w:r>
      <w:proofErr w:type="spellEnd"/>
      <w:r w:rsidRPr="004C7092">
        <w:rPr>
          <w:rFonts w:asciiTheme="majorBidi" w:hAnsiTheme="majorBidi" w:cstheme="majorBidi"/>
        </w:rPr>
        <w:t>, following Miles Taylor, shows how by the turn of the nineteenth century, the contradictions between the empire and political freedom became glaringly apparent</w:t>
      </w:r>
      <w:r w:rsidR="007B11B5" w:rsidRPr="004C7092">
        <w:rPr>
          <w:rFonts w:asciiTheme="majorBidi" w:hAnsiTheme="majorBidi" w:cstheme="majorBidi"/>
        </w:rPr>
        <w:t xml:space="preserve"> </w:t>
      </w:r>
      <w:r w:rsidR="007B11B5" w:rsidRPr="004C7092">
        <w:rPr>
          <w:rFonts w:asciiTheme="majorBidi" w:hAnsiTheme="majorBidi" w:cstheme="majorBidi"/>
          <w:sz w:val="22"/>
          <w:szCs w:val="22"/>
        </w:rPr>
        <w:t>(Taylor 1991, 1-23).</w:t>
      </w:r>
      <w:r w:rsidRPr="004C7092">
        <w:rPr>
          <w:rFonts w:asciiTheme="majorBidi" w:hAnsiTheme="majorBidi" w:cstheme="majorBidi"/>
        </w:rPr>
        <w:t xml:space="preserve"> Liberal intellectual circles were growing wary of nationalism and imperialism as interconnected phenomena, preferring the civic ideal. Indeed, T. L. Hobhouse agreed that imperial rule was dependent on authoritative </w:t>
      </w:r>
      <w:proofErr w:type="gramStart"/>
      <w:r w:rsidRPr="004C7092">
        <w:rPr>
          <w:rFonts w:asciiTheme="majorBidi" w:hAnsiTheme="majorBidi" w:cstheme="majorBidi"/>
        </w:rPr>
        <w:t>rule, and</w:t>
      </w:r>
      <w:proofErr w:type="gramEnd"/>
      <w:r w:rsidRPr="004C7092">
        <w:rPr>
          <w:rFonts w:asciiTheme="majorBidi" w:hAnsiTheme="majorBidi" w:cstheme="majorBidi"/>
        </w:rPr>
        <w:t xml:space="preserve"> was therefore to be rejected for impeding the advent of democratic citizenship.</w:t>
      </w:r>
      <w:r w:rsidR="007B11B5" w:rsidRPr="004C7092">
        <w:rPr>
          <w:rFonts w:asciiTheme="majorBidi" w:hAnsiTheme="majorBidi" w:cstheme="majorBidi"/>
        </w:rPr>
        <w:t xml:space="preserve"> </w:t>
      </w:r>
      <w:r w:rsidR="007B11B5" w:rsidRPr="004C7092">
        <w:rPr>
          <w:rFonts w:asciiTheme="majorBidi" w:hAnsiTheme="majorBidi" w:cstheme="majorBidi"/>
          <w:sz w:val="22"/>
          <w:szCs w:val="22"/>
        </w:rPr>
        <w:t>(Stapleton 2005, 156).</w:t>
      </w:r>
      <w:r w:rsidRPr="004C7092">
        <w:rPr>
          <w:rFonts w:asciiTheme="majorBidi" w:hAnsiTheme="majorBidi" w:cstheme="majorBidi"/>
        </w:rPr>
        <w:t xml:space="preserve"> In 1904, Augustine </w:t>
      </w:r>
      <w:proofErr w:type="spellStart"/>
      <w:r w:rsidRPr="004C7092">
        <w:rPr>
          <w:rFonts w:asciiTheme="majorBidi" w:hAnsiTheme="majorBidi" w:cstheme="majorBidi"/>
        </w:rPr>
        <w:t>Birrell</w:t>
      </w:r>
      <w:proofErr w:type="spellEnd"/>
      <w:r w:rsidRPr="004C7092">
        <w:rPr>
          <w:rFonts w:asciiTheme="majorBidi" w:hAnsiTheme="majorBidi" w:cstheme="majorBidi"/>
        </w:rPr>
        <w:t>, then president of the National Liberal Federation, and later to take office in the 1906 Liberal administration, was looking forward to “a future in which no true Liberal could breathe, a future of Imperialism, of Caesarism, of Empire”</w:t>
      </w:r>
      <w:r w:rsidR="007B11B5" w:rsidRPr="004C7092">
        <w:rPr>
          <w:rFonts w:asciiTheme="majorBidi" w:hAnsiTheme="majorBidi" w:cstheme="majorBidi"/>
        </w:rPr>
        <w:t xml:space="preserve"> </w:t>
      </w:r>
      <w:r w:rsidR="007B11B5" w:rsidRPr="004C7092">
        <w:rPr>
          <w:rFonts w:asciiTheme="majorBidi" w:hAnsiTheme="majorBidi" w:cstheme="majorBidi"/>
          <w:sz w:val="22"/>
          <w:szCs w:val="22"/>
          <w:lang w:val="en-GB"/>
        </w:rPr>
        <w:t>(Thompson 1997</w:t>
      </w:r>
      <w:r w:rsidR="007B11B5" w:rsidRPr="004C7092">
        <w:rPr>
          <w:rFonts w:asciiTheme="majorBidi" w:hAnsiTheme="majorBidi" w:cstheme="majorBidi"/>
          <w:sz w:val="22"/>
          <w:szCs w:val="22"/>
        </w:rPr>
        <w:t>,</w:t>
      </w:r>
      <w:r w:rsidR="007B11B5" w:rsidRPr="004C7092">
        <w:rPr>
          <w:rFonts w:asciiTheme="majorBidi" w:hAnsiTheme="majorBidi" w:cstheme="majorBidi"/>
          <w:sz w:val="22"/>
          <w:szCs w:val="22"/>
          <w:lang w:val="en-GB"/>
        </w:rPr>
        <w:t xml:space="preserve"> 162)</w:t>
      </w:r>
      <w:r w:rsidRPr="004C7092">
        <w:rPr>
          <w:rFonts w:asciiTheme="majorBidi" w:hAnsiTheme="majorBidi" w:cstheme="majorBidi"/>
        </w:rPr>
        <w:t xml:space="preserve">. By the late 1880s, intellectuals such as James Anthony Froude and James </w:t>
      </w:r>
      <w:proofErr w:type="spellStart"/>
      <w:r w:rsidRPr="004C7092">
        <w:rPr>
          <w:rFonts w:asciiTheme="majorBidi" w:hAnsiTheme="majorBidi" w:cstheme="majorBidi"/>
        </w:rPr>
        <w:t>Fitzjames</w:t>
      </w:r>
      <w:proofErr w:type="spellEnd"/>
      <w:r w:rsidRPr="004C7092">
        <w:rPr>
          <w:rFonts w:asciiTheme="majorBidi" w:hAnsiTheme="majorBidi" w:cstheme="majorBidi"/>
        </w:rPr>
        <w:t xml:space="preserve"> Stephen feared that the very growth of liberalism was ruining the empire in Ireland and in India</w:t>
      </w:r>
      <w:r w:rsidR="007B11B5" w:rsidRPr="004C7092">
        <w:rPr>
          <w:rFonts w:asciiTheme="majorBidi" w:hAnsiTheme="majorBidi" w:cstheme="majorBidi"/>
          <w:sz w:val="22"/>
          <w:szCs w:val="22"/>
          <w:rtl/>
        </w:rPr>
        <w:t xml:space="preserve"> </w:t>
      </w:r>
      <w:r w:rsidR="007B11B5" w:rsidRPr="004C7092">
        <w:rPr>
          <w:rFonts w:asciiTheme="majorBidi" w:hAnsiTheme="majorBidi" w:cstheme="majorBidi"/>
          <w:sz w:val="22"/>
          <w:szCs w:val="22"/>
        </w:rPr>
        <w:t>(</w:t>
      </w:r>
      <w:proofErr w:type="spellStart"/>
      <w:r w:rsidR="007B11B5" w:rsidRPr="004C7092">
        <w:rPr>
          <w:rFonts w:asciiTheme="majorBidi" w:hAnsiTheme="majorBidi" w:cstheme="majorBidi"/>
          <w:sz w:val="22"/>
          <w:szCs w:val="22"/>
        </w:rPr>
        <w:t>Peatling</w:t>
      </w:r>
      <w:proofErr w:type="spellEnd"/>
      <w:r w:rsidR="007B11B5" w:rsidRPr="004C7092">
        <w:rPr>
          <w:rFonts w:asciiTheme="majorBidi" w:hAnsiTheme="majorBidi" w:cstheme="majorBidi"/>
          <w:sz w:val="22"/>
          <w:szCs w:val="22"/>
        </w:rPr>
        <w:t xml:space="preserve"> 2007, 175-176).</w:t>
      </w:r>
      <w:r w:rsidRPr="004C7092">
        <w:rPr>
          <w:rStyle w:val="ac"/>
          <w:rFonts w:asciiTheme="majorBidi" w:hAnsiTheme="majorBidi" w:cstheme="majorBidi"/>
        </w:rPr>
        <w:footnoteReference w:id="23"/>
      </w:r>
      <w:r w:rsidRPr="004C7092">
        <w:rPr>
          <w:rFonts w:asciiTheme="majorBidi" w:hAnsiTheme="majorBidi" w:cstheme="majorBidi"/>
        </w:rPr>
        <w:t xml:space="preserve"> The young J</w:t>
      </w:r>
      <w:r w:rsidR="00C4604B" w:rsidRPr="004C7092">
        <w:rPr>
          <w:rFonts w:asciiTheme="majorBidi" w:hAnsiTheme="majorBidi" w:cstheme="majorBidi"/>
        </w:rPr>
        <w:t>ohn</w:t>
      </w:r>
      <w:r w:rsidRPr="004C7092">
        <w:rPr>
          <w:rFonts w:asciiTheme="majorBidi" w:hAnsiTheme="majorBidi" w:cstheme="majorBidi"/>
        </w:rPr>
        <w:t xml:space="preserve"> </w:t>
      </w:r>
      <w:proofErr w:type="spellStart"/>
      <w:r w:rsidRPr="004C7092">
        <w:rPr>
          <w:rFonts w:asciiTheme="majorBidi" w:hAnsiTheme="majorBidi" w:cstheme="majorBidi"/>
        </w:rPr>
        <w:t>M</w:t>
      </w:r>
      <w:r w:rsidR="00C4604B" w:rsidRPr="004C7092">
        <w:rPr>
          <w:rFonts w:asciiTheme="majorBidi" w:hAnsiTheme="majorBidi" w:cstheme="majorBidi"/>
        </w:rPr>
        <w:t>ayanrd</w:t>
      </w:r>
      <w:proofErr w:type="spellEnd"/>
      <w:r w:rsidRPr="004C7092">
        <w:rPr>
          <w:rFonts w:asciiTheme="majorBidi" w:hAnsiTheme="majorBidi" w:cstheme="majorBidi"/>
        </w:rPr>
        <w:t xml:space="preserve"> Keynes identified this as a cult of “</w:t>
      </w:r>
      <w:proofErr w:type="spellStart"/>
      <w:r w:rsidRPr="004C7092">
        <w:rPr>
          <w:rFonts w:asciiTheme="majorBidi" w:hAnsiTheme="majorBidi" w:cstheme="majorBidi"/>
        </w:rPr>
        <w:t>patrophobia</w:t>
      </w:r>
      <w:proofErr w:type="spellEnd"/>
      <w:r w:rsidRPr="004C7092">
        <w:rPr>
          <w:rFonts w:asciiTheme="majorBidi" w:hAnsiTheme="majorBidi" w:cstheme="majorBidi"/>
        </w:rPr>
        <w:t>” in intellectual life</w:t>
      </w:r>
      <w:r w:rsidR="007B11B5" w:rsidRPr="004C7092">
        <w:rPr>
          <w:rFonts w:asciiTheme="majorBidi" w:hAnsiTheme="majorBidi" w:cstheme="majorBidi"/>
        </w:rPr>
        <w:t xml:space="preserve"> </w:t>
      </w:r>
      <w:r w:rsidR="007B11B5" w:rsidRPr="004C7092">
        <w:rPr>
          <w:rFonts w:asciiTheme="majorBidi" w:hAnsiTheme="majorBidi" w:cstheme="majorBidi"/>
          <w:sz w:val="22"/>
          <w:szCs w:val="22"/>
        </w:rPr>
        <w:t>(Stapleton 2005, 156).</w:t>
      </w:r>
      <w:r w:rsidRPr="004C7092">
        <w:rPr>
          <w:rFonts w:asciiTheme="majorBidi" w:hAnsiTheme="majorBidi" w:cstheme="majorBidi"/>
        </w:rPr>
        <w:t xml:space="preserve"> </w:t>
      </w:r>
    </w:p>
    <w:p w14:paraId="3A1133BA" w14:textId="77777777" w:rsidR="004E3E80" w:rsidRPr="004C7092" w:rsidRDefault="004E3E80" w:rsidP="004C7092">
      <w:pPr>
        <w:bidi w:val="0"/>
        <w:spacing w:line="480" w:lineRule="auto"/>
        <w:jc w:val="both"/>
        <w:rPr>
          <w:rFonts w:asciiTheme="majorBidi" w:hAnsiTheme="majorBidi" w:cstheme="majorBidi"/>
        </w:rPr>
      </w:pPr>
    </w:p>
    <w:p w14:paraId="40FA4C9F" w14:textId="05D95449" w:rsidR="004E3E80" w:rsidRPr="004C7092" w:rsidRDefault="004E3E80" w:rsidP="004C7092">
      <w:pPr>
        <w:bidi w:val="0"/>
        <w:spacing w:line="480" w:lineRule="auto"/>
        <w:jc w:val="both"/>
        <w:rPr>
          <w:rFonts w:asciiTheme="majorBidi" w:hAnsiTheme="majorBidi" w:cstheme="majorBidi"/>
        </w:rPr>
      </w:pPr>
      <w:r w:rsidRPr="004C7092">
        <w:rPr>
          <w:rFonts w:asciiTheme="majorBidi" w:hAnsiTheme="majorBidi" w:cstheme="majorBidi"/>
        </w:rPr>
        <w:t>Nonetheless, criticism of empire was limited, conditional, and restricted. Even some radical advocates of democracy saw benefits in some version of empire</w:t>
      </w:r>
      <w:r w:rsidR="00944D98" w:rsidRPr="004C7092">
        <w:rPr>
          <w:rFonts w:asciiTheme="majorBidi" w:hAnsiTheme="majorBidi" w:cstheme="majorBidi"/>
          <w:sz w:val="22"/>
          <w:szCs w:val="22"/>
          <w:rtl/>
        </w:rPr>
        <w:t xml:space="preserve"> </w:t>
      </w:r>
      <w:r w:rsidR="00944D98" w:rsidRPr="004C7092">
        <w:rPr>
          <w:rFonts w:asciiTheme="majorBidi" w:hAnsiTheme="majorBidi" w:cstheme="majorBidi"/>
          <w:sz w:val="22"/>
          <w:szCs w:val="22"/>
        </w:rPr>
        <w:t>(</w:t>
      </w:r>
      <w:proofErr w:type="gramStart"/>
      <w:r w:rsidR="00944D98" w:rsidRPr="004C7092">
        <w:rPr>
          <w:rFonts w:asciiTheme="majorBidi" w:hAnsiTheme="majorBidi" w:cstheme="majorBidi"/>
          <w:sz w:val="22"/>
          <w:szCs w:val="22"/>
        </w:rPr>
        <w:t>Howe  1993</w:t>
      </w:r>
      <w:proofErr w:type="gramEnd"/>
      <w:r w:rsidR="00944D98" w:rsidRPr="004C7092">
        <w:rPr>
          <w:rFonts w:asciiTheme="majorBidi" w:hAnsiTheme="majorBidi" w:cstheme="majorBidi"/>
          <w:sz w:val="22"/>
          <w:szCs w:val="22"/>
        </w:rPr>
        <w:t>, 37; Bell, 2016c, 242; Bell 2016a, 328).</w:t>
      </w:r>
      <w:r w:rsidRPr="004C7092">
        <w:rPr>
          <w:rFonts w:asciiTheme="majorBidi" w:hAnsiTheme="majorBidi" w:cstheme="majorBidi"/>
        </w:rPr>
        <w:t xml:space="preserve"> </w:t>
      </w:r>
      <w:r w:rsidRPr="004C7092">
        <w:rPr>
          <w:rFonts w:asciiTheme="majorBidi" w:hAnsiTheme="majorBidi" w:cstheme="majorBidi"/>
          <w:lang w:val="en-GB"/>
        </w:rPr>
        <w:t>In an address to a large gathering of Liberals in 1899, Sir Henry Campbell-Bannerman</w:t>
      </w:r>
      <w:r w:rsidRPr="004C7092">
        <w:rPr>
          <w:rFonts w:asciiTheme="majorBidi" w:hAnsiTheme="majorBidi" w:cstheme="majorBidi"/>
        </w:rPr>
        <w:t xml:space="preserve"> differentiated between a “vulgar and </w:t>
      </w:r>
      <w:proofErr w:type="gramStart"/>
      <w:r w:rsidRPr="004C7092">
        <w:rPr>
          <w:rFonts w:asciiTheme="majorBidi" w:hAnsiTheme="majorBidi" w:cstheme="majorBidi"/>
        </w:rPr>
        <w:t>bastard</w:t>
      </w:r>
      <w:proofErr w:type="gramEnd"/>
      <w:r w:rsidRPr="004C7092">
        <w:rPr>
          <w:rFonts w:asciiTheme="majorBidi" w:hAnsiTheme="majorBidi" w:cstheme="majorBidi"/>
        </w:rPr>
        <w:t xml:space="preserve"> imperialism” of </w:t>
      </w:r>
      <w:r w:rsidRPr="004C7092">
        <w:rPr>
          <w:rFonts w:asciiTheme="majorBidi" w:hAnsiTheme="majorBidi" w:cstheme="majorBidi"/>
          <w:lang w:val="en-GB"/>
        </w:rPr>
        <w:t xml:space="preserve">aggrandisement, and the </w:t>
      </w:r>
      <w:r w:rsidRPr="004C7092">
        <w:rPr>
          <w:rFonts w:asciiTheme="majorBidi" w:hAnsiTheme="majorBidi" w:cstheme="majorBidi"/>
        </w:rPr>
        <w:t>“responsibilities of Empire,” which were “the heritage handed down by our fathers”</w:t>
      </w:r>
      <w:r w:rsidR="00944D98" w:rsidRPr="004C7092">
        <w:rPr>
          <w:rFonts w:asciiTheme="majorBidi" w:hAnsiTheme="majorBidi" w:cstheme="majorBidi"/>
        </w:rPr>
        <w:t xml:space="preserve"> </w:t>
      </w:r>
      <w:r w:rsidR="00944D98" w:rsidRPr="004C7092">
        <w:rPr>
          <w:rFonts w:asciiTheme="majorBidi" w:hAnsiTheme="majorBidi" w:cstheme="majorBidi"/>
          <w:sz w:val="22"/>
          <w:szCs w:val="22"/>
        </w:rPr>
        <w:t xml:space="preserve">(Campbell-Bannerman 1899; </w:t>
      </w:r>
      <w:r w:rsidR="00944D98" w:rsidRPr="004C7092">
        <w:rPr>
          <w:rFonts w:asciiTheme="majorBidi" w:hAnsiTheme="majorBidi" w:cstheme="majorBidi"/>
          <w:sz w:val="22"/>
          <w:szCs w:val="22"/>
          <w:lang w:val="en-GB"/>
        </w:rPr>
        <w:t>Thompson 1997, 155</w:t>
      </w:r>
      <w:r w:rsidR="00944D98" w:rsidRPr="004C7092">
        <w:rPr>
          <w:rFonts w:asciiTheme="majorBidi" w:hAnsiTheme="majorBidi" w:cstheme="majorBidi"/>
          <w:sz w:val="22"/>
          <w:szCs w:val="22"/>
        </w:rPr>
        <w:t>).</w:t>
      </w:r>
      <w:r w:rsidRPr="004C7092">
        <w:rPr>
          <w:rFonts w:asciiTheme="majorBidi" w:hAnsiTheme="majorBidi" w:cstheme="majorBidi"/>
        </w:rPr>
        <w:t xml:space="preserve"> Radical liberals could well notice the beneficial role of empire in the spreading of liberal ideas. The Baptist leader and Fabian, John Clifford, who resigned from the Fabian Society in 1899, believed that the retention of empire was not only concomitant with but </w:t>
      </w:r>
      <w:proofErr w:type="gramStart"/>
      <w:r w:rsidRPr="004C7092">
        <w:rPr>
          <w:rFonts w:asciiTheme="majorBidi" w:hAnsiTheme="majorBidi" w:cstheme="majorBidi"/>
        </w:rPr>
        <w:t>really conducive</w:t>
      </w:r>
      <w:proofErr w:type="gramEnd"/>
      <w:r w:rsidRPr="004C7092">
        <w:rPr>
          <w:rFonts w:asciiTheme="majorBidi" w:hAnsiTheme="majorBidi" w:cstheme="majorBidi"/>
        </w:rPr>
        <w:t xml:space="preserve"> to the advancement of liberal ideals. Important intellectuals like James </w:t>
      </w:r>
      <w:proofErr w:type="spellStart"/>
      <w:r w:rsidRPr="004C7092">
        <w:rPr>
          <w:rFonts w:asciiTheme="majorBidi" w:hAnsiTheme="majorBidi" w:cstheme="majorBidi"/>
        </w:rPr>
        <w:t>Fitzjames</w:t>
      </w:r>
      <w:proofErr w:type="spellEnd"/>
      <w:r w:rsidRPr="004C7092">
        <w:rPr>
          <w:rFonts w:asciiTheme="majorBidi" w:hAnsiTheme="majorBidi" w:cstheme="majorBidi"/>
        </w:rPr>
        <w:t xml:space="preserve"> </w:t>
      </w:r>
      <w:r w:rsidRPr="004C7092">
        <w:rPr>
          <w:rFonts w:asciiTheme="majorBidi" w:hAnsiTheme="majorBidi" w:cstheme="majorBidi"/>
        </w:rPr>
        <w:lastRenderedPageBreak/>
        <w:t>Stephen, A.V. Dicey, and Herbert Spencer were Liberal Unionists. Lord Acton, the only Catholic among them, was against nationalism, supported the empire and supported home rule only with great reluctance.</w:t>
      </w:r>
      <w:r w:rsidRPr="004C7092">
        <w:rPr>
          <w:rStyle w:val="ac"/>
          <w:rFonts w:asciiTheme="majorBidi" w:hAnsiTheme="majorBidi" w:cstheme="majorBidi"/>
        </w:rPr>
        <w:footnoteReference w:id="24"/>
      </w:r>
      <w:r w:rsidRPr="004C7092">
        <w:rPr>
          <w:rFonts w:asciiTheme="majorBidi" w:hAnsiTheme="majorBidi" w:cstheme="majorBidi"/>
        </w:rPr>
        <w:t xml:space="preserve"> Even the idea of devolution was not necessarily regarded as a means for breaking up the empire. At least in its federalist garb, devolution was sometimes accepted as a means for creating an effective balance of national and imperial unity with local nationalism, which could be applied to Ireland or to “home-rule-all-around.” At the time of the constitutional conference in 1910 and again for a few months during 1913-1914, the federalist idea received support among the politically influential, the unionists and the liberals alike. To Wales and Scotland, devolution was far from synonymous with decolonization, and raised far less interest.</w:t>
      </w:r>
      <w:r w:rsidRPr="004C7092">
        <w:rPr>
          <w:rStyle w:val="ac"/>
          <w:rFonts w:asciiTheme="majorBidi" w:hAnsiTheme="majorBidi" w:cstheme="majorBidi"/>
          <w:rtl/>
        </w:rPr>
        <w:footnoteReference w:id="25"/>
      </w:r>
      <w:r w:rsidRPr="004C7092">
        <w:rPr>
          <w:rFonts w:asciiTheme="majorBidi" w:hAnsiTheme="majorBidi" w:cstheme="majorBidi"/>
        </w:rPr>
        <w:t xml:space="preserve"> So, what was construed as decolonization by the opposers was to others an affirmation of the empire in a moral garb. </w:t>
      </w:r>
    </w:p>
    <w:p w14:paraId="5D5A58BC" w14:textId="77777777" w:rsidR="004E3E80" w:rsidRPr="004C7092" w:rsidRDefault="004E3E80" w:rsidP="004C7092">
      <w:pPr>
        <w:bidi w:val="0"/>
        <w:spacing w:line="480" w:lineRule="auto"/>
        <w:jc w:val="both"/>
        <w:rPr>
          <w:rFonts w:asciiTheme="majorBidi" w:hAnsiTheme="majorBidi" w:cstheme="majorBidi"/>
        </w:rPr>
      </w:pPr>
    </w:p>
    <w:p w14:paraId="6E0B107E" w14:textId="11961814" w:rsidR="004E3E80" w:rsidRPr="004C7092" w:rsidRDefault="004E3E80" w:rsidP="004C7092">
      <w:pPr>
        <w:bidi w:val="0"/>
        <w:spacing w:line="480" w:lineRule="auto"/>
        <w:jc w:val="both"/>
        <w:rPr>
          <w:rFonts w:asciiTheme="majorBidi" w:hAnsiTheme="majorBidi" w:cstheme="majorBidi"/>
        </w:rPr>
      </w:pPr>
      <w:r w:rsidRPr="004C7092">
        <w:rPr>
          <w:rFonts w:asciiTheme="majorBidi" w:hAnsiTheme="majorBidi" w:cstheme="majorBidi"/>
        </w:rPr>
        <w:t xml:space="preserve">Electoral results seem to suggest that the voting public was distancing itself from anti-imperialism. From 1885 to the First World War, during the very period when imperial issues figured large in British politics, the Conservatives reigned supreme, except for the short interlude of 1892-1895, until 1906. The disintegration of Nonconformism as the political basis of the Liberal Party was the real reason behind this development, and it was an imperial issue that caused the first rift between Congregationalism and the Liberal Party. Most Congregationalists remained loyal to Gladstone during the Home Rule crisis in 1886, but not all of them. This rift widened significantly during the </w:t>
      </w:r>
      <w:r w:rsidRPr="004C7092">
        <w:rPr>
          <w:rFonts w:asciiTheme="majorBidi" w:hAnsiTheme="majorBidi" w:cstheme="majorBidi"/>
        </w:rPr>
        <w:lastRenderedPageBreak/>
        <w:t>Boer War, when loyalty to the empire and the very patriotism of the critics of the government's policy were called into question</w:t>
      </w:r>
      <w:r w:rsidR="001D4394" w:rsidRPr="004C7092">
        <w:rPr>
          <w:rFonts w:asciiTheme="majorBidi" w:hAnsiTheme="majorBidi" w:cstheme="majorBidi"/>
          <w:sz w:val="22"/>
          <w:szCs w:val="22"/>
          <w:rtl/>
        </w:rPr>
        <w:t xml:space="preserve"> </w:t>
      </w:r>
      <w:r w:rsidR="001D4394" w:rsidRPr="004C7092">
        <w:rPr>
          <w:rFonts w:asciiTheme="majorBidi" w:hAnsiTheme="majorBidi" w:cstheme="majorBidi"/>
          <w:sz w:val="22"/>
          <w:szCs w:val="22"/>
        </w:rPr>
        <w:t>(Thorne 1999, 164-5).</w:t>
      </w:r>
    </w:p>
    <w:p w14:paraId="398496B4" w14:textId="77777777" w:rsidR="004E3E80" w:rsidRPr="004C7092" w:rsidRDefault="004E3E80" w:rsidP="004C7092">
      <w:pPr>
        <w:bidi w:val="0"/>
        <w:spacing w:line="480" w:lineRule="auto"/>
        <w:jc w:val="both"/>
        <w:rPr>
          <w:rFonts w:asciiTheme="majorBidi" w:hAnsiTheme="majorBidi" w:cstheme="majorBidi"/>
        </w:rPr>
      </w:pPr>
    </w:p>
    <w:p w14:paraId="3C1F47B0" w14:textId="372F1B10" w:rsidR="004E3E80" w:rsidRPr="004C7092" w:rsidRDefault="004E3E80" w:rsidP="004C7092">
      <w:pPr>
        <w:bidi w:val="0"/>
        <w:spacing w:line="480" w:lineRule="auto"/>
        <w:jc w:val="both"/>
        <w:rPr>
          <w:rFonts w:asciiTheme="majorBidi" w:hAnsiTheme="majorBidi" w:cstheme="majorBidi"/>
        </w:rPr>
      </w:pPr>
      <w:r w:rsidRPr="004C7092">
        <w:rPr>
          <w:rFonts w:asciiTheme="majorBidi" w:hAnsiTheme="majorBidi" w:cstheme="majorBidi"/>
        </w:rPr>
        <w:t xml:space="preserve">Research on political agitation and debates around home rule, free trade and other imperial issues has shown that they also invoked the language of “identity.” The growing support at home for national movements in Ireland and India was perceived as an open challenge to political freedom as an ideal. The argument around free trade and home rule was carried out under the assumption that a stand on these issues was reflecting on the English character. It was an argument that threatened the </w:t>
      </w:r>
      <w:proofErr w:type="gramStart"/>
      <w:r w:rsidRPr="004C7092">
        <w:rPr>
          <w:rFonts w:asciiTheme="majorBidi" w:hAnsiTheme="majorBidi" w:cstheme="majorBidi"/>
        </w:rPr>
        <w:t>empire, but</w:t>
      </w:r>
      <w:proofErr w:type="gramEnd"/>
      <w:r w:rsidRPr="004C7092">
        <w:rPr>
          <w:rFonts w:asciiTheme="majorBidi" w:hAnsiTheme="majorBidi" w:cstheme="majorBidi"/>
        </w:rPr>
        <w:t xml:space="preserve"> strengthened its centrality to the discourse of identity.  It is safe to surmise, that a phenomenon that has touched the most central ideals of English culture could not be marginal to the way that English people identified themselves and their political culture.</w:t>
      </w:r>
    </w:p>
    <w:p w14:paraId="4B0413E5" w14:textId="77777777" w:rsidR="004E3E80" w:rsidRPr="004C7092" w:rsidRDefault="004E3E80" w:rsidP="004C7092">
      <w:pPr>
        <w:bidi w:val="0"/>
        <w:spacing w:line="480" w:lineRule="auto"/>
        <w:jc w:val="both"/>
        <w:rPr>
          <w:rFonts w:asciiTheme="majorBidi" w:hAnsiTheme="majorBidi" w:cstheme="majorBidi"/>
        </w:rPr>
      </w:pPr>
    </w:p>
    <w:p w14:paraId="102A9459" w14:textId="77777777" w:rsidR="004E3E80" w:rsidRPr="004C7092" w:rsidRDefault="004E3E80" w:rsidP="004C7092">
      <w:pPr>
        <w:pStyle w:val="1"/>
        <w:bidi w:val="0"/>
        <w:spacing w:line="480" w:lineRule="auto"/>
        <w:rPr>
          <w:rFonts w:asciiTheme="majorBidi" w:hAnsiTheme="majorBidi" w:cstheme="majorBidi"/>
          <w:sz w:val="24"/>
          <w:szCs w:val="24"/>
        </w:rPr>
      </w:pPr>
      <w:bookmarkStart w:id="17" w:name="_Toc443517857"/>
      <w:bookmarkStart w:id="18" w:name="_Toc42845038"/>
      <w:r w:rsidRPr="004C7092">
        <w:rPr>
          <w:rFonts w:asciiTheme="majorBidi" w:hAnsiTheme="majorBidi" w:cstheme="majorBidi"/>
          <w:i/>
          <w:iCs/>
          <w:sz w:val="24"/>
          <w:szCs w:val="24"/>
        </w:rPr>
        <w:t>Conclusion</w:t>
      </w:r>
      <w:bookmarkEnd w:id="17"/>
      <w:bookmarkEnd w:id="18"/>
      <w:r w:rsidRPr="004C7092">
        <w:rPr>
          <w:rFonts w:asciiTheme="majorBidi" w:hAnsiTheme="majorBidi" w:cstheme="majorBidi"/>
          <w:sz w:val="24"/>
          <w:szCs w:val="24"/>
        </w:rPr>
        <w:t xml:space="preserve"> </w:t>
      </w:r>
    </w:p>
    <w:p w14:paraId="4C89CD0F" w14:textId="36EE60AE" w:rsidR="00C637A1" w:rsidRPr="004C7092" w:rsidRDefault="004E3E80" w:rsidP="00F8337A">
      <w:pPr>
        <w:autoSpaceDE w:val="0"/>
        <w:autoSpaceDN w:val="0"/>
        <w:bidi w:val="0"/>
        <w:adjustRightInd w:val="0"/>
        <w:spacing w:line="480" w:lineRule="auto"/>
        <w:jc w:val="both"/>
        <w:rPr>
          <w:rFonts w:asciiTheme="majorBidi" w:hAnsiTheme="majorBidi" w:cstheme="majorBidi"/>
        </w:rPr>
      </w:pPr>
      <w:r w:rsidRPr="004C7092">
        <w:rPr>
          <w:rFonts w:asciiTheme="majorBidi" w:hAnsiTheme="majorBidi" w:cstheme="majorBidi"/>
        </w:rPr>
        <w:t xml:space="preserve">The concept of national identity came under heavy fire. Roger Brubaker and Fredrick Cooper, claim that the concept of identity should be exchanged for “identification” or “self-presentation”. Their main contention with the concept is that it cannot connote its literal meaning: a group of people cannot have one sense of self, stable and “identical” at all </w:t>
      </w:r>
      <w:proofErr w:type="gramStart"/>
      <w:r w:rsidRPr="004C7092">
        <w:rPr>
          <w:rFonts w:asciiTheme="majorBidi" w:hAnsiTheme="majorBidi" w:cstheme="majorBidi"/>
        </w:rPr>
        <w:t>time</w:t>
      </w:r>
      <w:proofErr w:type="gramEnd"/>
      <w:r w:rsidRPr="004C7092">
        <w:rPr>
          <w:rFonts w:asciiTheme="majorBidi" w:hAnsiTheme="majorBidi" w:cstheme="majorBidi"/>
        </w:rPr>
        <w:t>, and over time</w:t>
      </w:r>
      <w:r w:rsidR="004C7092" w:rsidRPr="004C7092">
        <w:rPr>
          <w:rFonts w:asciiTheme="majorBidi" w:hAnsiTheme="majorBidi" w:cstheme="majorBidi"/>
        </w:rPr>
        <w:t xml:space="preserve"> </w:t>
      </w:r>
      <w:r w:rsidR="00332ABB" w:rsidRPr="004C7092">
        <w:rPr>
          <w:rFonts w:asciiTheme="majorBidi" w:hAnsiTheme="majorBidi" w:cstheme="majorBidi"/>
          <w:sz w:val="22"/>
          <w:szCs w:val="22"/>
        </w:rPr>
        <w:t>(Brubaker and Cooper 2000, 1-47).</w:t>
      </w:r>
      <w:r w:rsidRPr="004C7092">
        <w:rPr>
          <w:rFonts w:asciiTheme="majorBidi" w:hAnsiTheme="majorBidi" w:cstheme="majorBidi"/>
        </w:rPr>
        <w:t xml:space="preserve"> The large body of research that tries to map the meaning of Englishness in the nineteenth century seems to prove this rule. However, if identity is to be construed not as a set concept but rather as a discourse on ideals</w:t>
      </w:r>
      <w:r w:rsidR="00893DB0" w:rsidRPr="004C7092">
        <w:rPr>
          <w:rFonts w:asciiTheme="majorBidi" w:hAnsiTheme="majorBidi" w:cstheme="majorBidi"/>
        </w:rPr>
        <w:t xml:space="preserve"> </w:t>
      </w:r>
      <w:r w:rsidRPr="004C7092">
        <w:rPr>
          <w:rFonts w:asciiTheme="majorBidi" w:hAnsiTheme="majorBidi" w:cstheme="majorBidi"/>
        </w:rPr>
        <w:t>and symbols that should inform and shape the public life of a political group, then historical research about Englishness shows that some ideals and symbols are more stable and more central then others, even when they are self-contradictory</w:t>
      </w:r>
      <w:r w:rsidR="00332ABB" w:rsidRPr="004C7092">
        <w:rPr>
          <w:rFonts w:asciiTheme="majorBidi" w:hAnsiTheme="majorBidi" w:cstheme="majorBidi"/>
        </w:rPr>
        <w:t xml:space="preserve"> (</w:t>
      </w:r>
      <w:proofErr w:type="spellStart"/>
      <w:r w:rsidR="00332ABB" w:rsidRPr="004C7092">
        <w:rPr>
          <w:rFonts w:asciiTheme="majorBidi" w:hAnsiTheme="majorBidi" w:cstheme="majorBidi"/>
          <w:sz w:val="22"/>
          <w:szCs w:val="22"/>
        </w:rPr>
        <w:t>Sökefeld</w:t>
      </w:r>
      <w:proofErr w:type="spellEnd"/>
      <w:r w:rsidR="00332ABB" w:rsidRPr="004C7092">
        <w:rPr>
          <w:rFonts w:asciiTheme="majorBidi" w:hAnsiTheme="majorBidi" w:cstheme="majorBidi"/>
          <w:sz w:val="22"/>
          <w:szCs w:val="22"/>
        </w:rPr>
        <w:t xml:space="preserve"> 2001, 527-544)</w:t>
      </w:r>
      <w:r w:rsidRPr="004C7092">
        <w:rPr>
          <w:rFonts w:asciiTheme="majorBidi" w:hAnsiTheme="majorBidi" w:cstheme="majorBidi"/>
        </w:rPr>
        <w:t xml:space="preserve">. </w:t>
      </w:r>
    </w:p>
    <w:p w14:paraId="5D8C912A" w14:textId="77777777" w:rsidR="00C637A1" w:rsidRPr="004C7092" w:rsidRDefault="00C637A1" w:rsidP="004C7092">
      <w:pPr>
        <w:autoSpaceDE w:val="0"/>
        <w:autoSpaceDN w:val="0"/>
        <w:bidi w:val="0"/>
        <w:adjustRightInd w:val="0"/>
        <w:spacing w:line="480" w:lineRule="auto"/>
        <w:jc w:val="both"/>
        <w:rPr>
          <w:rFonts w:asciiTheme="majorBidi" w:hAnsiTheme="majorBidi" w:cstheme="majorBidi"/>
        </w:rPr>
      </w:pPr>
    </w:p>
    <w:p w14:paraId="3249D69E" w14:textId="4FBD5914" w:rsidR="001F38AB" w:rsidRPr="004C7092" w:rsidRDefault="006A3A03" w:rsidP="00B851DA">
      <w:pPr>
        <w:autoSpaceDE w:val="0"/>
        <w:autoSpaceDN w:val="0"/>
        <w:bidi w:val="0"/>
        <w:adjustRightInd w:val="0"/>
        <w:spacing w:line="480" w:lineRule="auto"/>
        <w:jc w:val="both"/>
        <w:rPr>
          <w:rFonts w:asciiTheme="majorBidi" w:hAnsiTheme="majorBidi" w:cstheme="majorBidi"/>
        </w:rPr>
      </w:pPr>
      <w:r w:rsidRPr="004C7092">
        <w:rPr>
          <w:rFonts w:asciiTheme="majorBidi" w:hAnsiTheme="majorBidi" w:cstheme="majorBidi"/>
        </w:rPr>
        <w:t>T</w:t>
      </w:r>
      <w:r w:rsidR="00DF6EA1" w:rsidRPr="004C7092">
        <w:rPr>
          <w:rFonts w:asciiTheme="majorBidi" w:hAnsiTheme="majorBidi" w:cstheme="majorBidi"/>
        </w:rPr>
        <w:t xml:space="preserve">he articulation of national identity </w:t>
      </w:r>
      <w:r w:rsidRPr="004C7092">
        <w:rPr>
          <w:rFonts w:asciiTheme="majorBidi" w:hAnsiTheme="majorBidi" w:cstheme="majorBidi"/>
        </w:rPr>
        <w:t>included invariably s</w:t>
      </w:r>
      <w:r w:rsidR="00DF6EA1" w:rsidRPr="004C7092">
        <w:rPr>
          <w:rFonts w:asciiTheme="majorBidi" w:hAnsiTheme="majorBidi" w:cstheme="majorBidi"/>
        </w:rPr>
        <w:t xml:space="preserve">ecular concepts of liberty and citizenship with a self-perception of a Christian, Protestant, anti-Catholic nation and with imperial aspirations. </w:t>
      </w:r>
      <w:r w:rsidR="00DF6EA1" w:rsidRPr="004C7092">
        <w:rPr>
          <w:rFonts w:asciiTheme="majorBidi" w:hAnsiTheme="majorBidi" w:cstheme="majorBidi"/>
        </w:rPr>
        <w:lastRenderedPageBreak/>
        <w:t xml:space="preserve">Participants in the national identity discourse mostly have not consciously acknowledged the fact that the three were potentially contradictory, or at best, contending. Many believed the contradictions could </w:t>
      </w:r>
      <w:r w:rsidRPr="004C7092">
        <w:rPr>
          <w:rFonts w:asciiTheme="majorBidi" w:hAnsiTheme="majorBidi" w:cstheme="majorBidi"/>
        </w:rPr>
        <w:t xml:space="preserve">be </w:t>
      </w:r>
      <w:r w:rsidR="00DF6EA1" w:rsidRPr="004C7092">
        <w:rPr>
          <w:rFonts w:asciiTheme="majorBidi" w:hAnsiTheme="majorBidi" w:cstheme="majorBidi"/>
        </w:rPr>
        <w:t xml:space="preserve">addressed. The relations of religion and </w:t>
      </w:r>
      <w:r w:rsidR="004C7092" w:rsidRPr="004C7092">
        <w:rPr>
          <w:rFonts w:asciiTheme="majorBidi" w:hAnsiTheme="majorBidi" w:cstheme="majorBidi"/>
        </w:rPr>
        <w:t>political freedom</w:t>
      </w:r>
      <w:r w:rsidR="00DF6EA1" w:rsidRPr="004C7092">
        <w:rPr>
          <w:rFonts w:asciiTheme="majorBidi" w:hAnsiTheme="majorBidi" w:cstheme="majorBidi"/>
        </w:rPr>
        <w:t xml:space="preserve">, disturbed from the very beginning of the century, and especially their relations with empire, became </w:t>
      </w:r>
      <w:r w:rsidR="00F8337A">
        <w:rPr>
          <w:rFonts w:asciiTheme="majorBidi" w:hAnsiTheme="majorBidi" w:cstheme="majorBidi"/>
        </w:rPr>
        <w:t>increasingly</w:t>
      </w:r>
      <w:r w:rsidR="00DF6EA1" w:rsidRPr="004C7092">
        <w:rPr>
          <w:rFonts w:asciiTheme="majorBidi" w:hAnsiTheme="majorBidi" w:cstheme="majorBidi"/>
        </w:rPr>
        <w:t xml:space="preserve"> troublesome</w:t>
      </w:r>
      <w:r w:rsidR="00F8337A">
        <w:rPr>
          <w:rFonts w:asciiTheme="majorBidi" w:hAnsiTheme="majorBidi" w:cstheme="majorBidi"/>
        </w:rPr>
        <w:t xml:space="preserve"> as the century wore on</w:t>
      </w:r>
      <w:r w:rsidR="00DF6EA1" w:rsidRPr="004C7092">
        <w:rPr>
          <w:rFonts w:asciiTheme="majorBidi" w:hAnsiTheme="majorBidi" w:cstheme="majorBidi"/>
        </w:rPr>
        <w:t>. B</w:t>
      </w:r>
      <w:r w:rsidR="00F8337A">
        <w:rPr>
          <w:rFonts w:asciiTheme="majorBidi" w:hAnsiTheme="majorBidi" w:cstheme="majorBidi"/>
        </w:rPr>
        <w:t xml:space="preserve">y understanding </w:t>
      </w:r>
      <w:r w:rsidR="00DF6EA1" w:rsidRPr="004C7092">
        <w:rPr>
          <w:rFonts w:asciiTheme="majorBidi" w:hAnsiTheme="majorBidi" w:cstheme="majorBidi"/>
        </w:rPr>
        <w:t xml:space="preserve">the contours of a </w:t>
      </w:r>
      <w:proofErr w:type="gramStart"/>
      <w:r w:rsidR="00DF6EA1" w:rsidRPr="004C7092">
        <w:rPr>
          <w:rFonts w:asciiTheme="majorBidi" w:hAnsiTheme="majorBidi" w:cstheme="majorBidi"/>
        </w:rPr>
        <w:t>discourse</w:t>
      </w:r>
      <w:proofErr w:type="gramEnd"/>
      <w:r w:rsidR="00DF6EA1" w:rsidRPr="004C7092">
        <w:rPr>
          <w:rFonts w:asciiTheme="majorBidi" w:hAnsiTheme="majorBidi" w:cstheme="majorBidi"/>
        </w:rPr>
        <w:t xml:space="preserve"> </w:t>
      </w:r>
      <w:r w:rsidR="00F8337A">
        <w:rPr>
          <w:rFonts w:asciiTheme="majorBidi" w:hAnsiTheme="majorBidi" w:cstheme="majorBidi"/>
        </w:rPr>
        <w:t xml:space="preserve">it </w:t>
      </w:r>
      <w:r w:rsidR="00B851DA">
        <w:rPr>
          <w:rFonts w:asciiTheme="majorBidi" w:hAnsiTheme="majorBidi" w:cstheme="majorBidi"/>
        </w:rPr>
        <w:t>is obvious</w:t>
      </w:r>
      <w:r w:rsidR="00F8337A">
        <w:rPr>
          <w:rFonts w:asciiTheme="majorBidi" w:hAnsiTheme="majorBidi" w:cstheme="majorBidi"/>
        </w:rPr>
        <w:t xml:space="preserve"> that national identity is not monolithic</w:t>
      </w:r>
      <w:r w:rsidR="00B851DA">
        <w:rPr>
          <w:rFonts w:asciiTheme="majorBidi" w:hAnsiTheme="majorBidi" w:cstheme="majorBidi"/>
        </w:rPr>
        <w:t>,</w:t>
      </w:r>
      <w:r w:rsidR="00F8337A">
        <w:rPr>
          <w:rFonts w:asciiTheme="majorBidi" w:hAnsiTheme="majorBidi" w:cstheme="majorBidi"/>
        </w:rPr>
        <w:t xml:space="preserve"> but is </w:t>
      </w:r>
      <w:r w:rsidR="00B851DA">
        <w:rPr>
          <w:rFonts w:asciiTheme="majorBidi" w:hAnsiTheme="majorBidi" w:cstheme="majorBidi"/>
        </w:rPr>
        <w:t xml:space="preserve">also </w:t>
      </w:r>
      <w:r w:rsidR="00F8337A">
        <w:rPr>
          <w:rFonts w:asciiTheme="majorBidi" w:hAnsiTheme="majorBidi" w:cstheme="majorBidi"/>
        </w:rPr>
        <w:t>constructed</w:t>
      </w:r>
      <w:r w:rsidR="00DF6EA1" w:rsidRPr="004C7092">
        <w:rPr>
          <w:rFonts w:asciiTheme="majorBidi" w:hAnsiTheme="majorBidi" w:cstheme="majorBidi"/>
        </w:rPr>
        <w:t xml:space="preserve"> </w:t>
      </w:r>
      <w:r w:rsidR="00F8337A">
        <w:rPr>
          <w:rFonts w:asciiTheme="majorBidi" w:hAnsiTheme="majorBidi" w:cstheme="majorBidi"/>
        </w:rPr>
        <w:t>through its</w:t>
      </w:r>
      <w:r w:rsidR="00DF6EA1" w:rsidRPr="004C7092">
        <w:rPr>
          <w:rFonts w:asciiTheme="majorBidi" w:hAnsiTheme="majorBidi" w:cstheme="majorBidi"/>
        </w:rPr>
        <w:t xml:space="preserve"> disagreemen</w:t>
      </w:r>
      <w:r w:rsidR="00944D98" w:rsidRPr="004C7092">
        <w:rPr>
          <w:rFonts w:asciiTheme="majorBidi" w:hAnsiTheme="majorBidi" w:cstheme="majorBidi"/>
        </w:rPr>
        <w:t>ts as much as by the consensus</w:t>
      </w:r>
      <w:r w:rsidR="00F8337A">
        <w:rPr>
          <w:rFonts w:asciiTheme="majorBidi" w:hAnsiTheme="majorBidi" w:cstheme="majorBidi"/>
        </w:rPr>
        <w:t>es</w:t>
      </w:r>
      <w:r w:rsidR="00B851DA">
        <w:rPr>
          <w:rFonts w:asciiTheme="majorBidi" w:hAnsiTheme="majorBidi" w:cstheme="majorBidi"/>
        </w:rPr>
        <w:t xml:space="preserve"> around accepted foci</w:t>
      </w:r>
      <w:r w:rsidR="00944D98" w:rsidRPr="004C7092">
        <w:rPr>
          <w:rFonts w:asciiTheme="majorBidi" w:hAnsiTheme="majorBidi" w:cstheme="majorBidi"/>
        </w:rPr>
        <w:t>.</w:t>
      </w:r>
    </w:p>
    <w:p w14:paraId="09CCA452" w14:textId="77777777" w:rsidR="00681ED2" w:rsidRPr="004C7092" w:rsidRDefault="00681ED2" w:rsidP="004C7092">
      <w:pPr>
        <w:autoSpaceDE w:val="0"/>
        <w:autoSpaceDN w:val="0"/>
        <w:bidi w:val="0"/>
        <w:adjustRightInd w:val="0"/>
        <w:spacing w:line="480" w:lineRule="auto"/>
        <w:jc w:val="both"/>
        <w:rPr>
          <w:rFonts w:asciiTheme="majorBidi" w:hAnsiTheme="majorBidi" w:cstheme="majorBidi"/>
        </w:rPr>
      </w:pPr>
    </w:p>
    <w:p w14:paraId="4E3CCF8F" w14:textId="2BA78056" w:rsidR="00830055" w:rsidRPr="00780185" w:rsidRDefault="00780185" w:rsidP="00780185">
      <w:pPr>
        <w:pStyle w:val="1"/>
        <w:bidi w:val="0"/>
        <w:rPr>
          <w:rFonts w:asciiTheme="majorBidi" w:hAnsiTheme="majorBidi" w:cstheme="majorBidi"/>
          <w:i/>
          <w:iCs/>
          <w:sz w:val="24"/>
          <w:szCs w:val="24"/>
        </w:rPr>
      </w:pPr>
      <w:bookmarkStart w:id="19" w:name="_Toc42845039"/>
      <w:r w:rsidRPr="00780185">
        <w:rPr>
          <w:rFonts w:asciiTheme="majorBidi" w:hAnsiTheme="majorBidi" w:cstheme="majorBidi"/>
          <w:i/>
          <w:iCs/>
          <w:sz w:val="24"/>
          <w:szCs w:val="24"/>
        </w:rPr>
        <w:t>References</w:t>
      </w:r>
      <w:bookmarkEnd w:id="19"/>
    </w:p>
    <w:p w14:paraId="66AB8EC4" w14:textId="77777777" w:rsidR="0075146A" w:rsidRPr="004C7092" w:rsidRDefault="0075146A" w:rsidP="004C7092">
      <w:pPr>
        <w:spacing w:line="480" w:lineRule="auto"/>
        <w:jc w:val="both"/>
        <w:rPr>
          <w:rFonts w:asciiTheme="majorBidi" w:hAnsiTheme="majorBidi" w:cstheme="majorBidi"/>
        </w:rPr>
      </w:pPr>
    </w:p>
    <w:p w14:paraId="76383596"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Alexander, Edward (2000). “John Stuart Mill and the Jews”, </w:t>
      </w:r>
      <w:r w:rsidRPr="004C7092">
        <w:rPr>
          <w:rFonts w:asciiTheme="majorBidi" w:hAnsiTheme="majorBidi" w:cstheme="majorBidi"/>
          <w:i/>
          <w:iCs/>
        </w:rPr>
        <w:t>Society</w:t>
      </w:r>
      <w:r w:rsidRPr="004C7092">
        <w:rPr>
          <w:rFonts w:asciiTheme="majorBidi" w:hAnsiTheme="majorBidi" w:cstheme="majorBidi"/>
        </w:rPr>
        <w:t>, 9 (November/ December).</w:t>
      </w:r>
    </w:p>
    <w:p w14:paraId="656CA7B0" w14:textId="77777777" w:rsidR="0075146A" w:rsidRPr="004C7092" w:rsidRDefault="0075146A" w:rsidP="004C7092">
      <w:pPr>
        <w:bidi w:val="0"/>
        <w:spacing w:line="480" w:lineRule="auto"/>
        <w:jc w:val="both"/>
        <w:rPr>
          <w:rFonts w:asciiTheme="majorBidi" w:hAnsiTheme="majorBidi" w:cstheme="majorBidi"/>
        </w:rPr>
      </w:pPr>
      <w:proofErr w:type="spellStart"/>
      <w:r w:rsidRPr="004C7092">
        <w:rPr>
          <w:rFonts w:asciiTheme="majorBidi" w:hAnsiTheme="majorBidi" w:cstheme="majorBidi"/>
        </w:rPr>
        <w:t>Altholz</w:t>
      </w:r>
      <w:proofErr w:type="spellEnd"/>
      <w:r w:rsidRPr="004C7092">
        <w:rPr>
          <w:rFonts w:asciiTheme="majorBidi" w:hAnsiTheme="majorBidi" w:cstheme="majorBidi"/>
        </w:rPr>
        <w:t xml:space="preserve">, Josef L. (1964). “The Political Behavior of the English Catholics, 1850-1867”, </w:t>
      </w:r>
      <w:r w:rsidRPr="004C7092">
        <w:rPr>
          <w:rFonts w:asciiTheme="majorBidi" w:hAnsiTheme="majorBidi" w:cstheme="majorBidi"/>
          <w:i/>
          <w:iCs/>
        </w:rPr>
        <w:t>The Journal of British Studies</w:t>
      </w:r>
      <w:r w:rsidRPr="004C7092">
        <w:rPr>
          <w:rFonts w:asciiTheme="majorBidi" w:hAnsiTheme="majorBidi" w:cstheme="majorBidi"/>
        </w:rPr>
        <w:t>, 4(1): 89-103.</w:t>
      </w:r>
    </w:p>
    <w:p w14:paraId="1469EFDE"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Armitage, David (2000). </w:t>
      </w:r>
      <w:r w:rsidRPr="004C7092">
        <w:rPr>
          <w:rFonts w:asciiTheme="majorBidi" w:hAnsiTheme="majorBidi" w:cstheme="majorBidi"/>
          <w:i/>
          <w:iCs/>
        </w:rPr>
        <w:t>The Ideological Origins of the British Empire</w:t>
      </w:r>
      <w:r w:rsidRPr="004C7092">
        <w:rPr>
          <w:rFonts w:asciiTheme="majorBidi" w:hAnsiTheme="majorBidi" w:cstheme="majorBidi"/>
        </w:rPr>
        <w:t>, Cambridge: Cambridge University Press.</w:t>
      </w:r>
    </w:p>
    <w:p w14:paraId="3F23E4D3" w14:textId="77777777" w:rsidR="0075146A" w:rsidRPr="004C7092" w:rsidRDefault="0075146A" w:rsidP="004C7092">
      <w:pPr>
        <w:bidi w:val="0"/>
        <w:spacing w:line="480" w:lineRule="auto"/>
        <w:jc w:val="both"/>
        <w:rPr>
          <w:rFonts w:asciiTheme="majorBidi" w:hAnsiTheme="majorBidi" w:cstheme="majorBidi"/>
        </w:rPr>
      </w:pPr>
      <w:proofErr w:type="spellStart"/>
      <w:r w:rsidRPr="004C7092">
        <w:rPr>
          <w:rFonts w:asciiTheme="majorBidi" w:hAnsiTheme="majorBidi" w:cstheme="majorBidi"/>
        </w:rPr>
        <w:t>Arnstein</w:t>
      </w:r>
      <w:proofErr w:type="spellEnd"/>
      <w:r w:rsidRPr="004C7092">
        <w:rPr>
          <w:rFonts w:asciiTheme="majorBidi" w:hAnsiTheme="majorBidi" w:cstheme="majorBidi"/>
        </w:rPr>
        <w:t xml:space="preserve">, Walter, Bright, Michael, Peterson, Linda and </w:t>
      </w:r>
      <w:proofErr w:type="spellStart"/>
      <w:r w:rsidRPr="004C7092">
        <w:rPr>
          <w:rFonts w:asciiTheme="majorBidi" w:hAnsiTheme="majorBidi" w:cstheme="majorBidi"/>
        </w:rPr>
        <w:t>Temperley</w:t>
      </w:r>
      <w:proofErr w:type="spellEnd"/>
      <w:r w:rsidRPr="004C7092">
        <w:rPr>
          <w:rFonts w:asciiTheme="majorBidi" w:hAnsiTheme="majorBidi" w:cstheme="majorBidi"/>
        </w:rPr>
        <w:t xml:space="preserve">, Nicholas (1989). “Recent Studies in Victorian Religion”, </w:t>
      </w:r>
      <w:r w:rsidRPr="004C7092">
        <w:rPr>
          <w:rFonts w:asciiTheme="majorBidi" w:hAnsiTheme="majorBidi" w:cstheme="majorBidi"/>
          <w:i/>
          <w:iCs/>
        </w:rPr>
        <w:t>Victorian Studies</w:t>
      </w:r>
      <w:r w:rsidRPr="004C7092">
        <w:rPr>
          <w:rFonts w:asciiTheme="majorBidi" w:hAnsiTheme="majorBidi" w:cstheme="majorBidi"/>
        </w:rPr>
        <w:t>, 33(1): 149-175.</w:t>
      </w:r>
    </w:p>
    <w:p w14:paraId="5F0E4FF0" w14:textId="77777777" w:rsidR="0075146A" w:rsidRPr="004C7092" w:rsidRDefault="0075146A" w:rsidP="004C7092">
      <w:pPr>
        <w:bidi w:val="0"/>
        <w:spacing w:line="480" w:lineRule="auto"/>
        <w:jc w:val="both"/>
        <w:rPr>
          <w:rFonts w:asciiTheme="majorBidi" w:hAnsiTheme="majorBidi" w:cstheme="majorBidi"/>
        </w:rPr>
      </w:pPr>
      <w:proofErr w:type="spellStart"/>
      <w:r w:rsidRPr="004C7092">
        <w:rPr>
          <w:rFonts w:asciiTheme="majorBidi" w:hAnsiTheme="majorBidi" w:cstheme="majorBidi"/>
        </w:rPr>
        <w:t>Asad</w:t>
      </w:r>
      <w:proofErr w:type="spellEnd"/>
      <w:r w:rsidRPr="004C7092">
        <w:rPr>
          <w:rFonts w:asciiTheme="majorBidi" w:hAnsiTheme="majorBidi" w:cstheme="majorBidi"/>
        </w:rPr>
        <w:t>, Talal, (1999). “Religion, Nation-state, Secularism”, in Nation and Religion: Perspectives on Europe and Asia Peter van der Veer and Hartmut Lehman (eds.), Princeton, NJ: Princeton University Press.</w:t>
      </w:r>
    </w:p>
    <w:p w14:paraId="431D897F"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Balfour, Arthur (1910). House of Commons Debates, 13 June, vol. 17 cols. 1143-4</w:t>
      </w:r>
    </w:p>
    <w:p w14:paraId="5F30A8C6"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Bar-Yosef, Eitan (2005), </w:t>
      </w:r>
      <w:r w:rsidRPr="004C7092">
        <w:rPr>
          <w:rFonts w:asciiTheme="majorBidi" w:hAnsiTheme="majorBidi" w:cstheme="majorBidi"/>
          <w:i/>
          <w:iCs/>
        </w:rPr>
        <w:t>The Holy Land in English Culture 1799-1917. Palestine and the Question of Orientalism</w:t>
      </w:r>
      <w:r w:rsidRPr="004C7092">
        <w:rPr>
          <w:rFonts w:asciiTheme="majorBidi" w:hAnsiTheme="majorBidi" w:cstheme="majorBidi"/>
        </w:rPr>
        <w:t>, Oxford: Clarendon Press.</w:t>
      </w:r>
    </w:p>
    <w:p w14:paraId="68C79363"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lastRenderedPageBreak/>
        <w:t xml:space="preserve">Basset, Troy J. and Walter, Christina M. (2001). “Booksellers and Bestseller: British Book Sales as Documented by the Bookman”, </w:t>
      </w:r>
      <w:r w:rsidRPr="004C7092">
        <w:rPr>
          <w:rFonts w:asciiTheme="majorBidi" w:hAnsiTheme="majorBidi" w:cstheme="majorBidi"/>
          <w:i/>
          <w:iCs/>
        </w:rPr>
        <w:t>Book History</w:t>
      </w:r>
      <w:r w:rsidRPr="004C7092">
        <w:rPr>
          <w:rFonts w:asciiTheme="majorBidi" w:hAnsiTheme="majorBidi" w:cstheme="majorBidi"/>
        </w:rPr>
        <w:t>, Ezra Greenspan &amp; Jonathan Rose (es.) vol. 4, Penn State Press.</w:t>
      </w:r>
    </w:p>
    <w:p w14:paraId="4B6E268A"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Beckford, James A. (1993). “Politics and Religion in England and Wales”, </w:t>
      </w:r>
      <w:r w:rsidRPr="004C7092">
        <w:rPr>
          <w:rFonts w:asciiTheme="majorBidi" w:hAnsiTheme="majorBidi" w:cstheme="majorBidi"/>
          <w:i/>
          <w:iCs/>
        </w:rPr>
        <w:t>Daedalus</w:t>
      </w:r>
      <w:r w:rsidRPr="004C7092">
        <w:rPr>
          <w:rFonts w:asciiTheme="majorBidi" w:hAnsiTheme="majorBidi" w:cstheme="majorBidi"/>
        </w:rPr>
        <w:t>, 120(3): 179-201.</w:t>
      </w:r>
    </w:p>
    <w:p w14:paraId="5BC95359" w14:textId="77777777" w:rsidR="0075146A" w:rsidRPr="004C7092" w:rsidRDefault="0075146A" w:rsidP="004C7092">
      <w:pPr>
        <w:bidi w:val="0"/>
        <w:spacing w:line="480" w:lineRule="auto"/>
        <w:jc w:val="both"/>
        <w:rPr>
          <w:rFonts w:asciiTheme="majorBidi" w:hAnsiTheme="majorBidi" w:cstheme="majorBidi"/>
          <w:rtl/>
        </w:rPr>
      </w:pPr>
      <w:r w:rsidRPr="004C7092">
        <w:rPr>
          <w:rFonts w:asciiTheme="majorBidi" w:hAnsiTheme="majorBidi" w:cstheme="majorBidi"/>
        </w:rPr>
        <w:t xml:space="preserve">Bell, Duncan (2016a). “International Society in Victorian Political Thought”, </w:t>
      </w:r>
      <w:r w:rsidRPr="004C7092">
        <w:rPr>
          <w:rFonts w:asciiTheme="majorBidi" w:hAnsiTheme="majorBidi" w:cstheme="majorBidi"/>
          <w:i/>
          <w:iCs/>
        </w:rPr>
        <w:t>Reordering the World: Essays Liberalism and Empire</w:t>
      </w:r>
      <w:r w:rsidRPr="004C7092">
        <w:rPr>
          <w:rFonts w:asciiTheme="majorBidi" w:hAnsiTheme="majorBidi" w:cstheme="majorBidi"/>
        </w:rPr>
        <w:t xml:space="preserve"> (Princeton: Princeton University Press </w:t>
      </w:r>
      <w:proofErr w:type="spellStart"/>
      <w:r w:rsidRPr="004C7092">
        <w:rPr>
          <w:rFonts w:asciiTheme="majorBidi" w:hAnsiTheme="majorBidi" w:cstheme="majorBidi"/>
        </w:rPr>
        <w:t>epub</w:t>
      </w:r>
      <w:proofErr w:type="spellEnd"/>
      <w:r w:rsidRPr="004C7092">
        <w:rPr>
          <w:rFonts w:asciiTheme="majorBidi" w:hAnsiTheme="majorBidi" w:cstheme="majorBidi"/>
        </w:rPr>
        <w:t xml:space="preserve"> edition, 307-341.</w:t>
      </w:r>
    </w:p>
    <w:p w14:paraId="558F67A7"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Bell, Duncan (2016b). “John Stuart Mill on Colonies”, </w:t>
      </w:r>
      <w:r w:rsidRPr="004C7092">
        <w:rPr>
          <w:rFonts w:asciiTheme="majorBidi" w:hAnsiTheme="majorBidi" w:cstheme="majorBidi"/>
          <w:i/>
          <w:iCs/>
        </w:rPr>
        <w:t>Reordering the World: Essays Liberalism and Empire</w:t>
      </w:r>
      <w:r w:rsidRPr="004C7092">
        <w:rPr>
          <w:rFonts w:asciiTheme="majorBidi" w:hAnsiTheme="majorBidi" w:cstheme="majorBidi"/>
        </w:rPr>
        <w:t xml:space="preserve"> (Princeton: Princeton University Press </w:t>
      </w:r>
      <w:proofErr w:type="spellStart"/>
      <w:r w:rsidRPr="004C7092">
        <w:rPr>
          <w:rFonts w:asciiTheme="majorBidi" w:hAnsiTheme="majorBidi" w:cstheme="majorBidi"/>
        </w:rPr>
        <w:t>epub</w:t>
      </w:r>
      <w:proofErr w:type="spellEnd"/>
      <w:r w:rsidRPr="004C7092">
        <w:rPr>
          <w:rFonts w:asciiTheme="majorBidi" w:hAnsiTheme="majorBidi" w:cstheme="majorBidi"/>
        </w:rPr>
        <w:t xml:space="preserve"> edition, 274-306.</w:t>
      </w:r>
    </w:p>
    <w:p w14:paraId="79886834"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Bell, Duncan (2016c). “The Project for a New Anglo Century, </w:t>
      </w:r>
      <w:r w:rsidRPr="004C7092">
        <w:rPr>
          <w:rFonts w:asciiTheme="majorBidi" w:hAnsiTheme="majorBidi" w:cstheme="majorBidi"/>
          <w:i/>
          <w:iCs/>
        </w:rPr>
        <w:t>Reordering the World: Essays Liberalism and Empire</w:t>
      </w:r>
      <w:r w:rsidRPr="004C7092">
        <w:rPr>
          <w:rFonts w:asciiTheme="majorBidi" w:hAnsiTheme="majorBidi" w:cstheme="majorBidi"/>
        </w:rPr>
        <w:t xml:space="preserve">, Princeton: Princeton University Press </w:t>
      </w:r>
      <w:proofErr w:type="spellStart"/>
      <w:r w:rsidRPr="004C7092">
        <w:rPr>
          <w:rFonts w:asciiTheme="majorBidi" w:hAnsiTheme="majorBidi" w:cstheme="majorBidi"/>
        </w:rPr>
        <w:t>epub</w:t>
      </w:r>
      <w:proofErr w:type="spellEnd"/>
      <w:r w:rsidRPr="004C7092">
        <w:rPr>
          <w:rFonts w:asciiTheme="majorBidi" w:hAnsiTheme="majorBidi" w:cstheme="majorBidi"/>
        </w:rPr>
        <w:t xml:space="preserve"> edition, 241-272.</w:t>
      </w:r>
    </w:p>
    <w:p w14:paraId="01127A5F"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Bell, Duncan (2016d). “What is Liberalism?”, </w:t>
      </w:r>
      <w:r w:rsidRPr="004C7092">
        <w:rPr>
          <w:rFonts w:asciiTheme="majorBidi" w:hAnsiTheme="majorBidi" w:cstheme="majorBidi"/>
          <w:i/>
          <w:iCs/>
        </w:rPr>
        <w:t>Reordering the World: Essays Liberalism and Empire</w:t>
      </w:r>
      <w:r w:rsidRPr="004C7092">
        <w:rPr>
          <w:rFonts w:asciiTheme="majorBidi" w:hAnsiTheme="majorBidi" w:cstheme="majorBidi"/>
        </w:rPr>
        <w:t xml:space="preserve">, Princeton: Princeton University Press </w:t>
      </w:r>
      <w:proofErr w:type="spellStart"/>
      <w:r w:rsidRPr="004C7092">
        <w:rPr>
          <w:rFonts w:asciiTheme="majorBidi" w:hAnsiTheme="majorBidi" w:cstheme="majorBidi"/>
        </w:rPr>
        <w:t>epub</w:t>
      </w:r>
      <w:proofErr w:type="spellEnd"/>
      <w:r w:rsidRPr="004C7092">
        <w:rPr>
          <w:rFonts w:asciiTheme="majorBidi" w:hAnsiTheme="majorBidi" w:cstheme="majorBidi"/>
        </w:rPr>
        <w:t xml:space="preserve"> edition, 91-127</w:t>
      </w:r>
    </w:p>
    <w:p w14:paraId="3CED3C25" w14:textId="77777777" w:rsidR="0075146A" w:rsidRPr="004C7092" w:rsidRDefault="0075146A" w:rsidP="004C7092">
      <w:pPr>
        <w:bidi w:val="0"/>
        <w:spacing w:line="480" w:lineRule="auto"/>
        <w:jc w:val="both"/>
        <w:rPr>
          <w:rFonts w:asciiTheme="majorBidi" w:hAnsiTheme="majorBidi" w:cstheme="majorBidi"/>
        </w:rPr>
      </w:pPr>
      <w:proofErr w:type="spellStart"/>
      <w:r w:rsidRPr="004C7092">
        <w:rPr>
          <w:rFonts w:asciiTheme="majorBidi" w:hAnsiTheme="majorBidi" w:cstheme="majorBidi"/>
        </w:rPr>
        <w:t>Bellah</w:t>
      </w:r>
      <w:proofErr w:type="spellEnd"/>
      <w:r w:rsidRPr="004C7092">
        <w:rPr>
          <w:rFonts w:asciiTheme="majorBidi" w:hAnsiTheme="majorBidi" w:cstheme="majorBidi"/>
        </w:rPr>
        <w:t xml:space="preserve">, Robert N. (1967). ‘Civil Religion in America’, </w:t>
      </w:r>
      <w:proofErr w:type="spellStart"/>
      <w:r w:rsidRPr="004C7092">
        <w:rPr>
          <w:rFonts w:asciiTheme="majorBidi" w:hAnsiTheme="majorBidi" w:cstheme="majorBidi"/>
          <w:i/>
          <w:iCs/>
        </w:rPr>
        <w:t>Dædalus</w:t>
      </w:r>
      <w:proofErr w:type="spellEnd"/>
      <w:r w:rsidRPr="004C7092">
        <w:rPr>
          <w:rFonts w:asciiTheme="majorBidi" w:hAnsiTheme="majorBidi" w:cstheme="majorBidi"/>
        </w:rPr>
        <w:t xml:space="preserve"> 96(1): 1-21</w:t>
      </w:r>
    </w:p>
    <w:p w14:paraId="742922AB"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Ben-Israel, </w:t>
      </w:r>
      <w:proofErr w:type="spellStart"/>
      <w:r w:rsidRPr="004C7092">
        <w:rPr>
          <w:rFonts w:asciiTheme="majorBidi" w:hAnsiTheme="majorBidi" w:cstheme="majorBidi"/>
        </w:rPr>
        <w:t>Hedva</w:t>
      </w:r>
      <w:proofErr w:type="spellEnd"/>
      <w:r w:rsidRPr="004C7092">
        <w:rPr>
          <w:rFonts w:asciiTheme="majorBidi" w:hAnsiTheme="majorBidi" w:cstheme="majorBidi"/>
        </w:rPr>
        <w:t xml:space="preserve"> (1991). “’The White Man's Burden' in British Imperialism”, </w:t>
      </w:r>
      <w:r w:rsidRPr="004C7092">
        <w:rPr>
          <w:rFonts w:asciiTheme="majorBidi" w:hAnsiTheme="majorBidi" w:cstheme="majorBidi"/>
          <w:i/>
          <w:iCs/>
        </w:rPr>
        <w:t>Chosen People Elect Nation and Universal Mission. Collected Essays</w:t>
      </w:r>
      <w:r w:rsidRPr="004C7092">
        <w:rPr>
          <w:rFonts w:asciiTheme="majorBidi" w:hAnsiTheme="majorBidi" w:cstheme="majorBidi"/>
        </w:rPr>
        <w:t xml:space="preserve">, [in Hebrew] Shmuel </w:t>
      </w:r>
      <w:proofErr w:type="spellStart"/>
      <w:r w:rsidRPr="004C7092">
        <w:rPr>
          <w:rFonts w:asciiTheme="majorBidi" w:hAnsiTheme="majorBidi" w:cstheme="majorBidi"/>
        </w:rPr>
        <w:t>Almog</w:t>
      </w:r>
      <w:proofErr w:type="spellEnd"/>
      <w:r w:rsidRPr="004C7092">
        <w:rPr>
          <w:rFonts w:asciiTheme="majorBidi" w:hAnsiTheme="majorBidi" w:cstheme="majorBidi"/>
        </w:rPr>
        <w:t xml:space="preserve"> and Michael </w:t>
      </w:r>
      <w:proofErr w:type="spellStart"/>
      <w:r w:rsidRPr="004C7092">
        <w:rPr>
          <w:rFonts w:asciiTheme="majorBidi" w:hAnsiTheme="majorBidi" w:cstheme="majorBidi"/>
        </w:rPr>
        <w:t>Heyd</w:t>
      </w:r>
      <w:proofErr w:type="spellEnd"/>
      <w:r w:rsidRPr="004C7092">
        <w:rPr>
          <w:rFonts w:asciiTheme="majorBidi" w:hAnsiTheme="majorBidi" w:cstheme="majorBidi"/>
        </w:rPr>
        <w:t xml:space="preserve"> (eds.), Jerusalem: </w:t>
      </w:r>
      <w:proofErr w:type="spellStart"/>
      <w:r w:rsidRPr="004C7092">
        <w:rPr>
          <w:rFonts w:asciiTheme="majorBidi" w:hAnsiTheme="majorBidi" w:cstheme="majorBidi"/>
        </w:rPr>
        <w:t>Zalman</w:t>
      </w:r>
      <w:proofErr w:type="spellEnd"/>
      <w:r w:rsidRPr="004C7092">
        <w:rPr>
          <w:rFonts w:asciiTheme="majorBidi" w:hAnsiTheme="majorBidi" w:cstheme="majorBidi"/>
        </w:rPr>
        <w:t xml:space="preserve"> </w:t>
      </w:r>
      <w:proofErr w:type="spellStart"/>
      <w:r w:rsidRPr="004C7092">
        <w:rPr>
          <w:rFonts w:asciiTheme="majorBidi" w:hAnsiTheme="majorBidi" w:cstheme="majorBidi"/>
        </w:rPr>
        <w:t>Shazar</w:t>
      </w:r>
      <w:proofErr w:type="spellEnd"/>
      <w:r w:rsidRPr="004C7092">
        <w:rPr>
          <w:rFonts w:asciiTheme="majorBidi" w:hAnsiTheme="majorBidi" w:cstheme="majorBidi"/>
        </w:rPr>
        <w:t xml:space="preserve"> Center.</w:t>
      </w:r>
    </w:p>
    <w:p w14:paraId="6923ED82"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Blair Worden (2000), “The Victorians and Oliver Cromwell”, </w:t>
      </w:r>
      <w:proofErr w:type="gramStart"/>
      <w:r w:rsidRPr="004C7092">
        <w:rPr>
          <w:rFonts w:asciiTheme="majorBidi" w:hAnsiTheme="majorBidi" w:cstheme="majorBidi"/>
        </w:rPr>
        <w:t xml:space="preserve">in  </w:t>
      </w:r>
      <w:r w:rsidRPr="004C7092">
        <w:rPr>
          <w:rFonts w:asciiTheme="majorBidi" w:hAnsiTheme="majorBidi" w:cstheme="majorBidi"/>
          <w:i/>
          <w:iCs/>
        </w:rPr>
        <w:t>History</w:t>
      </w:r>
      <w:proofErr w:type="gramEnd"/>
      <w:r w:rsidRPr="004C7092">
        <w:rPr>
          <w:rFonts w:asciiTheme="majorBidi" w:hAnsiTheme="majorBidi" w:cstheme="majorBidi"/>
          <w:i/>
          <w:iCs/>
        </w:rPr>
        <w:t>, Religion and Culture: British Intellectual History 1750-1959</w:t>
      </w:r>
      <w:r w:rsidRPr="004C7092">
        <w:rPr>
          <w:rFonts w:asciiTheme="majorBidi" w:hAnsiTheme="majorBidi" w:cstheme="majorBidi"/>
        </w:rPr>
        <w:t xml:space="preserve">, Stefan </w:t>
      </w:r>
      <w:proofErr w:type="spellStart"/>
      <w:r w:rsidRPr="004C7092">
        <w:rPr>
          <w:rFonts w:asciiTheme="majorBidi" w:hAnsiTheme="majorBidi" w:cstheme="majorBidi"/>
        </w:rPr>
        <w:t>Collini</w:t>
      </w:r>
      <w:proofErr w:type="spellEnd"/>
      <w:r w:rsidRPr="004C7092">
        <w:rPr>
          <w:rFonts w:asciiTheme="majorBidi" w:hAnsiTheme="majorBidi" w:cstheme="majorBidi"/>
        </w:rPr>
        <w:t xml:space="preserve">, Richard </w:t>
      </w:r>
      <w:proofErr w:type="spellStart"/>
      <w:r w:rsidRPr="004C7092">
        <w:rPr>
          <w:rFonts w:asciiTheme="majorBidi" w:hAnsiTheme="majorBidi" w:cstheme="majorBidi"/>
        </w:rPr>
        <w:t>Whatmore</w:t>
      </w:r>
      <w:proofErr w:type="spellEnd"/>
      <w:r w:rsidRPr="004C7092">
        <w:rPr>
          <w:rFonts w:asciiTheme="majorBidi" w:hAnsiTheme="majorBidi" w:cstheme="majorBidi"/>
        </w:rPr>
        <w:t>, Brian Young (eds.), Cambridge UK, NY: Cambridge University Press.</w:t>
      </w:r>
    </w:p>
    <w:p w14:paraId="225B89F1" w14:textId="77777777" w:rsidR="0075146A" w:rsidRPr="004C7092" w:rsidRDefault="0075146A" w:rsidP="004C7092">
      <w:pPr>
        <w:bidi w:val="0"/>
        <w:spacing w:line="480" w:lineRule="auto"/>
        <w:jc w:val="both"/>
        <w:rPr>
          <w:rFonts w:asciiTheme="majorBidi" w:hAnsiTheme="majorBidi" w:cstheme="majorBidi"/>
        </w:rPr>
      </w:pPr>
      <w:proofErr w:type="spellStart"/>
      <w:r w:rsidRPr="004C7092">
        <w:rPr>
          <w:rFonts w:asciiTheme="majorBidi" w:hAnsiTheme="majorBidi" w:cstheme="majorBidi"/>
        </w:rPr>
        <w:t>Bocock</w:t>
      </w:r>
      <w:proofErr w:type="spellEnd"/>
      <w:r w:rsidRPr="004C7092">
        <w:rPr>
          <w:rFonts w:asciiTheme="majorBidi" w:hAnsiTheme="majorBidi" w:cstheme="majorBidi"/>
        </w:rPr>
        <w:t xml:space="preserve">, R. (1985). “Religion in Modern Britain”, </w:t>
      </w:r>
      <w:r w:rsidRPr="004C7092">
        <w:rPr>
          <w:rFonts w:asciiTheme="majorBidi" w:hAnsiTheme="majorBidi" w:cstheme="majorBidi"/>
          <w:i/>
          <w:iCs/>
        </w:rPr>
        <w:t>Religion and Ideology: A Reader</w:t>
      </w:r>
      <w:r w:rsidRPr="004C7092">
        <w:rPr>
          <w:rFonts w:asciiTheme="majorBidi" w:hAnsiTheme="majorBidi" w:cstheme="majorBidi"/>
        </w:rPr>
        <w:t xml:space="preserve">, R. </w:t>
      </w:r>
      <w:proofErr w:type="spellStart"/>
      <w:r w:rsidRPr="004C7092">
        <w:rPr>
          <w:rFonts w:asciiTheme="majorBidi" w:hAnsiTheme="majorBidi" w:cstheme="majorBidi"/>
        </w:rPr>
        <w:t>Bocock</w:t>
      </w:r>
      <w:proofErr w:type="spellEnd"/>
      <w:r w:rsidRPr="004C7092">
        <w:rPr>
          <w:rFonts w:asciiTheme="majorBidi" w:hAnsiTheme="majorBidi" w:cstheme="majorBidi"/>
        </w:rPr>
        <w:t xml:space="preserve"> and Kenneth Thompson (eds.), Manchester: Manchester University Press and the Open University, 207-233.</w:t>
      </w:r>
    </w:p>
    <w:p w14:paraId="2CC7A3BD"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Briggs, Asa (1963). “1851”, </w:t>
      </w:r>
      <w:r w:rsidRPr="004C7092">
        <w:rPr>
          <w:rFonts w:asciiTheme="majorBidi" w:hAnsiTheme="majorBidi" w:cstheme="majorBidi"/>
          <w:i/>
          <w:iCs/>
        </w:rPr>
        <w:t>From Metternich to Hitler. Aspects of British and Foreign History 1814-1939. Historical Association Essays</w:t>
      </w:r>
      <w:r w:rsidRPr="004C7092">
        <w:rPr>
          <w:rFonts w:asciiTheme="majorBidi" w:hAnsiTheme="majorBidi" w:cstheme="majorBidi"/>
        </w:rPr>
        <w:t xml:space="preserve">, </w:t>
      </w:r>
      <w:proofErr w:type="spellStart"/>
      <w:r w:rsidRPr="004C7092">
        <w:rPr>
          <w:rFonts w:asciiTheme="majorBidi" w:hAnsiTheme="majorBidi" w:cstheme="majorBidi"/>
        </w:rPr>
        <w:t>Medlicott</w:t>
      </w:r>
      <w:proofErr w:type="spellEnd"/>
      <w:r w:rsidRPr="004C7092">
        <w:rPr>
          <w:rFonts w:asciiTheme="majorBidi" w:hAnsiTheme="majorBidi" w:cstheme="majorBidi"/>
        </w:rPr>
        <w:t xml:space="preserve"> (ed.), New York: Barnes &amp; Noble</w:t>
      </w:r>
    </w:p>
    <w:p w14:paraId="3EDB355D"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lastRenderedPageBreak/>
        <w:t xml:space="preserve">Brooke, John Hedley (2009). “Charles Darwin on Religion”, </w:t>
      </w:r>
      <w:r w:rsidRPr="004C7092">
        <w:rPr>
          <w:rFonts w:asciiTheme="majorBidi" w:hAnsiTheme="majorBidi" w:cstheme="majorBidi"/>
          <w:i/>
          <w:iCs/>
        </w:rPr>
        <w:t>Perspectives on Science and Christian Faith</w:t>
      </w:r>
      <w:r w:rsidRPr="004C7092">
        <w:rPr>
          <w:rFonts w:asciiTheme="majorBidi" w:hAnsiTheme="majorBidi" w:cstheme="majorBidi"/>
        </w:rPr>
        <w:t xml:space="preserve">, 61(2). </w:t>
      </w:r>
    </w:p>
    <w:p w14:paraId="7A9AF6D8"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Brown, Callum G. (2005). </w:t>
      </w:r>
      <w:r w:rsidRPr="004C7092">
        <w:rPr>
          <w:rFonts w:asciiTheme="majorBidi" w:hAnsiTheme="majorBidi" w:cstheme="majorBidi"/>
          <w:i/>
          <w:iCs/>
        </w:rPr>
        <w:t>The Death of Christian Britain: Understanding Secularization 1800-2000</w:t>
      </w:r>
      <w:r w:rsidRPr="004C7092">
        <w:rPr>
          <w:rFonts w:asciiTheme="majorBidi" w:hAnsiTheme="majorBidi" w:cstheme="majorBidi"/>
        </w:rPr>
        <w:t xml:space="preserve"> (2001), London: Routledge.</w:t>
      </w:r>
    </w:p>
    <w:p w14:paraId="25FCA6F2"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Brown, Stewart Jay (2001), </w:t>
      </w:r>
      <w:r w:rsidRPr="004C7092">
        <w:rPr>
          <w:rFonts w:asciiTheme="majorBidi" w:hAnsiTheme="majorBidi" w:cstheme="majorBidi"/>
          <w:i/>
          <w:iCs/>
        </w:rPr>
        <w:t>The National Churches of England, Ireland, and Scotland, 1801-1846</w:t>
      </w:r>
      <w:r w:rsidRPr="004C7092">
        <w:rPr>
          <w:rFonts w:asciiTheme="majorBidi" w:hAnsiTheme="majorBidi" w:cstheme="majorBidi"/>
        </w:rPr>
        <w:t>, Oxford, NY: OUP.</w:t>
      </w:r>
    </w:p>
    <w:p w14:paraId="689D49BC"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Brubaker, Roger and Cooper, Fredrick (2000). “Beyond ‘Identity’, </w:t>
      </w:r>
      <w:r w:rsidRPr="004C7092">
        <w:rPr>
          <w:rFonts w:asciiTheme="majorBidi" w:hAnsiTheme="majorBidi" w:cstheme="majorBidi"/>
          <w:i/>
          <w:iCs/>
        </w:rPr>
        <w:t>Theory and Society</w:t>
      </w:r>
      <w:r w:rsidRPr="004C7092">
        <w:rPr>
          <w:rFonts w:asciiTheme="majorBidi" w:hAnsiTheme="majorBidi" w:cstheme="majorBidi"/>
        </w:rPr>
        <w:t xml:space="preserve"> 29.</w:t>
      </w:r>
    </w:p>
    <w:p w14:paraId="7522977F"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Campbell-Bannerman, Sir Henry (1899). Leader's speech, (Liberal), Hull. British Political Speech, http://www.britishpoliticalspeech.org/speech-archive.htm?speech=8 accessed 9 February 2017. </w:t>
      </w:r>
    </w:p>
    <w:p w14:paraId="602BE263" w14:textId="77777777" w:rsidR="0075146A" w:rsidRPr="004C7092" w:rsidRDefault="0075146A" w:rsidP="004C7092">
      <w:pPr>
        <w:bidi w:val="0"/>
        <w:spacing w:line="480" w:lineRule="auto"/>
        <w:jc w:val="both"/>
        <w:rPr>
          <w:rFonts w:asciiTheme="majorBidi" w:hAnsiTheme="majorBidi" w:cstheme="majorBidi"/>
        </w:rPr>
      </w:pPr>
      <w:proofErr w:type="spellStart"/>
      <w:r w:rsidRPr="004C7092">
        <w:rPr>
          <w:rFonts w:asciiTheme="majorBidi" w:hAnsiTheme="majorBidi" w:cstheme="majorBidi"/>
        </w:rPr>
        <w:t>Carnarvorn</w:t>
      </w:r>
      <w:proofErr w:type="spellEnd"/>
      <w:r w:rsidRPr="004C7092">
        <w:rPr>
          <w:rFonts w:asciiTheme="majorBidi" w:hAnsiTheme="majorBidi" w:cstheme="majorBidi"/>
        </w:rPr>
        <w:t xml:space="preserve">, </w:t>
      </w:r>
      <w:r w:rsidRPr="004C7092">
        <w:rPr>
          <w:rFonts w:asciiTheme="majorBidi" w:hAnsiTheme="majorBidi" w:cstheme="majorBidi" w:hint="cs"/>
        </w:rPr>
        <w:t>R</w:t>
      </w:r>
      <w:r w:rsidRPr="004C7092">
        <w:rPr>
          <w:rFonts w:asciiTheme="majorBidi" w:hAnsiTheme="majorBidi" w:cstheme="majorBidi"/>
        </w:rPr>
        <w:t>obert Herbert 4</w:t>
      </w:r>
      <w:r w:rsidRPr="004C7092">
        <w:rPr>
          <w:rFonts w:asciiTheme="majorBidi" w:hAnsiTheme="majorBidi" w:cstheme="majorBidi"/>
          <w:vertAlign w:val="superscript"/>
        </w:rPr>
        <w:t>th</w:t>
      </w:r>
      <w:r w:rsidRPr="004C7092">
        <w:rPr>
          <w:rFonts w:asciiTheme="majorBidi" w:hAnsiTheme="majorBidi" w:cstheme="majorBidi"/>
        </w:rPr>
        <w:t xml:space="preserve"> Earl of (1878), “Imperial Administration”, Address </w:t>
      </w:r>
      <w:r w:rsidRPr="004C7092">
        <w:rPr>
          <w:rFonts w:asciiTheme="majorBidi" w:hAnsiTheme="majorBidi" w:cstheme="majorBidi"/>
          <w:sz w:val="22"/>
          <w:szCs w:val="22"/>
        </w:rPr>
        <w:t>to the Philosophical Institution, Edinbur</w:t>
      </w:r>
      <w:r w:rsidRPr="004C7092">
        <w:rPr>
          <w:rFonts w:asciiTheme="majorBidi" w:hAnsiTheme="majorBidi" w:cstheme="majorBidi"/>
        </w:rPr>
        <w:t>gh, 5th November, in Essays Addresses and Translations, R. Herbert (ed.)3, 6.</w:t>
      </w:r>
    </w:p>
    <w:p w14:paraId="74B61B7E"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Colley, Linda (1992a). “Britishness and Otherness: An Argument”, </w:t>
      </w:r>
      <w:r w:rsidRPr="004C7092">
        <w:rPr>
          <w:rFonts w:asciiTheme="majorBidi" w:hAnsiTheme="majorBidi" w:cstheme="majorBidi"/>
          <w:i/>
          <w:iCs/>
        </w:rPr>
        <w:t>The Journal of British Studies</w:t>
      </w:r>
      <w:r w:rsidRPr="004C7092">
        <w:rPr>
          <w:rFonts w:asciiTheme="majorBidi" w:hAnsiTheme="majorBidi" w:cstheme="majorBidi"/>
        </w:rPr>
        <w:t>, 31(4)</w:t>
      </w:r>
    </w:p>
    <w:p w14:paraId="0949AA3C"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Colley, Linda, (1992b). </w:t>
      </w:r>
      <w:r w:rsidRPr="004C7092">
        <w:rPr>
          <w:rFonts w:asciiTheme="majorBidi" w:hAnsiTheme="majorBidi" w:cstheme="majorBidi"/>
          <w:i/>
          <w:iCs/>
        </w:rPr>
        <w:t>Britons. Forging the Nation 1707-</w:t>
      </w:r>
      <w:proofErr w:type="gramStart"/>
      <w:r w:rsidRPr="004C7092">
        <w:rPr>
          <w:rFonts w:asciiTheme="majorBidi" w:hAnsiTheme="majorBidi" w:cstheme="majorBidi"/>
          <w:i/>
          <w:iCs/>
        </w:rPr>
        <w:t>1837</w:t>
      </w:r>
      <w:r w:rsidRPr="004C7092">
        <w:rPr>
          <w:rFonts w:asciiTheme="majorBidi" w:hAnsiTheme="majorBidi" w:cstheme="majorBidi"/>
        </w:rPr>
        <w:t xml:space="preserve"> ,New</w:t>
      </w:r>
      <w:proofErr w:type="gramEnd"/>
      <w:r w:rsidRPr="004C7092">
        <w:rPr>
          <w:rFonts w:asciiTheme="majorBidi" w:hAnsiTheme="majorBidi" w:cstheme="majorBidi"/>
        </w:rPr>
        <w:t xml:space="preserve"> Haven and London: Yale University Press.</w:t>
      </w:r>
    </w:p>
    <w:p w14:paraId="6A148434"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Colls, Robert (2002). </w:t>
      </w:r>
      <w:r w:rsidRPr="004C7092">
        <w:rPr>
          <w:rFonts w:asciiTheme="majorBidi" w:hAnsiTheme="majorBidi" w:cstheme="majorBidi"/>
          <w:i/>
          <w:iCs/>
        </w:rPr>
        <w:t>The Identity of England</w:t>
      </w:r>
      <w:r w:rsidRPr="004C7092">
        <w:rPr>
          <w:rFonts w:asciiTheme="majorBidi" w:hAnsiTheme="majorBidi" w:cstheme="majorBidi"/>
        </w:rPr>
        <w:t>, Oxford, New York: Oxford University Press.</w:t>
      </w:r>
    </w:p>
    <w:p w14:paraId="3020B8E0"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Darwin, Charles to John </w:t>
      </w:r>
      <w:proofErr w:type="spellStart"/>
      <w:r w:rsidRPr="004C7092">
        <w:rPr>
          <w:rFonts w:asciiTheme="majorBidi" w:hAnsiTheme="majorBidi" w:cstheme="majorBidi"/>
        </w:rPr>
        <w:t>Fordice</w:t>
      </w:r>
      <w:proofErr w:type="spellEnd"/>
      <w:r w:rsidRPr="004C7092">
        <w:rPr>
          <w:rFonts w:asciiTheme="majorBidi" w:hAnsiTheme="majorBidi" w:cstheme="majorBidi"/>
        </w:rPr>
        <w:t xml:space="preserve"> (1879). 7 May, letter 12041, Darwin Correspondence Project, http://www.darwinproject.ac.uk/entry-12041 accessed 6 Dec. 2016 </w:t>
      </w:r>
    </w:p>
    <w:p w14:paraId="7261381F"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Davie, Grace (1996). “Review: John </w:t>
      </w:r>
      <w:proofErr w:type="spellStart"/>
      <w:r w:rsidRPr="004C7092">
        <w:rPr>
          <w:rFonts w:asciiTheme="majorBidi" w:hAnsiTheme="majorBidi" w:cstheme="majorBidi"/>
        </w:rPr>
        <w:t>Wolffe</w:t>
      </w:r>
      <w:proofErr w:type="spellEnd"/>
      <w:r w:rsidRPr="004C7092">
        <w:rPr>
          <w:rFonts w:asciiTheme="majorBidi" w:hAnsiTheme="majorBidi" w:cstheme="majorBidi"/>
        </w:rPr>
        <w:t xml:space="preserve">, God and Greater Britain”, </w:t>
      </w:r>
      <w:r w:rsidRPr="004C7092">
        <w:rPr>
          <w:rFonts w:asciiTheme="majorBidi" w:hAnsiTheme="majorBidi" w:cstheme="majorBidi"/>
          <w:i/>
          <w:iCs/>
        </w:rPr>
        <w:t xml:space="preserve">Archives de sciences </w:t>
      </w:r>
      <w:proofErr w:type="spellStart"/>
      <w:r w:rsidRPr="004C7092">
        <w:rPr>
          <w:rFonts w:asciiTheme="majorBidi" w:hAnsiTheme="majorBidi" w:cstheme="majorBidi"/>
          <w:i/>
          <w:iCs/>
        </w:rPr>
        <w:t>sociales</w:t>
      </w:r>
      <w:proofErr w:type="spellEnd"/>
      <w:r w:rsidRPr="004C7092">
        <w:rPr>
          <w:rFonts w:asciiTheme="majorBidi" w:hAnsiTheme="majorBidi" w:cstheme="majorBidi"/>
          <w:i/>
          <w:iCs/>
        </w:rPr>
        <w:t xml:space="preserve"> des religions</w:t>
      </w:r>
      <w:r w:rsidRPr="004C7092">
        <w:rPr>
          <w:rFonts w:asciiTheme="majorBidi" w:hAnsiTheme="majorBidi" w:cstheme="majorBidi"/>
        </w:rPr>
        <w:t>, 41(94):</w:t>
      </w:r>
      <w:r w:rsidRPr="004C7092">
        <w:t xml:space="preserve"> </w:t>
      </w:r>
      <w:r w:rsidRPr="004C7092">
        <w:rPr>
          <w:rFonts w:asciiTheme="majorBidi" w:hAnsiTheme="majorBidi" w:cstheme="majorBidi"/>
        </w:rPr>
        <w:t>111 -112.</w:t>
      </w:r>
    </w:p>
    <w:p w14:paraId="16B2F9CC"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Eastwood, Jonathan and </w:t>
      </w:r>
      <w:proofErr w:type="spellStart"/>
      <w:r w:rsidRPr="004C7092">
        <w:rPr>
          <w:rFonts w:asciiTheme="majorBidi" w:hAnsiTheme="majorBidi" w:cstheme="majorBidi"/>
        </w:rPr>
        <w:t>Prevalakis</w:t>
      </w:r>
      <w:proofErr w:type="spellEnd"/>
      <w:r w:rsidRPr="004C7092">
        <w:rPr>
          <w:rFonts w:asciiTheme="majorBidi" w:hAnsiTheme="majorBidi" w:cstheme="majorBidi"/>
        </w:rPr>
        <w:t xml:space="preserve">, Nikolas (2010). “Nationalism, Religion, and Secularization: An Opportune Moment for Research”, </w:t>
      </w:r>
      <w:r w:rsidRPr="004C7092">
        <w:rPr>
          <w:rFonts w:asciiTheme="majorBidi" w:hAnsiTheme="majorBidi" w:cstheme="majorBidi"/>
          <w:i/>
          <w:iCs/>
        </w:rPr>
        <w:t>Review of Religious Research</w:t>
      </w:r>
      <w:r w:rsidRPr="004C7092">
        <w:rPr>
          <w:rFonts w:asciiTheme="majorBidi" w:hAnsiTheme="majorBidi" w:cstheme="majorBidi"/>
        </w:rPr>
        <w:t>, 52(1): 90-111.</w:t>
      </w:r>
    </w:p>
    <w:p w14:paraId="20D2E569" w14:textId="77777777" w:rsidR="0075146A" w:rsidRPr="004C7092" w:rsidRDefault="0075146A" w:rsidP="004C7092">
      <w:pPr>
        <w:bidi w:val="0"/>
        <w:spacing w:line="480" w:lineRule="auto"/>
        <w:jc w:val="both"/>
        <w:rPr>
          <w:rFonts w:asciiTheme="majorBidi" w:hAnsiTheme="majorBidi" w:cstheme="majorBidi"/>
        </w:rPr>
      </w:pPr>
      <w:proofErr w:type="spellStart"/>
      <w:r w:rsidRPr="004C7092">
        <w:rPr>
          <w:rFonts w:asciiTheme="majorBidi" w:hAnsiTheme="majorBidi" w:cstheme="majorBidi"/>
        </w:rPr>
        <w:lastRenderedPageBreak/>
        <w:t>Endelman</w:t>
      </w:r>
      <w:proofErr w:type="spellEnd"/>
      <w:r w:rsidRPr="004C7092">
        <w:rPr>
          <w:rFonts w:asciiTheme="majorBidi" w:hAnsiTheme="majorBidi" w:cstheme="majorBidi"/>
        </w:rPr>
        <w:t xml:space="preserve"> Todd M. (1986). “Comparative Perspectives on Modern Anti-Semitism in the West”, History and Hate. The End Dimensions of Anti-</w:t>
      </w:r>
      <w:proofErr w:type="spellStart"/>
      <w:r w:rsidRPr="004C7092">
        <w:rPr>
          <w:rFonts w:asciiTheme="majorBidi" w:hAnsiTheme="majorBidi" w:cstheme="majorBidi"/>
        </w:rPr>
        <w:t>Semitisn</w:t>
      </w:r>
      <w:proofErr w:type="spellEnd"/>
      <w:r w:rsidRPr="004C7092">
        <w:rPr>
          <w:rFonts w:asciiTheme="majorBidi" w:hAnsiTheme="majorBidi" w:cstheme="majorBidi"/>
        </w:rPr>
        <w:t>, David Berger (ed.), Philadelphia, Jerusalem.</w:t>
      </w:r>
    </w:p>
    <w:p w14:paraId="5F51B446"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Feldman, David (1994). </w:t>
      </w:r>
      <w:r w:rsidRPr="004C7092">
        <w:rPr>
          <w:rFonts w:asciiTheme="majorBidi" w:hAnsiTheme="majorBidi" w:cstheme="majorBidi"/>
          <w:i/>
          <w:iCs/>
        </w:rPr>
        <w:t>Englishmen and Jews: Social Relations and Political Culture, 1840-1914,</w:t>
      </w:r>
      <w:r w:rsidRPr="004C7092">
        <w:rPr>
          <w:rFonts w:asciiTheme="majorBidi" w:hAnsiTheme="majorBidi" w:cstheme="majorBidi"/>
        </w:rPr>
        <w:t xml:space="preserve"> New Haven and London: Yale University Press.</w:t>
      </w:r>
    </w:p>
    <w:p w14:paraId="40B3440B"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Feldman, David (2015), “Evangelicals, Jews, and Anti-Catholicism in Britain, c. 1840–1900” Jewish Historical Studies, 47.</w:t>
      </w:r>
    </w:p>
    <w:p w14:paraId="77EC0E29"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Fraser, Hilary (2002). “The Victorian Novel and Religion”, </w:t>
      </w:r>
      <w:r w:rsidRPr="004C7092">
        <w:rPr>
          <w:rFonts w:asciiTheme="majorBidi" w:hAnsiTheme="majorBidi" w:cstheme="majorBidi"/>
          <w:i/>
          <w:iCs/>
        </w:rPr>
        <w:t>A Companion to the Victorian Novel</w:t>
      </w:r>
      <w:r w:rsidRPr="004C7092">
        <w:rPr>
          <w:rFonts w:asciiTheme="majorBidi" w:hAnsiTheme="majorBidi" w:cstheme="majorBidi"/>
        </w:rPr>
        <w:t xml:space="preserve">, Patrick </w:t>
      </w:r>
      <w:proofErr w:type="spellStart"/>
      <w:r w:rsidRPr="004C7092">
        <w:rPr>
          <w:rFonts w:asciiTheme="majorBidi" w:hAnsiTheme="majorBidi" w:cstheme="majorBidi"/>
        </w:rPr>
        <w:t>Brantlinger</w:t>
      </w:r>
      <w:proofErr w:type="spellEnd"/>
      <w:r w:rsidRPr="004C7092">
        <w:rPr>
          <w:rFonts w:asciiTheme="majorBidi" w:hAnsiTheme="majorBidi" w:cstheme="majorBidi"/>
        </w:rPr>
        <w:t xml:space="preserve">, William B. </w:t>
      </w:r>
      <w:proofErr w:type="spellStart"/>
      <w:r w:rsidRPr="004C7092">
        <w:rPr>
          <w:rFonts w:asciiTheme="majorBidi" w:hAnsiTheme="majorBidi" w:cstheme="majorBidi"/>
        </w:rPr>
        <w:t>Thesing</w:t>
      </w:r>
      <w:proofErr w:type="spellEnd"/>
      <w:r w:rsidRPr="004C7092">
        <w:rPr>
          <w:rFonts w:asciiTheme="majorBidi" w:hAnsiTheme="majorBidi" w:cstheme="majorBidi"/>
        </w:rPr>
        <w:t xml:space="preserve"> (eds.), New York: Wiley-Blackwell publishing.</w:t>
      </w:r>
    </w:p>
    <w:p w14:paraId="060754B6"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Hall, Catherine (2000). “The Nation within and Without”, </w:t>
      </w:r>
      <w:r w:rsidRPr="004C7092">
        <w:rPr>
          <w:rFonts w:asciiTheme="majorBidi" w:hAnsiTheme="majorBidi" w:cstheme="majorBidi"/>
          <w:i/>
          <w:iCs/>
        </w:rPr>
        <w:t>Defining the Victorian Nation. Class, Race Gender, and the Reform Act of 1867</w:t>
      </w:r>
      <w:r w:rsidRPr="004C7092">
        <w:rPr>
          <w:rFonts w:asciiTheme="majorBidi" w:hAnsiTheme="majorBidi" w:cstheme="majorBidi"/>
        </w:rPr>
        <w:t>, Catherine Hall, Keith McClelland, Jane Rendall (eds.), Cambridge: Cambridge University Press.</w:t>
      </w:r>
    </w:p>
    <w:p w14:paraId="624985D5"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Hall, Stuart (1992). “The Question of Cultural Identity”, in </w:t>
      </w:r>
      <w:r w:rsidRPr="004C7092">
        <w:rPr>
          <w:rFonts w:asciiTheme="majorBidi" w:hAnsiTheme="majorBidi" w:cstheme="majorBidi"/>
          <w:i/>
          <w:iCs/>
        </w:rPr>
        <w:t>Modernity and its Futures</w:t>
      </w:r>
      <w:r w:rsidRPr="004C7092">
        <w:rPr>
          <w:rFonts w:asciiTheme="majorBidi" w:hAnsiTheme="majorBidi" w:cstheme="majorBidi"/>
        </w:rPr>
        <w:t xml:space="preserve"> Stuart Hall, David Held and Tony McGrew (eds.), Cambridge: Polity Press in association with the Open University.</w:t>
      </w:r>
    </w:p>
    <w:p w14:paraId="39A033AA"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Hastings, Adrian (2003). “The Clash of Nationalism and Universalism within Twentieth-Century Missionary Christianity”, Missions, Nationalism and the End of Empire, Brian Stanley (ed.), Grand Rapids Michigan, Cambridge UK: William B. </w:t>
      </w:r>
      <w:proofErr w:type="spellStart"/>
      <w:r w:rsidRPr="004C7092">
        <w:rPr>
          <w:rFonts w:asciiTheme="majorBidi" w:hAnsiTheme="majorBidi" w:cstheme="majorBidi"/>
        </w:rPr>
        <w:t>Eedermans</w:t>
      </w:r>
      <w:proofErr w:type="spellEnd"/>
      <w:r w:rsidRPr="004C7092">
        <w:rPr>
          <w:rFonts w:asciiTheme="majorBidi" w:hAnsiTheme="majorBidi" w:cstheme="majorBidi"/>
        </w:rPr>
        <w:t>.</w:t>
      </w:r>
    </w:p>
    <w:p w14:paraId="3ACDE5E0" w14:textId="77777777" w:rsidR="0075146A" w:rsidRPr="004C7092" w:rsidRDefault="0075146A" w:rsidP="004C7092">
      <w:pPr>
        <w:bidi w:val="0"/>
        <w:spacing w:line="480" w:lineRule="auto"/>
        <w:jc w:val="both"/>
        <w:rPr>
          <w:rFonts w:asciiTheme="majorBidi" w:hAnsiTheme="majorBidi" w:cstheme="majorBidi"/>
        </w:rPr>
      </w:pPr>
      <w:proofErr w:type="spellStart"/>
      <w:r w:rsidRPr="004C7092">
        <w:rPr>
          <w:rFonts w:asciiTheme="majorBidi" w:hAnsiTheme="majorBidi" w:cstheme="majorBidi"/>
        </w:rPr>
        <w:t>Heyck</w:t>
      </w:r>
      <w:proofErr w:type="spellEnd"/>
      <w:r w:rsidRPr="004C7092">
        <w:rPr>
          <w:rFonts w:asciiTheme="majorBidi" w:hAnsiTheme="majorBidi" w:cstheme="majorBidi"/>
        </w:rPr>
        <w:t xml:space="preserve">, Thomas William (1998). “Myths and Meanings of Intellectuals in Twentieth-Century British National Identity”, </w:t>
      </w:r>
      <w:r w:rsidRPr="004C7092">
        <w:rPr>
          <w:rFonts w:asciiTheme="majorBidi" w:hAnsiTheme="majorBidi" w:cstheme="majorBidi"/>
          <w:i/>
          <w:iCs/>
        </w:rPr>
        <w:t>The Journal of British Studies</w:t>
      </w:r>
      <w:r w:rsidRPr="004C7092">
        <w:rPr>
          <w:rFonts w:asciiTheme="majorBidi" w:hAnsiTheme="majorBidi" w:cstheme="majorBidi"/>
        </w:rPr>
        <w:t>, 37(2).</w:t>
      </w:r>
    </w:p>
    <w:p w14:paraId="07F88A63"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Howard, Thomas Albert (2006). “Review of Crisis of Doubt: Honest Faith in Nineteenth-Century England by Timothy Larsen (Oxford: Oxford University Press, 2006)”, </w:t>
      </w:r>
      <w:r w:rsidRPr="004C7092">
        <w:rPr>
          <w:rFonts w:asciiTheme="majorBidi" w:hAnsiTheme="majorBidi" w:cstheme="majorBidi"/>
          <w:i/>
          <w:iCs/>
        </w:rPr>
        <w:t>Journal of the American Academy of Religion</w:t>
      </w:r>
      <w:r w:rsidRPr="004C7092">
        <w:rPr>
          <w:rFonts w:asciiTheme="majorBidi" w:hAnsiTheme="majorBidi" w:cstheme="majorBidi"/>
        </w:rPr>
        <w:t xml:space="preserve">, 76 (March). </w:t>
      </w:r>
    </w:p>
    <w:p w14:paraId="64E19A6E"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Howe, Stephen (1993). </w:t>
      </w:r>
      <w:r w:rsidRPr="004C7092">
        <w:rPr>
          <w:rFonts w:asciiTheme="majorBidi" w:hAnsiTheme="majorBidi" w:cstheme="majorBidi"/>
          <w:i/>
          <w:iCs/>
        </w:rPr>
        <w:t>Anti-colonialism in British Politics: The Left and the End of Empire, 1918- 1964</w:t>
      </w:r>
      <w:r w:rsidRPr="004C7092">
        <w:rPr>
          <w:rFonts w:asciiTheme="majorBidi" w:hAnsiTheme="majorBidi" w:cstheme="majorBidi"/>
        </w:rPr>
        <w:t>, Oxford.</w:t>
      </w:r>
    </w:p>
    <w:p w14:paraId="3DEE5D14"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lastRenderedPageBreak/>
        <w:t xml:space="preserve">Howe, Stephen (2008). "Empire and Ideology", </w:t>
      </w:r>
      <w:r w:rsidRPr="004C7092">
        <w:rPr>
          <w:rFonts w:asciiTheme="majorBidi" w:hAnsiTheme="majorBidi" w:cstheme="majorBidi"/>
          <w:i/>
          <w:iCs/>
        </w:rPr>
        <w:t>The British Empire: Themes and Perspectives</w:t>
      </w:r>
      <w:r w:rsidRPr="004C7092">
        <w:rPr>
          <w:rFonts w:asciiTheme="majorBidi" w:hAnsiTheme="majorBidi" w:cstheme="majorBidi"/>
        </w:rPr>
        <w:t xml:space="preserve">, Sarah </w:t>
      </w:r>
      <w:proofErr w:type="spellStart"/>
      <w:r w:rsidRPr="004C7092">
        <w:rPr>
          <w:rFonts w:asciiTheme="majorBidi" w:hAnsiTheme="majorBidi" w:cstheme="majorBidi"/>
        </w:rPr>
        <w:t>Stockwell</w:t>
      </w:r>
      <w:proofErr w:type="spellEnd"/>
      <w:r w:rsidRPr="004C7092">
        <w:rPr>
          <w:rFonts w:asciiTheme="majorBidi" w:hAnsiTheme="majorBidi" w:cstheme="majorBidi"/>
        </w:rPr>
        <w:t xml:space="preserve"> (ed.), Oxford: Blackwell, 157-177.</w:t>
      </w:r>
    </w:p>
    <w:p w14:paraId="7C75B06A" w14:textId="77777777" w:rsidR="0075146A" w:rsidRPr="004C7092" w:rsidRDefault="0075146A" w:rsidP="004C7092">
      <w:pPr>
        <w:bidi w:val="0"/>
        <w:spacing w:line="480" w:lineRule="auto"/>
        <w:jc w:val="both"/>
        <w:rPr>
          <w:rFonts w:asciiTheme="majorBidi" w:hAnsiTheme="majorBidi" w:cstheme="majorBidi"/>
          <w:rtl/>
        </w:rPr>
      </w:pPr>
      <w:r w:rsidRPr="004C7092">
        <w:rPr>
          <w:rFonts w:asciiTheme="majorBidi" w:hAnsiTheme="majorBidi" w:cstheme="majorBidi"/>
        </w:rPr>
        <w:t xml:space="preserve">Hutchinson, John, Reynolds, Susan, Smith, Anthony D., Colls, Robert, and Kumar, Krishan (2007). "Debate on Krishan Kumar’s The Making of English National Identity", </w:t>
      </w:r>
      <w:r w:rsidRPr="004C7092">
        <w:rPr>
          <w:rFonts w:asciiTheme="majorBidi" w:hAnsiTheme="majorBidi" w:cstheme="majorBidi"/>
          <w:i/>
          <w:iCs/>
        </w:rPr>
        <w:t>Nations and Nationalism</w:t>
      </w:r>
      <w:r w:rsidRPr="004C7092">
        <w:rPr>
          <w:rFonts w:asciiTheme="majorBidi" w:hAnsiTheme="majorBidi" w:cstheme="majorBidi"/>
        </w:rPr>
        <w:t>, 13(2)</w:t>
      </w:r>
    </w:p>
    <w:p w14:paraId="49FDBEC7"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Israel, Jonathan (2006). </w:t>
      </w:r>
      <w:r w:rsidRPr="004C7092">
        <w:rPr>
          <w:rFonts w:asciiTheme="majorBidi" w:hAnsiTheme="majorBidi" w:cstheme="majorBidi"/>
          <w:i/>
          <w:iCs/>
        </w:rPr>
        <w:t>Enlightenment Contested: Philosophy, Modernity, and the Emancipation of Man 1670-1752,</w:t>
      </w:r>
      <w:r w:rsidRPr="004C7092">
        <w:rPr>
          <w:rFonts w:asciiTheme="majorBidi" w:hAnsiTheme="majorBidi" w:cstheme="majorBidi"/>
        </w:rPr>
        <w:t xml:space="preserve"> Oxford: Oxford University Press. </w:t>
      </w:r>
    </w:p>
    <w:p w14:paraId="268CC444"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Jenkins, D. T. (1975). </w:t>
      </w:r>
      <w:r w:rsidRPr="004C7092">
        <w:rPr>
          <w:rFonts w:asciiTheme="majorBidi" w:hAnsiTheme="majorBidi" w:cstheme="majorBidi"/>
          <w:i/>
          <w:iCs/>
        </w:rPr>
        <w:t>The British: Their Identity and Their Religion</w:t>
      </w:r>
      <w:r w:rsidRPr="004C7092">
        <w:rPr>
          <w:rFonts w:asciiTheme="majorBidi" w:hAnsiTheme="majorBidi" w:cstheme="majorBidi"/>
        </w:rPr>
        <w:t>, London</w:t>
      </w:r>
    </w:p>
    <w:p w14:paraId="49BD9D1C" w14:textId="77777777" w:rsidR="0075146A" w:rsidRPr="004C7092" w:rsidRDefault="0075146A" w:rsidP="004C7092">
      <w:pPr>
        <w:bidi w:val="0"/>
        <w:spacing w:line="480" w:lineRule="auto"/>
        <w:jc w:val="both"/>
        <w:rPr>
          <w:rFonts w:asciiTheme="majorBidi" w:hAnsiTheme="majorBidi" w:cstheme="majorBidi"/>
        </w:rPr>
      </w:pPr>
      <w:proofErr w:type="spellStart"/>
      <w:r w:rsidRPr="004C7092">
        <w:rPr>
          <w:rFonts w:asciiTheme="majorBidi" w:hAnsiTheme="majorBidi" w:cstheme="majorBidi"/>
        </w:rPr>
        <w:t>Kendle</w:t>
      </w:r>
      <w:proofErr w:type="spellEnd"/>
      <w:r w:rsidRPr="004C7092">
        <w:rPr>
          <w:rFonts w:asciiTheme="majorBidi" w:hAnsiTheme="majorBidi" w:cstheme="majorBidi"/>
        </w:rPr>
        <w:t xml:space="preserve">, John (1989). </w:t>
      </w:r>
      <w:r w:rsidRPr="004C7092">
        <w:rPr>
          <w:rFonts w:asciiTheme="majorBidi" w:hAnsiTheme="majorBidi" w:cstheme="majorBidi"/>
          <w:i/>
          <w:iCs/>
        </w:rPr>
        <w:t>Ireland and the Federal Solution: The Debate over the United Kingdom Constitution, 1870-1921</w:t>
      </w:r>
      <w:r w:rsidRPr="004C7092">
        <w:rPr>
          <w:rFonts w:asciiTheme="majorBidi" w:hAnsiTheme="majorBidi" w:cstheme="majorBidi"/>
        </w:rPr>
        <w:t>, Buffalo, N.Y.: McGill-Queen's University Press.</w:t>
      </w:r>
    </w:p>
    <w:p w14:paraId="0A411757"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Kotler-Berkowitz, Laurence A. (2001). “Religion and Voting </w:t>
      </w:r>
      <w:proofErr w:type="spellStart"/>
      <w:r w:rsidRPr="004C7092">
        <w:rPr>
          <w:rFonts w:asciiTheme="majorBidi" w:hAnsiTheme="majorBidi" w:cstheme="majorBidi"/>
        </w:rPr>
        <w:t>Behaviour</w:t>
      </w:r>
      <w:proofErr w:type="spellEnd"/>
      <w:r w:rsidRPr="004C7092">
        <w:rPr>
          <w:rFonts w:asciiTheme="majorBidi" w:hAnsiTheme="majorBidi" w:cstheme="majorBidi"/>
        </w:rPr>
        <w:t xml:space="preserve"> in Great Britain: A Reassessment”, </w:t>
      </w:r>
      <w:r w:rsidRPr="004C7092">
        <w:rPr>
          <w:rFonts w:asciiTheme="majorBidi" w:hAnsiTheme="majorBidi" w:cstheme="majorBidi"/>
          <w:i/>
          <w:iCs/>
        </w:rPr>
        <w:t>British Journal of Political Studies</w:t>
      </w:r>
      <w:r w:rsidRPr="004C7092">
        <w:rPr>
          <w:rFonts w:asciiTheme="majorBidi" w:hAnsiTheme="majorBidi" w:cstheme="majorBidi"/>
        </w:rPr>
        <w:t>, 31: 523–554.</w:t>
      </w:r>
    </w:p>
    <w:p w14:paraId="7E290D37"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Kuhn, William M. (1987). “Ceremony and Politics: The British Monarchy, 1871-1872”, </w:t>
      </w:r>
      <w:r w:rsidRPr="004C7092">
        <w:rPr>
          <w:rFonts w:asciiTheme="majorBidi" w:hAnsiTheme="majorBidi" w:cstheme="majorBidi"/>
          <w:i/>
          <w:iCs/>
        </w:rPr>
        <w:t>Journal of British Studies</w:t>
      </w:r>
      <w:r w:rsidRPr="004C7092">
        <w:rPr>
          <w:rFonts w:asciiTheme="majorBidi" w:hAnsiTheme="majorBidi" w:cstheme="majorBidi"/>
        </w:rPr>
        <w:t>, 26(2):</w:t>
      </w:r>
      <w:r w:rsidRPr="004C7092">
        <w:rPr>
          <w:rtl/>
        </w:rPr>
        <w:t xml:space="preserve"> </w:t>
      </w:r>
      <w:r w:rsidRPr="004C7092">
        <w:rPr>
          <w:rFonts w:asciiTheme="majorBidi" w:hAnsiTheme="majorBidi"/>
          <w:rtl/>
        </w:rPr>
        <w:t>133-162</w:t>
      </w:r>
      <w:r w:rsidRPr="004C7092">
        <w:rPr>
          <w:rFonts w:asciiTheme="majorBidi" w:hAnsiTheme="majorBidi" w:cstheme="majorBidi"/>
        </w:rPr>
        <w:t>.</w:t>
      </w:r>
    </w:p>
    <w:p w14:paraId="07ECE20F"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Kumar, Krishan (2000). “Nation and Empire: English and British National Identity in Comparative Perspective”, </w:t>
      </w:r>
      <w:r w:rsidRPr="004C7092">
        <w:rPr>
          <w:rFonts w:asciiTheme="majorBidi" w:hAnsiTheme="majorBidi" w:cstheme="majorBidi"/>
          <w:i/>
          <w:iCs/>
        </w:rPr>
        <w:t>Theory and Society</w:t>
      </w:r>
      <w:r w:rsidRPr="004C7092">
        <w:rPr>
          <w:rFonts w:asciiTheme="majorBidi" w:hAnsiTheme="majorBidi" w:cstheme="majorBidi"/>
        </w:rPr>
        <w:t>, 29(5)</w:t>
      </w:r>
    </w:p>
    <w:p w14:paraId="25A8FC4B"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Kumar, Krishan (2006). “English and French National Identity: Comparisons and Contrasts”, Nations and Nationalism, 12 (3).</w:t>
      </w:r>
    </w:p>
    <w:p w14:paraId="5EE38E7A"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Kumar, Krishnan (2001). “’Englishness and English National Identity”, D. </w:t>
      </w:r>
      <w:proofErr w:type="spellStart"/>
      <w:r w:rsidRPr="004C7092">
        <w:rPr>
          <w:rFonts w:asciiTheme="majorBidi" w:hAnsiTheme="majorBidi" w:cstheme="majorBidi"/>
        </w:rPr>
        <w:t>Morely</w:t>
      </w:r>
      <w:proofErr w:type="spellEnd"/>
      <w:r w:rsidRPr="004C7092">
        <w:rPr>
          <w:rFonts w:asciiTheme="majorBidi" w:hAnsiTheme="majorBidi" w:cstheme="majorBidi"/>
        </w:rPr>
        <w:t xml:space="preserve"> and K. Robins, British Cultural Studies, New York: Oxford University Press, </w:t>
      </w:r>
      <w:r w:rsidRPr="004C7092">
        <w:t>41-55</w:t>
      </w:r>
    </w:p>
    <w:p w14:paraId="0BBD1738"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Kushner, Tony (1992). “Heritage and Ethnicity: An Introduction”, </w:t>
      </w:r>
      <w:r w:rsidRPr="004C7092">
        <w:rPr>
          <w:rFonts w:asciiTheme="majorBidi" w:hAnsiTheme="majorBidi" w:cstheme="majorBidi"/>
          <w:i/>
          <w:iCs/>
        </w:rPr>
        <w:t>The Jewish Heritage in British History: Englishness and Jewishness</w:t>
      </w:r>
      <w:r w:rsidRPr="004C7092">
        <w:rPr>
          <w:rFonts w:asciiTheme="majorBidi" w:hAnsiTheme="majorBidi" w:cstheme="majorBidi"/>
        </w:rPr>
        <w:t>, Tony Kushner (ed.), London: Frank Cass.</w:t>
      </w:r>
    </w:p>
    <w:p w14:paraId="0DC2F330"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Lang, Cosmo, Archbishop of Canterbury (1913), </w:t>
      </w:r>
      <w:r w:rsidRPr="004C7092">
        <w:rPr>
          <w:rFonts w:asciiTheme="majorBidi" w:hAnsiTheme="majorBidi" w:cstheme="majorBidi"/>
          <w:i/>
          <w:iCs/>
        </w:rPr>
        <w:t xml:space="preserve">HL Deb </w:t>
      </w:r>
      <w:r w:rsidRPr="004C7092">
        <w:rPr>
          <w:rFonts w:asciiTheme="majorBidi" w:hAnsiTheme="majorBidi" w:cstheme="majorBidi"/>
        </w:rPr>
        <w:t>12 February, 13,</w:t>
      </w:r>
      <w:r w:rsidRPr="004C7092">
        <w:rPr>
          <w:rFonts w:asciiTheme="majorBidi" w:hAnsiTheme="majorBidi" w:cstheme="majorBidi"/>
          <w:i/>
          <w:iCs/>
        </w:rPr>
        <w:t xml:space="preserve"> </w:t>
      </w:r>
      <w:r w:rsidRPr="004C7092">
        <w:rPr>
          <w:rFonts w:asciiTheme="majorBidi" w:hAnsiTheme="majorBidi" w:cstheme="majorBidi"/>
        </w:rPr>
        <w:t>cc1109-228</w:t>
      </w:r>
    </w:p>
    <w:p w14:paraId="0AF8391B"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Larsen, Timothy (2001). “The Regaining of Faith: Reconversions among Popular Radicals in Mid-Victorian England”, </w:t>
      </w:r>
      <w:r w:rsidRPr="004C7092">
        <w:rPr>
          <w:rFonts w:asciiTheme="majorBidi" w:hAnsiTheme="majorBidi" w:cstheme="majorBidi"/>
          <w:i/>
          <w:iCs/>
        </w:rPr>
        <w:t>Church History</w:t>
      </w:r>
      <w:r w:rsidRPr="004C7092">
        <w:rPr>
          <w:rFonts w:asciiTheme="majorBidi" w:hAnsiTheme="majorBidi" w:cstheme="majorBidi"/>
        </w:rPr>
        <w:t>, 70 (3).</w:t>
      </w:r>
    </w:p>
    <w:p w14:paraId="6FB36AEA"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lastRenderedPageBreak/>
        <w:t xml:space="preserve">Larsen, Timothy (2006). </w:t>
      </w:r>
      <w:r w:rsidRPr="004C7092">
        <w:rPr>
          <w:rFonts w:asciiTheme="majorBidi" w:hAnsiTheme="majorBidi" w:cstheme="majorBidi"/>
          <w:i/>
          <w:iCs/>
        </w:rPr>
        <w:t>Crisis of Doubt: Honest Faith in Nineteenth-Century England</w:t>
      </w:r>
      <w:r w:rsidRPr="004C7092">
        <w:rPr>
          <w:rFonts w:asciiTheme="majorBidi" w:hAnsiTheme="majorBidi" w:cstheme="majorBidi"/>
        </w:rPr>
        <w:t>, Oxford, Oxford University Press</w:t>
      </w:r>
    </w:p>
    <w:p w14:paraId="3CFCDE10"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Machin, G. I. T. (1982). “The Last Victorian Anti-Ritualist Campaign, 1895-1906”, Victorian Studies, vol. 25(3):</w:t>
      </w:r>
      <w:r w:rsidRPr="004C7092">
        <w:rPr>
          <w:rtl/>
        </w:rPr>
        <w:t xml:space="preserve"> </w:t>
      </w:r>
      <w:r w:rsidRPr="004C7092">
        <w:rPr>
          <w:rFonts w:asciiTheme="majorBidi" w:hAnsiTheme="majorBidi"/>
          <w:rtl/>
        </w:rPr>
        <w:t>277-302</w:t>
      </w:r>
      <w:r w:rsidRPr="004C7092">
        <w:rPr>
          <w:rFonts w:asciiTheme="majorBidi" w:hAnsiTheme="majorBidi" w:cstheme="majorBidi"/>
        </w:rPr>
        <w:t>.</w:t>
      </w:r>
    </w:p>
    <w:p w14:paraId="5BCA11E9"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Mackenzie, John M. (1986). “Introduction”, </w:t>
      </w:r>
      <w:r w:rsidRPr="004C7092">
        <w:rPr>
          <w:rFonts w:asciiTheme="majorBidi" w:hAnsiTheme="majorBidi" w:cstheme="majorBidi"/>
          <w:i/>
          <w:iCs/>
        </w:rPr>
        <w:t>Imperialism and Popular Culture</w:t>
      </w:r>
      <w:r w:rsidRPr="004C7092">
        <w:rPr>
          <w:rFonts w:asciiTheme="majorBidi" w:hAnsiTheme="majorBidi" w:cstheme="majorBidi"/>
        </w:rPr>
        <w:t>, John M. Mackenzie (ed.), Manchester: Manchester University Press.</w:t>
      </w:r>
    </w:p>
    <w:p w14:paraId="721E09C2"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Maine, Sir Henry (1875). “The Effects of Observation of India on Modern European Thought” Cambridge: The Rede Lecture.</w:t>
      </w:r>
    </w:p>
    <w:p w14:paraId="056949D2"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Majeed, </w:t>
      </w:r>
      <w:proofErr w:type="spellStart"/>
      <w:r w:rsidRPr="004C7092">
        <w:rPr>
          <w:rFonts w:asciiTheme="majorBidi" w:hAnsiTheme="majorBidi" w:cstheme="majorBidi"/>
        </w:rPr>
        <w:t>Javed</w:t>
      </w:r>
      <w:proofErr w:type="spellEnd"/>
      <w:r w:rsidRPr="004C7092">
        <w:rPr>
          <w:rFonts w:asciiTheme="majorBidi" w:hAnsiTheme="majorBidi" w:cstheme="majorBidi"/>
        </w:rPr>
        <w:t xml:space="preserve"> (1992). </w:t>
      </w:r>
      <w:r w:rsidRPr="004C7092">
        <w:rPr>
          <w:rFonts w:asciiTheme="majorBidi" w:hAnsiTheme="majorBidi" w:cstheme="majorBidi"/>
          <w:i/>
          <w:iCs/>
        </w:rPr>
        <w:t>Ungoverned Imaginings. James Mill’s the History of British India and Orientalism</w:t>
      </w:r>
      <w:r w:rsidRPr="004C7092">
        <w:rPr>
          <w:rFonts w:asciiTheme="majorBidi" w:hAnsiTheme="majorBidi" w:cstheme="majorBidi"/>
        </w:rPr>
        <w:t>, Oxford: Clarendon Press</w:t>
      </w:r>
    </w:p>
    <w:p w14:paraId="3341B7F6" w14:textId="77777777" w:rsidR="0075146A" w:rsidRPr="004C7092" w:rsidRDefault="0075146A" w:rsidP="004C7092">
      <w:pPr>
        <w:bidi w:val="0"/>
        <w:spacing w:line="480" w:lineRule="auto"/>
        <w:jc w:val="both"/>
        <w:rPr>
          <w:rFonts w:asciiTheme="majorBidi" w:hAnsiTheme="majorBidi" w:cstheme="majorBidi"/>
        </w:rPr>
      </w:pPr>
      <w:proofErr w:type="spellStart"/>
      <w:r w:rsidRPr="004C7092">
        <w:rPr>
          <w:rFonts w:asciiTheme="majorBidi" w:hAnsiTheme="majorBidi" w:cstheme="majorBidi"/>
        </w:rPr>
        <w:t>Mandler</w:t>
      </w:r>
      <w:proofErr w:type="spellEnd"/>
      <w:r w:rsidRPr="004C7092">
        <w:rPr>
          <w:rFonts w:asciiTheme="majorBidi" w:hAnsiTheme="majorBidi" w:cstheme="majorBidi"/>
        </w:rPr>
        <w:t xml:space="preserve">, Peter (2000). “’Race’ and ‘Nation’' in Mid Victorian Thought", in </w:t>
      </w:r>
      <w:r w:rsidRPr="004C7092">
        <w:rPr>
          <w:rFonts w:asciiTheme="majorBidi" w:hAnsiTheme="majorBidi" w:cstheme="majorBidi"/>
          <w:i/>
          <w:iCs/>
        </w:rPr>
        <w:t>History, Religion and Culture: British Intellectual History 1750-1959</w:t>
      </w:r>
      <w:r w:rsidRPr="004C7092">
        <w:rPr>
          <w:rFonts w:asciiTheme="majorBidi" w:hAnsiTheme="majorBidi" w:cstheme="majorBidi"/>
        </w:rPr>
        <w:t xml:space="preserve">, Stefan </w:t>
      </w:r>
      <w:proofErr w:type="spellStart"/>
      <w:r w:rsidRPr="004C7092">
        <w:rPr>
          <w:rFonts w:asciiTheme="majorBidi" w:hAnsiTheme="majorBidi" w:cstheme="majorBidi"/>
        </w:rPr>
        <w:t>Collini</w:t>
      </w:r>
      <w:proofErr w:type="spellEnd"/>
      <w:r w:rsidRPr="004C7092">
        <w:rPr>
          <w:rFonts w:asciiTheme="majorBidi" w:hAnsiTheme="majorBidi" w:cstheme="majorBidi"/>
        </w:rPr>
        <w:t xml:space="preserve">, Richard </w:t>
      </w:r>
      <w:proofErr w:type="spellStart"/>
      <w:r w:rsidRPr="004C7092">
        <w:rPr>
          <w:rFonts w:asciiTheme="majorBidi" w:hAnsiTheme="majorBidi" w:cstheme="majorBidi"/>
        </w:rPr>
        <w:t>Whatmore</w:t>
      </w:r>
      <w:proofErr w:type="spellEnd"/>
      <w:r w:rsidRPr="004C7092">
        <w:rPr>
          <w:rFonts w:asciiTheme="majorBidi" w:hAnsiTheme="majorBidi" w:cstheme="majorBidi"/>
        </w:rPr>
        <w:t>, Brian Young (eds.), Cambridge UK, NY: Cambridge University Press.</w:t>
      </w:r>
    </w:p>
    <w:p w14:paraId="7B3B1475" w14:textId="77777777" w:rsidR="0075146A" w:rsidRPr="004C7092" w:rsidRDefault="0075146A" w:rsidP="004C7092">
      <w:pPr>
        <w:bidi w:val="0"/>
        <w:spacing w:line="480" w:lineRule="auto"/>
        <w:jc w:val="both"/>
        <w:rPr>
          <w:rFonts w:asciiTheme="majorBidi" w:hAnsiTheme="majorBidi" w:cstheme="majorBidi"/>
        </w:rPr>
      </w:pPr>
      <w:proofErr w:type="spellStart"/>
      <w:r w:rsidRPr="004C7092">
        <w:rPr>
          <w:rFonts w:asciiTheme="majorBidi" w:hAnsiTheme="majorBidi" w:cstheme="majorBidi"/>
        </w:rPr>
        <w:t>Mandler</w:t>
      </w:r>
      <w:proofErr w:type="spellEnd"/>
      <w:r w:rsidRPr="004C7092">
        <w:rPr>
          <w:rFonts w:asciiTheme="majorBidi" w:hAnsiTheme="majorBidi" w:cstheme="majorBidi"/>
        </w:rPr>
        <w:t xml:space="preserve">, Peter (2006). “What is ‘National Identity’? Definitions and Applications in Modern British Historiography”, </w:t>
      </w:r>
      <w:r w:rsidRPr="004C7092">
        <w:rPr>
          <w:rFonts w:asciiTheme="majorBidi" w:hAnsiTheme="majorBidi" w:cstheme="majorBidi"/>
          <w:i/>
          <w:iCs/>
        </w:rPr>
        <w:t>Modern Intellectual History</w:t>
      </w:r>
      <w:r w:rsidRPr="004C7092">
        <w:rPr>
          <w:rFonts w:asciiTheme="majorBidi" w:hAnsiTheme="majorBidi" w:cstheme="majorBidi"/>
        </w:rPr>
        <w:t>, 3(2).</w:t>
      </w:r>
    </w:p>
    <w:p w14:paraId="248CC045" w14:textId="77777777" w:rsidR="0075146A" w:rsidRPr="004C7092" w:rsidRDefault="0075146A" w:rsidP="004C7092">
      <w:pPr>
        <w:bidi w:val="0"/>
        <w:spacing w:line="480" w:lineRule="auto"/>
        <w:jc w:val="both"/>
        <w:rPr>
          <w:rFonts w:asciiTheme="majorBidi" w:hAnsiTheme="majorBidi" w:cstheme="majorBidi"/>
        </w:rPr>
      </w:pPr>
      <w:proofErr w:type="spellStart"/>
      <w:r w:rsidRPr="004C7092">
        <w:rPr>
          <w:rFonts w:asciiTheme="majorBidi" w:hAnsiTheme="majorBidi" w:cstheme="majorBidi"/>
        </w:rPr>
        <w:t>Marrin</w:t>
      </w:r>
      <w:proofErr w:type="spellEnd"/>
      <w:r w:rsidRPr="004C7092">
        <w:rPr>
          <w:rFonts w:asciiTheme="majorBidi" w:hAnsiTheme="majorBidi" w:cstheme="majorBidi"/>
        </w:rPr>
        <w:t xml:space="preserve">, Albert (1974). </w:t>
      </w:r>
      <w:r w:rsidRPr="004C7092">
        <w:rPr>
          <w:rFonts w:asciiTheme="majorBidi" w:hAnsiTheme="majorBidi" w:cstheme="majorBidi"/>
          <w:i/>
          <w:iCs/>
        </w:rPr>
        <w:t>The Last Crusade. The Church of England in the First World War</w:t>
      </w:r>
      <w:r w:rsidRPr="004C7092">
        <w:rPr>
          <w:rFonts w:asciiTheme="majorBidi" w:hAnsiTheme="majorBidi" w:cstheme="majorBidi"/>
        </w:rPr>
        <w:t>, Durham: Duke University Press North Carolina.</w:t>
      </w:r>
    </w:p>
    <w:p w14:paraId="46B8E2F8" w14:textId="77777777" w:rsidR="0075146A" w:rsidRPr="004C7092" w:rsidRDefault="0075146A" w:rsidP="004C7092">
      <w:pPr>
        <w:bidi w:val="0"/>
        <w:spacing w:line="480" w:lineRule="auto"/>
        <w:jc w:val="both"/>
        <w:rPr>
          <w:rFonts w:asciiTheme="majorBidi" w:hAnsiTheme="majorBidi" w:cstheme="majorBidi"/>
        </w:rPr>
      </w:pPr>
      <w:proofErr w:type="spellStart"/>
      <w:r w:rsidRPr="004C7092">
        <w:rPr>
          <w:rFonts w:asciiTheme="majorBidi" w:hAnsiTheme="majorBidi" w:cstheme="majorBidi"/>
        </w:rPr>
        <w:t>Matikkala</w:t>
      </w:r>
      <w:proofErr w:type="spellEnd"/>
      <w:r w:rsidRPr="004C7092">
        <w:rPr>
          <w:rFonts w:asciiTheme="majorBidi" w:hAnsiTheme="majorBidi" w:cstheme="majorBidi"/>
        </w:rPr>
        <w:t xml:space="preserve">, Mira (2011). </w:t>
      </w:r>
      <w:r w:rsidRPr="004C7092">
        <w:rPr>
          <w:rFonts w:asciiTheme="majorBidi" w:hAnsiTheme="majorBidi" w:cstheme="majorBidi"/>
          <w:i/>
          <w:iCs/>
        </w:rPr>
        <w:t xml:space="preserve">Empire and Imperial Ambition: Liberty, Englishness and Anti-Imperialism in Late-Victorian Britain </w:t>
      </w:r>
      <w:r w:rsidRPr="004C7092">
        <w:rPr>
          <w:rFonts w:asciiTheme="majorBidi" w:hAnsiTheme="majorBidi" w:cstheme="majorBidi"/>
        </w:rPr>
        <w:t>(London and New York: I. B. Tauris.</w:t>
      </w:r>
    </w:p>
    <w:p w14:paraId="3DE81E02"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McLeod, Hugh (1996). </w:t>
      </w:r>
      <w:r w:rsidRPr="004C7092">
        <w:rPr>
          <w:rFonts w:asciiTheme="majorBidi" w:hAnsiTheme="majorBidi" w:cstheme="majorBidi"/>
          <w:i/>
          <w:iCs/>
        </w:rPr>
        <w:t>Religion and Society in England, 1850-1914</w:t>
      </w:r>
      <w:r w:rsidRPr="004C7092">
        <w:rPr>
          <w:rFonts w:asciiTheme="majorBidi" w:hAnsiTheme="majorBidi" w:cstheme="majorBidi"/>
        </w:rPr>
        <w:t>, NY: St. Martin's Press.</w:t>
      </w:r>
    </w:p>
    <w:p w14:paraId="0CD40B5F"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McLeod, Hugh (2007). </w:t>
      </w:r>
      <w:r w:rsidRPr="004C7092">
        <w:rPr>
          <w:rFonts w:asciiTheme="majorBidi" w:hAnsiTheme="majorBidi" w:cstheme="majorBidi"/>
          <w:i/>
          <w:iCs/>
        </w:rPr>
        <w:t>The Religious Crisis of the 1960s</w:t>
      </w:r>
      <w:r w:rsidRPr="004C7092">
        <w:rPr>
          <w:rFonts w:asciiTheme="majorBidi" w:hAnsiTheme="majorBidi" w:cstheme="majorBidi"/>
        </w:rPr>
        <w:t>, Oxford: Oxford University Press.</w:t>
      </w:r>
    </w:p>
    <w:p w14:paraId="3DC4EA6B"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Mehta, Uday Singh (1999). </w:t>
      </w:r>
      <w:r w:rsidRPr="004C7092">
        <w:rPr>
          <w:rFonts w:asciiTheme="majorBidi" w:hAnsiTheme="majorBidi" w:cstheme="majorBidi"/>
          <w:i/>
          <w:iCs/>
        </w:rPr>
        <w:t>Liberalism and Empire: A Study in Nineteenth-Century British Social Thought</w:t>
      </w:r>
      <w:r w:rsidRPr="004C7092">
        <w:rPr>
          <w:rFonts w:asciiTheme="majorBidi" w:hAnsiTheme="majorBidi" w:cstheme="majorBidi"/>
        </w:rPr>
        <w:t>, Chicago: The University of Chicago Press</w:t>
      </w:r>
    </w:p>
    <w:p w14:paraId="4661D979"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Metcalf, Thomas R. (1995). </w:t>
      </w:r>
      <w:r w:rsidRPr="004C7092">
        <w:rPr>
          <w:rFonts w:asciiTheme="majorBidi" w:hAnsiTheme="majorBidi" w:cstheme="majorBidi"/>
          <w:i/>
          <w:iCs/>
        </w:rPr>
        <w:t>Ideologies of the Raj</w:t>
      </w:r>
      <w:r w:rsidRPr="004C7092">
        <w:rPr>
          <w:rFonts w:asciiTheme="majorBidi" w:hAnsiTheme="majorBidi" w:cstheme="majorBidi"/>
        </w:rPr>
        <w:t>, Cambridge: Cambridge University Press.</w:t>
      </w:r>
    </w:p>
    <w:p w14:paraId="4C0FE4BD" w14:textId="77777777" w:rsidR="0075146A" w:rsidRPr="004C7092" w:rsidRDefault="0075146A" w:rsidP="004C7092">
      <w:pPr>
        <w:bidi w:val="0"/>
        <w:spacing w:line="480" w:lineRule="auto"/>
        <w:jc w:val="both"/>
        <w:rPr>
          <w:rFonts w:asciiTheme="majorBidi" w:hAnsiTheme="majorBidi" w:cstheme="majorBidi"/>
          <w:rtl/>
        </w:rPr>
      </w:pPr>
      <w:r w:rsidRPr="004C7092">
        <w:rPr>
          <w:rFonts w:asciiTheme="majorBidi" w:hAnsiTheme="majorBidi" w:cstheme="majorBidi"/>
        </w:rPr>
        <w:t xml:space="preserve">Morris, Jeremy (2005). </w:t>
      </w:r>
      <w:r w:rsidRPr="004C7092">
        <w:rPr>
          <w:rFonts w:asciiTheme="majorBidi" w:hAnsiTheme="majorBidi" w:cstheme="majorBidi"/>
          <w:i/>
          <w:iCs/>
        </w:rPr>
        <w:t>F D Maurice and the Crisis of Christian Authority</w:t>
      </w:r>
      <w:r w:rsidRPr="004C7092">
        <w:rPr>
          <w:rFonts w:asciiTheme="majorBidi" w:hAnsiTheme="majorBidi" w:cstheme="majorBidi"/>
        </w:rPr>
        <w:t>, (2003) Oxford: OUP</w:t>
      </w:r>
      <w:r w:rsidRPr="004C7092">
        <w:rPr>
          <w:rFonts w:asciiTheme="majorBidi" w:hAnsiTheme="majorBidi" w:cstheme="majorBidi"/>
          <w:rtl/>
        </w:rPr>
        <w:t>ץ</w:t>
      </w:r>
    </w:p>
    <w:p w14:paraId="18C71016" w14:textId="77777777" w:rsidR="0075146A" w:rsidRPr="004C7092" w:rsidRDefault="0075146A" w:rsidP="004C7092">
      <w:pPr>
        <w:bidi w:val="0"/>
        <w:spacing w:line="480" w:lineRule="auto"/>
        <w:jc w:val="both"/>
        <w:rPr>
          <w:rFonts w:asciiTheme="majorBidi" w:hAnsiTheme="majorBidi" w:cstheme="majorBidi"/>
        </w:rPr>
      </w:pPr>
      <w:proofErr w:type="spellStart"/>
      <w:r w:rsidRPr="004C7092">
        <w:rPr>
          <w:rFonts w:asciiTheme="majorBidi" w:hAnsiTheme="majorBidi" w:cstheme="majorBidi"/>
        </w:rPr>
        <w:lastRenderedPageBreak/>
        <w:t>Nairn</w:t>
      </w:r>
      <w:proofErr w:type="spellEnd"/>
      <w:r w:rsidRPr="004C7092">
        <w:rPr>
          <w:rFonts w:asciiTheme="majorBidi" w:hAnsiTheme="majorBidi" w:cstheme="majorBidi"/>
        </w:rPr>
        <w:t xml:space="preserve">, Tom (1977). </w:t>
      </w:r>
      <w:r w:rsidRPr="004C7092">
        <w:rPr>
          <w:rFonts w:asciiTheme="majorBidi" w:hAnsiTheme="majorBidi" w:cstheme="majorBidi"/>
          <w:i/>
          <w:iCs/>
        </w:rPr>
        <w:t>The Break-up of Britain: Crisis and Neo-Nationalism</w:t>
      </w:r>
      <w:r w:rsidRPr="004C7092">
        <w:rPr>
          <w:rFonts w:asciiTheme="majorBidi" w:hAnsiTheme="majorBidi" w:cstheme="majorBidi"/>
        </w:rPr>
        <w:t>, London: NLB.</w:t>
      </w:r>
    </w:p>
    <w:p w14:paraId="27C0E546"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Panayi, </w:t>
      </w:r>
      <w:proofErr w:type="spellStart"/>
      <w:r w:rsidRPr="004C7092">
        <w:rPr>
          <w:rFonts w:asciiTheme="majorBidi" w:hAnsiTheme="majorBidi" w:cstheme="majorBidi"/>
        </w:rPr>
        <w:t>Panikos</w:t>
      </w:r>
      <w:proofErr w:type="spellEnd"/>
      <w:r w:rsidRPr="004C7092">
        <w:rPr>
          <w:rFonts w:asciiTheme="majorBidi" w:hAnsiTheme="majorBidi" w:cstheme="majorBidi"/>
        </w:rPr>
        <w:t xml:space="preserve"> (1996). “Anti-immigrant Riots in Nineteenth- and Twentieth-century Britain”, </w:t>
      </w:r>
      <w:r w:rsidRPr="004C7092">
        <w:rPr>
          <w:rFonts w:asciiTheme="majorBidi" w:hAnsiTheme="majorBidi" w:cstheme="majorBidi"/>
          <w:i/>
          <w:iCs/>
        </w:rPr>
        <w:t>Racial Violence in Britain in the Nineteenth and Twentieth Centuries</w:t>
      </w:r>
      <w:r w:rsidRPr="004C7092">
        <w:rPr>
          <w:rFonts w:asciiTheme="majorBidi" w:hAnsiTheme="majorBidi" w:cstheme="majorBidi"/>
        </w:rPr>
        <w:t xml:space="preserve">, </w:t>
      </w:r>
      <w:proofErr w:type="spellStart"/>
      <w:r w:rsidRPr="004C7092">
        <w:rPr>
          <w:rFonts w:asciiTheme="majorBidi" w:hAnsiTheme="majorBidi" w:cstheme="majorBidi"/>
        </w:rPr>
        <w:t>Panikos</w:t>
      </w:r>
      <w:proofErr w:type="spellEnd"/>
      <w:r w:rsidRPr="004C7092">
        <w:rPr>
          <w:rFonts w:asciiTheme="majorBidi" w:hAnsiTheme="majorBidi" w:cstheme="majorBidi"/>
        </w:rPr>
        <w:t xml:space="preserve"> Panayi (ed.).</w:t>
      </w:r>
    </w:p>
    <w:p w14:paraId="2E287AA2"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Parry, Jonathan (2006). </w:t>
      </w:r>
      <w:r w:rsidRPr="004C7092">
        <w:rPr>
          <w:rFonts w:asciiTheme="majorBidi" w:hAnsiTheme="majorBidi" w:cstheme="majorBidi"/>
          <w:i/>
          <w:iCs/>
        </w:rPr>
        <w:t>The Politics of Patriotism: English Liberalism, National Identity and Europe, 1830–1886</w:t>
      </w:r>
      <w:r w:rsidRPr="004C7092">
        <w:rPr>
          <w:rFonts w:asciiTheme="majorBidi" w:hAnsiTheme="majorBidi" w:cstheme="majorBidi"/>
        </w:rPr>
        <w:t>, Cambridge: Cambridge University Press.</w:t>
      </w:r>
    </w:p>
    <w:p w14:paraId="61F56846" w14:textId="77777777" w:rsidR="0075146A" w:rsidRPr="004C7092" w:rsidRDefault="0075146A" w:rsidP="004C7092">
      <w:pPr>
        <w:bidi w:val="0"/>
        <w:spacing w:line="480" w:lineRule="auto"/>
        <w:jc w:val="both"/>
        <w:rPr>
          <w:rFonts w:asciiTheme="majorBidi" w:hAnsiTheme="majorBidi" w:cstheme="majorBidi"/>
        </w:rPr>
      </w:pPr>
      <w:proofErr w:type="spellStart"/>
      <w:r w:rsidRPr="004C7092">
        <w:rPr>
          <w:rFonts w:asciiTheme="majorBidi" w:hAnsiTheme="majorBidi" w:cstheme="majorBidi"/>
        </w:rPr>
        <w:t>Peatling</w:t>
      </w:r>
      <w:proofErr w:type="spellEnd"/>
      <w:r w:rsidRPr="004C7092">
        <w:rPr>
          <w:rFonts w:asciiTheme="majorBidi" w:hAnsiTheme="majorBidi" w:cstheme="majorBidi"/>
        </w:rPr>
        <w:t xml:space="preserve">, Gary (2007). “Race and Empire in Nineteenth-Century British Intellectual Life: James </w:t>
      </w:r>
      <w:proofErr w:type="spellStart"/>
      <w:r w:rsidRPr="004C7092">
        <w:rPr>
          <w:rFonts w:asciiTheme="majorBidi" w:hAnsiTheme="majorBidi" w:cstheme="majorBidi"/>
        </w:rPr>
        <w:t>Fitzjames</w:t>
      </w:r>
      <w:proofErr w:type="spellEnd"/>
      <w:r w:rsidRPr="004C7092">
        <w:rPr>
          <w:rFonts w:asciiTheme="majorBidi" w:hAnsiTheme="majorBidi" w:cstheme="majorBidi"/>
        </w:rPr>
        <w:t xml:space="preserve"> Stephen, James Anthony Froude, Ireland, and India”, </w:t>
      </w:r>
      <w:r w:rsidRPr="004C7092">
        <w:rPr>
          <w:rFonts w:asciiTheme="majorBidi" w:hAnsiTheme="majorBidi" w:cstheme="majorBidi"/>
          <w:i/>
          <w:iCs/>
        </w:rPr>
        <w:t>Eire and Ireland</w:t>
      </w:r>
      <w:r w:rsidRPr="004C7092">
        <w:rPr>
          <w:rFonts w:asciiTheme="majorBidi" w:hAnsiTheme="majorBidi" w:cstheme="majorBidi"/>
        </w:rPr>
        <w:t xml:space="preserve">, 42(1,2): </w:t>
      </w:r>
      <w:r w:rsidRPr="004C7092">
        <w:rPr>
          <w:rFonts w:asciiTheme="majorBidi" w:hAnsiTheme="majorBidi" w:cstheme="majorBidi"/>
          <w:sz w:val="22"/>
          <w:szCs w:val="22"/>
        </w:rPr>
        <w:t>157-179</w:t>
      </w:r>
      <w:r w:rsidRPr="004C7092">
        <w:rPr>
          <w:rFonts w:asciiTheme="majorBidi" w:hAnsiTheme="majorBidi" w:cstheme="majorBidi"/>
        </w:rPr>
        <w:t>.</w:t>
      </w:r>
    </w:p>
    <w:p w14:paraId="1EAE33F4"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Pickering, W.S.F. (1989). </w:t>
      </w:r>
      <w:r w:rsidRPr="004C7092">
        <w:rPr>
          <w:rFonts w:asciiTheme="majorBidi" w:hAnsiTheme="majorBidi" w:cstheme="majorBidi"/>
          <w:i/>
          <w:iCs/>
        </w:rPr>
        <w:t>Anglo-Catholicism. A Study in Religious Ambiguity</w:t>
      </w:r>
      <w:r w:rsidRPr="004C7092">
        <w:rPr>
          <w:rFonts w:asciiTheme="majorBidi" w:hAnsiTheme="majorBidi" w:cstheme="majorBidi"/>
        </w:rPr>
        <w:t>, London: Routledge.</w:t>
      </w:r>
    </w:p>
    <w:p w14:paraId="1C0BC80C" w14:textId="77777777" w:rsidR="0075146A" w:rsidRPr="004C7092" w:rsidRDefault="0075146A" w:rsidP="004C7092">
      <w:pPr>
        <w:bidi w:val="0"/>
        <w:spacing w:line="480" w:lineRule="auto"/>
        <w:jc w:val="both"/>
        <w:rPr>
          <w:rFonts w:asciiTheme="majorBidi" w:hAnsiTheme="majorBidi" w:cstheme="majorBidi"/>
        </w:rPr>
      </w:pPr>
      <w:proofErr w:type="spellStart"/>
      <w:r w:rsidRPr="004C7092">
        <w:rPr>
          <w:rFonts w:asciiTheme="majorBidi" w:hAnsiTheme="majorBidi" w:cstheme="majorBidi"/>
        </w:rPr>
        <w:t>Poovey</w:t>
      </w:r>
      <w:proofErr w:type="spellEnd"/>
      <w:r w:rsidRPr="004C7092">
        <w:rPr>
          <w:rFonts w:asciiTheme="majorBidi" w:hAnsiTheme="majorBidi" w:cstheme="majorBidi"/>
        </w:rPr>
        <w:t xml:space="preserve">, Mary (1993). “Curing the ‘Social Body’ in 1832: James Phillips Kay and the Irish in Manchester”, </w:t>
      </w:r>
      <w:r w:rsidRPr="004C7092">
        <w:rPr>
          <w:rFonts w:asciiTheme="majorBidi" w:hAnsiTheme="majorBidi" w:cstheme="majorBidi"/>
          <w:i/>
          <w:iCs/>
        </w:rPr>
        <w:t>Gender and History</w:t>
      </w:r>
      <w:r w:rsidRPr="004C7092">
        <w:rPr>
          <w:rFonts w:asciiTheme="majorBidi" w:hAnsiTheme="majorBidi" w:cstheme="majorBidi"/>
        </w:rPr>
        <w:t>, 5(2).</w:t>
      </w:r>
    </w:p>
    <w:p w14:paraId="0B0634E0"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Porter, Andrew (1985). ”’Commerce and Christianity’: The Rise and Fall of a Nineteenth-Century Missionary Slogan”, </w:t>
      </w:r>
      <w:r w:rsidRPr="004C7092">
        <w:rPr>
          <w:rFonts w:asciiTheme="majorBidi" w:hAnsiTheme="majorBidi" w:cstheme="majorBidi"/>
          <w:i/>
          <w:iCs/>
        </w:rPr>
        <w:t>The Historical Journal</w:t>
      </w:r>
      <w:r w:rsidRPr="004C7092">
        <w:rPr>
          <w:rFonts w:asciiTheme="majorBidi" w:hAnsiTheme="majorBidi" w:cstheme="majorBidi"/>
        </w:rPr>
        <w:t xml:space="preserve">, 28 (3). </w:t>
      </w:r>
    </w:p>
    <w:p w14:paraId="082737EA"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Porter, Andrew (2004). </w:t>
      </w:r>
      <w:r w:rsidRPr="004C7092">
        <w:rPr>
          <w:rFonts w:asciiTheme="majorBidi" w:hAnsiTheme="majorBidi" w:cstheme="majorBidi"/>
          <w:i/>
          <w:iCs/>
        </w:rPr>
        <w:t>Religion Versus Empire? British Protestant Missionaries and Overseas Expansion, 1700-1914</w:t>
      </w:r>
      <w:r w:rsidRPr="004C7092">
        <w:rPr>
          <w:rFonts w:asciiTheme="majorBidi" w:hAnsiTheme="majorBidi" w:cstheme="majorBidi"/>
        </w:rPr>
        <w:t>, Manchester and New York: Manchester University Press.</w:t>
      </w:r>
    </w:p>
    <w:p w14:paraId="77ABB60F"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Porter, Bernard (2004b). </w:t>
      </w:r>
      <w:r w:rsidRPr="004C7092">
        <w:rPr>
          <w:rFonts w:asciiTheme="majorBidi" w:hAnsiTheme="majorBidi" w:cstheme="majorBidi"/>
          <w:i/>
          <w:iCs/>
        </w:rPr>
        <w:t>The Absent-Minded Imperialists: Empire, Society and Culture in Britain</w:t>
      </w:r>
      <w:r w:rsidRPr="004C7092">
        <w:rPr>
          <w:rFonts w:asciiTheme="majorBidi" w:hAnsiTheme="majorBidi" w:cstheme="majorBidi"/>
        </w:rPr>
        <w:t xml:space="preserve"> (Oxford: Oxford University Press.</w:t>
      </w:r>
    </w:p>
    <w:p w14:paraId="1174509E"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Qualls, Barry V. (1982). </w:t>
      </w:r>
      <w:r w:rsidRPr="004C7092">
        <w:rPr>
          <w:rFonts w:asciiTheme="majorBidi" w:hAnsiTheme="majorBidi" w:cstheme="majorBidi"/>
          <w:i/>
          <w:iCs/>
        </w:rPr>
        <w:t>The Secular Pilgrims of Victorian Fiction: The Novel as Book of Life</w:t>
      </w:r>
      <w:r w:rsidRPr="004C7092">
        <w:rPr>
          <w:rFonts w:asciiTheme="majorBidi" w:hAnsiTheme="majorBidi" w:cstheme="majorBidi"/>
        </w:rPr>
        <w:t xml:space="preserve">, Cambridge, London. </w:t>
      </w:r>
      <w:r w:rsidRPr="004C7092">
        <w:rPr>
          <w:rFonts w:asciiTheme="majorBidi" w:hAnsiTheme="majorBidi" w:cstheme="majorBidi"/>
          <w:rtl/>
        </w:rPr>
        <w:t>‏</w:t>
      </w:r>
    </w:p>
    <w:p w14:paraId="364577EB" w14:textId="77777777" w:rsidR="0075146A" w:rsidRPr="004C7092" w:rsidRDefault="0075146A" w:rsidP="004C7092">
      <w:pPr>
        <w:bidi w:val="0"/>
        <w:spacing w:line="480" w:lineRule="auto"/>
        <w:jc w:val="both"/>
        <w:rPr>
          <w:rFonts w:asciiTheme="majorBidi" w:hAnsiTheme="majorBidi" w:cstheme="majorBidi"/>
          <w:rtl/>
        </w:rPr>
      </w:pPr>
      <w:r w:rsidRPr="004C7092">
        <w:rPr>
          <w:rFonts w:asciiTheme="majorBidi" w:hAnsiTheme="majorBidi" w:cstheme="majorBidi"/>
        </w:rPr>
        <w:t xml:space="preserve">Rabin, Dana Y. (2006). “The Jew Bill of 1753: Masculinity, Virility, and the Nation”, </w:t>
      </w:r>
      <w:r w:rsidRPr="004C7092">
        <w:rPr>
          <w:rFonts w:asciiTheme="majorBidi" w:hAnsiTheme="majorBidi" w:cstheme="majorBidi"/>
          <w:i/>
          <w:iCs/>
        </w:rPr>
        <w:t>Eighteenth-Century Studies</w:t>
      </w:r>
      <w:r w:rsidRPr="004C7092">
        <w:rPr>
          <w:rFonts w:asciiTheme="majorBidi" w:hAnsiTheme="majorBidi" w:cstheme="majorBidi"/>
        </w:rPr>
        <w:t xml:space="preserve">, 39(2). </w:t>
      </w:r>
    </w:p>
    <w:p w14:paraId="221646E4"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Ralls, Walter (1974). “The Papal Aggression of 1850: A Study in Victorian Anti-Catholicism”, </w:t>
      </w:r>
      <w:r w:rsidRPr="004C7092">
        <w:rPr>
          <w:rFonts w:asciiTheme="majorBidi" w:hAnsiTheme="majorBidi" w:cstheme="majorBidi"/>
          <w:i/>
          <w:iCs/>
        </w:rPr>
        <w:t>Church History</w:t>
      </w:r>
      <w:r w:rsidRPr="004C7092">
        <w:rPr>
          <w:rFonts w:asciiTheme="majorBidi" w:hAnsiTheme="majorBidi" w:cstheme="majorBidi"/>
        </w:rPr>
        <w:t>, 43(2):242-256.</w:t>
      </w:r>
    </w:p>
    <w:p w14:paraId="645CE309"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Robbins, Keith (1993). “Religion and Identity in Modern British History”, </w:t>
      </w:r>
      <w:r w:rsidRPr="004C7092">
        <w:rPr>
          <w:rFonts w:asciiTheme="majorBidi" w:hAnsiTheme="majorBidi" w:cstheme="majorBidi"/>
          <w:i/>
          <w:iCs/>
        </w:rPr>
        <w:t>History, Religion and Identity in Modern Britain</w:t>
      </w:r>
      <w:r w:rsidRPr="004C7092">
        <w:rPr>
          <w:rFonts w:asciiTheme="majorBidi" w:hAnsiTheme="majorBidi" w:cstheme="majorBidi"/>
        </w:rPr>
        <w:t xml:space="preserve">, London, Rio Grande: </w:t>
      </w:r>
      <w:proofErr w:type="spellStart"/>
      <w:r w:rsidRPr="004C7092">
        <w:rPr>
          <w:rFonts w:asciiTheme="majorBidi" w:hAnsiTheme="majorBidi" w:cstheme="majorBidi"/>
        </w:rPr>
        <w:t>Hambledon</w:t>
      </w:r>
      <w:proofErr w:type="spellEnd"/>
      <w:r w:rsidRPr="004C7092">
        <w:rPr>
          <w:rFonts w:asciiTheme="majorBidi" w:hAnsiTheme="majorBidi" w:cstheme="majorBidi"/>
        </w:rPr>
        <w:t xml:space="preserve"> Press. </w:t>
      </w:r>
    </w:p>
    <w:p w14:paraId="5A7EAA42"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lastRenderedPageBreak/>
        <w:t xml:space="preserve">Robbins, Keith (1998). </w:t>
      </w:r>
      <w:r w:rsidRPr="004C7092">
        <w:rPr>
          <w:rFonts w:asciiTheme="majorBidi" w:hAnsiTheme="majorBidi" w:cstheme="majorBidi"/>
          <w:i/>
          <w:iCs/>
        </w:rPr>
        <w:t>Great Britain: Identities, Institutions and the Idea of Britishness</w:t>
      </w:r>
      <w:r w:rsidRPr="004C7092">
        <w:rPr>
          <w:rFonts w:asciiTheme="majorBidi" w:hAnsiTheme="majorBidi" w:cstheme="majorBidi"/>
        </w:rPr>
        <w:t>, London, New York.</w:t>
      </w:r>
    </w:p>
    <w:p w14:paraId="3A4F9CA4"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Rowan, Strong (2007). </w:t>
      </w:r>
      <w:r w:rsidRPr="004C7092">
        <w:rPr>
          <w:rFonts w:asciiTheme="majorBidi" w:hAnsiTheme="majorBidi" w:cstheme="majorBidi"/>
          <w:i/>
          <w:iCs/>
        </w:rPr>
        <w:t>Anglicanism and the British Empire 1700-1850</w:t>
      </w:r>
      <w:r w:rsidRPr="004C7092">
        <w:rPr>
          <w:rFonts w:asciiTheme="majorBidi" w:hAnsiTheme="majorBidi" w:cstheme="majorBidi"/>
        </w:rPr>
        <w:t>, Oxford: Oxford University Press.</w:t>
      </w:r>
    </w:p>
    <w:p w14:paraId="756086BD" w14:textId="77777777" w:rsidR="0075146A" w:rsidRPr="004C7092" w:rsidRDefault="0075146A" w:rsidP="004C7092">
      <w:pPr>
        <w:bidi w:val="0"/>
        <w:spacing w:line="480" w:lineRule="auto"/>
        <w:jc w:val="both"/>
        <w:rPr>
          <w:rFonts w:asciiTheme="majorBidi" w:hAnsiTheme="majorBidi" w:cstheme="majorBidi"/>
        </w:rPr>
      </w:pPr>
      <w:proofErr w:type="spellStart"/>
      <w:r w:rsidRPr="004C7092">
        <w:rPr>
          <w:rFonts w:asciiTheme="majorBidi" w:hAnsiTheme="majorBidi" w:cstheme="majorBidi"/>
        </w:rPr>
        <w:t>Sidenvall</w:t>
      </w:r>
      <w:proofErr w:type="spellEnd"/>
      <w:r w:rsidRPr="004C7092">
        <w:rPr>
          <w:rFonts w:asciiTheme="majorBidi" w:hAnsiTheme="majorBidi" w:cstheme="majorBidi"/>
        </w:rPr>
        <w:t xml:space="preserve"> Erik (2005). </w:t>
      </w:r>
      <w:r w:rsidRPr="004C7092">
        <w:rPr>
          <w:rFonts w:asciiTheme="majorBidi" w:hAnsiTheme="majorBidi" w:cstheme="majorBidi"/>
          <w:i/>
          <w:iCs/>
        </w:rPr>
        <w:t>After Anti-Catholicism: John Henry Newman and Protestant Britain, 1845-c. 1890</w:t>
      </w:r>
      <w:r w:rsidRPr="004C7092">
        <w:rPr>
          <w:rFonts w:asciiTheme="majorBidi" w:hAnsiTheme="majorBidi" w:cstheme="majorBidi"/>
        </w:rPr>
        <w:t xml:space="preserve">, London, </w:t>
      </w:r>
      <w:proofErr w:type="gramStart"/>
      <w:r w:rsidRPr="004C7092">
        <w:rPr>
          <w:rFonts w:asciiTheme="majorBidi" w:hAnsiTheme="majorBidi" w:cstheme="majorBidi"/>
        </w:rPr>
        <w:t>NY:T</w:t>
      </w:r>
      <w:proofErr w:type="gramEnd"/>
      <w:r w:rsidRPr="004C7092">
        <w:rPr>
          <w:rFonts w:asciiTheme="majorBidi" w:hAnsiTheme="majorBidi" w:cstheme="majorBidi"/>
        </w:rPr>
        <w:t xml:space="preserve">&amp;T </w:t>
      </w:r>
      <w:proofErr w:type="spellStart"/>
      <w:r w:rsidRPr="004C7092">
        <w:rPr>
          <w:rFonts w:asciiTheme="majorBidi" w:hAnsiTheme="majorBidi" w:cstheme="majorBidi"/>
        </w:rPr>
        <w:t>Clarck</w:t>
      </w:r>
      <w:proofErr w:type="spellEnd"/>
      <w:r w:rsidRPr="004C7092">
        <w:rPr>
          <w:rFonts w:asciiTheme="majorBidi" w:hAnsiTheme="majorBidi" w:cstheme="majorBidi"/>
        </w:rPr>
        <w:t>.</w:t>
      </w:r>
    </w:p>
    <w:p w14:paraId="131DE54B"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Singer, Alan H. (2002). “Great Britain or Judea Nova? National Identity, Property, and the Jewish Naturalization Controversy of 1753”, in </w:t>
      </w:r>
      <w:r w:rsidRPr="004C7092">
        <w:rPr>
          <w:rFonts w:asciiTheme="majorBidi" w:hAnsiTheme="majorBidi" w:cstheme="majorBidi"/>
          <w:i/>
          <w:iCs/>
        </w:rPr>
        <w:t>British Romanticism and the Jews: History, Culture, Literature</w:t>
      </w:r>
      <w:r w:rsidRPr="004C7092">
        <w:rPr>
          <w:rFonts w:asciiTheme="majorBidi" w:hAnsiTheme="majorBidi" w:cstheme="majorBidi"/>
        </w:rPr>
        <w:t>, Sheila A. Spector, (ed.), Basingstoke: Palgrave, 19-36.</w:t>
      </w:r>
    </w:p>
    <w:p w14:paraId="7CF21F9F"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Smith, Anthony D. (2008). </w:t>
      </w:r>
      <w:r w:rsidRPr="004C7092">
        <w:rPr>
          <w:rFonts w:asciiTheme="majorBidi" w:hAnsiTheme="majorBidi" w:cstheme="majorBidi"/>
          <w:i/>
          <w:iCs/>
        </w:rPr>
        <w:t>The Cultural Foundations of Nations. Hierarchy, Covenant, and Republic</w:t>
      </w:r>
      <w:r w:rsidRPr="004C7092">
        <w:rPr>
          <w:rFonts w:asciiTheme="majorBidi" w:hAnsiTheme="majorBidi" w:cstheme="majorBidi"/>
        </w:rPr>
        <w:t>, Oxford: Blackwell.</w:t>
      </w:r>
    </w:p>
    <w:p w14:paraId="6FB40B7F"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Smith, Anthony D. (2009), </w:t>
      </w:r>
      <w:r w:rsidRPr="004C7092">
        <w:rPr>
          <w:rFonts w:asciiTheme="majorBidi" w:hAnsiTheme="majorBidi" w:cstheme="majorBidi"/>
          <w:i/>
          <w:iCs/>
        </w:rPr>
        <w:t>Ethno-Symbolism and Nationalism: A Cultural Approach</w:t>
      </w:r>
      <w:r w:rsidRPr="004C7092">
        <w:rPr>
          <w:rFonts w:asciiTheme="majorBidi" w:hAnsiTheme="majorBidi" w:cstheme="majorBidi"/>
        </w:rPr>
        <w:t>, New York: Routledge.</w:t>
      </w:r>
    </w:p>
    <w:p w14:paraId="0C68665B" w14:textId="77777777" w:rsidR="0075146A" w:rsidRPr="004C7092" w:rsidRDefault="0075146A" w:rsidP="004C7092">
      <w:pPr>
        <w:bidi w:val="0"/>
        <w:spacing w:line="480" w:lineRule="auto"/>
        <w:jc w:val="both"/>
        <w:rPr>
          <w:rFonts w:asciiTheme="majorBidi" w:hAnsiTheme="majorBidi" w:cstheme="majorBidi"/>
        </w:rPr>
      </w:pPr>
      <w:proofErr w:type="spellStart"/>
      <w:r w:rsidRPr="004C7092">
        <w:rPr>
          <w:rFonts w:asciiTheme="majorBidi" w:hAnsiTheme="majorBidi" w:cstheme="majorBidi"/>
        </w:rPr>
        <w:t>Sökefeld</w:t>
      </w:r>
      <w:proofErr w:type="spellEnd"/>
      <w:r w:rsidRPr="004C7092">
        <w:rPr>
          <w:rFonts w:asciiTheme="majorBidi" w:hAnsiTheme="majorBidi" w:cstheme="majorBidi"/>
        </w:rPr>
        <w:t>, Martin (2001). “Reconsidering Identity”, Anthropos vol. 96 (2001), 527-544.</w:t>
      </w:r>
    </w:p>
    <w:p w14:paraId="48B6C231" w14:textId="77777777" w:rsidR="0075146A" w:rsidRPr="004C7092" w:rsidRDefault="0075146A" w:rsidP="004C7092">
      <w:pPr>
        <w:bidi w:val="0"/>
        <w:spacing w:line="480" w:lineRule="auto"/>
        <w:jc w:val="both"/>
        <w:rPr>
          <w:rFonts w:asciiTheme="majorBidi" w:hAnsiTheme="majorBidi" w:cstheme="majorBidi"/>
        </w:rPr>
      </w:pPr>
      <w:proofErr w:type="spellStart"/>
      <w:r w:rsidRPr="004C7092">
        <w:rPr>
          <w:rFonts w:asciiTheme="majorBidi" w:hAnsiTheme="majorBidi" w:cstheme="majorBidi"/>
        </w:rPr>
        <w:t>Sponza</w:t>
      </w:r>
      <w:proofErr w:type="spellEnd"/>
      <w:r w:rsidRPr="004C7092">
        <w:rPr>
          <w:rFonts w:asciiTheme="majorBidi" w:hAnsiTheme="majorBidi" w:cstheme="majorBidi"/>
        </w:rPr>
        <w:t xml:space="preserve">, Lucio (2006). “Italian Immigrants in Britain: Perceptions and Self Perceptions”, </w:t>
      </w:r>
      <w:r w:rsidRPr="004C7092">
        <w:rPr>
          <w:rFonts w:asciiTheme="majorBidi" w:hAnsiTheme="majorBidi" w:cstheme="majorBidi"/>
          <w:i/>
          <w:iCs/>
        </w:rPr>
        <w:t>Histories and Memories: Migrants and their History in Britain</w:t>
      </w:r>
      <w:r w:rsidRPr="004C7092">
        <w:rPr>
          <w:rFonts w:asciiTheme="majorBidi" w:hAnsiTheme="majorBidi" w:cstheme="majorBidi"/>
        </w:rPr>
        <w:t xml:space="preserve">, Kathy Burrell and </w:t>
      </w:r>
      <w:proofErr w:type="spellStart"/>
      <w:r w:rsidRPr="004C7092">
        <w:rPr>
          <w:rFonts w:asciiTheme="majorBidi" w:hAnsiTheme="majorBidi" w:cstheme="majorBidi"/>
        </w:rPr>
        <w:t>Panikos</w:t>
      </w:r>
      <w:proofErr w:type="spellEnd"/>
      <w:r w:rsidRPr="004C7092">
        <w:rPr>
          <w:rFonts w:asciiTheme="majorBidi" w:hAnsiTheme="majorBidi" w:cstheme="majorBidi"/>
        </w:rPr>
        <w:t xml:space="preserve"> Panayi (eds.) (London: Tauris Academic Studies, 57-75.</w:t>
      </w:r>
    </w:p>
    <w:p w14:paraId="26449DEE"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Stanley, B. (1983). “’Commerce and Christianity’: Providence Theory, the Missionary Movement, and the Imperialism of Free Trade, I842-I860”, </w:t>
      </w:r>
      <w:r w:rsidRPr="004C7092">
        <w:rPr>
          <w:rFonts w:asciiTheme="majorBidi" w:hAnsiTheme="majorBidi" w:cstheme="majorBidi"/>
          <w:i/>
          <w:iCs/>
        </w:rPr>
        <w:t>The Historical Journal</w:t>
      </w:r>
      <w:r w:rsidRPr="004C7092">
        <w:rPr>
          <w:rFonts w:asciiTheme="majorBidi" w:hAnsiTheme="majorBidi" w:cstheme="majorBidi"/>
        </w:rPr>
        <w:t>, 26.</w:t>
      </w:r>
    </w:p>
    <w:p w14:paraId="316B7BEB"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Stapleton, Julia (1997a). “Political Thought and National Identity in England 1850-1950”, in History, Religion and Culture, pp. 256-</w:t>
      </w:r>
      <w:proofErr w:type="gramStart"/>
      <w:r w:rsidRPr="004C7092">
        <w:rPr>
          <w:rFonts w:asciiTheme="majorBidi" w:hAnsiTheme="majorBidi" w:cstheme="majorBidi"/>
        </w:rPr>
        <w:t>60,  Julia</w:t>
      </w:r>
      <w:proofErr w:type="gramEnd"/>
      <w:r w:rsidRPr="004C7092">
        <w:rPr>
          <w:rFonts w:asciiTheme="majorBidi" w:hAnsiTheme="majorBidi" w:cstheme="majorBidi"/>
        </w:rPr>
        <w:t xml:space="preserve"> Stapleton, </w:t>
      </w:r>
      <w:r w:rsidRPr="004C7092">
        <w:rPr>
          <w:rFonts w:asciiTheme="majorBidi" w:hAnsiTheme="majorBidi" w:cstheme="majorBidi"/>
          <w:i/>
          <w:iCs/>
        </w:rPr>
        <w:t>Liberalism, Democracy, and the State in Britain: Five Essays 1862-1891</w:t>
      </w:r>
      <w:r w:rsidRPr="004C7092">
        <w:rPr>
          <w:rFonts w:asciiTheme="majorBidi" w:hAnsiTheme="majorBidi" w:cstheme="majorBidi"/>
        </w:rPr>
        <w:t xml:space="preserve">, Bristol UK, Dulles, Virginia: </w:t>
      </w:r>
      <w:proofErr w:type="spellStart"/>
      <w:r w:rsidRPr="004C7092">
        <w:rPr>
          <w:rFonts w:asciiTheme="majorBidi" w:hAnsiTheme="majorBidi" w:cstheme="majorBidi"/>
        </w:rPr>
        <w:t>Theommes</w:t>
      </w:r>
      <w:proofErr w:type="spellEnd"/>
      <w:r w:rsidRPr="004C7092">
        <w:rPr>
          <w:rFonts w:asciiTheme="majorBidi" w:hAnsiTheme="majorBidi" w:cstheme="majorBidi"/>
        </w:rPr>
        <w:t>.</w:t>
      </w:r>
    </w:p>
    <w:p w14:paraId="037DB2A7"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Stapleton, Julia (1997b). </w:t>
      </w:r>
      <w:r w:rsidRPr="004C7092">
        <w:rPr>
          <w:rFonts w:asciiTheme="majorBidi" w:hAnsiTheme="majorBidi" w:cstheme="majorBidi"/>
          <w:i/>
          <w:iCs/>
        </w:rPr>
        <w:t>Liberalism, Democracy, and the State in Britain: Five Essays 1862-1891</w:t>
      </w:r>
      <w:r w:rsidRPr="004C7092">
        <w:rPr>
          <w:rFonts w:asciiTheme="majorBidi" w:hAnsiTheme="majorBidi" w:cstheme="majorBidi"/>
        </w:rPr>
        <w:t xml:space="preserve">, Bristol UK, Dulles, Virginia: </w:t>
      </w:r>
      <w:proofErr w:type="spellStart"/>
      <w:r w:rsidRPr="004C7092">
        <w:rPr>
          <w:rFonts w:asciiTheme="majorBidi" w:hAnsiTheme="majorBidi" w:cstheme="majorBidi"/>
        </w:rPr>
        <w:t>Theommes</w:t>
      </w:r>
      <w:proofErr w:type="spellEnd"/>
      <w:r w:rsidRPr="004C7092">
        <w:rPr>
          <w:rFonts w:asciiTheme="majorBidi" w:hAnsiTheme="majorBidi" w:cstheme="majorBidi"/>
        </w:rPr>
        <w:t>.</w:t>
      </w:r>
    </w:p>
    <w:p w14:paraId="083B60B3"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lastRenderedPageBreak/>
        <w:t xml:space="preserve">Stapleton, Julia (1998). “James </w:t>
      </w:r>
      <w:proofErr w:type="spellStart"/>
      <w:r w:rsidRPr="004C7092">
        <w:rPr>
          <w:rFonts w:asciiTheme="majorBidi" w:hAnsiTheme="majorBidi" w:cstheme="majorBidi"/>
        </w:rPr>
        <w:t>Fitzjames</w:t>
      </w:r>
      <w:proofErr w:type="spellEnd"/>
      <w:r w:rsidRPr="004C7092">
        <w:rPr>
          <w:rFonts w:asciiTheme="majorBidi" w:hAnsiTheme="majorBidi" w:cstheme="majorBidi"/>
        </w:rPr>
        <w:t xml:space="preserve"> </w:t>
      </w:r>
      <w:proofErr w:type="spellStart"/>
      <w:r w:rsidRPr="004C7092">
        <w:rPr>
          <w:rFonts w:asciiTheme="majorBidi" w:hAnsiTheme="majorBidi" w:cstheme="majorBidi"/>
        </w:rPr>
        <w:t>Stepthens</w:t>
      </w:r>
      <w:proofErr w:type="spellEnd"/>
      <w:r w:rsidRPr="004C7092">
        <w:rPr>
          <w:rFonts w:asciiTheme="majorBidi" w:hAnsiTheme="majorBidi" w:cstheme="majorBidi"/>
        </w:rPr>
        <w:t xml:space="preserve">: Liberalism Patriotism and English Liberty”, </w:t>
      </w:r>
      <w:r w:rsidRPr="004C7092">
        <w:rPr>
          <w:rFonts w:asciiTheme="majorBidi" w:hAnsiTheme="majorBidi" w:cstheme="majorBidi"/>
          <w:i/>
          <w:iCs/>
        </w:rPr>
        <w:t>Victorian Studies</w:t>
      </w:r>
      <w:r w:rsidRPr="004C7092">
        <w:rPr>
          <w:rFonts w:asciiTheme="majorBidi" w:hAnsiTheme="majorBidi" w:cstheme="majorBidi"/>
        </w:rPr>
        <w:t xml:space="preserve">, 41(2). </w:t>
      </w:r>
    </w:p>
    <w:p w14:paraId="68F9770F"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Stapleton, Julia (2000). “Political Thought and National Identity in England 1850-1950”, in </w:t>
      </w:r>
      <w:r w:rsidRPr="004C7092">
        <w:rPr>
          <w:rFonts w:asciiTheme="majorBidi" w:hAnsiTheme="majorBidi" w:cstheme="majorBidi"/>
          <w:i/>
          <w:iCs/>
        </w:rPr>
        <w:t>History, Religion and Culture: British Intellectual History 1750-1959</w:t>
      </w:r>
      <w:r w:rsidRPr="004C7092">
        <w:rPr>
          <w:rFonts w:asciiTheme="majorBidi" w:hAnsiTheme="majorBidi" w:cstheme="majorBidi"/>
        </w:rPr>
        <w:t xml:space="preserve">, Stefan </w:t>
      </w:r>
      <w:proofErr w:type="spellStart"/>
      <w:r w:rsidRPr="004C7092">
        <w:rPr>
          <w:rFonts w:asciiTheme="majorBidi" w:hAnsiTheme="majorBidi" w:cstheme="majorBidi"/>
        </w:rPr>
        <w:t>Collini</w:t>
      </w:r>
      <w:proofErr w:type="spellEnd"/>
      <w:r w:rsidRPr="004C7092">
        <w:rPr>
          <w:rFonts w:asciiTheme="majorBidi" w:hAnsiTheme="majorBidi" w:cstheme="majorBidi"/>
        </w:rPr>
        <w:t xml:space="preserve">, Richard </w:t>
      </w:r>
      <w:proofErr w:type="spellStart"/>
      <w:r w:rsidRPr="004C7092">
        <w:rPr>
          <w:rFonts w:asciiTheme="majorBidi" w:hAnsiTheme="majorBidi" w:cstheme="majorBidi"/>
        </w:rPr>
        <w:t>Whatmore</w:t>
      </w:r>
      <w:proofErr w:type="spellEnd"/>
      <w:r w:rsidRPr="004C7092">
        <w:rPr>
          <w:rFonts w:asciiTheme="majorBidi" w:hAnsiTheme="majorBidi" w:cstheme="majorBidi"/>
        </w:rPr>
        <w:t>, Brian Young (eds.), Cambridge UK, NY: Cambridge University Press.</w:t>
      </w:r>
    </w:p>
    <w:p w14:paraId="455977F4"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Stapleton, Julia (2005). “Citizenship versus Patriotism in Twentieth-Century England”, </w:t>
      </w:r>
      <w:r w:rsidRPr="004C7092">
        <w:rPr>
          <w:rFonts w:asciiTheme="majorBidi" w:hAnsiTheme="majorBidi" w:cstheme="majorBidi"/>
          <w:i/>
          <w:iCs/>
        </w:rPr>
        <w:t>The Historical Journal</w:t>
      </w:r>
      <w:r w:rsidRPr="004C7092">
        <w:rPr>
          <w:rFonts w:asciiTheme="majorBidi" w:hAnsiTheme="majorBidi" w:cstheme="majorBidi"/>
        </w:rPr>
        <w:t xml:space="preserve">, 48(1). </w:t>
      </w:r>
    </w:p>
    <w:p w14:paraId="145BAF00"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Sullivan, Eileen P. (1983). "Liberalism and Imperialism: J. S. Mill's Defense of the British Empire", </w:t>
      </w:r>
      <w:r w:rsidRPr="004C7092">
        <w:rPr>
          <w:rFonts w:asciiTheme="majorBidi" w:hAnsiTheme="majorBidi" w:cstheme="majorBidi"/>
          <w:i/>
          <w:iCs/>
        </w:rPr>
        <w:t>Journal of the History of Ideas</w:t>
      </w:r>
      <w:r w:rsidRPr="004C7092">
        <w:rPr>
          <w:rFonts w:asciiTheme="majorBidi" w:hAnsiTheme="majorBidi" w:cstheme="majorBidi"/>
        </w:rPr>
        <w:t>, 44(4)</w:t>
      </w:r>
    </w:p>
    <w:p w14:paraId="1C5540EF"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Sykes, Alan (1997). </w:t>
      </w:r>
      <w:r w:rsidRPr="004C7092">
        <w:rPr>
          <w:rFonts w:asciiTheme="majorBidi" w:hAnsiTheme="majorBidi" w:cstheme="majorBidi"/>
          <w:i/>
          <w:iCs/>
        </w:rPr>
        <w:t>The Rise and Fall of British Liberalism1776-1988</w:t>
      </w:r>
      <w:r w:rsidRPr="004C7092">
        <w:rPr>
          <w:rFonts w:asciiTheme="majorBidi" w:hAnsiTheme="majorBidi" w:cstheme="majorBidi"/>
        </w:rPr>
        <w:t>, London: Longman.</w:t>
      </w:r>
    </w:p>
    <w:p w14:paraId="207C58C2" w14:textId="77777777" w:rsidR="0075146A" w:rsidRPr="004C7092" w:rsidRDefault="0075146A" w:rsidP="004C7092">
      <w:pPr>
        <w:bidi w:val="0"/>
        <w:spacing w:line="480" w:lineRule="auto"/>
        <w:jc w:val="both"/>
        <w:rPr>
          <w:rFonts w:asciiTheme="majorBidi" w:hAnsiTheme="majorBidi" w:cstheme="majorBidi"/>
        </w:rPr>
      </w:pPr>
      <w:proofErr w:type="gramStart"/>
      <w:r w:rsidRPr="004C7092">
        <w:rPr>
          <w:rFonts w:asciiTheme="majorBidi" w:hAnsiTheme="majorBidi" w:cstheme="majorBidi"/>
        </w:rPr>
        <w:t>Taylor ,</w:t>
      </w:r>
      <w:proofErr w:type="gramEnd"/>
      <w:r w:rsidRPr="004C7092">
        <w:rPr>
          <w:rFonts w:asciiTheme="majorBidi" w:hAnsiTheme="majorBidi" w:cstheme="majorBidi"/>
        </w:rPr>
        <w:t xml:space="preserve"> Miles (1991). “Imperium et Libertas? Rethinking the Radical Critique of Imperialism during the Nineteenth Century”, </w:t>
      </w:r>
      <w:r w:rsidRPr="004C7092">
        <w:rPr>
          <w:rFonts w:asciiTheme="majorBidi" w:hAnsiTheme="majorBidi" w:cstheme="majorBidi"/>
          <w:i/>
          <w:iCs/>
        </w:rPr>
        <w:t>The Journal of Imperial and Commonwealth History</w:t>
      </w:r>
      <w:r w:rsidRPr="004C7092">
        <w:rPr>
          <w:rFonts w:asciiTheme="majorBidi" w:hAnsiTheme="majorBidi" w:cstheme="majorBidi"/>
        </w:rPr>
        <w:t>, 19(1).</w:t>
      </w:r>
    </w:p>
    <w:p w14:paraId="230FACFF"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Taylor, Dennis (2009). “Tennyson’s Catholic Years: A Point of Contact”, </w:t>
      </w:r>
      <w:r w:rsidRPr="004C7092">
        <w:rPr>
          <w:rFonts w:asciiTheme="majorBidi" w:hAnsiTheme="majorBidi" w:cstheme="majorBidi"/>
          <w:i/>
          <w:iCs/>
        </w:rPr>
        <w:t>Victorian Poetry</w:t>
      </w:r>
      <w:r w:rsidRPr="004C7092">
        <w:rPr>
          <w:rFonts w:asciiTheme="majorBidi" w:hAnsiTheme="majorBidi" w:cstheme="majorBidi"/>
        </w:rPr>
        <w:t>, 47(1)</w:t>
      </w:r>
    </w:p>
    <w:p w14:paraId="2B6C74E0"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Thompson, Andrew (2005). </w:t>
      </w:r>
      <w:r w:rsidRPr="004C7092">
        <w:rPr>
          <w:rFonts w:asciiTheme="majorBidi" w:hAnsiTheme="majorBidi" w:cstheme="majorBidi"/>
          <w:i/>
          <w:iCs/>
        </w:rPr>
        <w:t>The Empire Strikes Back? The Impact of Imperialism on Britain from the Mid-Nineteenth Century</w:t>
      </w:r>
      <w:r w:rsidRPr="004C7092">
        <w:rPr>
          <w:rFonts w:asciiTheme="majorBidi" w:hAnsiTheme="majorBidi" w:cstheme="majorBidi"/>
        </w:rPr>
        <w:t>, Harlow: Pearson Education Limited.</w:t>
      </w:r>
    </w:p>
    <w:p w14:paraId="7ACC7EBA"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Thompson, Andrew </w:t>
      </w:r>
      <w:proofErr w:type="gramStart"/>
      <w:r w:rsidRPr="004C7092">
        <w:rPr>
          <w:rFonts w:asciiTheme="majorBidi" w:hAnsiTheme="majorBidi" w:cstheme="majorBidi"/>
        </w:rPr>
        <w:t>S.(</w:t>
      </w:r>
      <w:proofErr w:type="gramEnd"/>
      <w:r w:rsidRPr="004C7092">
        <w:rPr>
          <w:rFonts w:asciiTheme="majorBidi" w:hAnsiTheme="majorBidi" w:cstheme="majorBidi"/>
        </w:rPr>
        <w:t xml:space="preserve">1997). “The Language of Imperialism and the Meanings of Empire: Imperial Discourse in British Politics, 1895-1914”, </w:t>
      </w:r>
      <w:r w:rsidRPr="004C7092">
        <w:rPr>
          <w:rFonts w:asciiTheme="majorBidi" w:hAnsiTheme="majorBidi" w:cstheme="majorBidi"/>
          <w:i/>
          <w:iCs/>
        </w:rPr>
        <w:t>The Journal of British Studies</w:t>
      </w:r>
      <w:r w:rsidRPr="004C7092">
        <w:rPr>
          <w:rFonts w:asciiTheme="majorBidi" w:hAnsiTheme="majorBidi" w:cstheme="majorBidi"/>
        </w:rPr>
        <w:t>, 36(2).</w:t>
      </w:r>
    </w:p>
    <w:p w14:paraId="12269F1B"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Thorne, Susan (1999). </w:t>
      </w:r>
      <w:r w:rsidRPr="004C7092">
        <w:rPr>
          <w:rFonts w:asciiTheme="majorBidi" w:hAnsiTheme="majorBidi" w:cstheme="majorBidi"/>
          <w:i/>
          <w:iCs/>
        </w:rPr>
        <w:t>Congregational Missions and the Making of an Imperial Culture in Nineteenth-Century England</w:t>
      </w:r>
      <w:r w:rsidRPr="004C7092">
        <w:rPr>
          <w:rFonts w:asciiTheme="majorBidi" w:hAnsiTheme="majorBidi" w:cstheme="majorBidi"/>
        </w:rPr>
        <w:t>, Stanford, Cal.: Stanford University Press.</w:t>
      </w:r>
    </w:p>
    <w:p w14:paraId="6EB29A42"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Thorne, Susan (2006). “Religion and Empire at Home”, </w:t>
      </w:r>
      <w:r w:rsidRPr="004C7092">
        <w:rPr>
          <w:rFonts w:asciiTheme="majorBidi" w:hAnsiTheme="majorBidi" w:cstheme="majorBidi"/>
          <w:i/>
          <w:iCs/>
        </w:rPr>
        <w:t>At Home with the Empire: Metropolitan Culture and the Imperial World</w:t>
      </w:r>
      <w:r w:rsidRPr="004C7092">
        <w:rPr>
          <w:rFonts w:asciiTheme="majorBidi" w:hAnsiTheme="majorBidi" w:cstheme="majorBidi"/>
        </w:rPr>
        <w:t xml:space="preserve">, Catherine </w:t>
      </w:r>
      <w:proofErr w:type="gramStart"/>
      <w:r w:rsidRPr="004C7092">
        <w:rPr>
          <w:rFonts w:asciiTheme="majorBidi" w:hAnsiTheme="majorBidi" w:cstheme="majorBidi"/>
        </w:rPr>
        <w:t>Hall</w:t>
      </w:r>
      <w:proofErr w:type="gramEnd"/>
      <w:r w:rsidRPr="004C7092">
        <w:rPr>
          <w:rFonts w:asciiTheme="majorBidi" w:hAnsiTheme="majorBidi" w:cstheme="majorBidi"/>
        </w:rPr>
        <w:t xml:space="preserve"> and Sonya O. Rose (eds.), Cambridge, UK:  Cambridge University Press.</w:t>
      </w:r>
    </w:p>
    <w:p w14:paraId="54D4D2CE" w14:textId="77777777" w:rsidR="0075146A" w:rsidRPr="004C7092" w:rsidRDefault="0075146A" w:rsidP="004C7092">
      <w:pPr>
        <w:bidi w:val="0"/>
        <w:spacing w:line="480" w:lineRule="auto"/>
        <w:jc w:val="both"/>
        <w:rPr>
          <w:rFonts w:asciiTheme="majorBidi" w:hAnsiTheme="majorBidi" w:cstheme="majorBidi"/>
        </w:rPr>
      </w:pPr>
      <w:proofErr w:type="spellStart"/>
      <w:r w:rsidRPr="004C7092">
        <w:rPr>
          <w:rFonts w:asciiTheme="majorBidi" w:hAnsiTheme="majorBidi" w:cstheme="majorBidi"/>
        </w:rPr>
        <w:t>Valman</w:t>
      </w:r>
      <w:proofErr w:type="spellEnd"/>
      <w:r w:rsidRPr="004C7092">
        <w:rPr>
          <w:rFonts w:asciiTheme="majorBidi" w:hAnsiTheme="majorBidi" w:cstheme="majorBidi"/>
        </w:rPr>
        <w:t xml:space="preserve">, Nadia (2001). “Hearts Full of Love”, </w:t>
      </w:r>
      <w:r w:rsidRPr="004C7092">
        <w:rPr>
          <w:rFonts w:asciiTheme="majorBidi" w:hAnsiTheme="majorBidi" w:cstheme="majorBidi"/>
          <w:i/>
          <w:iCs/>
        </w:rPr>
        <w:t>Jewish Quarterly</w:t>
      </w:r>
      <w:r w:rsidRPr="004C7092">
        <w:rPr>
          <w:rFonts w:asciiTheme="majorBidi" w:hAnsiTheme="majorBidi" w:cstheme="majorBidi"/>
        </w:rPr>
        <w:t>, 48(2):</w:t>
      </w:r>
      <w:r w:rsidRPr="004C7092">
        <w:rPr>
          <w:rtl/>
        </w:rPr>
        <w:t xml:space="preserve"> </w:t>
      </w:r>
      <w:r w:rsidRPr="004C7092">
        <w:rPr>
          <w:rFonts w:asciiTheme="majorBidi" w:hAnsiTheme="majorBidi"/>
          <w:rtl/>
        </w:rPr>
        <w:t>15-20</w:t>
      </w:r>
      <w:r w:rsidRPr="004C7092">
        <w:rPr>
          <w:rFonts w:asciiTheme="majorBidi" w:hAnsiTheme="majorBidi" w:cstheme="majorBidi"/>
        </w:rPr>
        <w:t>.</w:t>
      </w:r>
    </w:p>
    <w:p w14:paraId="03A81A5B"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Wainwright, A. Martin (2013). “Review of Empire and Imperial Ambition”, </w:t>
      </w:r>
      <w:r w:rsidRPr="004C7092">
        <w:rPr>
          <w:rFonts w:asciiTheme="majorBidi" w:hAnsiTheme="majorBidi" w:cstheme="majorBidi"/>
          <w:i/>
          <w:iCs/>
        </w:rPr>
        <w:t>Victorian Studies,</w:t>
      </w:r>
      <w:r w:rsidRPr="004C7092">
        <w:rPr>
          <w:rFonts w:asciiTheme="majorBidi" w:hAnsiTheme="majorBidi" w:cstheme="majorBidi"/>
        </w:rPr>
        <w:t xml:space="preserve"> 55(3):</w:t>
      </w:r>
      <w:r w:rsidRPr="004C7092">
        <w:rPr>
          <w:rtl/>
        </w:rPr>
        <w:t xml:space="preserve"> </w:t>
      </w:r>
      <w:r w:rsidRPr="004C7092">
        <w:rPr>
          <w:rFonts w:asciiTheme="majorBidi" w:hAnsiTheme="majorBidi"/>
          <w:rtl/>
        </w:rPr>
        <w:t>503-504</w:t>
      </w:r>
      <w:r w:rsidRPr="004C7092">
        <w:rPr>
          <w:rFonts w:asciiTheme="majorBidi" w:hAnsiTheme="majorBidi" w:cstheme="majorBidi"/>
        </w:rPr>
        <w:t>.</w:t>
      </w:r>
    </w:p>
    <w:p w14:paraId="6307CFA7" w14:textId="77777777" w:rsidR="0075146A" w:rsidRPr="004C7092" w:rsidRDefault="0075146A" w:rsidP="004C7092">
      <w:pPr>
        <w:bidi w:val="0"/>
        <w:spacing w:line="480" w:lineRule="auto"/>
        <w:jc w:val="both"/>
        <w:rPr>
          <w:rFonts w:asciiTheme="majorBidi" w:hAnsiTheme="majorBidi" w:cstheme="majorBidi"/>
        </w:rPr>
      </w:pPr>
      <w:proofErr w:type="spellStart"/>
      <w:proofErr w:type="gramStart"/>
      <w:r w:rsidRPr="004C7092">
        <w:rPr>
          <w:rFonts w:asciiTheme="majorBidi" w:hAnsiTheme="majorBidi" w:cstheme="majorBidi"/>
        </w:rPr>
        <w:lastRenderedPageBreak/>
        <w:t>Walder</w:t>
      </w:r>
      <w:proofErr w:type="spellEnd"/>
      <w:r w:rsidRPr="004C7092">
        <w:rPr>
          <w:rFonts w:asciiTheme="majorBidi" w:hAnsiTheme="majorBidi" w:cstheme="majorBidi"/>
        </w:rPr>
        <w:t>,  Dennis</w:t>
      </w:r>
      <w:proofErr w:type="gramEnd"/>
      <w:r w:rsidRPr="004C7092">
        <w:rPr>
          <w:rFonts w:asciiTheme="majorBidi" w:hAnsiTheme="majorBidi" w:cstheme="majorBidi"/>
        </w:rPr>
        <w:t xml:space="preserve"> (2007). </w:t>
      </w:r>
      <w:r w:rsidRPr="004C7092">
        <w:rPr>
          <w:rFonts w:asciiTheme="majorBidi" w:hAnsiTheme="majorBidi" w:cstheme="majorBidi"/>
          <w:i/>
          <w:iCs/>
        </w:rPr>
        <w:t>Dickens and Religion</w:t>
      </w:r>
      <w:r w:rsidRPr="004C7092">
        <w:rPr>
          <w:rFonts w:asciiTheme="majorBidi" w:hAnsiTheme="majorBidi" w:cstheme="majorBidi"/>
        </w:rPr>
        <w:t xml:space="preserve"> (1981) London, New York.</w:t>
      </w:r>
    </w:p>
    <w:p w14:paraId="3DB61528"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Ward, Paul (2004). </w:t>
      </w:r>
      <w:r w:rsidRPr="004C7092">
        <w:rPr>
          <w:rFonts w:asciiTheme="majorBidi" w:hAnsiTheme="majorBidi" w:cstheme="majorBidi"/>
          <w:i/>
          <w:iCs/>
        </w:rPr>
        <w:t>Britishness since 1870</w:t>
      </w:r>
      <w:r w:rsidRPr="004C7092">
        <w:rPr>
          <w:rFonts w:asciiTheme="majorBidi" w:hAnsiTheme="majorBidi" w:cstheme="majorBidi"/>
        </w:rPr>
        <w:t>, London: Routledge.</w:t>
      </w:r>
    </w:p>
    <w:p w14:paraId="0D56710F"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Weldon, J.E.C. (1902). </w:t>
      </w:r>
      <w:r w:rsidRPr="004C7092">
        <w:rPr>
          <w:rFonts w:asciiTheme="majorBidi" w:hAnsiTheme="majorBidi" w:cstheme="majorBidi"/>
          <w:i/>
          <w:iCs/>
        </w:rPr>
        <w:t>The Consecration of the State</w:t>
      </w:r>
      <w:r w:rsidRPr="004C7092">
        <w:rPr>
          <w:rFonts w:asciiTheme="majorBidi" w:hAnsiTheme="majorBidi" w:cstheme="majorBidi"/>
        </w:rPr>
        <w:t>, London: Macmillan &amp; Co.</w:t>
      </w:r>
    </w:p>
    <w:p w14:paraId="483BF18A" w14:textId="77777777" w:rsidR="0075146A" w:rsidRPr="004C7092" w:rsidRDefault="0075146A" w:rsidP="004C7092">
      <w:pPr>
        <w:bidi w:val="0"/>
        <w:spacing w:line="480" w:lineRule="auto"/>
        <w:jc w:val="both"/>
        <w:rPr>
          <w:rFonts w:asciiTheme="majorBidi" w:hAnsiTheme="majorBidi" w:cstheme="majorBidi"/>
        </w:rPr>
      </w:pPr>
      <w:proofErr w:type="spellStart"/>
      <w:r w:rsidRPr="004C7092">
        <w:rPr>
          <w:rFonts w:asciiTheme="majorBidi" w:hAnsiTheme="majorBidi" w:cstheme="majorBidi"/>
        </w:rPr>
        <w:t>Wendehorst</w:t>
      </w:r>
      <w:proofErr w:type="spellEnd"/>
      <w:r w:rsidRPr="004C7092">
        <w:rPr>
          <w:rFonts w:asciiTheme="majorBidi" w:hAnsiTheme="majorBidi" w:cstheme="majorBidi"/>
        </w:rPr>
        <w:t xml:space="preserve">, Stephan (1999). “Emancipation as Path to National Integration”, </w:t>
      </w:r>
      <w:r w:rsidRPr="004C7092">
        <w:rPr>
          <w:rFonts w:asciiTheme="majorBidi" w:hAnsiTheme="majorBidi" w:cstheme="majorBidi"/>
          <w:i/>
          <w:iCs/>
        </w:rPr>
        <w:t xml:space="preserve">The Emancipation of Catholics, </w:t>
      </w:r>
      <w:proofErr w:type="gramStart"/>
      <w:r w:rsidRPr="004C7092">
        <w:rPr>
          <w:rFonts w:asciiTheme="majorBidi" w:hAnsiTheme="majorBidi" w:cstheme="majorBidi"/>
          <w:i/>
          <w:iCs/>
        </w:rPr>
        <w:t>Jews</w:t>
      </w:r>
      <w:proofErr w:type="gramEnd"/>
      <w:r w:rsidRPr="004C7092">
        <w:rPr>
          <w:rFonts w:asciiTheme="majorBidi" w:hAnsiTheme="majorBidi" w:cstheme="majorBidi"/>
          <w:i/>
          <w:iCs/>
        </w:rPr>
        <w:t xml:space="preserve"> and Protestants: Minorities and the Nation State in Nineteenth-Century Europe</w:t>
      </w:r>
      <w:r w:rsidRPr="004C7092">
        <w:rPr>
          <w:rFonts w:asciiTheme="majorBidi" w:hAnsiTheme="majorBidi" w:cstheme="majorBidi"/>
        </w:rPr>
        <w:t xml:space="preserve">, Rainer Liedtke and Stephan </w:t>
      </w:r>
      <w:proofErr w:type="spellStart"/>
      <w:r w:rsidRPr="004C7092">
        <w:rPr>
          <w:rFonts w:asciiTheme="majorBidi" w:hAnsiTheme="majorBidi" w:cstheme="majorBidi"/>
        </w:rPr>
        <w:t>Wendehorst</w:t>
      </w:r>
      <w:proofErr w:type="spellEnd"/>
      <w:r w:rsidRPr="004C7092">
        <w:rPr>
          <w:rFonts w:asciiTheme="majorBidi" w:hAnsiTheme="majorBidi" w:cstheme="majorBidi"/>
        </w:rPr>
        <w:t xml:space="preserve"> (eds.), Manchester: Manchester University Press, 188-206.</w:t>
      </w:r>
    </w:p>
    <w:p w14:paraId="3EAE119A" w14:textId="77777777" w:rsidR="0075146A" w:rsidRPr="004C7092" w:rsidRDefault="0075146A" w:rsidP="004C7092">
      <w:pPr>
        <w:bidi w:val="0"/>
        <w:spacing w:line="480" w:lineRule="auto"/>
        <w:jc w:val="both"/>
        <w:rPr>
          <w:rFonts w:asciiTheme="majorBidi" w:hAnsiTheme="majorBidi" w:cstheme="majorBidi"/>
        </w:rPr>
      </w:pPr>
      <w:proofErr w:type="spellStart"/>
      <w:r w:rsidRPr="004C7092">
        <w:rPr>
          <w:rFonts w:asciiTheme="majorBidi" w:hAnsiTheme="majorBidi" w:cstheme="majorBidi"/>
        </w:rPr>
        <w:t>Whisenant</w:t>
      </w:r>
      <w:proofErr w:type="spellEnd"/>
      <w:r w:rsidRPr="004C7092">
        <w:rPr>
          <w:rFonts w:asciiTheme="majorBidi" w:hAnsiTheme="majorBidi" w:cstheme="majorBidi"/>
        </w:rPr>
        <w:t xml:space="preserve">, James (2001). “Anti-Ritualism and the Moderation of Evangelical Opinion in England in the Mid-1870s”, </w:t>
      </w:r>
      <w:r w:rsidRPr="004C7092">
        <w:rPr>
          <w:rFonts w:asciiTheme="majorBidi" w:hAnsiTheme="majorBidi" w:cstheme="majorBidi"/>
          <w:i/>
          <w:iCs/>
        </w:rPr>
        <w:t>Anglican and Episcopal History</w:t>
      </w:r>
      <w:r w:rsidRPr="004C7092">
        <w:rPr>
          <w:rFonts w:asciiTheme="majorBidi" w:hAnsiTheme="majorBidi" w:cstheme="majorBidi"/>
        </w:rPr>
        <w:t>, 70(4):</w:t>
      </w:r>
      <w:r w:rsidRPr="004C7092">
        <w:rPr>
          <w:rtl/>
        </w:rPr>
        <w:t xml:space="preserve"> </w:t>
      </w:r>
      <w:r w:rsidRPr="004C7092">
        <w:rPr>
          <w:rFonts w:asciiTheme="majorBidi" w:hAnsiTheme="majorBidi"/>
          <w:rtl/>
        </w:rPr>
        <w:t>451-477</w:t>
      </w:r>
      <w:r w:rsidRPr="004C7092">
        <w:rPr>
          <w:rFonts w:asciiTheme="majorBidi" w:hAnsiTheme="majorBidi" w:cstheme="majorBidi"/>
        </w:rPr>
        <w:t>.</w:t>
      </w:r>
    </w:p>
    <w:p w14:paraId="36E60BF3"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Williams, C. Peter (1994). “British Religion and the Wider World: Mission and Empire. 1800-1940”, in </w:t>
      </w:r>
      <w:r w:rsidRPr="004C7092">
        <w:rPr>
          <w:rFonts w:asciiTheme="majorBidi" w:hAnsiTheme="majorBidi" w:cstheme="majorBidi"/>
          <w:i/>
          <w:iCs/>
        </w:rPr>
        <w:t>A History of Religion in Britain, Practice and Belief from Pre-Roman Times to the Present</w:t>
      </w:r>
      <w:r w:rsidRPr="004C7092">
        <w:rPr>
          <w:rFonts w:asciiTheme="majorBidi" w:hAnsiTheme="majorBidi" w:cstheme="majorBidi"/>
        </w:rPr>
        <w:t>, Oxford UK, Cambridge USA: Blackwell.</w:t>
      </w:r>
    </w:p>
    <w:p w14:paraId="32653C4D"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Wilson, Kathleen (1988). “Empire, Trade and Popular Politics in Mid-Hanoverian Britain: The Case of Admiral Vernon”, </w:t>
      </w:r>
      <w:r w:rsidRPr="004C7092">
        <w:rPr>
          <w:rFonts w:asciiTheme="majorBidi" w:hAnsiTheme="majorBidi" w:cstheme="majorBidi"/>
          <w:i/>
          <w:iCs/>
        </w:rPr>
        <w:t>Past and Present</w:t>
      </w:r>
      <w:r w:rsidRPr="004C7092">
        <w:rPr>
          <w:rFonts w:asciiTheme="majorBidi" w:hAnsiTheme="majorBidi" w:cstheme="majorBidi"/>
        </w:rPr>
        <w:t>, 121: 74-109.</w:t>
      </w:r>
    </w:p>
    <w:p w14:paraId="70C71356"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Winter, Michael and Short, Christopher (1993). “Believing and Belonging: Religion in Rural England”, </w:t>
      </w:r>
      <w:r w:rsidRPr="004C7092">
        <w:rPr>
          <w:rFonts w:asciiTheme="majorBidi" w:hAnsiTheme="majorBidi" w:cstheme="majorBidi"/>
          <w:i/>
          <w:iCs/>
        </w:rPr>
        <w:t>The British Journal of Sociology</w:t>
      </w:r>
      <w:r w:rsidRPr="004C7092">
        <w:rPr>
          <w:rFonts w:asciiTheme="majorBidi" w:hAnsiTheme="majorBidi" w:cstheme="majorBidi"/>
        </w:rPr>
        <w:t>, 44(4)/</w:t>
      </w:r>
    </w:p>
    <w:p w14:paraId="6A9A5D5A" w14:textId="77777777" w:rsidR="0075146A" w:rsidRPr="004C7092" w:rsidRDefault="0075146A" w:rsidP="004C7092">
      <w:pPr>
        <w:bidi w:val="0"/>
        <w:spacing w:line="480" w:lineRule="auto"/>
        <w:jc w:val="both"/>
        <w:rPr>
          <w:rFonts w:asciiTheme="majorBidi" w:hAnsiTheme="majorBidi" w:cstheme="majorBidi"/>
        </w:rPr>
      </w:pPr>
      <w:proofErr w:type="spellStart"/>
      <w:r w:rsidRPr="004C7092">
        <w:rPr>
          <w:rFonts w:asciiTheme="majorBidi" w:hAnsiTheme="majorBidi" w:cstheme="majorBidi"/>
        </w:rPr>
        <w:t>Wolffe</w:t>
      </w:r>
      <w:proofErr w:type="spellEnd"/>
      <w:r w:rsidRPr="004C7092">
        <w:rPr>
          <w:rFonts w:asciiTheme="majorBidi" w:hAnsiTheme="majorBidi" w:cstheme="majorBidi"/>
        </w:rPr>
        <w:t xml:space="preserve"> John (2008). “The 1851 Census and Religious Change in Nineteenth-Century Yorkshire”, Northern History, 45(1).</w:t>
      </w:r>
    </w:p>
    <w:p w14:paraId="3EFC2B39" w14:textId="77777777" w:rsidR="0075146A" w:rsidRPr="004C7092" w:rsidRDefault="0075146A" w:rsidP="004C7092">
      <w:pPr>
        <w:bidi w:val="0"/>
        <w:spacing w:line="480" w:lineRule="auto"/>
        <w:jc w:val="both"/>
        <w:rPr>
          <w:rFonts w:asciiTheme="majorBidi" w:hAnsiTheme="majorBidi" w:cstheme="majorBidi"/>
        </w:rPr>
      </w:pPr>
      <w:proofErr w:type="spellStart"/>
      <w:r w:rsidRPr="004C7092">
        <w:rPr>
          <w:rFonts w:asciiTheme="majorBidi" w:hAnsiTheme="majorBidi" w:cstheme="majorBidi"/>
        </w:rPr>
        <w:t>Wolffe</w:t>
      </w:r>
      <w:proofErr w:type="spellEnd"/>
      <w:r w:rsidRPr="004C7092">
        <w:rPr>
          <w:rFonts w:asciiTheme="majorBidi" w:hAnsiTheme="majorBidi" w:cstheme="majorBidi"/>
        </w:rPr>
        <w:t xml:space="preserve">, John (2002). </w:t>
      </w:r>
      <w:r w:rsidRPr="004C7092">
        <w:rPr>
          <w:rFonts w:asciiTheme="majorBidi" w:hAnsiTheme="majorBidi" w:cstheme="majorBidi"/>
          <w:i/>
          <w:iCs/>
        </w:rPr>
        <w:t>God and Greater Britain: Religion and National Life in Britain and Ireland, 1843-1945</w:t>
      </w:r>
      <w:r w:rsidRPr="004C7092">
        <w:rPr>
          <w:rFonts w:asciiTheme="majorBidi" w:hAnsiTheme="majorBidi" w:cstheme="majorBidi"/>
        </w:rPr>
        <w:t>, London and New York: Routledge.</w:t>
      </w:r>
    </w:p>
    <w:p w14:paraId="6B130844" w14:textId="77777777" w:rsidR="0075146A" w:rsidRPr="004C7092" w:rsidRDefault="0075146A" w:rsidP="004C7092">
      <w:pPr>
        <w:bidi w:val="0"/>
        <w:spacing w:line="480" w:lineRule="auto"/>
        <w:jc w:val="both"/>
        <w:rPr>
          <w:rFonts w:asciiTheme="majorBidi" w:hAnsiTheme="majorBidi" w:cstheme="majorBidi"/>
        </w:rPr>
      </w:pPr>
      <w:proofErr w:type="spellStart"/>
      <w:r w:rsidRPr="004C7092">
        <w:rPr>
          <w:rFonts w:asciiTheme="majorBidi" w:hAnsiTheme="majorBidi" w:cstheme="majorBidi"/>
        </w:rPr>
        <w:t>Wolffe</w:t>
      </w:r>
      <w:proofErr w:type="spellEnd"/>
      <w:r w:rsidRPr="004C7092">
        <w:rPr>
          <w:rFonts w:asciiTheme="majorBidi" w:hAnsiTheme="majorBidi" w:cstheme="majorBidi"/>
        </w:rPr>
        <w:t xml:space="preserve">, John (2006). “Anglicanism, Presbyterianism and the Religious Identities of the United Kingdom”, </w:t>
      </w:r>
      <w:r w:rsidRPr="004C7092">
        <w:rPr>
          <w:rFonts w:asciiTheme="majorBidi" w:hAnsiTheme="majorBidi" w:cstheme="majorBidi"/>
          <w:i/>
          <w:iCs/>
        </w:rPr>
        <w:t xml:space="preserve">World </w:t>
      </w:r>
      <w:proofErr w:type="spellStart"/>
      <w:r w:rsidRPr="004C7092">
        <w:rPr>
          <w:rFonts w:asciiTheme="majorBidi" w:hAnsiTheme="majorBidi" w:cstheme="majorBidi"/>
          <w:i/>
          <w:iCs/>
        </w:rPr>
        <w:t>Christianities</w:t>
      </w:r>
      <w:proofErr w:type="spellEnd"/>
      <w:r w:rsidRPr="004C7092">
        <w:rPr>
          <w:rFonts w:asciiTheme="majorBidi" w:hAnsiTheme="majorBidi" w:cstheme="majorBidi"/>
          <w:i/>
          <w:iCs/>
        </w:rPr>
        <w:t>, c. 1815-1914</w:t>
      </w:r>
      <w:r w:rsidRPr="004C7092">
        <w:rPr>
          <w:rFonts w:asciiTheme="majorBidi" w:hAnsiTheme="majorBidi" w:cstheme="majorBidi"/>
        </w:rPr>
        <w:t>, Sheridan Gilley, Brian Stanley (eds.), Cambridge UK, NY: Cambridge University Press.</w:t>
      </w:r>
    </w:p>
    <w:p w14:paraId="5430FB62"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Yates, Nigel (1998). </w:t>
      </w:r>
      <w:r w:rsidRPr="004C7092">
        <w:rPr>
          <w:rFonts w:asciiTheme="majorBidi" w:hAnsiTheme="majorBidi" w:cstheme="majorBidi"/>
          <w:i/>
          <w:iCs/>
        </w:rPr>
        <w:t>Anglican Ritualism in Victorian Britain 1830–1910</w:t>
      </w:r>
      <w:r w:rsidRPr="004C7092">
        <w:rPr>
          <w:rFonts w:asciiTheme="majorBidi" w:hAnsiTheme="majorBidi" w:cstheme="majorBidi"/>
        </w:rPr>
        <w:t>, New York: Oxford University Press.</w:t>
      </w:r>
    </w:p>
    <w:p w14:paraId="7628C0FB"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Young, Robert J. C. (2008). </w:t>
      </w:r>
      <w:r w:rsidRPr="004C7092">
        <w:rPr>
          <w:rFonts w:asciiTheme="majorBidi" w:hAnsiTheme="majorBidi" w:cstheme="majorBidi"/>
          <w:i/>
          <w:iCs/>
        </w:rPr>
        <w:t>The Idea of English Ethnicity</w:t>
      </w:r>
      <w:r w:rsidRPr="004C7092">
        <w:rPr>
          <w:rFonts w:asciiTheme="majorBidi" w:hAnsiTheme="majorBidi" w:cstheme="majorBidi"/>
        </w:rPr>
        <w:t>, Oxford: Blackwell</w:t>
      </w:r>
    </w:p>
    <w:p w14:paraId="148049FC" w14:textId="77777777" w:rsidR="0075146A" w:rsidRDefault="0075146A" w:rsidP="004C7092">
      <w:pPr>
        <w:bidi w:val="0"/>
        <w:spacing w:line="480" w:lineRule="auto"/>
        <w:jc w:val="both"/>
        <w:rPr>
          <w:rFonts w:asciiTheme="majorBidi" w:hAnsiTheme="majorBidi" w:cstheme="majorBidi"/>
        </w:rPr>
      </w:pPr>
      <w:proofErr w:type="spellStart"/>
      <w:r w:rsidRPr="004C7092">
        <w:rPr>
          <w:rFonts w:asciiTheme="majorBidi" w:hAnsiTheme="majorBidi" w:cstheme="majorBidi"/>
        </w:rPr>
        <w:lastRenderedPageBreak/>
        <w:t>Zastoupil</w:t>
      </w:r>
      <w:proofErr w:type="spellEnd"/>
      <w:r w:rsidRPr="004C7092">
        <w:rPr>
          <w:rFonts w:asciiTheme="majorBidi" w:hAnsiTheme="majorBidi" w:cstheme="majorBidi"/>
        </w:rPr>
        <w:t xml:space="preserve">, Lynn (1994). </w:t>
      </w:r>
      <w:r w:rsidRPr="004C7092">
        <w:rPr>
          <w:rFonts w:asciiTheme="majorBidi" w:hAnsiTheme="majorBidi" w:cstheme="majorBidi"/>
          <w:i/>
          <w:iCs/>
        </w:rPr>
        <w:t>John Stuart Mill and India</w:t>
      </w:r>
      <w:r w:rsidRPr="004C7092">
        <w:rPr>
          <w:rFonts w:asciiTheme="majorBidi" w:hAnsiTheme="majorBidi" w:cstheme="majorBidi"/>
        </w:rPr>
        <w:t>, Stanford: Stanford University Press.</w:t>
      </w:r>
      <w:r w:rsidRPr="00856741">
        <w:rPr>
          <w:rFonts w:asciiTheme="majorBidi" w:hAnsiTheme="majorBidi" w:cstheme="majorBidi"/>
        </w:rPr>
        <w:t xml:space="preserve"> </w:t>
      </w:r>
    </w:p>
    <w:p w14:paraId="0DF3905F" w14:textId="77777777" w:rsidR="00C637A1" w:rsidRPr="00D1204A" w:rsidRDefault="00C637A1" w:rsidP="004C7092">
      <w:pPr>
        <w:autoSpaceDE w:val="0"/>
        <w:autoSpaceDN w:val="0"/>
        <w:bidi w:val="0"/>
        <w:adjustRightInd w:val="0"/>
        <w:spacing w:line="480" w:lineRule="auto"/>
        <w:jc w:val="both"/>
        <w:rPr>
          <w:rFonts w:asciiTheme="majorBidi" w:hAnsiTheme="majorBidi" w:cstheme="majorBidi"/>
        </w:rPr>
      </w:pPr>
    </w:p>
    <w:sectPr w:rsidR="00C637A1" w:rsidRPr="00D1204A" w:rsidSect="002532D2">
      <w:headerReference w:type="default" r:id="rId8"/>
      <w:endnotePr>
        <w:numFmt w:val="decimal"/>
      </w:endnotePr>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68402" w14:textId="77777777" w:rsidR="00413FBE" w:rsidRDefault="00413FBE">
      <w:r>
        <w:separator/>
      </w:r>
    </w:p>
  </w:endnote>
  <w:endnote w:type="continuationSeparator" w:id="0">
    <w:p w14:paraId="7C07D5C5" w14:textId="77777777" w:rsidR="00413FBE" w:rsidRDefault="00413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de">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D8172" w14:textId="77777777" w:rsidR="00413FBE" w:rsidRDefault="00413FBE">
      <w:r>
        <w:separator/>
      </w:r>
    </w:p>
  </w:footnote>
  <w:footnote w:type="continuationSeparator" w:id="0">
    <w:p w14:paraId="1E032685" w14:textId="77777777" w:rsidR="00413FBE" w:rsidRDefault="00413FBE">
      <w:r>
        <w:continuationSeparator/>
      </w:r>
    </w:p>
  </w:footnote>
  <w:footnote w:id="1">
    <w:p w14:paraId="23499F96" w14:textId="07E18247" w:rsidR="00332ABB" w:rsidRPr="002A3214" w:rsidRDefault="00332ABB" w:rsidP="004C7092">
      <w:pPr>
        <w:bidi w:val="0"/>
        <w:spacing w:line="360" w:lineRule="auto"/>
        <w:jc w:val="both"/>
        <w:rPr>
          <w:rFonts w:asciiTheme="majorBidi" w:hAnsiTheme="majorBidi" w:cstheme="majorBidi"/>
          <w:sz w:val="22"/>
          <w:szCs w:val="22"/>
          <w:rtl/>
        </w:rPr>
      </w:pPr>
      <w:r w:rsidRPr="002A3214">
        <w:rPr>
          <w:rStyle w:val="ac"/>
          <w:rFonts w:asciiTheme="majorBidi" w:hAnsiTheme="majorBidi" w:cstheme="majorBidi"/>
          <w:sz w:val="22"/>
          <w:szCs w:val="22"/>
        </w:rPr>
        <w:footnoteRef/>
      </w:r>
      <w:r w:rsidRPr="002A3214">
        <w:rPr>
          <w:rFonts w:asciiTheme="majorBidi" w:hAnsiTheme="majorBidi" w:cstheme="majorBidi"/>
          <w:sz w:val="22"/>
          <w:szCs w:val="22"/>
        </w:rPr>
        <w:t xml:space="preserve"> Krishan Kumar ascribes a very similar list of attributes to the English identity, yet sees them as reason for the absence of nationalism (Kumar 2006, 427).</w:t>
      </w:r>
    </w:p>
  </w:footnote>
  <w:footnote w:id="2">
    <w:p w14:paraId="79210257" w14:textId="209A1A56" w:rsidR="00332ABB" w:rsidRPr="002A3214" w:rsidRDefault="00332ABB" w:rsidP="004C7092">
      <w:pPr>
        <w:pStyle w:val="aa"/>
        <w:bidi w:val="0"/>
        <w:spacing w:line="360" w:lineRule="auto"/>
        <w:jc w:val="both"/>
        <w:rPr>
          <w:rFonts w:asciiTheme="majorBidi" w:hAnsiTheme="majorBidi" w:cstheme="majorBidi"/>
          <w:sz w:val="22"/>
          <w:szCs w:val="22"/>
        </w:rPr>
      </w:pPr>
      <w:r w:rsidRPr="002A3214">
        <w:rPr>
          <w:rStyle w:val="ac"/>
          <w:rFonts w:asciiTheme="majorBidi" w:hAnsiTheme="majorBidi" w:cstheme="majorBidi"/>
          <w:sz w:val="22"/>
          <w:szCs w:val="22"/>
        </w:rPr>
        <w:footnoteRef/>
      </w:r>
      <w:r w:rsidRPr="002A3214">
        <w:rPr>
          <w:rFonts w:asciiTheme="majorBidi" w:hAnsiTheme="majorBidi" w:cstheme="majorBidi"/>
          <w:sz w:val="22"/>
          <w:szCs w:val="22"/>
          <w:rtl/>
        </w:rPr>
        <w:t xml:space="preserve"> </w:t>
      </w:r>
      <w:r w:rsidRPr="002A3214">
        <w:rPr>
          <w:rFonts w:asciiTheme="majorBidi" w:hAnsiTheme="majorBidi" w:cstheme="majorBidi"/>
          <w:sz w:val="22"/>
          <w:szCs w:val="22"/>
        </w:rPr>
        <w:t xml:space="preserve"> Kumar claims that Protestantism is international and therefore anti-national (Hutchinson, Reynolds, Smith, Colls, and Kumar 2007, 200) versus Robbins (Robbins 1993, 85). </w:t>
      </w:r>
    </w:p>
  </w:footnote>
  <w:footnote w:id="3">
    <w:p w14:paraId="48E2C7F1" w14:textId="07B41704" w:rsidR="00332ABB" w:rsidRPr="002A3214" w:rsidRDefault="00332ABB" w:rsidP="004C7092">
      <w:pPr>
        <w:pStyle w:val="aa"/>
        <w:bidi w:val="0"/>
        <w:spacing w:line="360" w:lineRule="auto"/>
        <w:jc w:val="both"/>
        <w:rPr>
          <w:rFonts w:asciiTheme="majorBidi" w:hAnsiTheme="majorBidi" w:cstheme="majorBidi"/>
          <w:sz w:val="22"/>
          <w:szCs w:val="22"/>
        </w:rPr>
      </w:pPr>
      <w:r w:rsidRPr="002A3214">
        <w:rPr>
          <w:rStyle w:val="ac"/>
          <w:rFonts w:asciiTheme="majorBidi" w:hAnsiTheme="majorBidi" w:cstheme="majorBidi"/>
          <w:sz w:val="22"/>
          <w:szCs w:val="22"/>
        </w:rPr>
        <w:footnoteRef/>
      </w:r>
      <w:r w:rsidRPr="002A3214">
        <w:rPr>
          <w:rFonts w:asciiTheme="majorBidi" w:hAnsiTheme="majorBidi" w:cstheme="majorBidi"/>
          <w:sz w:val="22"/>
          <w:szCs w:val="22"/>
        </w:rPr>
        <w:t xml:space="preserve"> Others see Protestantism as a more inclusive, even universal identity (Colls 2002, 18). Missionaries’, including Catholics, retained their national identity (in the twentieth century), even against the Pope's orders (Hastings 2003, 15-33).</w:t>
      </w:r>
    </w:p>
  </w:footnote>
  <w:footnote w:id="4">
    <w:p w14:paraId="62466AF5" w14:textId="5F183986" w:rsidR="00332ABB" w:rsidRPr="002A3214" w:rsidRDefault="00332ABB" w:rsidP="004C7092">
      <w:pPr>
        <w:autoSpaceDE w:val="0"/>
        <w:autoSpaceDN w:val="0"/>
        <w:bidi w:val="0"/>
        <w:adjustRightInd w:val="0"/>
        <w:spacing w:line="360" w:lineRule="auto"/>
        <w:jc w:val="both"/>
        <w:rPr>
          <w:rFonts w:asciiTheme="majorBidi" w:hAnsiTheme="majorBidi" w:cstheme="majorBidi"/>
          <w:sz w:val="22"/>
          <w:szCs w:val="22"/>
        </w:rPr>
      </w:pPr>
      <w:r w:rsidRPr="002A3214">
        <w:rPr>
          <w:rStyle w:val="ac"/>
          <w:rFonts w:asciiTheme="majorBidi" w:hAnsiTheme="majorBidi" w:cstheme="majorBidi"/>
          <w:sz w:val="22"/>
          <w:szCs w:val="22"/>
        </w:rPr>
        <w:footnoteRef/>
      </w:r>
      <w:r w:rsidRPr="002A3214">
        <w:rPr>
          <w:rStyle w:val="ac"/>
          <w:rFonts w:asciiTheme="majorBidi" w:hAnsiTheme="majorBidi" w:cstheme="majorBidi"/>
          <w:sz w:val="22"/>
          <w:szCs w:val="22"/>
          <w:rtl/>
        </w:rPr>
        <w:t xml:space="preserve"> </w:t>
      </w:r>
      <w:r w:rsidRPr="002A3214">
        <w:rPr>
          <w:rFonts w:asciiTheme="majorBidi" w:hAnsiTheme="majorBidi" w:cstheme="majorBidi"/>
          <w:sz w:val="22"/>
          <w:szCs w:val="22"/>
        </w:rPr>
        <w:t xml:space="preserve">Secularization is sometimes depicted as a process at the individual level (Eastwood and Prevalakis 2010, 95; Larsen 2006, 229-238). This thesis doesn't go unchallenged (Howard 2006, 207). </w:t>
      </w:r>
    </w:p>
  </w:footnote>
  <w:footnote w:id="5">
    <w:p w14:paraId="13AF336B" w14:textId="0B757C28" w:rsidR="00332ABB" w:rsidRPr="002A3214" w:rsidRDefault="00332ABB" w:rsidP="004C7092">
      <w:pPr>
        <w:pStyle w:val="aa"/>
        <w:bidi w:val="0"/>
        <w:spacing w:line="360" w:lineRule="auto"/>
        <w:jc w:val="both"/>
        <w:rPr>
          <w:rFonts w:asciiTheme="majorBidi" w:hAnsiTheme="majorBidi" w:cstheme="majorBidi"/>
          <w:sz w:val="22"/>
          <w:szCs w:val="22"/>
        </w:rPr>
      </w:pPr>
      <w:r w:rsidRPr="002A3214">
        <w:rPr>
          <w:rStyle w:val="ac"/>
          <w:rFonts w:asciiTheme="majorBidi" w:hAnsiTheme="majorBidi" w:cstheme="majorBidi"/>
          <w:sz w:val="22"/>
          <w:szCs w:val="22"/>
        </w:rPr>
        <w:footnoteRef/>
      </w:r>
      <w:r w:rsidRPr="002A3214">
        <w:rPr>
          <w:rFonts w:asciiTheme="majorBidi" w:hAnsiTheme="majorBidi" w:cstheme="majorBidi"/>
          <w:sz w:val="22"/>
          <w:szCs w:val="22"/>
        </w:rPr>
        <w:t xml:space="preserve"> As late as the 1960s only 10% of MPs defined themselves as atheists or agnostics and on the 2001 census only a small minority is devoid of all connection with religion or religious institutions (McLeod 2007, 228, 259). </w:t>
      </w:r>
    </w:p>
  </w:footnote>
  <w:footnote w:id="6">
    <w:p w14:paraId="435452C8" w14:textId="5DB34EDE" w:rsidR="00332ABB" w:rsidRPr="002A3214" w:rsidRDefault="00332ABB" w:rsidP="004C7092">
      <w:pPr>
        <w:pStyle w:val="aa"/>
        <w:bidi w:val="0"/>
        <w:spacing w:line="360" w:lineRule="auto"/>
        <w:jc w:val="both"/>
        <w:rPr>
          <w:rFonts w:asciiTheme="majorBidi" w:hAnsiTheme="majorBidi" w:cstheme="majorBidi"/>
          <w:sz w:val="22"/>
          <w:szCs w:val="22"/>
        </w:rPr>
      </w:pPr>
      <w:r w:rsidRPr="002A3214">
        <w:rPr>
          <w:rStyle w:val="ac"/>
          <w:rFonts w:asciiTheme="majorBidi" w:hAnsiTheme="majorBidi" w:cstheme="majorBidi"/>
          <w:sz w:val="22"/>
          <w:szCs w:val="22"/>
        </w:rPr>
        <w:footnoteRef/>
      </w:r>
      <w:r w:rsidRPr="002A3214">
        <w:rPr>
          <w:rFonts w:asciiTheme="majorBidi" w:hAnsiTheme="majorBidi" w:cstheme="majorBidi"/>
          <w:sz w:val="22"/>
          <w:szCs w:val="22"/>
          <w:rtl/>
        </w:rPr>
        <w:t xml:space="preserve"> </w:t>
      </w:r>
      <w:r w:rsidRPr="002A3214">
        <w:rPr>
          <w:rFonts w:asciiTheme="majorBidi" w:hAnsiTheme="majorBidi" w:cstheme="majorBidi"/>
          <w:sz w:val="22"/>
          <w:szCs w:val="22"/>
        </w:rPr>
        <w:t xml:space="preserve"> Still holds true at the remarkably low rates of participation of the end of the twentieth century – at least in rural England (Winter and Short 1993, 635-651).</w:t>
      </w:r>
    </w:p>
  </w:footnote>
  <w:footnote w:id="7">
    <w:p w14:paraId="4445675F" w14:textId="693CB21B" w:rsidR="00332ABB" w:rsidRPr="002A3214" w:rsidRDefault="00332ABB" w:rsidP="004C7092">
      <w:pPr>
        <w:bidi w:val="0"/>
        <w:spacing w:line="360" w:lineRule="auto"/>
        <w:jc w:val="both"/>
        <w:rPr>
          <w:rFonts w:asciiTheme="majorBidi" w:hAnsiTheme="majorBidi" w:cstheme="majorBidi"/>
          <w:sz w:val="22"/>
          <w:szCs w:val="22"/>
          <w:rtl/>
        </w:rPr>
      </w:pPr>
      <w:r w:rsidRPr="002A3214">
        <w:rPr>
          <w:rStyle w:val="ac"/>
          <w:rFonts w:asciiTheme="majorBidi" w:hAnsiTheme="majorBidi" w:cstheme="majorBidi"/>
          <w:sz w:val="22"/>
          <w:szCs w:val="22"/>
        </w:rPr>
        <w:footnoteRef/>
      </w:r>
      <w:r w:rsidRPr="002A3214">
        <w:rPr>
          <w:rFonts w:asciiTheme="majorBidi" w:hAnsiTheme="majorBidi" w:cstheme="majorBidi"/>
          <w:sz w:val="22"/>
          <w:szCs w:val="22"/>
          <w:rtl/>
        </w:rPr>
        <w:t xml:space="preserve"> </w:t>
      </w:r>
      <w:r w:rsidRPr="002A3214">
        <w:rPr>
          <w:rFonts w:asciiTheme="majorBidi" w:hAnsiTheme="majorBidi" w:cstheme="majorBidi"/>
          <w:sz w:val="22"/>
          <w:szCs w:val="22"/>
        </w:rPr>
        <w:t xml:space="preserve"> According to </w:t>
      </w:r>
      <w:r w:rsidRPr="002A3214">
        <w:rPr>
          <w:rFonts w:asciiTheme="majorBidi" w:hAnsiTheme="majorBidi" w:cstheme="majorBidi"/>
          <w:i/>
          <w:iCs/>
          <w:sz w:val="22"/>
          <w:szCs w:val="22"/>
        </w:rPr>
        <w:t>Bookman</w:t>
      </w:r>
      <w:r w:rsidRPr="002A3214">
        <w:rPr>
          <w:rFonts w:asciiTheme="majorBidi" w:hAnsiTheme="majorBidi" w:cstheme="majorBidi"/>
          <w:sz w:val="22"/>
          <w:szCs w:val="22"/>
        </w:rPr>
        <w:t xml:space="preserve"> another recurrent subject is the empire </w:t>
      </w:r>
      <w:r w:rsidRPr="002A3214">
        <w:rPr>
          <w:rFonts w:asciiTheme="majorBidi" w:hAnsiTheme="majorBidi" w:cstheme="majorBidi"/>
          <w:sz w:val="22"/>
          <w:szCs w:val="22"/>
          <w:rtl/>
        </w:rPr>
        <w:t>)</w:t>
      </w:r>
      <w:r w:rsidRPr="002A3214">
        <w:rPr>
          <w:rFonts w:asciiTheme="majorBidi" w:hAnsiTheme="majorBidi" w:cstheme="majorBidi"/>
          <w:sz w:val="22"/>
          <w:szCs w:val="22"/>
        </w:rPr>
        <w:t>Basset and Walter 2001, 208)</w:t>
      </w:r>
      <w:r w:rsidRPr="002A3214">
        <w:rPr>
          <w:rFonts w:asciiTheme="majorBidi" w:hAnsiTheme="majorBidi" w:cstheme="majorBidi"/>
          <w:sz w:val="22"/>
          <w:szCs w:val="22"/>
          <w:rtl/>
        </w:rPr>
        <w:t>.</w:t>
      </w:r>
    </w:p>
  </w:footnote>
  <w:footnote w:id="8">
    <w:p w14:paraId="34BF50DE" w14:textId="4854FE09" w:rsidR="00332ABB" w:rsidRPr="002A3214" w:rsidRDefault="00332ABB" w:rsidP="004C7092">
      <w:pPr>
        <w:pStyle w:val="aa"/>
        <w:bidi w:val="0"/>
        <w:spacing w:line="360" w:lineRule="auto"/>
        <w:jc w:val="both"/>
        <w:rPr>
          <w:rFonts w:asciiTheme="majorBidi" w:hAnsiTheme="majorBidi" w:cstheme="majorBidi"/>
          <w:sz w:val="22"/>
          <w:szCs w:val="22"/>
        </w:rPr>
      </w:pPr>
      <w:r w:rsidRPr="002A3214">
        <w:rPr>
          <w:rStyle w:val="ac"/>
          <w:rFonts w:asciiTheme="majorBidi" w:hAnsiTheme="majorBidi" w:cstheme="majorBidi"/>
          <w:sz w:val="22"/>
          <w:szCs w:val="22"/>
        </w:rPr>
        <w:footnoteRef/>
      </w:r>
      <w:r w:rsidRPr="002A3214">
        <w:rPr>
          <w:rFonts w:asciiTheme="majorBidi" w:hAnsiTheme="majorBidi" w:cstheme="majorBidi"/>
          <w:sz w:val="22"/>
          <w:szCs w:val="22"/>
          <w:rtl/>
        </w:rPr>
        <w:t xml:space="preserve"> </w:t>
      </w:r>
      <w:r w:rsidRPr="002A3214">
        <w:rPr>
          <w:rFonts w:asciiTheme="majorBidi" w:hAnsiTheme="majorBidi" w:cstheme="majorBidi"/>
          <w:sz w:val="22"/>
          <w:szCs w:val="22"/>
        </w:rPr>
        <w:t>Biblical vernacular was important (Bar-Yosef 2005, 14-16, 61-182).</w:t>
      </w:r>
    </w:p>
  </w:footnote>
  <w:footnote w:id="9">
    <w:p w14:paraId="2A8E21C0" w14:textId="07651D9B" w:rsidR="00332ABB" w:rsidRPr="002A3214" w:rsidRDefault="00332ABB" w:rsidP="004C7092">
      <w:pPr>
        <w:pStyle w:val="aa"/>
        <w:bidi w:val="0"/>
        <w:spacing w:line="360" w:lineRule="auto"/>
        <w:jc w:val="both"/>
        <w:rPr>
          <w:rFonts w:asciiTheme="majorBidi" w:hAnsiTheme="majorBidi" w:cstheme="majorBidi"/>
          <w:sz w:val="22"/>
          <w:szCs w:val="22"/>
        </w:rPr>
      </w:pPr>
      <w:r w:rsidRPr="002A3214">
        <w:rPr>
          <w:rStyle w:val="ac"/>
          <w:rFonts w:asciiTheme="majorBidi" w:hAnsiTheme="majorBidi" w:cstheme="majorBidi"/>
          <w:sz w:val="22"/>
          <w:szCs w:val="22"/>
        </w:rPr>
        <w:footnoteRef/>
      </w:r>
      <w:r w:rsidRPr="002A3214">
        <w:rPr>
          <w:rFonts w:asciiTheme="majorBidi" w:hAnsiTheme="majorBidi" w:cstheme="majorBidi"/>
          <w:sz w:val="22"/>
          <w:szCs w:val="22"/>
          <w:rtl/>
        </w:rPr>
        <w:t xml:space="preserve"> </w:t>
      </w:r>
      <w:r w:rsidRPr="002A3214">
        <w:rPr>
          <w:rFonts w:asciiTheme="majorBidi" w:hAnsiTheme="majorBidi" w:cstheme="majorBidi"/>
          <w:sz w:val="22"/>
          <w:szCs w:val="22"/>
        </w:rPr>
        <w:t xml:space="preserve">Ralls refers to Kingsley’s “solution” for the challenge of the crystal palace exhibition to religion as it raised the question whether the universe could be explained and its value measured by glass and iron. Kingsley exclaimed he preferred civilization to sanctity [Catholic and therefor false and superstitious] versus civilization which in a higher sense of sanctity. </w:t>
      </w:r>
    </w:p>
  </w:footnote>
  <w:footnote w:id="10">
    <w:p w14:paraId="3B9F8992" w14:textId="15CEF9F7" w:rsidR="00332ABB" w:rsidRPr="002A3214" w:rsidRDefault="00332ABB" w:rsidP="004C7092">
      <w:pPr>
        <w:pStyle w:val="aa"/>
        <w:bidi w:val="0"/>
        <w:spacing w:line="360" w:lineRule="auto"/>
        <w:jc w:val="both"/>
        <w:rPr>
          <w:rFonts w:asciiTheme="majorBidi" w:hAnsiTheme="majorBidi" w:cstheme="majorBidi"/>
          <w:sz w:val="22"/>
          <w:szCs w:val="22"/>
        </w:rPr>
      </w:pPr>
      <w:r w:rsidRPr="002A3214">
        <w:rPr>
          <w:rStyle w:val="ac"/>
          <w:rFonts w:asciiTheme="majorBidi" w:hAnsiTheme="majorBidi" w:cstheme="majorBidi"/>
          <w:sz w:val="22"/>
          <w:szCs w:val="22"/>
        </w:rPr>
        <w:footnoteRef/>
      </w:r>
      <w:r w:rsidRPr="002A3214">
        <w:rPr>
          <w:rFonts w:asciiTheme="majorBidi" w:hAnsiTheme="majorBidi" w:cstheme="majorBidi"/>
          <w:sz w:val="22"/>
          <w:szCs w:val="22"/>
          <w:rtl/>
        </w:rPr>
        <w:t xml:space="preserve"> </w:t>
      </w:r>
      <w:r w:rsidRPr="002A3214">
        <w:rPr>
          <w:rFonts w:asciiTheme="majorBidi" w:hAnsiTheme="majorBidi" w:cstheme="majorBidi"/>
          <w:sz w:val="22"/>
          <w:szCs w:val="22"/>
        </w:rPr>
        <w:t xml:space="preserve"> Smith sees a religious element to all nationalisms but particularly for Protestant nation (Smith, 2009, 76-7).</w:t>
      </w:r>
    </w:p>
  </w:footnote>
  <w:footnote w:id="11">
    <w:p w14:paraId="488CA0C9" w14:textId="3AC78202" w:rsidR="00332ABB" w:rsidRPr="002A3214" w:rsidRDefault="00332ABB" w:rsidP="004C7092">
      <w:pPr>
        <w:pStyle w:val="aa"/>
        <w:bidi w:val="0"/>
        <w:spacing w:line="360" w:lineRule="auto"/>
        <w:jc w:val="both"/>
        <w:rPr>
          <w:rFonts w:asciiTheme="majorBidi" w:hAnsiTheme="majorBidi" w:cstheme="majorBidi"/>
          <w:sz w:val="22"/>
          <w:szCs w:val="22"/>
          <w:rtl/>
        </w:rPr>
      </w:pPr>
      <w:r w:rsidRPr="002A3214">
        <w:rPr>
          <w:rStyle w:val="ac"/>
          <w:rFonts w:asciiTheme="majorBidi" w:hAnsiTheme="majorBidi" w:cstheme="majorBidi"/>
          <w:sz w:val="22"/>
          <w:szCs w:val="22"/>
        </w:rPr>
        <w:footnoteRef/>
      </w:r>
      <w:r w:rsidRPr="002A3214">
        <w:rPr>
          <w:rFonts w:asciiTheme="majorBidi" w:hAnsiTheme="majorBidi" w:cstheme="majorBidi"/>
          <w:sz w:val="22"/>
          <w:szCs w:val="22"/>
          <w:rtl/>
        </w:rPr>
        <w:t xml:space="preserve"> </w:t>
      </w:r>
      <w:r w:rsidRPr="002A3214">
        <w:rPr>
          <w:rFonts w:asciiTheme="majorBidi" w:hAnsiTheme="majorBidi" w:cstheme="majorBidi"/>
          <w:sz w:val="22"/>
          <w:szCs w:val="22"/>
        </w:rPr>
        <w:t xml:space="preserve"> “Its political, cultural and imperial aspirations cannot easily be related to the birth of a baby in Bethlehem's stable”, as Grace Davie so correctly remarks (Davie 1996, 112).</w:t>
      </w:r>
    </w:p>
  </w:footnote>
  <w:footnote w:id="12">
    <w:p w14:paraId="214365C7" w14:textId="46809E8C" w:rsidR="00332ABB" w:rsidRPr="002A3214" w:rsidRDefault="00332ABB" w:rsidP="004C7092">
      <w:pPr>
        <w:pStyle w:val="aa"/>
        <w:bidi w:val="0"/>
        <w:spacing w:line="360" w:lineRule="auto"/>
        <w:jc w:val="both"/>
        <w:rPr>
          <w:rFonts w:asciiTheme="majorBidi" w:hAnsiTheme="majorBidi" w:cstheme="majorBidi"/>
          <w:sz w:val="22"/>
          <w:szCs w:val="22"/>
          <w:rtl/>
        </w:rPr>
      </w:pPr>
      <w:r w:rsidRPr="002A3214">
        <w:rPr>
          <w:rStyle w:val="ac"/>
          <w:rFonts w:asciiTheme="majorBidi" w:hAnsiTheme="majorBidi" w:cstheme="majorBidi"/>
          <w:sz w:val="22"/>
          <w:szCs w:val="22"/>
        </w:rPr>
        <w:footnoteRef/>
      </w:r>
      <w:r w:rsidRPr="002A3214">
        <w:rPr>
          <w:rFonts w:asciiTheme="majorBidi" w:hAnsiTheme="majorBidi" w:cstheme="majorBidi"/>
          <w:sz w:val="22"/>
          <w:szCs w:val="22"/>
          <w:rtl/>
        </w:rPr>
        <w:t xml:space="preserve"> </w:t>
      </w:r>
      <w:r w:rsidRPr="002A3214">
        <w:rPr>
          <w:rFonts w:asciiTheme="majorBidi" w:hAnsiTheme="majorBidi" w:cstheme="majorBidi"/>
          <w:sz w:val="22"/>
          <w:szCs w:val="22"/>
        </w:rPr>
        <w:t>Kumar claims that the "Protestant Nation" lost meaning at the end of the nineteenth century, because Britain was no longer facing Catholic rivals (Kumar 2000, 590, 605 note 69). However, even in the seventeenth-eighteenth centuries Britain's Imperial rivals were not of one religious colour and included Swedes, and Dutch as well as Catholic (French) rivals.</w:t>
      </w:r>
    </w:p>
  </w:footnote>
  <w:footnote w:id="13">
    <w:p w14:paraId="3DDDC958" w14:textId="3DF7484F" w:rsidR="00332ABB" w:rsidRPr="002A3214" w:rsidRDefault="00332ABB" w:rsidP="004C7092">
      <w:pPr>
        <w:pStyle w:val="aa"/>
        <w:bidi w:val="0"/>
        <w:spacing w:line="360" w:lineRule="auto"/>
        <w:jc w:val="both"/>
        <w:rPr>
          <w:rFonts w:asciiTheme="majorBidi" w:hAnsiTheme="majorBidi" w:cstheme="majorBidi"/>
          <w:sz w:val="22"/>
          <w:szCs w:val="22"/>
        </w:rPr>
      </w:pPr>
      <w:r w:rsidRPr="002A3214">
        <w:rPr>
          <w:rStyle w:val="ac"/>
          <w:rFonts w:asciiTheme="majorBidi" w:hAnsiTheme="majorBidi" w:cstheme="majorBidi"/>
          <w:sz w:val="22"/>
          <w:szCs w:val="22"/>
        </w:rPr>
        <w:footnoteRef/>
      </w:r>
      <w:r w:rsidRPr="002A3214">
        <w:rPr>
          <w:rFonts w:asciiTheme="majorBidi" w:hAnsiTheme="majorBidi" w:cstheme="majorBidi"/>
          <w:sz w:val="22"/>
          <w:szCs w:val="22"/>
          <w:rtl/>
        </w:rPr>
        <w:t xml:space="preserve"> </w:t>
      </w:r>
      <w:r w:rsidRPr="002A3214">
        <w:rPr>
          <w:rFonts w:asciiTheme="majorBidi" w:hAnsiTheme="majorBidi" w:cstheme="majorBidi"/>
          <w:sz w:val="22"/>
          <w:szCs w:val="22"/>
        </w:rPr>
        <w:t>Cited from a caricature alluding to the bill as an act that would bring in the pretender (Rabin 2006, 163-7; also Singer 2002, 22-4).</w:t>
      </w:r>
    </w:p>
  </w:footnote>
  <w:footnote w:id="14">
    <w:p w14:paraId="3A938060" w14:textId="07C5EBFC" w:rsidR="00332ABB" w:rsidRPr="002A3214" w:rsidRDefault="00332ABB" w:rsidP="004C7092">
      <w:pPr>
        <w:pStyle w:val="aa"/>
        <w:bidi w:val="0"/>
        <w:spacing w:line="360" w:lineRule="auto"/>
        <w:jc w:val="both"/>
        <w:rPr>
          <w:rFonts w:asciiTheme="majorBidi" w:hAnsiTheme="majorBidi" w:cstheme="majorBidi"/>
          <w:sz w:val="22"/>
          <w:szCs w:val="22"/>
        </w:rPr>
      </w:pPr>
      <w:r w:rsidRPr="002A3214">
        <w:rPr>
          <w:rStyle w:val="ac"/>
          <w:rFonts w:asciiTheme="majorBidi" w:hAnsiTheme="majorBidi" w:cstheme="majorBidi"/>
          <w:sz w:val="22"/>
          <w:szCs w:val="22"/>
        </w:rPr>
        <w:footnoteRef/>
      </w:r>
      <w:r w:rsidRPr="002A3214">
        <w:rPr>
          <w:rFonts w:asciiTheme="majorBidi" w:hAnsiTheme="majorBidi" w:cstheme="majorBidi"/>
          <w:sz w:val="22"/>
          <w:szCs w:val="22"/>
        </w:rPr>
        <w:t xml:space="preserve"> No Catholic was elected to Parliament on an English seat between 1852-1865 (Altholz 1964, 94).</w:t>
      </w:r>
    </w:p>
  </w:footnote>
  <w:footnote w:id="15">
    <w:p w14:paraId="47B0BF73" w14:textId="05D2FF9A" w:rsidR="00332ABB" w:rsidRPr="002A3214" w:rsidRDefault="00332ABB" w:rsidP="004C7092">
      <w:pPr>
        <w:pStyle w:val="aa"/>
        <w:bidi w:val="0"/>
        <w:spacing w:line="360" w:lineRule="auto"/>
        <w:jc w:val="both"/>
        <w:rPr>
          <w:rFonts w:asciiTheme="majorBidi" w:hAnsiTheme="majorBidi" w:cstheme="majorBidi"/>
          <w:sz w:val="22"/>
          <w:szCs w:val="22"/>
        </w:rPr>
      </w:pPr>
      <w:r w:rsidRPr="002A3214">
        <w:rPr>
          <w:rStyle w:val="ac"/>
          <w:rFonts w:asciiTheme="majorBidi" w:hAnsiTheme="majorBidi" w:cstheme="majorBidi"/>
          <w:sz w:val="22"/>
          <w:szCs w:val="22"/>
        </w:rPr>
        <w:footnoteRef/>
      </w:r>
      <w:r w:rsidRPr="002A3214">
        <w:rPr>
          <w:rFonts w:asciiTheme="majorBidi" w:hAnsiTheme="majorBidi" w:cstheme="majorBidi"/>
          <w:sz w:val="22"/>
          <w:szCs w:val="22"/>
          <w:rtl/>
        </w:rPr>
        <w:t xml:space="preserve"> </w:t>
      </w:r>
      <w:r w:rsidRPr="002A3214">
        <w:rPr>
          <w:rFonts w:asciiTheme="majorBidi" w:hAnsiTheme="majorBidi" w:cstheme="majorBidi"/>
          <w:sz w:val="22"/>
          <w:szCs w:val="22"/>
        </w:rPr>
        <w:t>The idea of unity in the Church of England in the middle of the nineteenth century (</w:t>
      </w:r>
      <w:r w:rsidRPr="002A3214">
        <w:rPr>
          <w:rFonts w:asciiTheme="majorBidi" w:hAnsiTheme="majorBidi" w:cstheme="majorBidi"/>
          <w:sz w:val="22"/>
          <w:szCs w:val="22"/>
          <w:lang w:val="en"/>
        </w:rPr>
        <w:t xml:space="preserve">Sidenvall 2005, 119). </w:t>
      </w:r>
      <w:r w:rsidRPr="002A3214">
        <w:rPr>
          <w:rFonts w:asciiTheme="majorBidi" w:hAnsiTheme="majorBidi" w:cstheme="majorBidi"/>
          <w:sz w:val="22"/>
          <w:szCs w:val="22"/>
        </w:rPr>
        <w:t xml:space="preserve">The Oxford Movement took upon itself to reconceive the Church of England's Catholic heritage (Pickering 1989, 25).  The emergence of the Broad Church in response emphasized the Church's ability to register and contain a widening doctrinal disagreement (Morris 2005, 58). However the formulation of the idea of an all-inclusive Trinitarian Christianity by Thomas Arnold was widely denounced (Brown 2001, 189). Even in the twentieth century English heritage includes all Christian buildings, but no other religion (Kushner 1992, 3-4). Matthew Arnold suggested a natural "affinity" to the Celt, (Young 2008, 149). </w:t>
      </w:r>
    </w:p>
  </w:footnote>
  <w:footnote w:id="16">
    <w:p w14:paraId="62AD7565" w14:textId="344052BB" w:rsidR="00332ABB" w:rsidRPr="002A3214" w:rsidRDefault="00332ABB" w:rsidP="004C7092">
      <w:pPr>
        <w:pStyle w:val="aa"/>
        <w:bidi w:val="0"/>
        <w:spacing w:line="360" w:lineRule="auto"/>
        <w:jc w:val="both"/>
        <w:rPr>
          <w:rFonts w:asciiTheme="majorBidi" w:hAnsiTheme="majorBidi" w:cstheme="majorBidi"/>
          <w:sz w:val="22"/>
          <w:szCs w:val="22"/>
        </w:rPr>
      </w:pPr>
      <w:r w:rsidRPr="002A3214">
        <w:rPr>
          <w:rStyle w:val="ac"/>
          <w:rFonts w:asciiTheme="majorBidi" w:hAnsiTheme="majorBidi" w:cstheme="majorBidi"/>
          <w:sz w:val="22"/>
          <w:szCs w:val="22"/>
        </w:rPr>
        <w:footnoteRef/>
      </w:r>
      <w:r w:rsidRPr="002A3214">
        <w:rPr>
          <w:rFonts w:asciiTheme="majorBidi" w:hAnsiTheme="majorBidi" w:cstheme="majorBidi"/>
          <w:sz w:val="22"/>
          <w:szCs w:val="22"/>
        </w:rPr>
        <w:t xml:space="preserve"> By the final decade of the nineteenth century they were more easily accepted. But apparently for more conflicting reasons which did not include greater acceptance of Catholicism per se (Sidenvall 2005, 174-5; Howe 2008, 163).</w:t>
      </w:r>
    </w:p>
  </w:footnote>
  <w:footnote w:id="17">
    <w:p w14:paraId="0CC24A2D" w14:textId="1B998BB7" w:rsidR="00332ABB" w:rsidRPr="002A3214" w:rsidRDefault="00332ABB" w:rsidP="004C7092">
      <w:pPr>
        <w:pStyle w:val="aa"/>
        <w:bidi w:val="0"/>
        <w:spacing w:line="360" w:lineRule="auto"/>
        <w:jc w:val="both"/>
        <w:rPr>
          <w:rFonts w:asciiTheme="majorBidi" w:hAnsiTheme="majorBidi" w:cstheme="majorBidi"/>
          <w:sz w:val="22"/>
          <w:szCs w:val="22"/>
        </w:rPr>
      </w:pPr>
      <w:r w:rsidRPr="002A3214">
        <w:rPr>
          <w:rStyle w:val="ac"/>
          <w:rFonts w:asciiTheme="majorBidi" w:hAnsiTheme="majorBidi" w:cstheme="majorBidi"/>
          <w:sz w:val="22"/>
          <w:szCs w:val="22"/>
        </w:rPr>
        <w:footnoteRef/>
      </w:r>
      <w:r w:rsidRPr="002A3214">
        <w:rPr>
          <w:rFonts w:asciiTheme="majorBidi" w:hAnsiTheme="majorBidi" w:cstheme="majorBidi"/>
          <w:sz w:val="22"/>
          <w:szCs w:val="22"/>
        </w:rPr>
        <w:t xml:space="preserve"> Unlike the debate against Italian Roman Catholic priests in the 1840s, who were perceived as reactionary and intolerant and thus negating the spirit of progress and freedom, (Sponza 2006, 60-62). </w:t>
      </w:r>
    </w:p>
  </w:footnote>
  <w:footnote w:id="18">
    <w:p w14:paraId="748F6A66" w14:textId="77D52CE3" w:rsidR="00332ABB" w:rsidRPr="002A3214" w:rsidRDefault="00332ABB" w:rsidP="004C7092">
      <w:pPr>
        <w:pStyle w:val="aa"/>
        <w:bidi w:val="0"/>
        <w:spacing w:line="360" w:lineRule="auto"/>
        <w:jc w:val="both"/>
        <w:rPr>
          <w:rFonts w:asciiTheme="majorBidi" w:hAnsiTheme="majorBidi" w:cstheme="majorBidi"/>
          <w:sz w:val="22"/>
          <w:szCs w:val="22"/>
          <w:rtl/>
        </w:rPr>
      </w:pPr>
      <w:r w:rsidRPr="002A3214">
        <w:rPr>
          <w:rStyle w:val="ac"/>
          <w:rFonts w:asciiTheme="majorBidi" w:hAnsiTheme="majorBidi" w:cstheme="majorBidi"/>
          <w:sz w:val="22"/>
          <w:szCs w:val="22"/>
        </w:rPr>
        <w:footnoteRef/>
      </w:r>
      <w:r w:rsidRPr="002A3214">
        <w:rPr>
          <w:rFonts w:asciiTheme="majorBidi" w:hAnsiTheme="majorBidi" w:cstheme="majorBidi"/>
          <w:sz w:val="22"/>
          <w:szCs w:val="22"/>
        </w:rPr>
        <w:t xml:space="preserve"> One reviewer suggested that the clash might be between British and English identities, A. Martin (Wainwright 2013, 504).</w:t>
      </w:r>
    </w:p>
  </w:footnote>
  <w:footnote w:id="19">
    <w:p w14:paraId="59D35CFD" w14:textId="3F847AAC" w:rsidR="00332ABB" w:rsidRPr="002A3214" w:rsidRDefault="00332ABB" w:rsidP="004C7092">
      <w:pPr>
        <w:pStyle w:val="aa"/>
        <w:bidi w:val="0"/>
        <w:spacing w:line="360" w:lineRule="auto"/>
        <w:rPr>
          <w:rFonts w:asciiTheme="majorBidi" w:hAnsiTheme="majorBidi" w:cstheme="majorBidi"/>
          <w:sz w:val="22"/>
          <w:szCs w:val="22"/>
        </w:rPr>
      </w:pPr>
      <w:r w:rsidRPr="002A3214">
        <w:rPr>
          <w:rStyle w:val="ac"/>
          <w:rFonts w:asciiTheme="majorBidi" w:hAnsiTheme="majorBidi" w:cstheme="majorBidi"/>
          <w:sz w:val="22"/>
          <w:szCs w:val="22"/>
        </w:rPr>
        <w:footnoteRef/>
      </w:r>
      <w:r w:rsidRPr="002A3214">
        <w:rPr>
          <w:rFonts w:asciiTheme="majorBidi" w:hAnsiTheme="majorBidi" w:cstheme="majorBidi"/>
          <w:sz w:val="22"/>
          <w:szCs w:val="22"/>
          <w:rtl/>
        </w:rPr>
        <w:t xml:space="preserve"> </w:t>
      </w:r>
      <w:r w:rsidRPr="002A3214">
        <w:rPr>
          <w:rFonts w:asciiTheme="majorBidi" w:hAnsiTheme="majorBidi" w:cstheme="majorBidi"/>
          <w:sz w:val="22"/>
          <w:szCs w:val="22"/>
        </w:rPr>
        <w:t xml:space="preserve"> Lack of a cohesive and </w:t>
      </w:r>
      <w:r>
        <w:rPr>
          <w:rFonts w:asciiTheme="majorBidi" w:hAnsiTheme="majorBidi" w:cstheme="majorBidi"/>
          <w:sz w:val="22"/>
          <w:szCs w:val="22"/>
        </w:rPr>
        <w:t>consistent view included India</w:t>
      </w:r>
      <w:r w:rsidRPr="002A3214">
        <w:rPr>
          <w:rFonts w:asciiTheme="majorBidi" w:hAnsiTheme="majorBidi" w:cstheme="majorBidi"/>
          <w:sz w:val="22"/>
          <w:szCs w:val="22"/>
        </w:rPr>
        <w:t xml:space="preserve"> </w:t>
      </w:r>
      <w:r>
        <w:rPr>
          <w:rFonts w:asciiTheme="majorBidi" w:hAnsiTheme="majorBidi" w:cstheme="majorBidi"/>
          <w:sz w:val="22"/>
          <w:szCs w:val="22"/>
        </w:rPr>
        <w:t>(</w:t>
      </w:r>
      <w:r w:rsidRPr="002A3214">
        <w:rPr>
          <w:rFonts w:asciiTheme="majorBidi" w:hAnsiTheme="majorBidi" w:cstheme="majorBidi"/>
          <w:sz w:val="22"/>
          <w:szCs w:val="22"/>
        </w:rPr>
        <w:t>Metcalf</w:t>
      </w:r>
      <w:r>
        <w:rPr>
          <w:rFonts w:asciiTheme="majorBidi" w:hAnsiTheme="majorBidi" w:cstheme="majorBidi"/>
          <w:sz w:val="22"/>
          <w:szCs w:val="22"/>
        </w:rPr>
        <w:t xml:space="preserve"> </w:t>
      </w:r>
      <w:r w:rsidRPr="002A3214">
        <w:rPr>
          <w:rFonts w:asciiTheme="majorBidi" w:hAnsiTheme="majorBidi" w:cstheme="majorBidi"/>
          <w:sz w:val="22"/>
          <w:szCs w:val="22"/>
        </w:rPr>
        <w:t>1995</w:t>
      </w:r>
      <w:r>
        <w:rPr>
          <w:rFonts w:asciiTheme="majorBidi" w:hAnsiTheme="majorBidi" w:cstheme="majorBidi"/>
          <w:sz w:val="22"/>
          <w:szCs w:val="22"/>
        </w:rPr>
        <w:t>,</w:t>
      </w:r>
      <w:r w:rsidRPr="002A3214">
        <w:rPr>
          <w:rFonts w:asciiTheme="majorBidi" w:hAnsiTheme="majorBidi" w:cstheme="majorBidi"/>
          <w:sz w:val="22"/>
          <w:szCs w:val="22"/>
        </w:rPr>
        <w:t xml:space="preserve"> x</w:t>
      </w:r>
      <w:r>
        <w:rPr>
          <w:rFonts w:asciiTheme="majorBidi" w:hAnsiTheme="majorBidi" w:cstheme="majorBidi"/>
          <w:sz w:val="22"/>
          <w:szCs w:val="22"/>
        </w:rPr>
        <w:t>)</w:t>
      </w:r>
      <w:r w:rsidRPr="002A3214">
        <w:rPr>
          <w:rFonts w:asciiTheme="majorBidi" w:hAnsiTheme="majorBidi" w:cstheme="majorBidi"/>
          <w:sz w:val="22"/>
          <w:szCs w:val="22"/>
        </w:rPr>
        <w:t>.</w:t>
      </w:r>
    </w:p>
  </w:footnote>
  <w:footnote w:id="20">
    <w:p w14:paraId="0FB436C8" w14:textId="3C527E02" w:rsidR="00332ABB" w:rsidRPr="002A3214" w:rsidRDefault="00332ABB" w:rsidP="004C7092">
      <w:pPr>
        <w:pStyle w:val="aa"/>
        <w:bidi w:val="0"/>
        <w:spacing w:line="360" w:lineRule="auto"/>
        <w:jc w:val="both"/>
        <w:rPr>
          <w:rFonts w:asciiTheme="majorBidi" w:hAnsiTheme="majorBidi" w:cstheme="majorBidi"/>
          <w:sz w:val="22"/>
          <w:szCs w:val="22"/>
          <w:rtl/>
        </w:rPr>
      </w:pPr>
      <w:r w:rsidRPr="002A3214">
        <w:rPr>
          <w:rStyle w:val="ac"/>
          <w:rFonts w:asciiTheme="majorBidi" w:hAnsiTheme="majorBidi" w:cstheme="majorBidi"/>
          <w:sz w:val="22"/>
          <w:szCs w:val="22"/>
        </w:rPr>
        <w:footnoteRef/>
      </w:r>
      <w:r>
        <w:rPr>
          <w:rFonts w:asciiTheme="majorBidi" w:hAnsiTheme="majorBidi" w:cstheme="majorBidi"/>
          <w:sz w:val="22"/>
          <w:szCs w:val="22"/>
        </w:rPr>
        <w:t xml:space="preserve"> Especially to the point is </w:t>
      </w:r>
      <w:r w:rsidRPr="002A3214">
        <w:rPr>
          <w:rFonts w:asciiTheme="majorBidi" w:hAnsiTheme="majorBidi" w:cstheme="majorBidi"/>
          <w:sz w:val="22"/>
          <w:szCs w:val="22"/>
        </w:rPr>
        <w:t>Temple Gardiner's comparison of Queen Victoria's Diamond Jubilee procession to the procession of Jesus and symbolized his conviction that spreading the Gospel through the empire was a service to the queen</w:t>
      </w:r>
      <w:r>
        <w:rPr>
          <w:rFonts w:asciiTheme="majorBidi" w:hAnsiTheme="majorBidi" w:cstheme="majorBidi"/>
          <w:sz w:val="22"/>
          <w:szCs w:val="22"/>
        </w:rPr>
        <w:t xml:space="preserve"> (</w:t>
      </w:r>
      <w:r w:rsidRPr="002A3214">
        <w:rPr>
          <w:rFonts w:asciiTheme="majorBidi" w:hAnsiTheme="majorBidi" w:cstheme="majorBidi"/>
          <w:sz w:val="22"/>
          <w:szCs w:val="22"/>
        </w:rPr>
        <w:t>Williams</w:t>
      </w:r>
      <w:r>
        <w:rPr>
          <w:rFonts w:asciiTheme="majorBidi" w:hAnsiTheme="majorBidi" w:cstheme="majorBidi"/>
          <w:sz w:val="22"/>
          <w:szCs w:val="22"/>
        </w:rPr>
        <w:t xml:space="preserve"> </w:t>
      </w:r>
      <w:r w:rsidRPr="002A3214">
        <w:rPr>
          <w:rFonts w:asciiTheme="majorBidi" w:hAnsiTheme="majorBidi" w:cstheme="majorBidi"/>
          <w:sz w:val="22"/>
          <w:szCs w:val="22"/>
        </w:rPr>
        <w:t>1994,</w:t>
      </w:r>
      <w:r>
        <w:rPr>
          <w:rFonts w:asciiTheme="majorBidi" w:hAnsiTheme="majorBidi" w:cstheme="majorBidi"/>
          <w:sz w:val="22"/>
          <w:szCs w:val="22"/>
        </w:rPr>
        <w:t xml:space="preserve"> </w:t>
      </w:r>
      <w:r w:rsidRPr="002A3214">
        <w:rPr>
          <w:rFonts w:asciiTheme="majorBidi" w:hAnsiTheme="majorBidi" w:cstheme="majorBidi"/>
          <w:sz w:val="22"/>
          <w:szCs w:val="22"/>
        </w:rPr>
        <w:t>396</w:t>
      </w:r>
      <w:r>
        <w:rPr>
          <w:rFonts w:asciiTheme="majorBidi" w:hAnsiTheme="majorBidi" w:cstheme="majorBidi"/>
          <w:sz w:val="22"/>
          <w:szCs w:val="22"/>
        </w:rPr>
        <w:t>)</w:t>
      </w:r>
      <w:r w:rsidRPr="002A3214">
        <w:rPr>
          <w:rFonts w:asciiTheme="majorBidi" w:hAnsiTheme="majorBidi" w:cstheme="majorBidi"/>
          <w:sz w:val="22"/>
          <w:szCs w:val="22"/>
        </w:rPr>
        <w:t xml:space="preserve">. </w:t>
      </w:r>
      <w:r>
        <w:rPr>
          <w:rFonts w:asciiTheme="majorBidi" w:hAnsiTheme="majorBidi" w:cstheme="majorBidi"/>
          <w:sz w:val="22"/>
          <w:szCs w:val="22"/>
        </w:rPr>
        <w:t>Porter is e</w:t>
      </w:r>
      <w:r w:rsidRPr="002A3214">
        <w:rPr>
          <w:rFonts w:asciiTheme="majorBidi" w:hAnsiTheme="majorBidi" w:cstheme="majorBidi"/>
          <w:sz w:val="22"/>
          <w:szCs w:val="22"/>
        </w:rPr>
        <w:t>mphasizing the ambivalence at the turn of the nineteenth century because of eschatological leanings among missionaries</w:t>
      </w:r>
      <w:r>
        <w:rPr>
          <w:rFonts w:asciiTheme="majorBidi" w:hAnsiTheme="majorBidi" w:cstheme="majorBidi"/>
          <w:sz w:val="22"/>
          <w:szCs w:val="22"/>
        </w:rPr>
        <w:t xml:space="preserve"> </w:t>
      </w:r>
      <w:bookmarkStart w:id="14" w:name="OLE_LINK3"/>
      <w:bookmarkStart w:id="15" w:name="OLE_LINK4"/>
      <w:r>
        <w:rPr>
          <w:rFonts w:asciiTheme="majorBidi" w:hAnsiTheme="majorBidi" w:cstheme="majorBidi"/>
          <w:sz w:val="22"/>
          <w:szCs w:val="22"/>
        </w:rPr>
        <w:t>(</w:t>
      </w:r>
      <w:r w:rsidRPr="002A3214">
        <w:rPr>
          <w:rFonts w:asciiTheme="majorBidi" w:hAnsiTheme="majorBidi" w:cstheme="majorBidi"/>
          <w:sz w:val="22"/>
          <w:szCs w:val="22"/>
        </w:rPr>
        <w:t>Porter</w:t>
      </w:r>
      <w:bookmarkEnd w:id="14"/>
      <w:bookmarkEnd w:id="15"/>
      <w:r w:rsidRPr="002A3214">
        <w:rPr>
          <w:rFonts w:asciiTheme="majorBidi" w:hAnsiTheme="majorBidi" w:cstheme="majorBidi"/>
          <w:sz w:val="22"/>
          <w:szCs w:val="22"/>
        </w:rPr>
        <w:t xml:space="preserve"> 2004, 283-315</w:t>
      </w:r>
      <w:r>
        <w:rPr>
          <w:rFonts w:asciiTheme="majorBidi" w:hAnsiTheme="majorBidi" w:cstheme="majorBidi"/>
          <w:sz w:val="22"/>
          <w:szCs w:val="22"/>
        </w:rPr>
        <w:t>)</w:t>
      </w:r>
      <w:r w:rsidRPr="002A3214">
        <w:rPr>
          <w:rFonts w:asciiTheme="majorBidi" w:hAnsiTheme="majorBidi" w:cstheme="majorBidi"/>
          <w:sz w:val="22"/>
          <w:szCs w:val="22"/>
        </w:rPr>
        <w:t xml:space="preserve">. </w:t>
      </w:r>
    </w:p>
  </w:footnote>
  <w:footnote w:id="21">
    <w:p w14:paraId="6519AFD0" w14:textId="6B6C4B70" w:rsidR="00332ABB" w:rsidRPr="002A3214" w:rsidRDefault="00332ABB" w:rsidP="004C7092">
      <w:pPr>
        <w:pStyle w:val="aa"/>
        <w:bidi w:val="0"/>
        <w:spacing w:line="360" w:lineRule="auto"/>
        <w:jc w:val="both"/>
        <w:rPr>
          <w:rFonts w:asciiTheme="majorBidi" w:hAnsiTheme="majorBidi" w:cstheme="majorBidi"/>
          <w:sz w:val="22"/>
          <w:szCs w:val="22"/>
          <w:rtl/>
        </w:rPr>
      </w:pPr>
      <w:r w:rsidRPr="002A3214">
        <w:rPr>
          <w:rStyle w:val="ac"/>
          <w:rFonts w:asciiTheme="majorBidi" w:hAnsiTheme="majorBidi" w:cstheme="majorBidi"/>
          <w:sz w:val="22"/>
          <w:szCs w:val="22"/>
        </w:rPr>
        <w:footnoteRef/>
      </w:r>
      <w:r w:rsidRPr="002A3214">
        <w:rPr>
          <w:rFonts w:asciiTheme="majorBidi" w:hAnsiTheme="majorBidi" w:cstheme="majorBidi"/>
          <w:sz w:val="22"/>
          <w:szCs w:val="22"/>
          <w:rtl/>
        </w:rPr>
        <w:t xml:space="preserve"> </w:t>
      </w:r>
      <w:r w:rsidRPr="002A3214">
        <w:rPr>
          <w:rFonts w:asciiTheme="majorBidi" w:hAnsiTheme="majorBidi" w:cstheme="majorBidi"/>
          <w:sz w:val="22"/>
          <w:szCs w:val="22"/>
        </w:rPr>
        <w:t xml:space="preserve"> </w:t>
      </w:r>
      <w:r>
        <w:rPr>
          <w:rFonts w:asciiTheme="majorBidi" w:hAnsiTheme="majorBidi" w:cstheme="majorBidi"/>
          <w:sz w:val="22"/>
          <w:szCs w:val="22"/>
        </w:rPr>
        <w:t>T</w:t>
      </w:r>
      <w:r w:rsidRPr="002A3214">
        <w:rPr>
          <w:rFonts w:asciiTheme="majorBidi" w:hAnsiTheme="majorBidi" w:cstheme="majorBidi"/>
          <w:sz w:val="22"/>
          <w:szCs w:val="22"/>
        </w:rPr>
        <w:t xml:space="preserve">he connection between mission and civilization </w:t>
      </w:r>
      <w:r>
        <w:rPr>
          <w:rFonts w:asciiTheme="majorBidi" w:hAnsiTheme="majorBidi" w:cstheme="majorBidi"/>
          <w:sz w:val="22"/>
          <w:szCs w:val="22"/>
        </w:rPr>
        <w:t>i</w:t>
      </w:r>
      <w:r w:rsidRPr="002A3214">
        <w:rPr>
          <w:rFonts w:asciiTheme="majorBidi" w:hAnsiTheme="majorBidi" w:cstheme="majorBidi"/>
          <w:sz w:val="22"/>
          <w:szCs w:val="22"/>
        </w:rPr>
        <w:t>s central also later in the century</w:t>
      </w:r>
      <w:r>
        <w:rPr>
          <w:rFonts w:asciiTheme="majorBidi" w:hAnsiTheme="majorBidi" w:cstheme="majorBidi"/>
          <w:sz w:val="22"/>
          <w:szCs w:val="22"/>
        </w:rPr>
        <w:t xml:space="preserve"> (</w:t>
      </w:r>
      <w:r w:rsidRPr="002A3214">
        <w:rPr>
          <w:rFonts w:asciiTheme="majorBidi" w:hAnsiTheme="majorBidi" w:cstheme="majorBidi"/>
          <w:sz w:val="22"/>
          <w:szCs w:val="22"/>
        </w:rPr>
        <w:t>Williams</w:t>
      </w:r>
      <w:r>
        <w:rPr>
          <w:rFonts w:asciiTheme="majorBidi" w:hAnsiTheme="majorBidi" w:cstheme="majorBidi"/>
          <w:sz w:val="22"/>
          <w:szCs w:val="22"/>
        </w:rPr>
        <w:t xml:space="preserve"> 1994</w:t>
      </w:r>
      <w:r w:rsidRPr="002A3214">
        <w:rPr>
          <w:rFonts w:asciiTheme="majorBidi" w:hAnsiTheme="majorBidi" w:cstheme="majorBidi"/>
          <w:sz w:val="22"/>
          <w:szCs w:val="22"/>
        </w:rPr>
        <w:t>, 389-90</w:t>
      </w:r>
      <w:r>
        <w:rPr>
          <w:rFonts w:asciiTheme="majorBidi" w:hAnsiTheme="majorBidi" w:cstheme="majorBidi"/>
          <w:sz w:val="22"/>
          <w:szCs w:val="22"/>
        </w:rPr>
        <w:t>)</w:t>
      </w:r>
      <w:r w:rsidRPr="002A3214">
        <w:rPr>
          <w:rFonts w:asciiTheme="majorBidi" w:hAnsiTheme="majorBidi" w:cstheme="majorBidi"/>
          <w:sz w:val="22"/>
          <w:szCs w:val="22"/>
        </w:rPr>
        <w:t xml:space="preserve">. In the last quarter of the nineteenth century missionaries were increasingly bringing forward racial differences </w:t>
      </w:r>
      <w:r>
        <w:rPr>
          <w:rFonts w:asciiTheme="majorBidi" w:hAnsiTheme="majorBidi" w:cstheme="majorBidi"/>
          <w:sz w:val="22"/>
          <w:szCs w:val="22"/>
        </w:rPr>
        <w:t>(</w:t>
      </w:r>
      <w:r w:rsidRPr="002A3214">
        <w:rPr>
          <w:rFonts w:asciiTheme="majorBidi" w:hAnsiTheme="majorBidi" w:cstheme="majorBidi"/>
          <w:sz w:val="22"/>
          <w:szCs w:val="22"/>
        </w:rPr>
        <w:t>Thorne</w:t>
      </w:r>
      <w:r>
        <w:rPr>
          <w:rFonts w:asciiTheme="majorBidi" w:hAnsiTheme="majorBidi" w:cstheme="majorBidi"/>
          <w:sz w:val="22"/>
          <w:szCs w:val="22"/>
        </w:rPr>
        <w:t xml:space="preserve"> 1999</w:t>
      </w:r>
      <w:r w:rsidRPr="002A3214">
        <w:rPr>
          <w:rFonts w:asciiTheme="majorBidi" w:hAnsiTheme="majorBidi" w:cstheme="majorBidi"/>
          <w:sz w:val="22"/>
          <w:szCs w:val="22"/>
        </w:rPr>
        <w:t xml:space="preserve">, </w:t>
      </w:r>
      <w:r w:rsidRPr="002A3214">
        <w:rPr>
          <w:rFonts w:asciiTheme="majorBidi" w:hAnsiTheme="majorBidi" w:cstheme="majorBidi"/>
          <w:sz w:val="22"/>
          <w:szCs w:val="22"/>
          <w:lang w:val="fr-FR"/>
        </w:rPr>
        <w:t>92</w:t>
      </w:r>
      <w:r>
        <w:rPr>
          <w:rFonts w:asciiTheme="majorBidi" w:hAnsiTheme="majorBidi" w:cstheme="majorBidi"/>
          <w:sz w:val="22"/>
          <w:szCs w:val="22"/>
          <w:lang w:val="fr-FR"/>
        </w:rPr>
        <w:t>).</w:t>
      </w:r>
    </w:p>
  </w:footnote>
  <w:footnote w:id="22">
    <w:p w14:paraId="3A44BBA4" w14:textId="2DE34A9E" w:rsidR="00332ABB" w:rsidRPr="002A3214" w:rsidRDefault="00332ABB" w:rsidP="004C7092">
      <w:pPr>
        <w:pStyle w:val="aa"/>
        <w:bidi w:val="0"/>
        <w:spacing w:line="360" w:lineRule="auto"/>
        <w:jc w:val="both"/>
        <w:rPr>
          <w:rFonts w:asciiTheme="majorBidi" w:hAnsiTheme="majorBidi" w:cstheme="majorBidi"/>
          <w:sz w:val="22"/>
          <w:szCs w:val="22"/>
          <w:rtl/>
        </w:rPr>
      </w:pPr>
      <w:r w:rsidRPr="002A3214">
        <w:rPr>
          <w:rStyle w:val="ac"/>
          <w:rFonts w:asciiTheme="majorBidi" w:hAnsiTheme="majorBidi" w:cstheme="majorBidi"/>
          <w:sz w:val="22"/>
          <w:szCs w:val="22"/>
        </w:rPr>
        <w:footnoteRef/>
      </w:r>
      <w:r w:rsidRPr="002A3214">
        <w:rPr>
          <w:rFonts w:asciiTheme="majorBidi" w:hAnsiTheme="majorBidi" w:cstheme="majorBidi"/>
          <w:sz w:val="22"/>
          <w:szCs w:val="22"/>
        </w:rPr>
        <w:t xml:space="preserve"> Although Bentham and James Mill believed Ireland and India should be retained for humanitarian or political reasons, </w:t>
      </w:r>
      <w:r>
        <w:rPr>
          <w:rFonts w:asciiTheme="majorBidi" w:hAnsiTheme="majorBidi" w:cstheme="majorBidi"/>
          <w:sz w:val="22"/>
          <w:szCs w:val="22"/>
        </w:rPr>
        <w:t>(</w:t>
      </w:r>
      <w:r w:rsidRPr="002A3214">
        <w:rPr>
          <w:rFonts w:asciiTheme="majorBidi" w:hAnsiTheme="majorBidi" w:cstheme="majorBidi"/>
          <w:sz w:val="22"/>
          <w:szCs w:val="22"/>
        </w:rPr>
        <w:t>Sullivan 1983,</w:t>
      </w:r>
      <w:r>
        <w:rPr>
          <w:rFonts w:asciiTheme="majorBidi" w:hAnsiTheme="majorBidi" w:cstheme="majorBidi"/>
          <w:sz w:val="22"/>
          <w:szCs w:val="22"/>
        </w:rPr>
        <w:t xml:space="preserve"> 605, </w:t>
      </w:r>
      <w:r w:rsidRPr="002A3214">
        <w:rPr>
          <w:rFonts w:asciiTheme="majorBidi" w:hAnsiTheme="majorBidi" w:cstheme="majorBidi"/>
          <w:sz w:val="22"/>
          <w:szCs w:val="22"/>
        </w:rPr>
        <w:t>610-14</w:t>
      </w:r>
      <w:r>
        <w:rPr>
          <w:rFonts w:asciiTheme="majorBidi" w:hAnsiTheme="majorBidi" w:cstheme="majorBidi"/>
          <w:sz w:val="22"/>
          <w:szCs w:val="22"/>
        </w:rPr>
        <w:t>)</w:t>
      </w:r>
      <w:r w:rsidRPr="002A3214">
        <w:rPr>
          <w:rFonts w:asciiTheme="majorBidi" w:hAnsiTheme="majorBidi" w:cstheme="majorBidi"/>
          <w:sz w:val="22"/>
          <w:szCs w:val="22"/>
        </w:rPr>
        <w:t xml:space="preserve">. Lynn Zastoupil believes J.S. Mill was less of a reformist or utilitarian than his father until the last years of his career </w:t>
      </w:r>
      <w:r>
        <w:rPr>
          <w:rFonts w:asciiTheme="majorBidi" w:hAnsiTheme="majorBidi" w:cstheme="majorBidi"/>
          <w:sz w:val="22"/>
          <w:szCs w:val="22"/>
        </w:rPr>
        <w:t>(</w:t>
      </w:r>
      <w:r w:rsidRPr="002A3214">
        <w:rPr>
          <w:rFonts w:asciiTheme="majorBidi" w:hAnsiTheme="majorBidi" w:cstheme="majorBidi"/>
          <w:sz w:val="22"/>
          <w:szCs w:val="22"/>
        </w:rPr>
        <w:t>Zastoupil</w:t>
      </w:r>
      <w:r>
        <w:rPr>
          <w:rFonts w:asciiTheme="majorBidi" w:hAnsiTheme="majorBidi" w:cstheme="majorBidi"/>
          <w:sz w:val="22"/>
          <w:szCs w:val="22"/>
        </w:rPr>
        <w:t xml:space="preserve"> 1994</w:t>
      </w:r>
      <w:r w:rsidRPr="002A3214">
        <w:rPr>
          <w:rFonts w:asciiTheme="majorBidi" w:hAnsiTheme="majorBidi" w:cstheme="majorBidi"/>
          <w:sz w:val="22"/>
          <w:szCs w:val="22"/>
        </w:rPr>
        <w:t>, 4</w:t>
      </w:r>
      <w:r>
        <w:rPr>
          <w:rFonts w:asciiTheme="majorBidi" w:hAnsiTheme="majorBidi" w:cstheme="majorBidi"/>
          <w:sz w:val="22"/>
          <w:szCs w:val="22"/>
        </w:rPr>
        <w:t>)</w:t>
      </w:r>
      <w:r w:rsidRPr="002A3214">
        <w:rPr>
          <w:rFonts w:asciiTheme="majorBidi" w:hAnsiTheme="majorBidi" w:cstheme="majorBidi"/>
          <w:sz w:val="22"/>
          <w:szCs w:val="22"/>
        </w:rPr>
        <w:t>. James Mill</w:t>
      </w:r>
      <w:r>
        <w:rPr>
          <w:rFonts w:asciiTheme="majorBidi" w:hAnsiTheme="majorBidi" w:cstheme="majorBidi"/>
          <w:sz w:val="22"/>
          <w:szCs w:val="22"/>
        </w:rPr>
        <w:t xml:space="preserve"> made a</w:t>
      </w:r>
      <w:r w:rsidRPr="002A3214">
        <w:rPr>
          <w:rFonts w:asciiTheme="majorBidi" w:hAnsiTheme="majorBidi" w:cstheme="majorBidi"/>
          <w:sz w:val="22"/>
          <w:szCs w:val="22"/>
        </w:rPr>
        <w:t xml:space="preserve"> similar stand </w:t>
      </w:r>
      <w:r>
        <w:rPr>
          <w:rFonts w:asciiTheme="majorBidi" w:hAnsiTheme="majorBidi" w:cstheme="majorBidi"/>
          <w:sz w:val="22"/>
          <w:szCs w:val="22"/>
        </w:rPr>
        <w:t>(</w:t>
      </w:r>
      <w:r w:rsidRPr="002A3214">
        <w:rPr>
          <w:rFonts w:asciiTheme="majorBidi" w:hAnsiTheme="majorBidi" w:cstheme="majorBidi"/>
          <w:sz w:val="22"/>
          <w:szCs w:val="22"/>
        </w:rPr>
        <w:t>Metcalf</w:t>
      </w:r>
      <w:r>
        <w:rPr>
          <w:rFonts w:asciiTheme="majorBidi" w:hAnsiTheme="majorBidi" w:cstheme="majorBidi"/>
          <w:sz w:val="22"/>
          <w:szCs w:val="22"/>
        </w:rPr>
        <w:t xml:space="preserve"> 1995</w:t>
      </w:r>
      <w:r w:rsidRPr="002A3214">
        <w:rPr>
          <w:rFonts w:asciiTheme="majorBidi" w:hAnsiTheme="majorBidi" w:cstheme="majorBidi"/>
          <w:sz w:val="22"/>
          <w:szCs w:val="22"/>
        </w:rPr>
        <w:t>, 31</w:t>
      </w:r>
      <w:r>
        <w:rPr>
          <w:rFonts w:asciiTheme="majorBidi" w:hAnsiTheme="majorBidi" w:cstheme="majorBidi"/>
          <w:sz w:val="22"/>
          <w:szCs w:val="22"/>
        </w:rPr>
        <w:t>)</w:t>
      </w:r>
      <w:r w:rsidRPr="002A3214">
        <w:rPr>
          <w:rFonts w:asciiTheme="majorBidi" w:hAnsiTheme="majorBidi" w:cstheme="majorBidi"/>
          <w:sz w:val="22"/>
          <w:szCs w:val="22"/>
        </w:rPr>
        <w:t xml:space="preserve">. </w:t>
      </w:r>
      <w:r>
        <w:rPr>
          <w:rFonts w:asciiTheme="majorBidi" w:hAnsiTheme="majorBidi" w:cstheme="majorBidi"/>
          <w:sz w:val="22"/>
          <w:szCs w:val="22"/>
        </w:rPr>
        <w:t xml:space="preserve">John Stuart </w:t>
      </w:r>
      <w:r w:rsidRPr="002A3214">
        <w:rPr>
          <w:rFonts w:asciiTheme="majorBidi" w:hAnsiTheme="majorBidi" w:cstheme="majorBidi"/>
          <w:sz w:val="22"/>
          <w:szCs w:val="22"/>
        </w:rPr>
        <w:t xml:space="preserve">Mill differentiated between India and settler colonies, as was usual in Victorian Britain </w:t>
      </w:r>
      <w:r>
        <w:rPr>
          <w:rFonts w:asciiTheme="majorBidi" w:hAnsiTheme="majorBidi" w:cstheme="majorBidi"/>
          <w:sz w:val="22"/>
          <w:szCs w:val="22"/>
        </w:rPr>
        <w:t>(</w:t>
      </w:r>
      <w:r w:rsidRPr="002A3214">
        <w:rPr>
          <w:rFonts w:asciiTheme="majorBidi" w:hAnsiTheme="majorBidi" w:cstheme="majorBidi"/>
          <w:sz w:val="22"/>
          <w:szCs w:val="22"/>
        </w:rPr>
        <w:t>Bell</w:t>
      </w:r>
      <w:r>
        <w:rPr>
          <w:rFonts w:asciiTheme="majorBidi" w:hAnsiTheme="majorBidi" w:cstheme="majorBidi"/>
          <w:sz w:val="22"/>
          <w:szCs w:val="22"/>
        </w:rPr>
        <w:t xml:space="preserve"> 2016b</w:t>
      </w:r>
      <w:r w:rsidRPr="002A3214">
        <w:rPr>
          <w:rFonts w:asciiTheme="majorBidi" w:hAnsiTheme="majorBidi" w:cstheme="majorBidi"/>
          <w:sz w:val="22"/>
          <w:szCs w:val="22"/>
        </w:rPr>
        <w:t>, 274</w:t>
      </w:r>
      <w:r>
        <w:rPr>
          <w:rFonts w:asciiTheme="majorBidi" w:hAnsiTheme="majorBidi" w:cstheme="majorBidi"/>
          <w:sz w:val="22"/>
          <w:szCs w:val="22"/>
        </w:rPr>
        <w:t>)</w:t>
      </w:r>
      <w:r w:rsidRPr="002A3214">
        <w:rPr>
          <w:rFonts w:asciiTheme="majorBidi" w:hAnsiTheme="majorBidi" w:cstheme="majorBidi"/>
          <w:sz w:val="22"/>
          <w:szCs w:val="22"/>
        </w:rPr>
        <w:t xml:space="preserve">, he defended the rule of both, though settler colonies were justified on different grounds from the Raj, but the inner tension is clearer in the case of India. He became more aware of settler violence in his later years, </w:t>
      </w:r>
      <w:r>
        <w:rPr>
          <w:rFonts w:asciiTheme="majorBidi" w:hAnsiTheme="majorBidi" w:cstheme="majorBidi"/>
          <w:sz w:val="22"/>
          <w:szCs w:val="22"/>
        </w:rPr>
        <w:t>(</w:t>
      </w:r>
      <w:r w:rsidRPr="002A3214">
        <w:rPr>
          <w:rFonts w:asciiTheme="majorBidi" w:hAnsiTheme="majorBidi" w:cstheme="majorBidi"/>
          <w:sz w:val="22"/>
          <w:szCs w:val="22"/>
        </w:rPr>
        <w:t>Bell</w:t>
      </w:r>
      <w:r>
        <w:rPr>
          <w:rFonts w:asciiTheme="majorBidi" w:hAnsiTheme="majorBidi" w:cstheme="majorBidi"/>
          <w:sz w:val="22"/>
          <w:szCs w:val="22"/>
        </w:rPr>
        <w:t xml:space="preserve"> 2016b</w:t>
      </w:r>
      <w:r w:rsidRPr="002A3214">
        <w:rPr>
          <w:rFonts w:asciiTheme="majorBidi" w:hAnsiTheme="majorBidi" w:cstheme="majorBidi"/>
          <w:sz w:val="22"/>
          <w:szCs w:val="22"/>
        </w:rPr>
        <w:t>, 287-8, 290-295</w:t>
      </w:r>
      <w:r>
        <w:rPr>
          <w:rFonts w:asciiTheme="majorBidi" w:hAnsiTheme="majorBidi" w:cstheme="majorBidi"/>
          <w:sz w:val="22"/>
          <w:szCs w:val="22"/>
        </w:rPr>
        <w:t>)</w:t>
      </w:r>
      <w:r w:rsidRPr="002A3214">
        <w:rPr>
          <w:rFonts w:asciiTheme="majorBidi" w:hAnsiTheme="majorBidi" w:cstheme="majorBidi"/>
          <w:sz w:val="22"/>
          <w:szCs w:val="22"/>
        </w:rPr>
        <w:t>.</w:t>
      </w:r>
    </w:p>
  </w:footnote>
  <w:footnote w:id="23">
    <w:p w14:paraId="5460FC28" w14:textId="77A3A0A6" w:rsidR="00332ABB" w:rsidRPr="002A3214" w:rsidRDefault="00332ABB" w:rsidP="004C7092">
      <w:pPr>
        <w:pStyle w:val="aa"/>
        <w:bidi w:val="0"/>
        <w:spacing w:line="360" w:lineRule="auto"/>
        <w:jc w:val="both"/>
        <w:rPr>
          <w:rFonts w:asciiTheme="majorBidi" w:hAnsiTheme="majorBidi" w:cstheme="majorBidi"/>
          <w:sz w:val="22"/>
          <w:szCs w:val="22"/>
        </w:rPr>
      </w:pPr>
      <w:r w:rsidRPr="002A3214">
        <w:rPr>
          <w:rStyle w:val="ac"/>
          <w:rFonts w:asciiTheme="majorBidi" w:hAnsiTheme="majorBidi" w:cstheme="majorBidi"/>
          <w:sz w:val="22"/>
          <w:szCs w:val="22"/>
        </w:rPr>
        <w:footnoteRef/>
      </w:r>
      <w:r>
        <w:rPr>
          <w:rFonts w:asciiTheme="majorBidi" w:hAnsiTheme="majorBidi" w:cstheme="majorBidi"/>
          <w:sz w:val="22"/>
          <w:szCs w:val="22"/>
        </w:rPr>
        <w:t xml:space="preserve"> T</w:t>
      </w:r>
      <w:r w:rsidRPr="002A3214">
        <w:rPr>
          <w:rFonts w:asciiTheme="majorBidi" w:hAnsiTheme="majorBidi" w:cstheme="majorBidi"/>
          <w:sz w:val="22"/>
          <w:szCs w:val="22"/>
        </w:rPr>
        <w:t xml:space="preserve">he compound between Liberalism and empire in Stephen's thought </w:t>
      </w:r>
      <w:r>
        <w:rPr>
          <w:rFonts w:asciiTheme="majorBidi" w:hAnsiTheme="majorBidi" w:cstheme="majorBidi"/>
          <w:sz w:val="22"/>
          <w:szCs w:val="22"/>
        </w:rPr>
        <w:t xml:space="preserve">was </w:t>
      </w:r>
      <w:r w:rsidRPr="002A3214">
        <w:rPr>
          <w:rFonts w:asciiTheme="majorBidi" w:hAnsiTheme="majorBidi" w:cstheme="majorBidi"/>
          <w:sz w:val="22"/>
          <w:szCs w:val="22"/>
        </w:rPr>
        <w:t xml:space="preserve">complex </w:t>
      </w:r>
      <w:r>
        <w:rPr>
          <w:rFonts w:asciiTheme="majorBidi" w:hAnsiTheme="majorBidi" w:cstheme="majorBidi"/>
          <w:sz w:val="22"/>
          <w:szCs w:val="22"/>
        </w:rPr>
        <w:t>(</w:t>
      </w:r>
      <w:r w:rsidRPr="002A3214">
        <w:rPr>
          <w:rFonts w:asciiTheme="majorBidi" w:hAnsiTheme="majorBidi" w:cstheme="majorBidi"/>
          <w:sz w:val="22"/>
          <w:szCs w:val="22"/>
        </w:rPr>
        <w:t>Stapleton</w:t>
      </w:r>
      <w:r>
        <w:rPr>
          <w:rFonts w:asciiTheme="majorBidi" w:hAnsiTheme="majorBidi" w:cstheme="majorBidi"/>
          <w:sz w:val="22"/>
          <w:szCs w:val="22"/>
        </w:rPr>
        <w:t xml:space="preserve"> </w:t>
      </w:r>
      <w:r w:rsidRPr="002A3214">
        <w:rPr>
          <w:rFonts w:asciiTheme="majorBidi" w:hAnsiTheme="majorBidi" w:cstheme="majorBidi"/>
          <w:sz w:val="22"/>
          <w:szCs w:val="22"/>
        </w:rPr>
        <w:t>1998,</w:t>
      </w:r>
      <w:r>
        <w:rPr>
          <w:rFonts w:asciiTheme="majorBidi" w:hAnsiTheme="majorBidi" w:cstheme="majorBidi"/>
          <w:sz w:val="22"/>
          <w:szCs w:val="22"/>
        </w:rPr>
        <w:t xml:space="preserve"> </w:t>
      </w:r>
      <w:r w:rsidRPr="002A3214">
        <w:rPr>
          <w:rFonts w:asciiTheme="majorBidi" w:hAnsiTheme="majorBidi" w:cstheme="majorBidi"/>
          <w:sz w:val="22"/>
          <w:szCs w:val="22"/>
        </w:rPr>
        <w:t>243-263</w:t>
      </w:r>
      <w:r>
        <w:rPr>
          <w:rFonts w:asciiTheme="majorBidi" w:hAnsiTheme="majorBidi" w:cstheme="majorBidi"/>
          <w:sz w:val="22"/>
          <w:szCs w:val="22"/>
        </w:rPr>
        <w:t>)</w:t>
      </w:r>
      <w:r w:rsidRPr="002A3214">
        <w:rPr>
          <w:rFonts w:asciiTheme="majorBidi" w:hAnsiTheme="majorBidi" w:cstheme="majorBidi"/>
          <w:sz w:val="22"/>
          <w:szCs w:val="22"/>
        </w:rPr>
        <w:t xml:space="preserve">. </w:t>
      </w:r>
    </w:p>
  </w:footnote>
  <w:footnote w:id="24">
    <w:p w14:paraId="42E7A35B" w14:textId="6DFE7775" w:rsidR="00332ABB" w:rsidRPr="002A3214" w:rsidRDefault="00332ABB" w:rsidP="004C7092">
      <w:pPr>
        <w:pStyle w:val="aa"/>
        <w:bidi w:val="0"/>
        <w:spacing w:line="360" w:lineRule="auto"/>
        <w:jc w:val="both"/>
        <w:rPr>
          <w:rFonts w:asciiTheme="majorBidi" w:hAnsiTheme="majorBidi" w:cstheme="majorBidi"/>
          <w:sz w:val="22"/>
          <w:szCs w:val="22"/>
        </w:rPr>
      </w:pPr>
      <w:r w:rsidRPr="002A3214">
        <w:rPr>
          <w:rStyle w:val="ac"/>
          <w:rFonts w:asciiTheme="majorBidi" w:hAnsiTheme="majorBidi" w:cstheme="majorBidi"/>
          <w:sz w:val="22"/>
          <w:szCs w:val="22"/>
        </w:rPr>
        <w:footnoteRef/>
      </w:r>
      <w:r w:rsidRPr="002A3214">
        <w:rPr>
          <w:rFonts w:asciiTheme="majorBidi" w:hAnsiTheme="majorBidi" w:cstheme="majorBidi"/>
          <w:sz w:val="22"/>
          <w:szCs w:val="22"/>
          <w:rtl/>
        </w:rPr>
        <w:t xml:space="preserve"> </w:t>
      </w:r>
      <w:r w:rsidRPr="002A3214">
        <w:rPr>
          <w:rFonts w:asciiTheme="majorBidi" w:hAnsiTheme="majorBidi" w:cstheme="majorBidi"/>
          <w:sz w:val="22"/>
          <w:szCs w:val="22"/>
        </w:rPr>
        <w:t xml:space="preserve">Indeed, Clifford had the full trio: he thought Britain had to have Christian principles applied to problems of the state in foreign affairs, and that God had given Britain the stewardship of those great liberal principles, and the empire was the means for their fulfillment </w:t>
      </w:r>
      <w:r>
        <w:rPr>
          <w:rFonts w:asciiTheme="majorBidi" w:hAnsiTheme="majorBidi" w:cstheme="majorBidi"/>
          <w:sz w:val="22"/>
          <w:szCs w:val="22"/>
        </w:rPr>
        <w:t>(</w:t>
      </w:r>
      <w:r w:rsidRPr="002A3214">
        <w:rPr>
          <w:rFonts w:asciiTheme="majorBidi" w:hAnsiTheme="majorBidi" w:cstheme="majorBidi"/>
          <w:sz w:val="22"/>
          <w:szCs w:val="22"/>
          <w:lang w:val="en-GB"/>
        </w:rPr>
        <w:t>Thompson</w:t>
      </w:r>
      <w:r>
        <w:rPr>
          <w:rFonts w:asciiTheme="majorBidi" w:hAnsiTheme="majorBidi" w:cstheme="majorBidi"/>
          <w:sz w:val="22"/>
          <w:szCs w:val="22"/>
          <w:lang w:val="en-GB"/>
        </w:rPr>
        <w:t xml:space="preserve"> 1997</w:t>
      </w:r>
      <w:r>
        <w:rPr>
          <w:rFonts w:asciiTheme="majorBidi" w:hAnsiTheme="majorBidi" w:cstheme="majorBidi"/>
          <w:sz w:val="22"/>
          <w:szCs w:val="22"/>
        </w:rPr>
        <w:t>,</w:t>
      </w:r>
      <w:r w:rsidRPr="002A3214">
        <w:rPr>
          <w:rFonts w:asciiTheme="majorBidi" w:hAnsiTheme="majorBidi" w:cstheme="majorBidi"/>
          <w:sz w:val="22"/>
          <w:szCs w:val="22"/>
        </w:rPr>
        <w:t xml:space="preserve"> 167</w:t>
      </w:r>
      <w:r>
        <w:rPr>
          <w:rFonts w:asciiTheme="majorBidi" w:hAnsiTheme="majorBidi" w:cstheme="majorBidi"/>
          <w:sz w:val="22"/>
          <w:szCs w:val="22"/>
        </w:rPr>
        <w:t>)</w:t>
      </w:r>
      <w:r w:rsidRPr="002A3214">
        <w:rPr>
          <w:rFonts w:asciiTheme="majorBidi" w:hAnsiTheme="majorBidi" w:cstheme="majorBidi"/>
          <w:sz w:val="22"/>
          <w:szCs w:val="22"/>
        </w:rPr>
        <w:t>.</w:t>
      </w:r>
    </w:p>
  </w:footnote>
  <w:footnote w:id="25">
    <w:p w14:paraId="4B729FE4" w14:textId="2AC0DDDD" w:rsidR="00332ABB" w:rsidRPr="002A3214" w:rsidRDefault="00332ABB" w:rsidP="004C7092">
      <w:pPr>
        <w:pStyle w:val="aa"/>
        <w:bidi w:val="0"/>
        <w:spacing w:line="360" w:lineRule="auto"/>
        <w:jc w:val="both"/>
        <w:rPr>
          <w:rFonts w:asciiTheme="majorBidi" w:hAnsiTheme="majorBidi" w:cstheme="majorBidi"/>
          <w:sz w:val="22"/>
          <w:szCs w:val="22"/>
        </w:rPr>
      </w:pPr>
      <w:r w:rsidRPr="002A3214">
        <w:rPr>
          <w:rStyle w:val="ac"/>
          <w:rFonts w:asciiTheme="majorBidi" w:hAnsiTheme="majorBidi" w:cstheme="majorBidi"/>
          <w:sz w:val="22"/>
          <w:szCs w:val="22"/>
        </w:rPr>
        <w:footnoteRef/>
      </w:r>
      <w:r w:rsidRPr="002A3214">
        <w:rPr>
          <w:rFonts w:asciiTheme="majorBidi" w:hAnsiTheme="majorBidi" w:cstheme="majorBidi"/>
          <w:sz w:val="22"/>
          <w:szCs w:val="22"/>
          <w:rtl/>
        </w:rPr>
        <w:t xml:space="preserve"> </w:t>
      </w:r>
      <w:r w:rsidRPr="002A3214">
        <w:rPr>
          <w:rFonts w:asciiTheme="majorBidi" w:hAnsiTheme="majorBidi" w:cstheme="majorBidi"/>
          <w:sz w:val="22"/>
          <w:szCs w:val="22"/>
        </w:rPr>
        <w:t xml:space="preserve">Federalist ideas for the United Kingdom were sometimes mistaken with the “home rule all around” movement during 1886-1899 but were not seriously considered; federalist ideas per se gained interest among the politically influential only after 1910. Gladstone though interested in the federalist solution did not see how to reconcile it with the sovereignty of the Westminster parliament </w:t>
      </w:r>
      <w:r>
        <w:rPr>
          <w:rFonts w:asciiTheme="majorBidi" w:hAnsiTheme="majorBidi" w:cstheme="majorBidi"/>
          <w:sz w:val="22"/>
          <w:szCs w:val="22"/>
        </w:rPr>
        <w:t>(</w:t>
      </w:r>
      <w:r w:rsidRPr="002A3214">
        <w:rPr>
          <w:rFonts w:asciiTheme="majorBidi" w:hAnsiTheme="majorBidi" w:cstheme="majorBidi"/>
          <w:sz w:val="22"/>
          <w:szCs w:val="22"/>
        </w:rPr>
        <w:t>Kendle</w:t>
      </w:r>
      <w:r>
        <w:rPr>
          <w:rFonts w:asciiTheme="majorBidi" w:hAnsiTheme="majorBidi" w:cstheme="majorBidi"/>
          <w:sz w:val="22"/>
          <w:szCs w:val="22"/>
        </w:rPr>
        <w:t xml:space="preserve"> </w:t>
      </w:r>
      <w:r w:rsidRPr="002A3214">
        <w:rPr>
          <w:rFonts w:asciiTheme="majorBidi" w:hAnsiTheme="majorBidi" w:cstheme="majorBidi"/>
          <w:sz w:val="22"/>
          <w:szCs w:val="22"/>
        </w:rPr>
        <w:t>1989, 57-85, 106-127</w:t>
      </w:r>
      <w:r>
        <w:rPr>
          <w:rFonts w:asciiTheme="majorBidi" w:hAnsiTheme="majorBidi" w:cstheme="majorBidi"/>
          <w:sz w:val="22"/>
          <w:szCs w:val="22"/>
        </w:rPr>
        <w:t>)</w:t>
      </w:r>
      <w:r w:rsidRPr="002A3214">
        <w:rPr>
          <w:rFonts w:asciiTheme="majorBidi" w:hAnsiTheme="majorBidi" w:cstheme="majorBidi"/>
          <w:sz w:val="22"/>
          <w:szCs w:val="22"/>
        </w:rPr>
        <w:t>. On the other hand, Mandler believes English nationalism to have been rare because of the likelihood of detrimental effects it would have on the empire</w:t>
      </w:r>
      <w:r w:rsidRPr="002A3214">
        <w:rPr>
          <w:rFonts w:asciiTheme="majorBidi" w:hAnsiTheme="majorBidi" w:cstheme="majorBidi"/>
          <w:sz w:val="22"/>
          <w:szCs w:val="22"/>
          <w:rtl/>
        </w:rPr>
        <w:t xml:space="preserve"> </w:t>
      </w:r>
      <w:r>
        <w:rPr>
          <w:rFonts w:asciiTheme="majorBidi" w:hAnsiTheme="majorBidi" w:cstheme="majorBidi"/>
          <w:sz w:val="22"/>
          <w:szCs w:val="22"/>
        </w:rPr>
        <w:t>(</w:t>
      </w:r>
      <w:r w:rsidRPr="002A3214">
        <w:rPr>
          <w:rFonts w:asciiTheme="majorBidi" w:hAnsiTheme="majorBidi" w:cstheme="majorBidi"/>
          <w:sz w:val="22"/>
          <w:szCs w:val="22"/>
        </w:rPr>
        <w:t>Mandler</w:t>
      </w:r>
      <w:r>
        <w:rPr>
          <w:rFonts w:asciiTheme="majorBidi" w:hAnsiTheme="majorBidi" w:cstheme="majorBidi"/>
          <w:sz w:val="22"/>
          <w:szCs w:val="22"/>
        </w:rPr>
        <w:t xml:space="preserve"> 2000</w:t>
      </w:r>
      <w:r w:rsidRPr="002A3214">
        <w:rPr>
          <w:rFonts w:asciiTheme="majorBidi" w:hAnsiTheme="majorBidi" w:cstheme="majorBidi"/>
          <w:sz w:val="22"/>
          <w:szCs w:val="22"/>
        </w:rPr>
        <w:t xml:space="preserve">, </w:t>
      </w:r>
      <w:r>
        <w:rPr>
          <w:rFonts w:asciiTheme="majorBidi" w:hAnsiTheme="majorBidi" w:cstheme="majorBidi"/>
          <w:sz w:val="22"/>
          <w:szCs w:val="22"/>
        </w:rPr>
        <w:t>237;</w:t>
      </w:r>
      <w:r w:rsidRPr="002A3214">
        <w:rPr>
          <w:rFonts w:asciiTheme="majorBidi" w:hAnsiTheme="majorBidi" w:cstheme="majorBidi"/>
          <w:sz w:val="22"/>
          <w:szCs w:val="22"/>
        </w:rPr>
        <w:t xml:space="preserve"> Kumar</w:t>
      </w:r>
      <w:r>
        <w:rPr>
          <w:rFonts w:asciiTheme="majorBidi" w:hAnsiTheme="majorBidi" w:cstheme="majorBidi"/>
          <w:sz w:val="22"/>
          <w:szCs w:val="22"/>
        </w:rPr>
        <w:t xml:space="preserve"> 2000</w:t>
      </w:r>
      <w:r w:rsidRPr="002A3214">
        <w:rPr>
          <w:rFonts w:asciiTheme="majorBidi" w:hAnsiTheme="majorBidi" w:cstheme="majorBidi"/>
          <w:sz w:val="22"/>
          <w:szCs w:val="22"/>
        </w:rPr>
        <w:t>, 575-608; Stapleton</w:t>
      </w:r>
      <w:r>
        <w:rPr>
          <w:rFonts w:asciiTheme="majorBidi" w:hAnsiTheme="majorBidi" w:cstheme="majorBidi"/>
          <w:sz w:val="22"/>
          <w:szCs w:val="22"/>
        </w:rPr>
        <w:t xml:space="preserve"> 1997</w:t>
      </w:r>
      <w:r w:rsidRPr="002A3214">
        <w:rPr>
          <w:rFonts w:asciiTheme="majorBidi" w:hAnsiTheme="majorBidi" w:cstheme="majorBidi"/>
          <w:sz w:val="22"/>
          <w:szCs w:val="22"/>
        </w:rPr>
        <w:t>, 36</w:t>
      </w:r>
      <w:r>
        <w:rPr>
          <w:rFonts w:asciiTheme="majorBidi" w:hAnsiTheme="majorBidi" w:cstheme="majorBidi"/>
          <w:sz w:val="22"/>
          <w:szCs w:val="22"/>
        </w:rPr>
        <w:t>)</w:t>
      </w:r>
      <w:r w:rsidRPr="002A3214">
        <w:rPr>
          <w:rFonts w:asciiTheme="majorBidi" w:hAnsiTheme="majorBidi" w:cstheme="majorBidi"/>
          <w:sz w:val="22"/>
          <w:szCs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803814602"/>
      <w:docPartObj>
        <w:docPartGallery w:val="Page Numbers (Top of Page)"/>
        <w:docPartUnique/>
      </w:docPartObj>
    </w:sdtPr>
    <w:sdtEndPr>
      <w:rPr>
        <w:noProof/>
      </w:rPr>
    </w:sdtEndPr>
    <w:sdtContent>
      <w:p w14:paraId="52F7A4B7" w14:textId="77777777" w:rsidR="00332ABB" w:rsidRDefault="00332ABB">
        <w:pPr>
          <w:pStyle w:val="a6"/>
        </w:pPr>
        <w:r>
          <w:fldChar w:fldCharType="begin"/>
        </w:r>
        <w:r>
          <w:instrText xml:space="preserve"> PAGE   \* MERGEFORMAT </w:instrText>
        </w:r>
        <w:r>
          <w:fldChar w:fldCharType="separate"/>
        </w:r>
        <w:r w:rsidR="00F909AF">
          <w:rPr>
            <w:noProof/>
            <w:rtl/>
          </w:rPr>
          <w:t>1</w:t>
        </w:r>
        <w:r>
          <w:rPr>
            <w:noProof/>
          </w:rPr>
          <w:fldChar w:fldCharType="end"/>
        </w:r>
      </w:p>
    </w:sdtContent>
  </w:sdt>
  <w:p w14:paraId="0176E138" w14:textId="77777777" w:rsidR="00332ABB" w:rsidRDefault="00332AB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C1E78"/>
    <w:multiLevelType w:val="multilevel"/>
    <w:tmpl w:val="0D442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065FD2"/>
    <w:multiLevelType w:val="hybridMultilevel"/>
    <w:tmpl w:val="738408C4"/>
    <w:lvl w:ilvl="0" w:tplc="0409000F">
      <w:start w:val="1"/>
      <w:numFmt w:val="decimal"/>
      <w:lvlText w:val="%1."/>
      <w:lvlJc w:val="left"/>
      <w:pPr>
        <w:tabs>
          <w:tab w:val="num" w:pos="1106"/>
        </w:tabs>
        <w:ind w:left="1106" w:hanging="360"/>
      </w:pPr>
    </w:lvl>
    <w:lvl w:ilvl="1" w:tplc="04090019" w:tentative="1">
      <w:start w:val="1"/>
      <w:numFmt w:val="lowerLetter"/>
      <w:lvlText w:val="%2."/>
      <w:lvlJc w:val="left"/>
      <w:pPr>
        <w:tabs>
          <w:tab w:val="num" w:pos="1826"/>
        </w:tabs>
        <w:ind w:left="1826" w:hanging="360"/>
      </w:pPr>
    </w:lvl>
    <w:lvl w:ilvl="2" w:tplc="0409001B" w:tentative="1">
      <w:start w:val="1"/>
      <w:numFmt w:val="lowerRoman"/>
      <w:lvlText w:val="%3."/>
      <w:lvlJc w:val="right"/>
      <w:pPr>
        <w:tabs>
          <w:tab w:val="num" w:pos="2546"/>
        </w:tabs>
        <w:ind w:left="2546" w:hanging="180"/>
      </w:pPr>
    </w:lvl>
    <w:lvl w:ilvl="3" w:tplc="0409000F" w:tentative="1">
      <w:start w:val="1"/>
      <w:numFmt w:val="decimal"/>
      <w:lvlText w:val="%4."/>
      <w:lvlJc w:val="left"/>
      <w:pPr>
        <w:tabs>
          <w:tab w:val="num" w:pos="3266"/>
        </w:tabs>
        <w:ind w:left="3266" w:hanging="360"/>
      </w:pPr>
    </w:lvl>
    <w:lvl w:ilvl="4" w:tplc="04090019" w:tentative="1">
      <w:start w:val="1"/>
      <w:numFmt w:val="lowerLetter"/>
      <w:lvlText w:val="%5."/>
      <w:lvlJc w:val="left"/>
      <w:pPr>
        <w:tabs>
          <w:tab w:val="num" w:pos="3986"/>
        </w:tabs>
        <w:ind w:left="3986" w:hanging="360"/>
      </w:pPr>
    </w:lvl>
    <w:lvl w:ilvl="5" w:tplc="0409001B" w:tentative="1">
      <w:start w:val="1"/>
      <w:numFmt w:val="lowerRoman"/>
      <w:lvlText w:val="%6."/>
      <w:lvlJc w:val="right"/>
      <w:pPr>
        <w:tabs>
          <w:tab w:val="num" w:pos="4706"/>
        </w:tabs>
        <w:ind w:left="4706" w:hanging="180"/>
      </w:pPr>
    </w:lvl>
    <w:lvl w:ilvl="6" w:tplc="0409000F" w:tentative="1">
      <w:start w:val="1"/>
      <w:numFmt w:val="decimal"/>
      <w:lvlText w:val="%7."/>
      <w:lvlJc w:val="left"/>
      <w:pPr>
        <w:tabs>
          <w:tab w:val="num" w:pos="5426"/>
        </w:tabs>
        <w:ind w:left="5426" w:hanging="360"/>
      </w:pPr>
    </w:lvl>
    <w:lvl w:ilvl="7" w:tplc="04090019" w:tentative="1">
      <w:start w:val="1"/>
      <w:numFmt w:val="lowerLetter"/>
      <w:lvlText w:val="%8."/>
      <w:lvlJc w:val="left"/>
      <w:pPr>
        <w:tabs>
          <w:tab w:val="num" w:pos="6146"/>
        </w:tabs>
        <w:ind w:left="6146" w:hanging="360"/>
      </w:pPr>
    </w:lvl>
    <w:lvl w:ilvl="8" w:tplc="0409001B" w:tentative="1">
      <w:start w:val="1"/>
      <w:numFmt w:val="lowerRoman"/>
      <w:lvlText w:val="%9."/>
      <w:lvlJc w:val="right"/>
      <w:pPr>
        <w:tabs>
          <w:tab w:val="num" w:pos="6866"/>
        </w:tabs>
        <w:ind w:left="6866" w:hanging="180"/>
      </w:pPr>
    </w:lvl>
  </w:abstractNum>
  <w:abstractNum w:abstractNumId="2" w15:restartNumberingAfterBreak="0">
    <w:nsid w:val="412D1A6C"/>
    <w:multiLevelType w:val="hybridMultilevel"/>
    <w:tmpl w:val="88664746"/>
    <w:lvl w:ilvl="0" w:tplc="0409000F">
      <w:start w:val="1"/>
      <w:numFmt w:val="decimal"/>
      <w:lvlText w:val="%1."/>
      <w:lvlJc w:val="left"/>
      <w:pPr>
        <w:tabs>
          <w:tab w:val="num" w:pos="1106"/>
        </w:tabs>
        <w:ind w:left="1106" w:hanging="360"/>
      </w:pPr>
    </w:lvl>
    <w:lvl w:ilvl="1" w:tplc="04090019" w:tentative="1">
      <w:start w:val="1"/>
      <w:numFmt w:val="lowerLetter"/>
      <w:lvlText w:val="%2."/>
      <w:lvlJc w:val="left"/>
      <w:pPr>
        <w:tabs>
          <w:tab w:val="num" w:pos="1826"/>
        </w:tabs>
        <w:ind w:left="1826" w:hanging="360"/>
      </w:pPr>
    </w:lvl>
    <w:lvl w:ilvl="2" w:tplc="0409001B" w:tentative="1">
      <w:start w:val="1"/>
      <w:numFmt w:val="lowerRoman"/>
      <w:lvlText w:val="%3."/>
      <w:lvlJc w:val="right"/>
      <w:pPr>
        <w:tabs>
          <w:tab w:val="num" w:pos="2546"/>
        </w:tabs>
        <w:ind w:left="2546" w:hanging="180"/>
      </w:pPr>
    </w:lvl>
    <w:lvl w:ilvl="3" w:tplc="0409000F" w:tentative="1">
      <w:start w:val="1"/>
      <w:numFmt w:val="decimal"/>
      <w:lvlText w:val="%4."/>
      <w:lvlJc w:val="left"/>
      <w:pPr>
        <w:tabs>
          <w:tab w:val="num" w:pos="3266"/>
        </w:tabs>
        <w:ind w:left="3266" w:hanging="360"/>
      </w:pPr>
    </w:lvl>
    <w:lvl w:ilvl="4" w:tplc="04090019" w:tentative="1">
      <w:start w:val="1"/>
      <w:numFmt w:val="lowerLetter"/>
      <w:lvlText w:val="%5."/>
      <w:lvlJc w:val="left"/>
      <w:pPr>
        <w:tabs>
          <w:tab w:val="num" w:pos="3986"/>
        </w:tabs>
        <w:ind w:left="3986" w:hanging="360"/>
      </w:pPr>
    </w:lvl>
    <w:lvl w:ilvl="5" w:tplc="0409001B" w:tentative="1">
      <w:start w:val="1"/>
      <w:numFmt w:val="lowerRoman"/>
      <w:lvlText w:val="%6."/>
      <w:lvlJc w:val="right"/>
      <w:pPr>
        <w:tabs>
          <w:tab w:val="num" w:pos="4706"/>
        </w:tabs>
        <w:ind w:left="4706" w:hanging="180"/>
      </w:pPr>
    </w:lvl>
    <w:lvl w:ilvl="6" w:tplc="0409000F" w:tentative="1">
      <w:start w:val="1"/>
      <w:numFmt w:val="decimal"/>
      <w:lvlText w:val="%7."/>
      <w:lvlJc w:val="left"/>
      <w:pPr>
        <w:tabs>
          <w:tab w:val="num" w:pos="5426"/>
        </w:tabs>
        <w:ind w:left="5426" w:hanging="360"/>
      </w:pPr>
    </w:lvl>
    <w:lvl w:ilvl="7" w:tplc="04090019" w:tentative="1">
      <w:start w:val="1"/>
      <w:numFmt w:val="lowerLetter"/>
      <w:lvlText w:val="%8."/>
      <w:lvlJc w:val="left"/>
      <w:pPr>
        <w:tabs>
          <w:tab w:val="num" w:pos="6146"/>
        </w:tabs>
        <w:ind w:left="6146" w:hanging="360"/>
      </w:pPr>
    </w:lvl>
    <w:lvl w:ilvl="8" w:tplc="0409001B" w:tentative="1">
      <w:start w:val="1"/>
      <w:numFmt w:val="lowerRoman"/>
      <w:lvlText w:val="%9."/>
      <w:lvlJc w:val="right"/>
      <w:pPr>
        <w:tabs>
          <w:tab w:val="num" w:pos="6866"/>
        </w:tabs>
        <w:ind w:left="6866" w:hanging="180"/>
      </w:pPr>
    </w:lvl>
  </w:abstractNum>
  <w:abstractNum w:abstractNumId="3" w15:restartNumberingAfterBreak="0">
    <w:nsid w:val="48F0764C"/>
    <w:multiLevelType w:val="multilevel"/>
    <w:tmpl w:val="069A7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283514"/>
    <w:multiLevelType w:val="hybridMultilevel"/>
    <w:tmpl w:val="F1FA9AD4"/>
    <w:lvl w:ilvl="0" w:tplc="0409000F">
      <w:start w:val="1"/>
      <w:numFmt w:val="decimal"/>
      <w:lvlText w:val="%1."/>
      <w:lvlJc w:val="left"/>
      <w:pPr>
        <w:tabs>
          <w:tab w:val="num" w:pos="1106"/>
        </w:tabs>
        <w:ind w:left="1106" w:hanging="360"/>
      </w:pPr>
    </w:lvl>
    <w:lvl w:ilvl="1" w:tplc="04090019" w:tentative="1">
      <w:start w:val="1"/>
      <w:numFmt w:val="lowerLetter"/>
      <w:lvlText w:val="%2."/>
      <w:lvlJc w:val="left"/>
      <w:pPr>
        <w:tabs>
          <w:tab w:val="num" w:pos="1826"/>
        </w:tabs>
        <w:ind w:left="1826" w:hanging="360"/>
      </w:pPr>
    </w:lvl>
    <w:lvl w:ilvl="2" w:tplc="0409001B" w:tentative="1">
      <w:start w:val="1"/>
      <w:numFmt w:val="lowerRoman"/>
      <w:lvlText w:val="%3."/>
      <w:lvlJc w:val="right"/>
      <w:pPr>
        <w:tabs>
          <w:tab w:val="num" w:pos="2546"/>
        </w:tabs>
        <w:ind w:left="2546" w:hanging="180"/>
      </w:pPr>
    </w:lvl>
    <w:lvl w:ilvl="3" w:tplc="0409000F" w:tentative="1">
      <w:start w:val="1"/>
      <w:numFmt w:val="decimal"/>
      <w:lvlText w:val="%4."/>
      <w:lvlJc w:val="left"/>
      <w:pPr>
        <w:tabs>
          <w:tab w:val="num" w:pos="3266"/>
        </w:tabs>
        <w:ind w:left="3266" w:hanging="360"/>
      </w:pPr>
    </w:lvl>
    <w:lvl w:ilvl="4" w:tplc="04090019" w:tentative="1">
      <w:start w:val="1"/>
      <w:numFmt w:val="lowerLetter"/>
      <w:lvlText w:val="%5."/>
      <w:lvlJc w:val="left"/>
      <w:pPr>
        <w:tabs>
          <w:tab w:val="num" w:pos="3986"/>
        </w:tabs>
        <w:ind w:left="3986" w:hanging="360"/>
      </w:pPr>
    </w:lvl>
    <w:lvl w:ilvl="5" w:tplc="0409001B" w:tentative="1">
      <w:start w:val="1"/>
      <w:numFmt w:val="lowerRoman"/>
      <w:lvlText w:val="%6."/>
      <w:lvlJc w:val="right"/>
      <w:pPr>
        <w:tabs>
          <w:tab w:val="num" w:pos="4706"/>
        </w:tabs>
        <w:ind w:left="4706" w:hanging="180"/>
      </w:pPr>
    </w:lvl>
    <w:lvl w:ilvl="6" w:tplc="0409000F" w:tentative="1">
      <w:start w:val="1"/>
      <w:numFmt w:val="decimal"/>
      <w:lvlText w:val="%7."/>
      <w:lvlJc w:val="left"/>
      <w:pPr>
        <w:tabs>
          <w:tab w:val="num" w:pos="5426"/>
        </w:tabs>
        <w:ind w:left="5426" w:hanging="360"/>
      </w:pPr>
    </w:lvl>
    <w:lvl w:ilvl="7" w:tplc="04090019" w:tentative="1">
      <w:start w:val="1"/>
      <w:numFmt w:val="lowerLetter"/>
      <w:lvlText w:val="%8."/>
      <w:lvlJc w:val="left"/>
      <w:pPr>
        <w:tabs>
          <w:tab w:val="num" w:pos="6146"/>
        </w:tabs>
        <w:ind w:left="6146" w:hanging="360"/>
      </w:pPr>
    </w:lvl>
    <w:lvl w:ilvl="8" w:tplc="0409001B" w:tentative="1">
      <w:start w:val="1"/>
      <w:numFmt w:val="lowerRoman"/>
      <w:lvlText w:val="%9."/>
      <w:lvlJc w:val="right"/>
      <w:pPr>
        <w:tabs>
          <w:tab w:val="num" w:pos="6866"/>
        </w:tabs>
        <w:ind w:left="6866" w:hanging="180"/>
      </w:pPr>
    </w:lvl>
  </w:abstractNum>
  <w:abstractNum w:abstractNumId="5" w15:restartNumberingAfterBreak="0">
    <w:nsid w:val="545924BD"/>
    <w:multiLevelType w:val="multilevel"/>
    <w:tmpl w:val="F1FA9AD4"/>
    <w:lvl w:ilvl="0">
      <w:start w:val="1"/>
      <w:numFmt w:val="decimal"/>
      <w:lvlText w:val="%1."/>
      <w:lvlJc w:val="left"/>
      <w:pPr>
        <w:tabs>
          <w:tab w:val="num" w:pos="1106"/>
        </w:tabs>
        <w:ind w:left="1106" w:hanging="360"/>
      </w:pPr>
    </w:lvl>
    <w:lvl w:ilvl="1">
      <w:start w:val="1"/>
      <w:numFmt w:val="lowerLetter"/>
      <w:lvlText w:val="%2."/>
      <w:lvlJc w:val="left"/>
      <w:pPr>
        <w:tabs>
          <w:tab w:val="num" w:pos="1826"/>
        </w:tabs>
        <w:ind w:left="1826" w:hanging="360"/>
      </w:pPr>
    </w:lvl>
    <w:lvl w:ilvl="2">
      <w:start w:val="1"/>
      <w:numFmt w:val="lowerRoman"/>
      <w:lvlText w:val="%3."/>
      <w:lvlJc w:val="right"/>
      <w:pPr>
        <w:tabs>
          <w:tab w:val="num" w:pos="2546"/>
        </w:tabs>
        <w:ind w:left="2546" w:hanging="180"/>
      </w:pPr>
    </w:lvl>
    <w:lvl w:ilvl="3">
      <w:start w:val="1"/>
      <w:numFmt w:val="decimal"/>
      <w:lvlText w:val="%4."/>
      <w:lvlJc w:val="left"/>
      <w:pPr>
        <w:tabs>
          <w:tab w:val="num" w:pos="3266"/>
        </w:tabs>
        <w:ind w:left="3266" w:hanging="360"/>
      </w:pPr>
    </w:lvl>
    <w:lvl w:ilvl="4">
      <w:start w:val="1"/>
      <w:numFmt w:val="lowerLetter"/>
      <w:lvlText w:val="%5."/>
      <w:lvlJc w:val="left"/>
      <w:pPr>
        <w:tabs>
          <w:tab w:val="num" w:pos="3986"/>
        </w:tabs>
        <w:ind w:left="3986" w:hanging="360"/>
      </w:pPr>
    </w:lvl>
    <w:lvl w:ilvl="5">
      <w:start w:val="1"/>
      <w:numFmt w:val="lowerRoman"/>
      <w:lvlText w:val="%6."/>
      <w:lvlJc w:val="right"/>
      <w:pPr>
        <w:tabs>
          <w:tab w:val="num" w:pos="4706"/>
        </w:tabs>
        <w:ind w:left="4706" w:hanging="180"/>
      </w:pPr>
    </w:lvl>
    <w:lvl w:ilvl="6">
      <w:start w:val="1"/>
      <w:numFmt w:val="decimal"/>
      <w:lvlText w:val="%7."/>
      <w:lvlJc w:val="left"/>
      <w:pPr>
        <w:tabs>
          <w:tab w:val="num" w:pos="5426"/>
        </w:tabs>
        <w:ind w:left="5426" w:hanging="360"/>
      </w:pPr>
    </w:lvl>
    <w:lvl w:ilvl="7">
      <w:start w:val="1"/>
      <w:numFmt w:val="lowerLetter"/>
      <w:lvlText w:val="%8."/>
      <w:lvlJc w:val="left"/>
      <w:pPr>
        <w:tabs>
          <w:tab w:val="num" w:pos="6146"/>
        </w:tabs>
        <w:ind w:left="6146" w:hanging="360"/>
      </w:pPr>
    </w:lvl>
    <w:lvl w:ilvl="8">
      <w:start w:val="1"/>
      <w:numFmt w:val="lowerRoman"/>
      <w:lvlText w:val="%9."/>
      <w:lvlJc w:val="right"/>
      <w:pPr>
        <w:tabs>
          <w:tab w:val="num" w:pos="6866"/>
        </w:tabs>
        <w:ind w:left="6866" w:hanging="180"/>
      </w:pPr>
    </w:lvl>
  </w:abstractNum>
  <w:abstractNum w:abstractNumId="6" w15:restartNumberingAfterBreak="0">
    <w:nsid w:val="651E01BC"/>
    <w:multiLevelType w:val="multilevel"/>
    <w:tmpl w:val="705E2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5"/>
  </w:num>
  <w:num w:numId="4">
    <w:abstractNumId w:val="2"/>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tLC0MDc2Mrc0M7MwMLNQ0lEKTi0uzszPAykwrwUAkr5LzywAAAA="/>
  </w:docVars>
  <w:rsids>
    <w:rsidRoot w:val="00E91E32"/>
    <w:rsid w:val="00000105"/>
    <w:rsid w:val="0000189E"/>
    <w:rsid w:val="000066CA"/>
    <w:rsid w:val="00007047"/>
    <w:rsid w:val="00007F2B"/>
    <w:rsid w:val="00010A23"/>
    <w:rsid w:val="00011BFE"/>
    <w:rsid w:val="00012AD2"/>
    <w:rsid w:val="00013A5B"/>
    <w:rsid w:val="00013AF4"/>
    <w:rsid w:val="0001541E"/>
    <w:rsid w:val="00016C7C"/>
    <w:rsid w:val="00017233"/>
    <w:rsid w:val="000173C6"/>
    <w:rsid w:val="00022E5E"/>
    <w:rsid w:val="00022F9B"/>
    <w:rsid w:val="00023066"/>
    <w:rsid w:val="0002417B"/>
    <w:rsid w:val="0002544B"/>
    <w:rsid w:val="00027890"/>
    <w:rsid w:val="00027B21"/>
    <w:rsid w:val="00040D40"/>
    <w:rsid w:val="00040F5C"/>
    <w:rsid w:val="00041381"/>
    <w:rsid w:val="00041F19"/>
    <w:rsid w:val="00042413"/>
    <w:rsid w:val="00042983"/>
    <w:rsid w:val="000443DF"/>
    <w:rsid w:val="0004780B"/>
    <w:rsid w:val="00047B8A"/>
    <w:rsid w:val="00050064"/>
    <w:rsid w:val="0005138E"/>
    <w:rsid w:val="0005306D"/>
    <w:rsid w:val="00053802"/>
    <w:rsid w:val="00054546"/>
    <w:rsid w:val="000575E3"/>
    <w:rsid w:val="00061E49"/>
    <w:rsid w:val="0006263F"/>
    <w:rsid w:val="00063701"/>
    <w:rsid w:val="00065C97"/>
    <w:rsid w:val="00065EF3"/>
    <w:rsid w:val="00066349"/>
    <w:rsid w:val="000666C9"/>
    <w:rsid w:val="0006737E"/>
    <w:rsid w:val="000673D2"/>
    <w:rsid w:val="000723D2"/>
    <w:rsid w:val="00072CA4"/>
    <w:rsid w:val="0007307F"/>
    <w:rsid w:val="00073656"/>
    <w:rsid w:val="000736FF"/>
    <w:rsid w:val="00082ADA"/>
    <w:rsid w:val="0008494A"/>
    <w:rsid w:val="00084D76"/>
    <w:rsid w:val="0008516D"/>
    <w:rsid w:val="000918C9"/>
    <w:rsid w:val="00092FF5"/>
    <w:rsid w:val="00094BAF"/>
    <w:rsid w:val="00095E10"/>
    <w:rsid w:val="000A1FD0"/>
    <w:rsid w:val="000A284A"/>
    <w:rsid w:val="000A344A"/>
    <w:rsid w:val="000A40F4"/>
    <w:rsid w:val="000A6446"/>
    <w:rsid w:val="000A6B49"/>
    <w:rsid w:val="000A6F17"/>
    <w:rsid w:val="000A78AA"/>
    <w:rsid w:val="000B008C"/>
    <w:rsid w:val="000B12FE"/>
    <w:rsid w:val="000B2980"/>
    <w:rsid w:val="000B46D0"/>
    <w:rsid w:val="000B5F11"/>
    <w:rsid w:val="000C4237"/>
    <w:rsid w:val="000C5370"/>
    <w:rsid w:val="000C5A36"/>
    <w:rsid w:val="000C7439"/>
    <w:rsid w:val="000D35A0"/>
    <w:rsid w:val="000D63A8"/>
    <w:rsid w:val="000E1A1C"/>
    <w:rsid w:val="000E2E6C"/>
    <w:rsid w:val="000E432B"/>
    <w:rsid w:val="000E707D"/>
    <w:rsid w:val="000F06F7"/>
    <w:rsid w:val="000F071C"/>
    <w:rsid w:val="000F0CCE"/>
    <w:rsid w:val="000F0D3E"/>
    <w:rsid w:val="000F6D32"/>
    <w:rsid w:val="001019BA"/>
    <w:rsid w:val="00101FE6"/>
    <w:rsid w:val="001039C4"/>
    <w:rsid w:val="00103CBF"/>
    <w:rsid w:val="00107AF2"/>
    <w:rsid w:val="00107FF3"/>
    <w:rsid w:val="001127EF"/>
    <w:rsid w:val="001129FC"/>
    <w:rsid w:val="0011349A"/>
    <w:rsid w:val="00117A29"/>
    <w:rsid w:val="00122C65"/>
    <w:rsid w:val="00123E6A"/>
    <w:rsid w:val="001243BA"/>
    <w:rsid w:val="0012497F"/>
    <w:rsid w:val="00124D75"/>
    <w:rsid w:val="00125871"/>
    <w:rsid w:val="00126C4C"/>
    <w:rsid w:val="00130986"/>
    <w:rsid w:val="001325E6"/>
    <w:rsid w:val="00134B4D"/>
    <w:rsid w:val="00135F69"/>
    <w:rsid w:val="001362E7"/>
    <w:rsid w:val="00144114"/>
    <w:rsid w:val="00144E18"/>
    <w:rsid w:val="00146CB5"/>
    <w:rsid w:val="001474F1"/>
    <w:rsid w:val="00150366"/>
    <w:rsid w:val="00151FBB"/>
    <w:rsid w:val="0015268E"/>
    <w:rsid w:val="0015269C"/>
    <w:rsid w:val="0015281E"/>
    <w:rsid w:val="00155E1F"/>
    <w:rsid w:val="001576A3"/>
    <w:rsid w:val="001626CF"/>
    <w:rsid w:val="0016324A"/>
    <w:rsid w:val="001641EF"/>
    <w:rsid w:val="001675FE"/>
    <w:rsid w:val="00172DB0"/>
    <w:rsid w:val="00172EC4"/>
    <w:rsid w:val="00172F9D"/>
    <w:rsid w:val="001761BF"/>
    <w:rsid w:val="00177225"/>
    <w:rsid w:val="00180709"/>
    <w:rsid w:val="00180864"/>
    <w:rsid w:val="00183B92"/>
    <w:rsid w:val="00193B41"/>
    <w:rsid w:val="00194AA9"/>
    <w:rsid w:val="001A1051"/>
    <w:rsid w:val="001A1F31"/>
    <w:rsid w:val="001A21C9"/>
    <w:rsid w:val="001A5257"/>
    <w:rsid w:val="001A5517"/>
    <w:rsid w:val="001A6C76"/>
    <w:rsid w:val="001A7275"/>
    <w:rsid w:val="001B252B"/>
    <w:rsid w:val="001B3AE0"/>
    <w:rsid w:val="001B451F"/>
    <w:rsid w:val="001B6089"/>
    <w:rsid w:val="001B7781"/>
    <w:rsid w:val="001C340F"/>
    <w:rsid w:val="001C58E2"/>
    <w:rsid w:val="001C79A6"/>
    <w:rsid w:val="001C7EF1"/>
    <w:rsid w:val="001C7EFB"/>
    <w:rsid w:val="001D1612"/>
    <w:rsid w:val="001D33EE"/>
    <w:rsid w:val="001D3D28"/>
    <w:rsid w:val="001D4394"/>
    <w:rsid w:val="001D488E"/>
    <w:rsid w:val="001D49D4"/>
    <w:rsid w:val="001D70FB"/>
    <w:rsid w:val="001D7C7D"/>
    <w:rsid w:val="001E00FF"/>
    <w:rsid w:val="001E0A31"/>
    <w:rsid w:val="001E18A5"/>
    <w:rsid w:val="001E2318"/>
    <w:rsid w:val="001E525C"/>
    <w:rsid w:val="001E57BF"/>
    <w:rsid w:val="001F0EC8"/>
    <w:rsid w:val="001F196A"/>
    <w:rsid w:val="001F20BE"/>
    <w:rsid w:val="001F324B"/>
    <w:rsid w:val="001F369B"/>
    <w:rsid w:val="001F38AB"/>
    <w:rsid w:val="001F3CDC"/>
    <w:rsid w:val="001F7557"/>
    <w:rsid w:val="001F7683"/>
    <w:rsid w:val="0020198F"/>
    <w:rsid w:val="00205B62"/>
    <w:rsid w:val="00206F7B"/>
    <w:rsid w:val="0020725C"/>
    <w:rsid w:val="00210771"/>
    <w:rsid w:val="00216E08"/>
    <w:rsid w:val="00221273"/>
    <w:rsid w:val="00221BC4"/>
    <w:rsid w:val="00222685"/>
    <w:rsid w:val="002249B6"/>
    <w:rsid w:val="002270E5"/>
    <w:rsid w:val="00227777"/>
    <w:rsid w:val="00230617"/>
    <w:rsid w:val="002308D4"/>
    <w:rsid w:val="002315BB"/>
    <w:rsid w:val="00232CFD"/>
    <w:rsid w:val="0023400E"/>
    <w:rsid w:val="0023436B"/>
    <w:rsid w:val="002376C9"/>
    <w:rsid w:val="00237C15"/>
    <w:rsid w:val="0024147E"/>
    <w:rsid w:val="002425FA"/>
    <w:rsid w:val="00244512"/>
    <w:rsid w:val="0024584E"/>
    <w:rsid w:val="00245B97"/>
    <w:rsid w:val="00247568"/>
    <w:rsid w:val="00247A7B"/>
    <w:rsid w:val="00247C24"/>
    <w:rsid w:val="00247DD7"/>
    <w:rsid w:val="00247EE4"/>
    <w:rsid w:val="00247FF4"/>
    <w:rsid w:val="0025159B"/>
    <w:rsid w:val="00252FFF"/>
    <w:rsid w:val="002532D2"/>
    <w:rsid w:val="00257384"/>
    <w:rsid w:val="00257964"/>
    <w:rsid w:val="00257BAA"/>
    <w:rsid w:val="00257BDC"/>
    <w:rsid w:val="00257C41"/>
    <w:rsid w:val="002606CE"/>
    <w:rsid w:val="0026144F"/>
    <w:rsid w:val="002668F3"/>
    <w:rsid w:val="00266D3A"/>
    <w:rsid w:val="00266DAC"/>
    <w:rsid w:val="0026722F"/>
    <w:rsid w:val="0027005D"/>
    <w:rsid w:val="00270195"/>
    <w:rsid w:val="00270D47"/>
    <w:rsid w:val="00271456"/>
    <w:rsid w:val="0027249D"/>
    <w:rsid w:val="002726D4"/>
    <w:rsid w:val="0027335E"/>
    <w:rsid w:val="00275038"/>
    <w:rsid w:val="0027778B"/>
    <w:rsid w:val="00277AE2"/>
    <w:rsid w:val="00281010"/>
    <w:rsid w:val="00281156"/>
    <w:rsid w:val="00281163"/>
    <w:rsid w:val="0028260F"/>
    <w:rsid w:val="002838CE"/>
    <w:rsid w:val="0028545A"/>
    <w:rsid w:val="002855D3"/>
    <w:rsid w:val="002902BC"/>
    <w:rsid w:val="002923A2"/>
    <w:rsid w:val="00292502"/>
    <w:rsid w:val="002933E1"/>
    <w:rsid w:val="00293C6E"/>
    <w:rsid w:val="00294BC3"/>
    <w:rsid w:val="00295E80"/>
    <w:rsid w:val="00297184"/>
    <w:rsid w:val="002973A1"/>
    <w:rsid w:val="002A1E11"/>
    <w:rsid w:val="002A3214"/>
    <w:rsid w:val="002A3864"/>
    <w:rsid w:val="002A3DA6"/>
    <w:rsid w:val="002A4234"/>
    <w:rsid w:val="002A5BDC"/>
    <w:rsid w:val="002A6787"/>
    <w:rsid w:val="002A717A"/>
    <w:rsid w:val="002A7CF3"/>
    <w:rsid w:val="002B052D"/>
    <w:rsid w:val="002B0DA5"/>
    <w:rsid w:val="002B3B0B"/>
    <w:rsid w:val="002B4223"/>
    <w:rsid w:val="002B761E"/>
    <w:rsid w:val="002C032E"/>
    <w:rsid w:val="002C0CB9"/>
    <w:rsid w:val="002C2027"/>
    <w:rsid w:val="002C2227"/>
    <w:rsid w:val="002C2534"/>
    <w:rsid w:val="002C43D0"/>
    <w:rsid w:val="002C54FB"/>
    <w:rsid w:val="002C70FF"/>
    <w:rsid w:val="002C7B81"/>
    <w:rsid w:val="002D1AE7"/>
    <w:rsid w:val="002D4528"/>
    <w:rsid w:val="002D6D57"/>
    <w:rsid w:val="002D7D1F"/>
    <w:rsid w:val="002E0D43"/>
    <w:rsid w:val="002E2311"/>
    <w:rsid w:val="002E3191"/>
    <w:rsid w:val="002E32DF"/>
    <w:rsid w:val="002E3EA3"/>
    <w:rsid w:val="002F1CCF"/>
    <w:rsid w:val="002F2104"/>
    <w:rsid w:val="002F3E18"/>
    <w:rsid w:val="002F41E1"/>
    <w:rsid w:val="002F42F4"/>
    <w:rsid w:val="002F505E"/>
    <w:rsid w:val="00300C73"/>
    <w:rsid w:val="00303608"/>
    <w:rsid w:val="00304FFC"/>
    <w:rsid w:val="003078AB"/>
    <w:rsid w:val="00310477"/>
    <w:rsid w:val="0031334F"/>
    <w:rsid w:val="0031385C"/>
    <w:rsid w:val="00314690"/>
    <w:rsid w:val="00314D17"/>
    <w:rsid w:val="00315131"/>
    <w:rsid w:val="0031649F"/>
    <w:rsid w:val="003202E8"/>
    <w:rsid w:val="00321800"/>
    <w:rsid w:val="00322DA2"/>
    <w:rsid w:val="0032385F"/>
    <w:rsid w:val="00323E48"/>
    <w:rsid w:val="00325C2F"/>
    <w:rsid w:val="00327DD6"/>
    <w:rsid w:val="00332ABB"/>
    <w:rsid w:val="00334B74"/>
    <w:rsid w:val="00336FEC"/>
    <w:rsid w:val="003377D5"/>
    <w:rsid w:val="0034072E"/>
    <w:rsid w:val="00341810"/>
    <w:rsid w:val="003427FA"/>
    <w:rsid w:val="00343648"/>
    <w:rsid w:val="00344D85"/>
    <w:rsid w:val="003450C1"/>
    <w:rsid w:val="0034793B"/>
    <w:rsid w:val="0035071B"/>
    <w:rsid w:val="0035089F"/>
    <w:rsid w:val="00353616"/>
    <w:rsid w:val="0035528A"/>
    <w:rsid w:val="003555A9"/>
    <w:rsid w:val="003557B3"/>
    <w:rsid w:val="00355B0D"/>
    <w:rsid w:val="00362B6B"/>
    <w:rsid w:val="00363B90"/>
    <w:rsid w:val="00366310"/>
    <w:rsid w:val="00371E0A"/>
    <w:rsid w:val="00372796"/>
    <w:rsid w:val="00372FB6"/>
    <w:rsid w:val="0037596F"/>
    <w:rsid w:val="00375B13"/>
    <w:rsid w:val="00377F64"/>
    <w:rsid w:val="003802DB"/>
    <w:rsid w:val="0038261F"/>
    <w:rsid w:val="003857CC"/>
    <w:rsid w:val="00387564"/>
    <w:rsid w:val="00387B47"/>
    <w:rsid w:val="00397335"/>
    <w:rsid w:val="00397BBE"/>
    <w:rsid w:val="00397FB7"/>
    <w:rsid w:val="003A03E3"/>
    <w:rsid w:val="003A1360"/>
    <w:rsid w:val="003A33E9"/>
    <w:rsid w:val="003A3AE3"/>
    <w:rsid w:val="003A4C8D"/>
    <w:rsid w:val="003A76A9"/>
    <w:rsid w:val="003B138E"/>
    <w:rsid w:val="003B1F36"/>
    <w:rsid w:val="003B25F8"/>
    <w:rsid w:val="003B5B5F"/>
    <w:rsid w:val="003B784A"/>
    <w:rsid w:val="003B7B28"/>
    <w:rsid w:val="003B7BCB"/>
    <w:rsid w:val="003C68EB"/>
    <w:rsid w:val="003D099B"/>
    <w:rsid w:val="003D0F36"/>
    <w:rsid w:val="003D27FA"/>
    <w:rsid w:val="003D3136"/>
    <w:rsid w:val="003D783B"/>
    <w:rsid w:val="003D7B2D"/>
    <w:rsid w:val="003E09B7"/>
    <w:rsid w:val="003E4D16"/>
    <w:rsid w:val="003E6933"/>
    <w:rsid w:val="003E6AD1"/>
    <w:rsid w:val="003F049C"/>
    <w:rsid w:val="003F065D"/>
    <w:rsid w:val="003F2B8C"/>
    <w:rsid w:val="003F60D7"/>
    <w:rsid w:val="003F728E"/>
    <w:rsid w:val="00401428"/>
    <w:rsid w:val="00402183"/>
    <w:rsid w:val="00403591"/>
    <w:rsid w:val="004035DB"/>
    <w:rsid w:val="004056AE"/>
    <w:rsid w:val="00405C19"/>
    <w:rsid w:val="00410DA1"/>
    <w:rsid w:val="004111F6"/>
    <w:rsid w:val="0041196D"/>
    <w:rsid w:val="00412444"/>
    <w:rsid w:val="00413FBE"/>
    <w:rsid w:val="00417D16"/>
    <w:rsid w:val="00420F4B"/>
    <w:rsid w:val="004243EA"/>
    <w:rsid w:val="004324D4"/>
    <w:rsid w:val="004326BC"/>
    <w:rsid w:val="004369D3"/>
    <w:rsid w:val="00440A47"/>
    <w:rsid w:val="00440B0D"/>
    <w:rsid w:val="00444CCF"/>
    <w:rsid w:val="00450749"/>
    <w:rsid w:val="0045308E"/>
    <w:rsid w:val="00465760"/>
    <w:rsid w:val="00466498"/>
    <w:rsid w:val="00470455"/>
    <w:rsid w:val="0047048A"/>
    <w:rsid w:val="00470ACB"/>
    <w:rsid w:val="00470C16"/>
    <w:rsid w:val="00470D4C"/>
    <w:rsid w:val="00472077"/>
    <w:rsid w:val="00472343"/>
    <w:rsid w:val="00473129"/>
    <w:rsid w:val="00473BB5"/>
    <w:rsid w:val="0047471E"/>
    <w:rsid w:val="00475397"/>
    <w:rsid w:val="00476E32"/>
    <w:rsid w:val="00486D46"/>
    <w:rsid w:val="00487BFF"/>
    <w:rsid w:val="00491052"/>
    <w:rsid w:val="00491878"/>
    <w:rsid w:val="00493D78"/>
    <w:rsid w:val="004965E3"/>
    <w:rsid w:val="004977C7"/>
    <w:rsid w:val="0049784E"/>
    <w:rsid w:val="004A0FCD"/>
    <w:rsid w:val="004A41F0"/>
    <w:rsid w:val="004A4B2E"/>
    <w:rsid w:val="004A777F"/>
    <w:rsid w:val="004B317E"/>
    <w:rsid w:val="004B4608"/>
    <w:rsid w:val="004B5241"/>
    <w:rsid w:val="004B6BF7"/>
    <w:rsid w:val="004B7565"/>
    <w:rsid w:val="004B75D4"/>
    <w:rsid w:val="004C1A5A"/>
    <w:rsid w:val="004C1FA7"/>
    <w:rsid w:val="004C241A"/>
    <w:rsid w:val="004C30BB"/>
    <w:rsid w:val="004C5699"/>
    <w:rsid w:val="004C5829"/>
    <w:rsid w:val="004C7092"/>
    <w:rsid w:val="004C78F8"/>
    <w:rsid w:val="004D092D"/>
    <w:rsid w:val="004D0C44"/>
    <w:rsid w:val="004D25D3"/>
    <w:rsid w:val="004D79C5"/>
    <w:rsid w:val="004D7B1A"/>
    <w:rsid w:val="004D7C19"/>
    <w:rsid w:val="004E04F2"/>
    <w:rsid w:val="004E0D78"/>
    <w:rsid w:val="004E1635"/>
    <w:rsid w:val="004E2760"/>
    <w:rsid w:val="004E396B"/>
    <w:rsid w:val="004E3E80"/>
    <w:rsid w:val="004E42E1"/>
    <w:rsid w:val="004E48DF"/>
    <w:rsid w:val="004F6DB8"/>
    <w:rsid w:val="004F6FDD"/>
    <w:rsid w:val="004F768D"/>
    <w:rsid w:val="004F7B8E"/>
    <w:rsid w:val="005002E9"/>
    <w:rsid w:val="00502B56"/>
    <w:rsid w:val="00503AE5"/>
    <w:rsid w:val="00504887"/>
    <w:rsid w:val="00504BF1"/>
    <w:rsid w:val="00505A7F"/>
    <w:rsid w:val="00506CF5"/>
    <w:rsid w:val="00510D59"/>
    <w:rsid w:val="00511F53"/>
    <w:rsid w:val="00514F50"/>
    <w:rsid w:val="005152B7"/>
    <w:rsid w:val="00517DED"/>
    <w:rsid w:val="005213AE"/>
    <w:rsid w:val="0052242E"/>
    <w:rsid w:val="00523D1B"/>
    <w:rsid w:val="005251E8"/>
    <w:rsid w:val="00527F71"/>
    <w:rsid w:val="00530AF1"/>
    <w:rsid w:val="00533CE4"/>
    <w:rsid w:val="005417F4"/>
    <w:rsid w:val="00541926"/>
    <w:rsid w:val="00544C21"/>
    <w:rsid w:val="005501A4"/>
    <w:rsid w:val="0055028E"/>
    <w:rsid w:val="00551B4F"/>
    <w:rsid w:val="00552C72"/>
    <w:rsid w:val="0055673B"/>
    <w:rsid w:val="00556831"/>
    <w:rsid w:val="00560354"/>
    <w:rsid w:val="005655E3"/>
    <w:rsid w:val="00566767"/>
    <w:rsid w:val="0057515B"/>
    <w:rsid w:val="005766F8"/>
    <w:rsid w:val="005776E6"/>
    <w:rsid w:val="005777F4"/>
    <w:rsid w:val="00577D1B"/>
    <w:rsid w:val="005805E1"/>
    <w:rsid w:val="005809DA"/>
    <w:rsid w:val="00582A71"/>
    <w:rsid w:val="0058337C"/>
    <w:rsid w:val="005838D4"/>
    <w:rsid w:val="00585760"/>
    <w:rsid w:val="00585775"/>
    <w:rsid w:val="0058579B"/>
    <w:rsid w:val="0059576E"/>
    <w:rsid w:val="00595F02"/>
    <w:rsid w:val="005974F0"/>
    <w:rsid w:val="005A20C3"/>
    <w:rsid w:val="005A43CF"/>
    <w:rsid w:val="005A686D"/>
    <w:rsid w:val="005B0D47"/>
    <w:rsid w:val="005B0D58"/>
    <w:rsid w:val="005B2AC8"/>
    <w:rsid w:val="005B2E0F"/>
    <w:rsid w:val="005B3FD6"/>
    <w:rsid w:val="005B4EA8"/>
    <w:rsid w:val="005B5245"/>
    <w:rsid w:val="005C14F1"/>
    <w:rsid w:val="005C2A54"/>
    <w:rsid w:val="005C2FE2"/>
    <w:rsid w:val="005C4AA8"/>
    <w:rsid w:val="005C6837"/>
    <w:rsid w:val="005D10B2"/>
    <w:rsid w:val="005D1567"/>
    <w:rsid w:val="005D3088"/>
    <w:rsid w:val="005D38FC"/>
    <w:rsid w:val="005D5261"/>
    <w:rsid w:val="005D5E3D"/>
    <w:rsid w:val="005D6AC1"/>
    <w:rsid w:val="005D78B8"/>
    <w:rsid w:val="005D7F49"/>
    <w:rsid w:val="005E13A5"/>
    <w:rsid w:val="005E2B71"/>
    <w:rsid w:val="005E2DC3"/>
    <w:rsid w:val="005E2DE2"/>
    <w:rsid w:val="005E4E8F"/>
    <w:rsid w:val="005F0775"/>
    <w:rsid w:val="005F4799"/>
    <w:rsid w:val="005F5C02"/>
    <w:rsid w:val="00600A80"/>
    <w:rsid w:val="00603B57"/>
    <w:rsid w:val="0060415E"/>
    <w:rsid w:val="00604758"/>
    <w:rsid w:val="006059A3"/>
    <w:rsid w:val="00607766"/>
    <w:rsid w:val="00611099"/>
    <w:rsid w:val="00611F16"/>
    <w:rsid w:val="006157C2"/>
    <w:rsid w:val="00621E91"/>
    <w:rsid w:val="006221FB"/>
    <w:rsid w:val="006222F6"/>
    <w:rsid w:val="006257A5"/>
    <w:rsid w:val="0063129B"/>
    <w:rsid w:val="00631305"/>
    <w:rsid w:val="006333F7"/>
    <w:rsid w:val="00633AB4"/>
    <w:rsid w:val="00633B9C"/>
    <w:rsid w:val="006343C8"/>
    <w:rsid w:val="0063498B"/>
    <w:rsid w:val="006366D8"/>
    <w:rsid w:val="00636CD5"/>
    <w:rsid w:val="006379F9"/>
    <w:rsid w:val="00640ECB"/>
    <w:rsid w:val="00641155"/>
    <w:rsid w:val="006425CB"/>
    <w:rsid w:val="00644CA7"/>
    <w:rsid w:val="00645036"/>
    <w:rsid w:val="00646B67"/>
    <w:rsid w:val="00646BD4"/>
    <w:rsid w:val="00647DA2"/>
    <w:rsid w:val="0065384F"/>
    <w:rsid w:val="006546C1"/>
    <w:rsid w:val="00656186"/>
    <w:rsid w:val="00656793"/>
    <w:rsid w:val="00657229"/>
    <w:rsid w:val="00663F9C"/>
    <w:rsid w:val="0066617A"/>
    <w:rsid w:val="0067044C"/>
    <w:rsid w:val="00670C2C"/>
    <w:rsid w:val="00670ED0"/>
    <w:rsid w:val="0067111D"/>
    <w:rsid w:val="00671973"/>
    <w:rsid w:val="0067247F"/>
    <w:rsid w:val="006730C9"/>
    <w:rsid w:val="00673AEB"/>
    <w:rsid w:val="006764B1"/>
    <w:rsid w:val="00677591"/>
    <w:rsid w:val="0067778E"/>
    <w:rsid w:val="00677E67"/>
    <w:rsid w:val="006810D4"/>
    <w:rsid w:val="00681ED2"/>
    <w:rsid w:val="0068380C"/>
    <w:rsid w:val="00683CBA"/>
    <w:rsid w:val="00686571"/>
    <w:rsid w:val="006873D4"/>
    <w:rsid w:val="00692DAF"/>
    <w:rsid w:val="0069380A"/>
    <w:rsid w:val="006943AD"/>
    <w:rsid w:val="00694FDA"/>
    <w:rsid w:val="006953C5"/>
    <w:rsid w:val="00696F67"/>
    <w:rsid w:val="006A020D"/>
    <w:rsid w:val="006A3895"/>
    <w:rsid w:val="006A3A03"/>
    <w:rsid w:val="006A3D75"/>
    <w:rsid w:val="006A4C0E"/>
    <w:rsid w:val="006A69F7"/>
    <w:rsid w:val="006C17CF"/>
    <w:rsid w:val="006C3E56"/>
    <w:rsid w:val="006C5B5C"/>
    <w:rsid w:val="006C5EDC"/>
    <w:rsid w:val="006C7AE4"/>
    <w:rsid w:val="006E5464"/>
    <w:rsid w:val="006E72B8"/>
    <w:rsid w:val="006E7A5E"/>
    <w:rsid w:val="006F21C4"/>
    <w:rsid w:val="006F37E4"/>
    <w:rsid w:val="006F3A57"/>
    <w:rsid w:val="006F53CC"/>
    <w:rsid w:val="006F73DB"/>
    <w:rsid w:val="007026A4"/>
    <w:rsid w:val="00703A6F"/>
    <w:rsid w:val="00705537"/>
    <w:rsid w:val="007062CE"/>
    <w:rsid w:val="00711C22"/>
    <w:rsid w:val="00711D59"/>
    <w:rsid w:val="00713726"/>
    <w:rsid w:val="00717ECF"/>
    <w:rsid w:val="00720932"/>
    <w:rsid w:val="00722036"/>
    <w:rsid w:val="00722EAA"/>
    <w:rsid w:val="00724BA3"/>
    <w:rsid w:val="007268FC"/>
    <w:rsid w:val="0072758D"/>
    <w:rsid w:val="00727864"/>
    <w:rsid w:val="00734C0F"/>
    <w:rsid w:val="00734C66"/>
    <w:rsid w:val="0074385E"/>
    <w:rsid w:val="00745871"/>
    <w:rsid w:val="00745B18"/>
    <w:rsid w:val="00745D23"/>
    <w:rsid w:val="007466BD"/>
    <w:rsid w:val="0075146A"/>
    <w:rsid w:val="00752061"/>
    <w:rsid w:val="00753398"/>
    <w:rsid w:val="007560D3"/>
    <w:rsid w:val="00756839"/>
    <w:rsid w:val="00760EE4"/>
    <w:rsid w:val="0076387C"/>
    <w:rsid w:val="00764865"/>
    <w:rsid w:val="007659F8"/>
    <w:rsid w:val="0077022E"/>
    <w:rsid w:val="007715AA"/>
    <w:rsid w:val="00773164"/>
    <w:rsid w:val="00773D95"/>
    <w:rsid w:val="00775BE8"/>
    <w:rsid w:val="00780185"/>
    <w:rsid w:val="007802D9"/>
    <w:rsid w:val="00780486"/>
    <w:rsid w:val="00781AAE"/>
    <w:rsid w:val="00781DDC"/>
    <w:rsid w:val="00783CAE"/>
    <w:rsid w:val="007844D1"/>
    <w:rsid w:val="00787065"/>
    <w:rsid w:val="00787456"/>
    <w:rsid w:val="0079106F"/>
    <w:rsid w:val="00793C50"/>
    <w:rsid w:val="00794212"/>
    <w:rsid w:val="00795659"/>
    <w:rsid w:val="007958E0"/>
    <w:rsid w:val="007A0F92"/>
    <w:rsid w:val="007A1B8E"/>
    <w:rsid w:val="007A5A66"/>
    <w:rsid w:val="007A71C4"/>
    <w:rsid w:val="007B11B5"/>
    <w:rsid w:val="007B327F"/>
    <w:rsid w:val="007B389A"/>
    <w:rsid w:val="007B403F"/>
    <w:rsid w:val="007B54F2"/>
    <w:rsid w:val="007B5FEE"/>
    <w:rsid w:val="007C1A61"/>
    <w:rsid w:val="007C34A8"/>
    <w:rsid w:val="007C34DB"/>
    <w:rsid w:val="007C3FFE"/>
    <w:rsid w:val="007C618C"/>
    <w:rsid w:val="007C61F7"/>
    <w:rsid w:val="007C6AA1"/>
    <w:rsid w:val="007D2321"/>
    <w:rsid w:val="007D2E62"/>
    <w:rsid w:val="007D6107"/>
    <w:rsid w:val="007E5E5D"/>
    <w:rsid w:val="007F1A7F"/>
    <w:rsid w:val="007F57CD"/>
    <w:rsid w:val="0080002E"/>
    <w:rsid w:val="00802B74"/>
    <w:rsid w:val="00803A4F"/>
    <w:rsid w:val="008044B0"/>
    <w:rsid w:val="008065F8"/>
    <w:rsid w:val="00806F51"/>
    <w:rsid w:val="0081215E"/>
    <w:rsid w:val="0081440A"/>
    <w:rsid w:val="00815AA0"/>
    <w:rsid w:val="00817682"/>
    <w:rsid w:val="008242E4"/>
    <w:rsid w:val="00830055"/>
    <w:rsid w:val="00830336"/>
    <w:rsid w:val="008307C5"/>
    <w:rsid w:val="008320FF"/>
    <w:rsid w:val="008328F8"/>
    <w:rsid w:val="008351A1"/>
    <w:rsid w:val="0084272D"/>
    <w:rsid w:val="00843A57"/>
    <w:rsid w:val="0084416E"/>
    <w:rsid w:val="0085019D"/>
    <w:rsid w:val="00850C32"/>
    <w:rsid w:val="008512FC"/>
    <w:rsid w:val="008528D9"/>
    <w:rsid w:val="00853A5C"/>
    <w:rsid w:val="00857A56"/>
    <w:rsid w:val="00862B24"/>
    <w:rsid w:val="008673C1"/>
    <w:rsid w:val="0087004E"/>
    <w:rsid w:val="008700BA"/>
    <w:rsid w:val="00870833"/>
    <w:rsid w:val="00872082"/>
    <w:rsid w:val="008818AC"/>
    <w:rsid w:val="008819B9"/>
    <w:rsid w:val="00881B1D"/>
    <w:rsid w:val="0088394C"/>
    <w:rsid w:val="00884A7F"/>
    <w:rsid w:val="00885D54"/>
    <w:rsid w:val="0088612E"/>
    <w:rsid w:val="00886FD9"/>
    <w:rsid w:val="008874FD"/>
    <w:rsid w:val="00893DB0"/>
    <w:rsid w:val="00894EEC"/>
    <w:rsid w:val="008A3F13"/>
    <w:rsid w:val="008A5501"/>
    <w:rsid w:val="008A5F17"/>
    <w:rsid w:val="008A712E"/>
    <w:rsid w:val="008A72F2"/>
    <w:rsid w:val="008B008B"/>
    <w:rsid w:val="008B37A1"/>
    <w:rsid w:val="008B5644"/>
    <w:rsid w:val="008C6348"/>
    <w:rsid w:val="008D0D10"/>
    <w:rsid w:val="008D1A01"/>
    <w:rsid w:val="008D30E2"/>
    <w:rsid w:val="008D5925"/>
    <w:rsid w:val="008E10D4"/>
    <w:rsid w:val="008E2419"/>
    <w:rsid w:val="008E304E"/>
    <w:rsid w:val="008F0242"/>
    <w:rsid w:val="008F0819"/>
    <w:rsid w:val="008F18A5"/>
    <w:rsid w:val="008F3116"/>
    <w:rsid w:val="008F5646"/>
    <w:rsid w:val="008F6DA1"/>
    <w:rsid w:val="0090558D"/>
    <w:rsid w:val="00907302"/>
    <w:rsid w:val="00912957"/>
    <w:rsid w:val="00913E9F"/>
    <w:rsid w:val="00915661"/>
    <w:rsid w:val="009161B5"/>
    <w:rsid w:val="00916305"/>
    <w:rsid w:val="00917F51"/>
    <w:rsid w:val="009200C4"/>
    <w:rsid w:val="00922226"/>
    <w:rsid w:val="00923B17"/>
    <w:rsid w:val="00925E24"/>
    <w:rsid w:val="0092666F"/>
    <w:rsid w:val="00926942"/>
    <w:rsid w:val="0093019C"/>
    <w:rsid w:val="00935C2D"/>
    <w:rsid w:val="00935F34"/>
    <w:rsid w:val="009375FF"/>
    <w:rsid w:val="009377C3"/>
    <w:rsid w:val="009407F4"/>
    <w:rsid w:val="00940DEF"/>
    <w:rsid w:val="00944D98"/>
    <w:rsid w:val="009451DC"/>
    <w:rsid w:val="0094533A"/>
    <w:rsid w:val="00950DFF"/>
    <w:rsid w:val="00951136"/>
    <w:rsid w:val="009516EF"/>
    <w:rsid w:val="0095172B"/>
    <w:rsid w:val="00955D5D"/>
    <w:rsid w:val="00956439"/>
    <w:rsid w:val="00961B8B"/>
    <w:rsid w:val="00964547"/>
    <w:rsid w:val="00964A12"/>
    <w:rsid w:val="00971F6A"/>
    <w:rsid w:val="00974651"/>
    <w:rsid w:val="00974BA7"/>
    <w:rsid w:val="009800FC"/>
    <w:rsid w:val="00983B2C"/>
    <w:rsid w:val="009971DF"/>
    <w:rsid w:val="009974DD"/>
    <w:rsid w:val="009A0ED8"/>
    <w:rsid w:val="009A1E90"/>
    <w:rsid w:val="009A2F07"/>
    <w:rsid w:val="009A5810"/>
    <w:rsid w:val="009A68A6"/>
    <w:rsid w:val="009A7B1F"/>
    <w:rsid w:val="009A7E77"/>
    <w:rsid w:val="009B1B3A"/>
    <w:rsid w:val="009B3CA0"/>
    <w:rsid w:val="009B3D61"/>
    <w:rsid w:val="009B5074"/>
    <w:rsid w:val="009B542B"/>
    <w:rsid w:val="009C0980"/>
    <w:rsid w:val="009C1D10"/>
    <w:rsid w:val="009C2C15"/>
    <w:rsid w:val="009C39D1"/>
    <w:rsid w:val="009C46CF"/>
    <w:rsid w:val="009C50AE"/>
    <w:rsid w:val="009D05F0"/>
    <w:rsid w:val="009D0C68"/>
    <w:rsid w:val="009D16CA"/>
    <w:rsid w:val="009E4555"/>
    <w:rsid w:val="009E4615"/>
    <w:rsid w:val="009E549D"/>
    <w:rsid w:val="009E5B19"/>
    <w:rsid w:val="009E6049"/>
    <w:rsid w:val="009F3352"/>
    <w:rsid w:val="009F4C5B"/>
    <w:rsid w:val="009F66F3"/>
    <w:rsid w:val="009F7C94"/>
    <w:rsid w:val="00A01E5E"/>
    <w:rsid w:val="00A021D9"/>
    <w:rsid w:val="00A057E2"/>
    <w:rsid w:val="00A0727D"/>
    <w:rsid w:val="00A10C55"/>
    <w:rsid w:val="00A111B4"/>
    <w:rsid w:val="00A12A7E"/>
    <w:rsid w:val="00A133CE"/>
    <w:rsid w:val="00A13D8B"/>
    <w:rsid w:val="00A1688F"/>
    <w:rsid w:val="00A17001"/>
    <w:rsid w:val="00A22F10"/>
    <w:rsid w:val="00A26E93"/>
    <w:rsid w:val="00A33470"/>
    <w:rsid w:val="00A349E5"/>
    <w:rsid w:val="00A35356"/>
    <w:rsid w:val="00A36092"/>
    <w:rsid w:val="00A36835"/>
    <w:rsid w:val="00A373C6"/>
    <w:rsid w:val="00A42F8F"/>
    <w:rsid w:val="00A440AF"/>
    <w:rsid w:val="00A467B6"/>
    <w:rsid w:val="00A46E0A"/>
    <w:rsid w:val="00A4768C"/>
    <w:rsid w:val="00A51F92"/>
    <w:rsid w:val="00A53C34"/>
    <w:rsid w:val="00A54E6E"/>
    <w:rsid w:val="00A55CE6"/>
    <w:rsid w:val="00A55F4F"/>
    <w:rsid w:val="00A56C4E"/>
    <w:rsid w:val="00A61C68"/>
    <w:rsid w:val="00A628E1"/>
    <w:rsid w:val="00A66510"/>
    <w:rsid w:val="00A666C2"/>
    <w:rsid w:val="00A67072"/>
    <w:rsid w:val="00A675FE"/>
    <w:rsid w:val="00A67FF3"/>
    <w:rsid w:val="00A70B29"/>
    <w:rsid w:val="00A70EB6"/>
    <w:rsid w:val="00A73A40"/>
    <w:rsid w:val="00A749ED"/>
    <w:rsid w:val="00A76C1B"/>
    <w:rsid w:val="00A76D8C"/>
    <w:rsid w:val="00A77615"/>
    <w:rsid w:val="00A77A87"/>
    <w:rsid w:val="00A82325"/>
    <w:rsid w:val="00A84BFC"/>
    <w:rsid w:val="00A86380"/>
    <w:rsid w:val="00A86BA6"/>
    <w:rsid w:val="00A86C4A"/>
    <w:rsid w:val="00A8797D"/>
    <w:rsid w:val="00A903A6"/>
    <w:rsid w:val="00A91A99"/>
    <w:rsid w:val="00A9716A"/>
    <w:rsid w:val="00A97CBF"/>
    <w:rsid w:val="00AA3740"/>
    <w:rsid w:val="00AA4BE1"/>
    <w:rsid w:val="00AA5BB9"/>
    <w:rsid w:val="00AB1126"/>
    <w:rsid w:val="00AB352A"/>
    <w:rsid w:val="00AB642F"/>
    <w:rsid w:val="00AC14CF"/>
    <w:rsid w:val="00AC2CD9"/>
    <w:rsid w:val="00AC4DA1"/>
    <w:rsid w:val="00AC721C"/>
    <w:rsid w:val="00AD08DB"/>
    <w:rsid w:val="00AD0FA0"/>
    <w:rsid w:val="00AD144E"/>
    <w:rsid w:val="00AD25B6"/>
    <w:rsid w:val="00AD43A9"/>
    <w:rsid w:val="00AD5638"/>
    <w:rsid w:val="00AD7589"/>
    <w:rsid w:val="00AD789E"/>
    <w:rsid w:val="00AE1496"/>
    <w:rsid w:val="00AE2464"/>
    <w:rsid w:val="00AE30C0"/>
    <w:rsid w:val="00AE33D4"/>
    <w:rsid w:val="00AE5E01"/>
    <w:rsid w:val="00AE6FA7"/>
    <w:rsid w:val="00AE74A0"/>
    <w:rsid w:val="00AE76C2"/>
    <w:rsid w:val="00AF06D0"/>
    <w:rsid w:val="00AF1ED8"/>
    <w:rsid w:val="00AF33D3"/>
    <w:rsid w:val="00AF6F0C"/>
    <w:rsid w:val="00AF73F8"/>
    <w:rsid w:val="00AF7AD9"/>
    <w:rsid w:val="00B01D68"/>
    <w:rsid w:val="00B048D4"/>
    <w:rsid w:val="00B04A47"/>
    <w:rsid w:val="00B07665"/>
    <w:rsid w:val="00B07EBE"/>
    <w:rsid w:val="00B10B80"/>
    <w:rsid w:val="00B1324B"/>
    <w:rsid w:val="00B1332E"/>
    <w:rsid w:val="00B1509D"/>
    <w:rsid w:val="00B15501"/>
    <w:rsid w:val="00B15A0C"/>
    <w:rsid w:val="00B15F02"/>
    <w:rsid w:val="00B20A36"/>
    <w:rsid w:val="00B216A0"/>
    <w:rsid w:val="00B22051"/>
    <w:rsid w:val="00B22960"/>
    <w:rsid w:val="00B22BA9"/>
    <w:rsid w:val="00B24B9A"/>
    <w:rsid w:val="00B25B89"/>
    <w:rsid w:val="00B27257"/>
    <w:rsid w:val="00B27423"/>
    <w:rsid w:val="00B31D6A"/>
    <w:rsid w:val="00B33176"/>
    <w:rsid w:val="00B3431B"/>
    <w:rsid w:val="00B378AB"/>
    <w:rsid w:val="00B413DC"/>
    <w:rsid w:val="00B42151"/>
    <w:rsid w:val="00B43FEC"/>
    <w:rsid w:val="00B45F0D"/>
    <w:rsid w:val="00B47250"/>
    <w:rsid w:val="00B47AF2"/>
    <w:rsid w:val="00B511C4"/>
    <w:rsid w:val="00B52708"/>
    <w:rsid w:val="00B531A9"/>
    <w:rsid w:val="00B55C95"/>
    <w:rsid w:val="00B56C83"/>
    <w:rsid w:val="00B57E96"/>
    <w:rsid w:val="00B60706"/>
    <w:rsid w:val="00B62E69"/>
    <w:rsid w:val="00B6331A"/>
    <w:rsid w:val="00B63371"/>
    <w:rsid w:val="00B63913"/>
    <w:rsid w:val="00B66FF2"/>
    <w:rsid w:val="00B70036"/>
    <w:rsid w:val="00B70715"/>
    <w:rsid w:val="00B70FB6"/>
    <w:rsid w:val="00B731AB"/>
    <w:rsid w:val="00B82510"/>
    <w:rsid w:val="00B83E7E"/>
    <w:rsid w:val="00B851DA"/>
    <w:rsid w:val="00B85598"/>
    <w:rsid w:val="00B859A3"/>
    <w:rsid w:val="00B85B67"/>
    <w:rsid w:val="00B860D6"/>
    <w:rsid w:val="00B90CBB"/>
    <w:rsid w:val="00B941E0"/>
    <w:rsid w:val="00B96A01"/>
    <w:rsid w:val="00B96F01"/>
    <w:rsid w:val="00B9741F"/>
    <w:rsid w:val="00BA2CC1"/>
    <w:rsid w:val="00BA3B7A"/>
    <w:rsid w:val="00BA49B6"/>
    <w:rsid w:val="00BA602A"/>
    <w:rsid w:val="00BA64B4"/>
    <w:rsid w:val="00BA65EE"/>
    <w:rsid w:val="00BA7946"/>
    <w:rsid w:val="00BB0A75"/>
    <w:rsid w:val="00BB2303"/>
    <w:rsid w:val="00BB40B4"/>
    <w:rsid w:val="00BB5226"/>
    <w:rsid w:val="00BC06CF"/>
    <w:rsid w:val="00BC107F"/>
    <w:rsid w:val="00BC1E73"/>
    <w:rsid w:val="00BC230D"/>
    <w:rsid w:val="00BC45D3"/>
    <w:rsid w:val="00BC5907"/>
    <w:rsid w:val="00BC6571"/>
    <w:rsid w:val="00BC7A2E"/>
    <w:rsid w:val="00BD1645"/>
    <w:rsid w:val="00BD1922"/>
    <w:rsid w:val="00BD66B1"/>
    <w:rsid w:val="00BD705E"/>
    <w:rsid w:val="00BE0804"/>
    <w:rsid w:val="00BE1890"/>
    <w:rsid w:val="00BE2288"/>
    <w:rsid w:val="00BE2F44"/>
    <w:rsid w:val="00BE5EA3"/>
    <w:rsid w:val="00BE6356"/>
    <w:rsid w:val="00BF0245"/>
    <w:rsid w:val="00BF237C"/>
    <w:rsid w:val="00BF28D5"/>
    <w:rsid w:val="00BF3A8C"/>
    <w:rsid w:val="00C01AE4"/>
    <w:rsid w:val="00C10350"/>
    <w:rsid w:val="00C1320D"/>
    <w:rsid w:val="00C1403B"/>
    <w:rsid w:val="00C149AF"/>
    <w:rsid w:val="00C14A41"/>
    <w:rsid w:val="00C15344"/>
    <w:rsid w:val="00C171DA"/>
    <w:rsid w:val="00C17240"/>
    <w:rsid w:val="00C24D3B"/>
    <w:rsid w:val="00C250B5"/>
    <w:rsid w:val="00C25565"/>
    <w:rsid w:val="00C25AE8"/>
    <w:rsid w:val="00C300AF"/>
    <w:rsid w:val="00C341FE"/>
    <w:rsid w:val="00C34211"/>
    <w:rsid w:val="00C34E64"/>
    <w:rsid w:val="00C36B1B"/>
    <w:rsid w:val="00C37D09"/>
    <w:rsid w:val="00C4088F"/>
    <w:rsid w:val="00C43055"/>
    <w:rsid w:val="00C43436"/>
    <w:rsid w:val="00C43774"/>
    <w:rsid w:val="00C44022"/>
    <w:rsid w:val="00C4604B"/>
    <w:rsid w:val="00C47AD9"/>
    <w:rsid w:val="00C50978"/>
    <w:rsid w:val="00C50FF1"/>
    <w:rsid w:val="00C51029"/>
    <w:rsid w:val="00C53796"/>
    <w:rsid w:val="00C55C35"/>
    <w:rsid w:val="00C55FFE"/>
    <w:rsid w:val="00C56791"/>
    <w:rsid w:val="00C56B93"/>
    <w:rsid w:val="00C57C63"/>
    <w:rsid w:val="00C60AFE"/>
    <w:rsid w:val="00C62603"/>
    <w:rsid w:val="00C637A1"/>
    <w:rsid w:val="00C65DD4"/>
    <w:rsid w:val="00C66EA6"/>
    <w:rsid w:val="00C67B29"/>
    <w:rsid w:val="00C71A4C"/>
    <w:rsid w:val="00C72764"/>
    <w:rsid w:val="00C73A29"/>
    <w:rsid w:val="00C73F70"/>
    <w:rsid w:val="00C74711"/>
    <w:rsid w:val="00C7590D"/>
    <w:rsid w:val="00C80362"/>
    <w:rsid w:val="00C83154"/>
    <w:rsid w:val="00C85493"/>
    <w:rsid w:val="00C86714"/>
    <w:rsid w:val="00C93B8F"/>
    <w:rsid w:val="00C9440F"/>
    <w:rsid w:val="00C94420"/>
    <w:rsid w:val="00C95105"/>
    <w:rsid w:val="00C95FC0"/>
    <w:rsid w:val="00C961E8"/>
    <w:rsid w:val="00C97239"/>
    <w:rsid w:val="00C97528"/>
    <w:rsid w:val="00CA0C9A"/>
    <w:rsid w:val="00CA0CD4"/>
    <w:rsid w:val="00CA128D"/>
    <w:rsid w:val="00CA2687"/>
    <w:rsid w:val="00CA3895"/>
    <w:rsid w:val="00CB4D88"/>
    <w:rsid w:val="00CB6001"/>
    <w:rsid w:val="00CC04C6"/>
    <w:rsid w:val="00CC56AA"/>
    <w:rsid w:val="00CC5F51"/>
    <w:rsid w:val="00CD0544"/>
    <w:rsid w:val="00CD076B"/>
    <w:rsid w:val="00CD125A"/>
    <w:rsid w:val="00CD1398"/>
    <w:rsid w:val="00CD75E7"/>
    <w:rsid w:val="00CE0DC3"/>
    <w:rsid w:val="00CE2F0A"/>
    <w:rsid w:val="00CE3FEC"/>
    <w:rsid w:val="00CE4013"/>
    <w:rsid w:val="00CE4A1A"/>
    <w:rsid w:val="00CE4B26"/>
    <w:rsid w:val="00CE60B4"/>
    <w:rsid w:val="00CF0E93"/>
    <w:rsid w:val="00CF1859"/>
    <w:rsid w:val="00CF3042"/>
    <w:rsid w:val="00CF3A8E"/>
    <w:rsid w:val="00CF3D15"/>
    <w:rsid w:val="00D00047"/>
    <w:rsid w:val="00D00B0C"/>
    <w:rsid w:val="00D0242A"/>
    <w:rsid w:val="00D02AB8"/>
    <w:rsid w:val="00D06342"/>
    <w:rsid w:val="00D10189"/>
    <w:rsid w:val="00D11CB8"/>
    <w:rsid w:val="00D1204A"/>
    <w:rsid w:val="00D125AE"/>
    <w:rsid w:val="00D13D67"/>
    <w:rsid w:val="00D14570"/>
    <w:rsid w:val="00D1528B"/>
    <w:rsid w:val="00D15E5E"/>
    <w:rsid w:val="00D1636B"/>
    <w:rsid w:val="00D1665F"/>
    <w:rsid w:val="00D16C85"/>
    <w:rsid w:val="00D20100"/>
    <w:rsid w:val="00D21435"/>
    <w:rsid w:val="00D23829"/>
    <w:rsid w:val="00D2498B"/>
    <w:rsid w:val="00D24A4C"/>
    <w:rsid w:val="00D24A94"/>
    <w:rsid w:val="00D2539C"/>
    <w:rsid w:val="00D260DB"/>
    <w:rsid w:val="00D31729"/>
    <w:rsid w:val="00D32628"/>
    <w:rsid w:val="00D3420F"/>
    <w:rsid w:val="00D349D6"/>
    <w:rsid w:val="00D35CEA"/>
    <w:rsid w:val="00D36AE2"/>
    <w:rsid w:val="00D36F04"/>
    <w:rsid w:val="00D377AC"/>
    <w:rsid w:val="00D402A8"/>
    <w:rsid w:val="00D409B0"/>
    <w:rsid w:val="00D41A37"/>
    <w:rsid w:val="00D430A6"/>
    <w:rsid w:val="00D44535"/>
    <w:rsid w:val="00D448A5"/>
    <w:rsid w:val="00D44ADB"/>
    <w:rsid w:val="00D44EEB"/>
    <w:rsid w:val="00D46366"/>
    <w:rsid w:val="00D46A8A"/>
    <w:rsid w:val="00D47F15"/>
    <w:rsid w:val="00D50EA7"/>
    <w:rsid w:val="00D52BC8"/>
    <w:rsid w:val="00D5370A"/>
    <w:rsid w:val="00D54ED4"/>
    <w:rsid w:val="00D56504"/>
    <w:rsid w:val="00D5717D"/>
    <w:rsid w:val="00D6146C"/>
    <w:rsid w:val="00D617AC"/>
    <w:rsid w:val="00D623A7"/>
    <w:rsid w:val="00D63C86"/>
    <w:rsid w:val="00D65160"/>
    <w:rsid w:val="00D67C4E"/>
    <w:rsid w:val="00D731B6"/>
    <w:rsid w:val="00D73526"/>
    <w:rsid w:val="00D746FB"/>
    <w:rsid w:val="00D76701"/>
    <w:rsid w:val="00D76DE5"/>
    <w:rsid w:val="00D76FB5"/>
    <w:rsid w:val="00D808A4"/>
    <w:rsid w:val="00D829B1"/>
    <w:rsid w:val="00D82E17"/>
    <w:rsid w:val="00D83D2C"/>
    <w:rsid w:val="00D90B9A"/>
    <w:rsid w:val="00D94ED2"/>
    <w:rsid w:val="00D95601"/>
    <w:rsid w:val="00D956B2"/>
    <w:rsid w:val="00D97DFB"/>
    <w:rsid w:val="00DA0238"/>
    <w:rsid w:val="00DA0C3A"/>
    <w:rsid w:val="00DA2356"/>
    <w:rsid w:val="00DA2BC3"/>
    <w:rsid w:val="00DA36CD"/>
    <w:rsid w:val="00DA4108"/>
    <w:rsid w:val="00DA4A65"/>
    <w:rsid w:val="00DA6A40"/>
    <w:rsid w:val="00DA78C4"/>
    <w:rsid w:val="00DB0503"/>
    <w:rsid w:val="00DB0FD5"/>
    <w:rsid w:val="00DB188F"/>
    <w:rsid w:val="00DB5728"/>
    <w:rsid w:val="00DC34CF"/>
    <w:rsid w:val="00DC60D1"/>
    <w:rsid w:val="00DC7CD3"/>
    <w:rsid w:val="00DD091C"/>
    <w:rsid w:val="00DD0FDB"/>
    <w:rsid w:val="00DD16B1"/>
    <w:rsid w:val="00DD20F0"/>
    <w:rsid w:val="00DD42F4"/>
    <w:rsid w:val="00DD611F"/>
    <w:rsid w:val="00DE26BD"/>
    <w:rsid w:val="00DE379C"/>
    <w:rsid w:val="00DE4A14"/>
    <w:rsid w:val="00DE7F81"/>
    <w:rsid w:val="00DF145F"/>
    <w:rsid w:val="00DF1B18"/>
    <w:rsid w:val="00DF5299"/>
    <w:rsid w:val="00DF5556"/>
    <w:rsid w:val="00DF59D6"/>
    <w:rsid w:val="00DF6EA1"/>
    <w:rsid w:val="00E00568"/>
    <w:rsid w:val="00E013A7"/>
    <w:rsid w:val="00E02FFD"/>
    <w:rsid w:val="00E0471F"/>
    <w:rsid w:val="00E04B39"/>
    <w:rsid w:val="00E05C2E"/>
    <w:rsid w:val="00E10DB0"/>
    <w:rsid w:val="00E12DD6"/>
    <w:rsid w:val="00E13F98"/>
    <w:rsid w:val="00E14396"/>
    <w:rsid w:val="00E15F07"/>
    <w:rsid w:val="00E1661F"/>
    <w:rsid w:val="00E179F6"/>
    <w:rsid w:val="00E20EA6"/>
    <w:rsid w:val="00E22AB6"/>
    <w:rsid w:val="00E342E3"/>
    <w:rsid w:val="00E37098"/>
    <w:rsid w:val="00E37C56"/>
    <w:rsid w:val="00E45009"/>
    <w:rsid w:val="00E456F1"/>
    <w:rsid w:val="00E47FE2"/>
    <w:rsid w:val="00E5066D"/>
    <w:rsid w:val="00E508D2"/>
    <w:rsid w:val="00E5307C"/>
    <w:rsid w:val="00E5741C"/>
    <w:rsid w:val="00E601DE"/>
    <w:rsid w:val="00E61811"/>
    <w:rsid w:val="00E627E9"/>
    <w:rsid w:val="00E64E4A"/>
    <w:rsid w:val="00E73944"/>
    <w:rsid w:val="00E81071"/>
    <w:rsid w:val="00E830FE"/>
    <w:rsid w:val="00E8463E"/>
    <w:rsid w:val="00E86D10"/>
    <w:rsid w:val="00E87D07"/>
    <w:rsid w:val="00E906BD"/>
    <w:rsid w:val="00E90B68"/>
    <w:rsid w:val="00E90FFB"/>
    <w:rsid w:val="00E9121A"/>
    <w:rsid w:val="00E91E32"/>
    <w:rsid w:val="00E92E3F"/>
    <w:rsid w:val="00E92FB3"/>
    <w:rsid w:val="00E93CA6"/>
    <w:rsid w:val="00E96878"/>
    <w:rsid w:val="00E96AC7"/>
    <w:rsid w:val="00EA01EF"/>
    <w:rsid w:val="00EA053D"/>
    <w:rsid w:val="00EA05C8"/>
    <w:rsid w:val="00EA0B2C"/>
    <w:rsid w:val="00EA1663"/>
    <w:rsid w:val="00EA56B9"/>
    <w:rsid w:val="00EA79FB"/>
    <w:rsid w:val="00EB0596"/>
    <w:rsid w:val="00EB23DC"/>
    <w:rsid w:val="00EB5753"/>
    <w:rsid w:val="00EB6AFB"/>
    <w:rsid w:val="00EC1894"/>
    <w:rsid w:val="00EC3278"/>
    <w:rsid w:val="00EC4EBE"/>
    <w:rsid w:val="00ED1C42"/>
    <w:rsid w:val="00ED73A1"/>
    <w:rsid w:val="00EE068E"/>
    <w:rsid w:val="00EE0DB9"/>
    <w:rsid w:val="00EE114C"/>
    <w:rsid w:val="00EE2B65"/>
    <w:rsid w:val="00EE3E09"/>
    <w:rsid w:val="00EE6BCA"/>
    <w:rsid w:val="00EE7540"/>
    <w:rsid w:val="00EF0D6D"/>
    <w:rsid w:val="00EF1076"/>
    <w:rsid w:val="00EF15A9"/>
    <w:rsid w:val="00EF30C0"/>
    <w:rsid w:val="00EF3572"/>
    <w:rsid w:val="00EF3F36"/>
    <w:rsid w:val="00EF46D4"/>
    <w:rsid w:val="00EF6D79"/>
    <w:rsid w:val="00EF705F"/>
    <w:rsid w:val="00EF76DE"/>
    <w:rsid w:val="00F00C26"/>
    <w:rsid w:val="00F022FB"/>
    <w:rsid w:val="00F03259"/>
    <w:rsid w:val="00F04BBC"/>
    <w:rsid w:val="00F0545C"/>
    <w:rsid w:val="00F05FE5"/>
    <w:rsid w:val="00F070B2"/>
    <w:rsid w:val="00F074C1"/>
    <w:rsid w:val="00F07DB0"/>
    <w:rsid w:val="00F101D0"/>
    <w:rsid w:val="00F11761"/>
    <w:rsid w:val="00F128D4"/>
    <w:rsid w:val="00F13535"/>
    <w:rsid w:val="00F14DD0"/>
    <w:rsid w:val="00F14DDB"/>
    <w:rsid w:val="00F14E38"/>
    <w:rsid w:val="00F14EBB"/>
    <w:rsid w:val="00F15B62"/>
    <w:rsid w:val="00F15BEF"/>
    <w:rsid w:val="00F16B8D"/>
    <w:rsid w:val="00F1749F"/>
    <w:rsid w:val="00F17584"/>
    <w:rsid w:val="00F204E0"/>
    <w:rsid w:val="00F205C9"/>
    <w:rsid w:val="00F20F75"/>
    <w:rsid w:val="00F22D6E"/>
    <w:rsid w:val="00F239B1"/>
    <w:rsid w:val="00F2529A"/>
    <w:rsid w:val="00F26F21"/>
    <w:rsid w:val="00F27093"/>
    <w:rsid w:val="00F27F07"/>
    <w:rsid w:val="00F32390"/>
    <w:rsid w:val="00F3293D"/>
    <w:rsid w:val="00F3493A"/>
    <w:rsid w:val="00F3572E"/>
    <w:rsid w:val="00F36B83"/>
    <w:rsid w:val="00F373CD"/>
    <w:rsid w:val="00F40436"/>
    <w:rsid w:val="00F40EAF"/>
    <w:rsid w:val="00F44ADE"/>
    <w:rsid w:val="00F44DE8"/>
    <w:rsid w:val="00F50168"/>
    <w:rsid w:val="00F540D3"/>
    <w:rsid w:val="00F558AA"/>
    <w:rsid w:val="00F55EE2"/>
    <w:rsid w:val="00F5611C"/>
    <w:rsid w:val="00F569A8"/>
    <w:rsid w:val="00F56EA0"/>
    <w:rsid w:val="00F624A3"/>
    <w:rsid w:val="00F638F1"/>
    <w:rsid w:val="00F64196"/>
    <w:rsid w:val="00F641D1"/>
    <w:rsid w:val="00F652A5"/>
    <w:rsid w:val="00F70209"/>
    <w:rsid w:val="00F706DE"/>
    <w:rsid w:val="00F71BF7"/>
    <w:rsid w:val="00F724FB"/>
    <w:rsid w:val="00F72C73"/>
    <w:rsid w:val="00F7366E"/>
    <w:rsid w:val="00F75238"/>
    <w:rsid w:val="00F75F27"/>
    <w:rsid w:val="00F820C7"/>
    <w:rsid w:val="00F826E9"/>
    <w:rsid w:val="00F82820"/>
    <w:rsid w:val="00F82B1B"/>
    <w:rsid w:val="00F8337A"/>
    <w:rsid w:val="00F8385B"/>
    <w:rsid w:val="00F86E94"/>
    <w:rsid w:val="00F86F4C"/>
    <w:rsid w:val="00F87E8A"/>
    <w:rsid w:val="00F909AF"/>
    <w:rsid w:val="00F91260"/>
    <w:rsid w:val="00F91694"/>
    <w:rsid w:val="00F92BBD"/>
    <w:rsid w:val="00F947B2"/>
    <w:rsid w:val="00F94C19"/>
    <w:rsid w:val="00FA21F3"/>
    <w:rsid w:val="00FA220C"/>
    <w:rsid w:val="00FA376A"/>
    <w:rsid w:val="00FA3776"/>
    <w:rsid w:val="00FA44D6"/>
    <w:rsid w:val="00FA767A"/>
    <w:rsid w:val="00FB108F"/>
    <w:rsid w:val="00FB18EB"/>
    <w:rsid w:val="00FB1D4A"/>
    <w:rsid w:val="00FB3D06"/>
    <w:rsid w:val="00FB4DA0"/>
    <w:rsid w:val="00FB4F1A"/>
    <w:rsid w:val="00FB6777"/>
    <w:rsid w:val="00FB6E3E"/>
    <w:rsid w:val="00FC13ED"/>
    <w:rsid w:val="00FC21A5"/>
    <w:rsid w:val="00FC3036"/>
    <w:rsid w:val="00FC33EF"/>
    <w:rsid w:val="00FC38C5"/>
    <w:rsid w:val="00FC395F"/>
    <w:rsid w:val="00FC554D"/>
    <w:rsid w:val="00FC79B8"/>
    <w:rsid w:val="00FD16E3"/>
    <w:rsid w:val="00FD39F0"/>
    <w:rsid w:val="00FD4048"/>
    <w:rsid w:val="00FD45BC"/>
    <w:rsid w:val="00FD4764"/>
    <w:rsid w:val="00FD66F1"/>
    <w:rsid w:val="00FE06B4"/>
    <w:rsid w:val="00FE1FD4"/>
    <w:rsid w:val="00FE3CA1"/>
    <w:rsid w:val="00FE4559"/>
    <w:rsid w:val="00FE677E"/>
    <w:rsid w:val="00FE7017"/>
    <w:rsid w:val="00FE7494"/>
    <w:rsid w:val="00FF1388"/>
    <w:rsid w:val="00FF3BD2"/>
    <w:rsid w:val="00FF3DF4"/>
    <w:rsid w:val="00FF49CA"/>
    <w:rsid w:val="00FF5B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846E8"/>
  <w15:docId w15:val="{D867CAEB-D884-4D8F-99DC-03C60C7C0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bidi/>
    </w:pPr>
    <w:rPr>
      <w:sz w:val="24"/>
      <w:szCs w:val="24"/>
    </w:rPr>
  </w:style>
  <w:style w:type="paragraph" w:styleId="1">
    <w:name w:val="heading 1"/>
    <w:basedOn w:val="a"/>
    <w:next w:val="a"/>
    <w:qFormat/>
    <w:rsid w:val="0067044C"/>
    <w:pPr>
      <w:keepNext/>
      <w:spacing w:before="240" w:after="60"/>
      <w:outlineLvl w:val="0"/>
    </w:pPr>
    <w:rPr>
      <w:rFonts w:ascii="Arial" w:hAnsi="Arial" w:cs="Arial"/>
      <w:b/>
      <w:bCs/>
      <w:kern w:val="32"/>
      <w:sz w:val="32"/>
      <w:szCs w:val="32"/>
    </w:rPr>
  </w:style>
  <w:style w:type="paragraph" w:styleId="2">
    <w:name w:val="heading 2"/>
    <w:basedOn w:val="a"/>
    <w:next w:val="a"/>
    <w:qFormat/>
    <w:rsid w:val="00AD43A9"/>
    <w:pPr>
      <w:keepNext/>
      <w:spacing w:before="240" w:after="60"/>
      <w:outlineLvl w:val="1"/>
    </w:pPr>
    <w:rPr>
      <w:rFonts w:ascii="Arial" w:hAnsi="Arial" w:cs="Arial"/>
      <w:b/>
      <w:bCs/>
      <w:i/>
      <w:iCs/>
      <w:sz w:val="28"/>
      <w:szCs w:val="28"/>
    </w:rPr>
  </w:style>
  <w:style w:type="paragraph" w:styleId="3">
    <w:name w:val="heading 3"/>
    <w:basedOn w:val="a"/>
    <w:next w:val="a"/>
    <w:qFormat/>
    <w:rsid w:val="008673C1"/>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6A3A0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semiHidden/>
    <w:rsid w:val="0067247F"/>
    <w:rPr>
      <w:sz w:val="20"/>
      <w:szCs w:val="20"/>
    </w:rPr>
  </w:style>
  <w:style w:type="character" w:styleId="a5">
    <w:name w:val="endnote reference"/>
    <w:semiHidden/>
    <w:rsid w:val="0067247F"/>
    <w:rPr>
      <w:vertAlign w:val="superscript"/>
    </w:rPr>
  </w:style>
  <w:style w:type="character" w:styleId="Hyperlink">
    <w:name w:val="Hyperlink"/>
    <w:uiPriority w:val="99"/>
    <w:rsid w:val="00257C41"/>
    <w:rPr>
      <w:color w:val="0000FF"/>
      <w:u w:val="single"/>
    </w:rPr>
  </w:style>
  <w:style w:type="character" w:customStyle="1" w:styleId="description">
    <w:name w:val="description"/>
    <w:basedOn w:val="a0"/>
    <w:rsid w:val="00257C41"/>
  </w:style>
  <w:style w:type="paragraph" w:styleId="TOC1">
    <w:name w:val="toc 1"/>
    <w:basedOn w:val="a"/>
    <w:next w:val="a"/>
    <w:autoRedefine/>
    <w:uiPriority w:val="39"/>
    <w:rsid w:val="00245B97"/>
  </w:style>
  <w:style w:type="paragraph" w:styleId="TOC2">
    <w:name w:val="toc 2"/>
    <w:basedOn w:val="a"/>
    <w:next w:val="a"/>
    <w:autoRedefine/>
    <w:semiHidden/>
    <w:rsid w:val="00245B97"/>
    <w:pPr>
      <w:ind w:left="240"/>
    </w:pPr>
  </w:style>
  <w:style w:type="paragraph" w:customStyle="1" w:styleId="Default">
    <w:name w:val="Default"/>
    <w:rsid w:val="00B15F02"/>
    <w:pPr>
      <w:autoSpaceDE w:val="0"/>
      <w:autoSpaceDN w:val="0"/>
      <w:adjustRightInd w:val="0"/>
    </w:pPr>
    <w:rPr>
      <w:rFonts w:ascii="Code" w:hAnsi="Code" w:cs="Code"/>
      <w:color w:val="000000"/>
      <w:sz w:val="24"/>
      <w:szCs w:val="24"/>
    </w:rPr>
  </w:style>
  <w:style w:type="character" w:styleId="FollowedHyperlink">
    <w:name w:val="FollowedHyperlink"/>
    <w:rsid w:val="00E96AC7"/>
    <w:rPr>
      <w:color w:val="800080"/>
      <w:u w:val="single"/>
    </w:rPr>
  </w:style>
  <w:style w:type="paragraph" w:styleId="NormalWeb">
    <w:name w:val="Normal (Web)"/>
    <w:basedOn w:val="a"/>
    <w:uiPriority w:val="99"/>
    <w:rsid w:val="003450C1"/>
  </w:style>
  <w:style w:type="character" w:customStyle="1" w:styleId="addmd">
    <w:name w:val="addmd"/>
    <w:rsid w:val="00F27F07"/>
  </w:style>
  <w:style w:type="character" w:customStyle="1" w:styleId="apple-converted-space">
    <w:name w:val="apple-converted-space"/>
    <w:rsid w:val="00F27F07"/>
  </w:style>
  <w:style w:type="paragraph" w:styleId="z-">
    <w:name w:val="HTML Top of Form"/>
    <w:basedOn w:val="a"/>
    <w:next w:val="a"/>
    <w:link w:val="z-0"/>
    <w:hidden/>
    <w:uiPriority w:val="99"/>
    <w:unhideWhenUsed/>
    <w:rsid w:val="00F27F07"/>
    <w:pPr>
      <w:pBdr>
        <w:bottom w:val="single" w:sz="6" w:space="1" w:color="auto"/>
      </w:pBdr>
      <w:bidi w:val="0"/>
      <w:jc w:val="center"/>
    </w:pPr>
    <w:rPr>
      <w:rFonts w:ascii="Arial" w:hAnsi="Arial" w:cs="Arial"/>
      <w:vanish/>
      <w:sz w:val="16"/>
      <w:szCs w:val="16"/>
    </w:rPr>
  </w:style>
  <w:style w:type="character" w:customStyle="1" w:styleId="z-0">
    <w:name w:val="z-ראש טופס תו"/>
    <w:link w:val="z-"/>
    <w:uiPriority w:val="99"/>
    <w:rsid w:val="00F27F07"/>
    <w:rPr>
      <w:rFonts w:ascii="Arial" w:hAnsi="Arial" w:cs="Arial"/>
      <w:vanish/>
      <w:sz w:val="16"/>
      <w:szCs w:val="16"/>
    </w:rPr>
  </w:style>
  <w:style w:type="paragraph" w:styleId="z-1">
    <w:name w:val="HTML Bottom of Form"/>
    <w:basedOn w:val="a"/>
    <w:next w:val="a"/>
    <w:link w:val="z-2"/>
    <w:hidden/>
    <w:uiPriority w:val="99"/>
    <w:unhideWhenUsed/>
    <w:rsid w:val="00F27F07"/>
    <w:pPr>
      <w:pBdr>
        <w:top w:val="single" w:sz="6" w:space="1" w:color="auto"/>
      </w:pBdr>
      <w:bidi w:val="0"/>
      <w:jc w:val="center"/>
    </w:pPr>
    <w:rPr>
      <w:rFonts w:ascii="Arial" w:hAnsi="Arial" w:cs="Arial"/>
      <w:vanish/>
      <w:sz w:val="16"/>
      <w:szCs w:val="16"/>
    </w:rPr>
  </w:style>
  <w:style w:type="character" w:customStyle="1" w:styleId="z-2">
    <w:name w:val="z-תחתית טופס תו"/>
    <w:link w:val="z-1"/>
    <w:uiPriority w:val="99"/>
    <w:rsid w:val="00F27F07"/>
    <w:rPr>
      <w:rFonts w:ascii="Arial" w:hAnsi="Arial" w:cs="Arial"/>
      <w:vanish/>
      <w:sz w:val="16"/>
      <w:szCs w:val="16"/>
    </w:rPr>
  </w:style>
  <w:style w:type="paragraph" w:styleId="a6">
    <w:name w:val="header"/>
    <w:basedOn w:val="a"/>
    <w:link w:val="a7"/>
    <w:uiPriority w:val="99"/>
    <w:rsid w:val="006C3E56"/>
    <w:pPr>
      <w:tabs>
        <w:tab w:val="center" w:pos="4680"/>
        <w:tab w:val="right" w:pos="9360"/>
      </w:tabs>
    </w:pPr>
  </w:style>
  <w:style w:type="character" w:customStyle="1" w:styleId="a7">
    <w:name w:val="כותרת עליונה תו"/>
    <w:basedOn w:val="a0"/>
    <w:link w:val="a6"/>
    <w:uiPriority w:val="99"/>
    <w:rsid w:val="006C3E56"/>
    <w:rPr>
      <w:sz w:val="24"/>
      <w:szCs w:val="24"/>
    </w:rPr>
  </w:style>
  <w:style w:type="paragraph" w:styleId="a8">
    <w:name w:val="footer"/>
    <w:basedOn w:val="a"/>
    <w:link w:val="a9"/>
    <w:rsid w:val="006C3E56"/>
    <w:pPr>
      <w:tabs>
        <w:tab w:val="center" w:pos="4680"/>
        <w:tab w:val="right" w:pos="9360"/>
      </w:tabs>
    </w:pPr>
  </w:style>
  <w:style w:type="character" w:customStyle="1" w:styleId="a9">
    <w:name w:val="כותרת תחתונה תו"/>
    <w:basedOn w:val="a0"/>
    <w:link w:val="a8"/>
    <w:rsid w:val="006C3E56"/>
    <w:rPr>
      <w:sz w:val="24"/>
      <w:szCs w:val="24"/>
    </w:rPr>
  </w:style>
  <w:style w:type="paragraph" w:styleId="aa">
    <w:name w:val="footnote text"/>
    <w:basedOn w:val="a"/>
    <w:link w:val="ab"/>
    <w:rsid w:val="006873D4"/>
    <w:rPr>
      <w:sz w:val="20"/>
      <w:szCs w:val="20"/>
    </w:rPr>
  </w:style>
  <w:style w:type="character" w:customStyle="1" w:styleId="ab">
    <w:name w:val="טקסט הערת שוליים תו"/>
    <w:basedOn w:val="a0"/>
    <w:link w:val="aa"/>
    <w:rsid w:val="006873D4"/>
  </w:style>
  <w:style w:type="character" w:styleId="ac">
    <w:name w:val="footnote reference"/>
    <w:basedOn w:val="a0"/>
    <w:rsid w:val="006873D4"/>
    <w:rPr>
      <w:vertAlign w:val="superscript"/>
    </w:rPr>
  </w:style>
  <w:style w:type="paragraph" w:styleId="HTML">
    <w:name w:val="HTML Preformatted"/>
    <w:basedOn w:val="a"/>
    <w:link w:val="HTML0"/>
    <w:rsid w:val="009D05F0"/>
    <w:rPr>
      <w:rFonts w:ascii="Consolas" w:hAnsi="Consolas"/>
      <w:sz w:val="20"/>
      <w:szCs w:val="20"/>
    </w:rPr>
  </w:style>
  <w:style w:type="character" w:customStyle="1" w:styleId="HTML0">
    <w:name w:val="HTML מעוצב מראש תו"/>
    <w:basedOn w:val="a0"/>
    <w:link w:val="HTML"/>
    <w:rsid w:val="009D05F0"/>
    <w:rPr>
      <w:rFonts w:ascii="Consolas" w:hAnsi="Consolas"/>
    </w:rPr>
  </w:style>
  <w:style w:type="character" w:customStyle="1" w:styleId="a4">
    <w:name w:val="טקסט הערת סיום תו"/>
    <w:basedOn w:val="a0"/>
    <w:link w:val="a3"/>
    <w:semiHidden/>
    <w:rsid w:val="00C01AE4"/>
  </w:style>
  <w:style w:type="paragraph" w:styleId="ad">
    <w:name w:val="TOC Heading"/>
    <w:basedOn w:val="1"/>
    <w:next w:val="a"/>
    <w:uiPriority w:val="39"/>
    <w:unhideWhenUsed/>
    <w:qFormat/>
    <w:rsid w:val="00BC1E73"/>
    <w:pPr>
      <w:keepLines/>
      <w:bidi w:val="0"/>
      <w:spacing w:after="0" w:line="259" w:lineRule="auto"/>
      <w:outlineLvl w:val="9"/>
    </w:pPr>
    <w:rPr>
      <w:rFonts w:asciiTheme="majorHAnsi" w:eastAsiaTheme="majorEastAsia" w:hAnsiTheme="majorHAnsi" w:cstheme="majorBidi"/>
      <w:b w:val="0"/>
      <w:bCs w:val="0"/>
      <w:color w:val="2E74B5" w:themeColor="accent1" w:themeShade="BF"/>
      <w:kern w:val="0"/>
      <w:lang w:bidi="ar-SA"/>
    </w:rPr>
  </w:style>
  <w:style w:type="paragraph" w:styleId="ae">
    <w:name w:val="Balloon Text"/>
    <w:basedOn w:val="a"/>
    <w:link w:val="af"/>
    <w:rsid w:val="00B63371"/>
    <w:rPr>
      <w:rFonts w:ascii="Tahoma" w:hAnsi="Tahoma" w:cs="Tahoma"/>
      <w:sz w:val="16"/>
      <w:szCs w:val="16"/>
    </w:rPr>
  </w:style>
  <w:style w:type="character" w:customStyle="1" w:styleId="af">
    <w:name w:val="טקסט בלונים תו"/>
    <w:basedOn w:val="a0"/>
    <w:link w:val="ae"/>
    <w:rsid w:val="00B63371"/>
    <w:rPr>
      <w:rFonts w:ascii="Tahoma" w:hAnsi="Tahoma" w:cs="Tahoma"/>
      <w:sz w:val="16"/>
      <w:szCs w:val="16"/>
    </w:rPr>
  </w:style>
  <w:style w:type="character" w:styleId="af0">
    <w:name w:val="annotation reference"/>
    <w:basedOn w:val="a0"/>
    <w:rsid w:val="00745B18"/>
    <w:rPr>
      <w:sz w:val="16"/>
      <w:szCs w:val="16"/>
    </w:rPr>
  </w:style>
  <w:style w:type="paragraph" w:styleId="af1">
    <w:name w:val="annotation text"/>
    <w:basedOn w:val="a"/>
    <w:link w:val="af2"/>
    <w:rsid w:val="00745B18"/>
    <w:rPr>
      <w:sz w:val="20"/>
      <w:szCs w:val="20"/>
    </w:rPr>
  </w:style>
  <w:style w:type="character" w:customStyle="1" w:styleId="af2">
    <w:name w:val="טקסט הערה תו"/>
    <w:basedOn w:val="a0"/>
    <w:link w:val="af1"/>
    <w:rsid w:val="00745B18"/>
  </w:style>
  <w:style w:type="paragraph" w:styleId="af3">
    <w:name w:val="annotation subject"/>
    <w:basedOn w:val="af1"/>
    <w:next w:val="af1"/>
    <w:link w:val="af4"/>
    <w:rsid w:val="00745B18"/>
    <w:rPr>
      <w:b/>
      <w:bCs/>
    </w:rPr>
  </w:style>
  <w:style w:type="character" w:customStyle="1" w:styleId="af4">
    <w:name w:val="נושא הערה תו"/>
    <w:basedOn w:val="af2"/>
    <w:link w:val="af3"/>
    <w:rsid w:val="00745B18"/>
    <w:rPr>
      <w:b/>
      <w:bCs/>
    </w:rPr>
  </w:style>
  <w:style w:type="paragraph" w:styleId="af5">
    <w:name w:val="Revision"/>
    <w:hidden/>
    <w:uiPriority w:val="99"/>
    <w:semiHidden/>
    <w:rsid w:val="007D2321"/>
    <w:rPr>
      <w:sz w:val="24"/>
      <w:szCs w:val="24"/>
    </w:rPr>
  </w:style>
  <w:style w:type="character" w:styleId="af6">
    <w:name w:val="Strong"/>
    <w:basedOn w:val="a0"/>
    <w:uiPriority w:val="22"/>
    <w:qFormat/>
    <w:rsid w:val="00971F6A"/>
    <w:rPr>
      <w:b/>
      <w:bCs/>
    </w:rPr>
  </w:style>
  <w:style w:type="character" w:styleId="af7">
    <w:name w:val="Emphasis"/>
    <w:basedOn w:val="a0"/>
    <w:uiPriority w:val="20"/>
    <w:qFormat/>
    <w:rsid w:val="00971F6A"/>
    <w:rPr>
      <w:i/>
      <w:iCs/>
    </w:rPr>
  </w:style>
  <w:style w:type="paragraph" w:styleId="TOC3">
    <w:name w:val="toc 3"/>
    <w:basedOn w:val="a"/>
    <w:next w:val="a"/>
    <w:autoRedefine/>
    <w:uiPriority w:val="39"/>
    <w:unhideWhenUsed/>
    <w:rsid w:val="00D1528B"/>
    <w:pPr>
      <w:spacing w:after="100"/>
      <w:ind w:left="480"/>
    </w:pPr>
  </w:style>
  <w:style w:type="character" w:customStyle="1" w:styleId="40">
    <w:name w:val="כותרת 4 תו"/>
    <w:basedOn w:val="a0"/>
    <w:link w:val="4"/>
    <w:semiHidden/>
    <w:rsid w:val="006A3A03"/>
    <w:rPr>
      <w:rFonts w:asciiTheme="majorHAnsi" w:eastAsiaTheme="majorEastAsia" w:hAnsiTheme="majorHAnsi" w:cstheme="majorBidi"/>
      <w:i/>
      <w:iCs/>
      <w:color w:val="2E74B5" w:themeColor="accent1" w:themeShade="BF"/>
      <w:sz w:val="24"/>
      <w:szCs w:val="24"/>
    </w:rPr>
  </w:style>
  <w:style w:type="character" w:customStyle="1" w:styleId="citation">
    <w:name w:val="citation"/>
    <w:basedOn w:val="a0"/>
    <w:rsid w:val="0075146A"/>
  </w:style>
  <w:style w:type="character" w:customStyle="1" w:styleId="personname">
    <w:name w:val="person_name"/>
    <w:basedOn w:val="a0"/>
    <w:rsid w:val="0075146A"/>
  </w:style>
  <w:style w:type="character" w:customStyle="1" w:styleId="Date1">
    <w:name w:val="Date1"/>
    <w:basedOn w:val="a0"/>
    <w:rsid w:val="0075146A"/>
  </w:style>
  <w:style w:type="character" w:customStyle="1" w:styleId="Title1">
    <w:name w:val="Title1"/>
    <w:basedOn w:val="a0"/>
    <w:rsid w:val="0075146A"/>
  </w:style>
  <w:style w:type="character" w:customStyle="1" w:styleId="editors">
    <w:name w:val="editors"/>
    <w:basedOn w:val="a0"/>
    <w:rsid w:val="0075146A"/>
  </w:style>
  <w:style w:type="character" w:customStyle="1" w:styleId="place">
    <w:name w:val="place"/>
    <w:basedOn w:val="a0"/>
    <w:rsid w:val="0075146A"/>
  </w:style>
  <w:style w:type="character" w:customStyle="1" w:styleId="publisher">
    <w:name w:val="publisher"/>
    <w:basedOn w:val="a0"/>
    <w:rsid w:val="0075146A"/>
  </w:style>
  <w:style w:type="character" w:customStyle="1" w:styleId="pagerange">
    <w:name w:val="pagerange"/>
    <w:basedOn w:val="a0"/>
    <w:rsid w:val="007514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6173">
      <w:bodyDiv w:val="1"/>
      <w:marLeft w:val="0"/>
      <w:marRight w:val="0"/>
      <w:marTop w:val="0"/>
      <w:marBottom w:val="0"/>
      <w:divBdr>
        <w:top w:val="none" w:sz="0" w:space="0" w:color="auto"/>
        <w:left w:val="none" w:sz="0" w:space="0" w:color="auto"/>
        <w:bottom w:val="none" w:sz="0" w:space="0" w:color="auto"/>
        <w:right w:val="none" w:sz="0" w:space="0" w:color="auto"/>
      </w:divBdr>
      <w:divsChild>
        <w:div w:id="1252197623">
          <w:marLeft w:val="0"/>
          <w:marRight w:val="0"/>
          <w:marTop w:val="0"/>
          <w:marBottom w:val="0"/>
          <w:divBdr>
            <w:top w:val="single" w:sz="6" w:space="2" w:color="6B90DA"/>
            <w:left w:val="none" w:sz="0" w:space="0" w:color="auto"/>
            <w:bottom w:val="none" w:sz="0" w:space="0" w:color="auto"/>
            <w:right w:val="none" w:sz="0" w:space="0" w:color="auto"/>
          </w:divBdr>
        </w:div>
      </w:divsChild>
    </w:div>
    <w:div w:id="52244097">
      <w:bodyDiv w:val="1"/>
      <w:marLeft w:val="0"/>
      <w:marRight w:val="0"/>
      <w:marTop w:val="0"/>
      <w:marBottom w:val="0"/>
      <w:divBdr>
        <w:top w:val="none" w:sz="0" w:space="0" w:color="auto"/>
        <w:left w:val="none" w:sz="0" w:space="0" w:color="auto"/>
        <w:bottom w:val="none" w:sz="0" w:space="0" w:color="auto"/>
        <w:right w:val="none" w:sz="0" w:space="0" w:color="auto"/>
      </w:divBdr>
    </w:div>
    <w:div w:id="82075912">
      <w:bodyDiv w:val="1"/>
      <w:marLeft w:val="0"/>
      <w:marRight w:val="0"/>
      <w:marTop w:val="0"/>
      <w:marBottom w:val="0"/>
      <w:divBdr>
        <w:top w:val="none" w:sz="0" w:space="0" w:color="auto"/>
        <w:left w:val="none" w:sz="0" w:space="0" w:color="auto"/>
        <w:bottom w:val="none" w:sz="0" w:space="0" w:color="auto"/>
        <w:right w:val="none" w:sz="0" w:space="0" w:color="auto"/>
      </w:divBdr>
    </w:div>
    <w:div w:id="117725705">
      <w:bodyDiv w:val="1"/>
      <w:marLeft w:val="0"/>
      <w:marRight w:val="0"/>
      <w:marTop w:val="0"/>
      <w:marBottom w:val="0"/>
      <w:divBdr>
        <w:top w:val="none" w:sz="0" w:space="0" w:color="auto"/>
        <w:left w:val="none" w:sz="0" w:space="0" w:color="auto"/>
        <w:bottom w:val="none" w:sz="0" w:space="0" w:color="auto"/>
        <w:right w:val="none" w:sz="0" w:space="0" w:color="auto"/>
      </w:divBdr>
    </w:div>
    <w:div w:id="166556970">
      <w:bodyDiv w:val="1"/>
      <w:marLeft w:val="0"/>
      <w:marRight w:val="0"/>
      <w:marTop w:val="0"/>
      <w:marBottom w:val="0"/>
      <w:divBdr>
        <w:top w:val="none" w:sz="0" w:space="0" w:color="auto"/>
        <w:left w:val="none" w:sz="0" w:space="0" w:color="auto"/>
        <w:bottom w:val="none" w:sz="0" w:space="0" w:color="auto"/>
        <w:right w:val="none" w:sz="0" w:space="0" w:color="auto"/>
      </w:divBdr>
      <w:divsChild>
        <w:div w:id="690762953">
          <w:marLeft w:val="0"/>
          <w:marRight w:val="0"/>
          <w:marTop w:val="0"/>
          <w:marBottom w:val="0"/>
          <w:divBdr>
            <w:top w:val="single" w:sz="6" w:space="2" w:color="6B90DA"/>
            <w:left w:val="none" w:sz="0" w:space="0" w:color="auto"/>
            <w:bottom w:val="none" w:sz="0" w:space="0" w:color="auto"/>
            <w:right w:val="none" w:sz="0" w:space="0" w:color="auto"/>
          </w:divBdr>
        </w:div>
      </w:divsChild>
    </w:div>
    <w:div w:id="218782079">
      <w:bodyDiv w:val="1"/>
      <w:marLeft w:val="0"/>
      <w:marRight w:val="0"/>
      <w:marTop w:val="0"/>
      <w:marBottom w:val="0"/>
      <w:divBdr>
        <w:top w:val="none" w:sz="0" w:space="0" w:color="auto"/>
        <w:left w:val="none" w:sz="0" w:space="0" w:color="auto"/>
        <w:bottom w:val="none" w:sz="0" w:space="0" w:color="auto"/>
        <w:right w:val="none" w:sz="0" w:space="0" w:color="auto"/>
      </w:divBdr>
      <w:divsChild>
        <w:div w:id="631519113">
          <w:marLeft w:val="0"/>
          <w:marRight w:val="0"/>
          <w:marTop w:val="0"/>
          <w:marBottom w:val="45"/>
          <w:divBdr>
            <w:top w:val="none" w:sz="0" w:space="0" w:color="auto"/>
            <w:left w:val="none" w:sz="0" w:space="0" w:color="auto"/>
            <w:bottom w:val="none" w:sz="0" w:space="0" w:color="auto"/>
            <w:right w:val="none" w:sz="0" w:space="0" w:color="auto"/>
          </w:divBdr>
        </w:div>
        <w:div w:id="668481367">
          <w:marLeft w:val="0"/>
          <w:marRight w:val="0"/>
          <w:marTop w:val="0"/>
          <w:marBottom w:val="60"/>
          <w:divBdr>
            <w:top w:val="none" w:sz="0" w:space="0" w:color="auto"/>
            <w:left w:val="none" w:sz="0" w:space="0" w:color="auto"/>
            <w:bottom w:val="none" w:sz="0" w:space="0" w:color="auto"/>
            <w:right w:val="none" w:sz="0" w:space="0" w:color="auto"/>
          </w:divBdr>
        </w:div>
      </w:divsChild>
    </w:div>
    <w:div w:id="299841777">
      <w:bodyDiv w:val="1"/>
      <w:marLeft w:val="0"/>
      <w:marRight w:val="0"/>
      <w:marTop w:val="0"/>
      <w:marBottom w:val="0"/>
      <w:divBdr>
        <w:top w:val="none" w:sz="0" w:space="0" w:color="auto"/>
        <w:left w:val="none" w:sz="0" w:space="0" w:color="auto"/>
        <w:bottom w:val="none" w:sz="0" w:space="0" w:color="auto"/>
        <w:right w:val="none" w:sz="0" w:space="0" w:color="auto"/>
      </w:divBdr>
    </w:div>
    <w:div w:id="486433511">
      <w:bodyDiv w:val="1"/>
      <w:marLeft w:val="0"/>
      <w:marRight w:val="0"/>
      <w:marTop w:val="0"/>
      <w:marBottom w:val="0"/>
      <w:divBdr>
        <w:top w:val="none" w:sz="0" w:space="0" w:color="auto"/>
        <w:left w:val="none" w:sz="0" w:space="0" w:color="auto"/>
        <w:bottom w:val="none" w:sz="0" w:space="0" w:color="auto"/>
        <w:right w:val="none" w:sz="0" w:space="0" w:color="auto"/>
      </w:divBdr>
    </w:div>
    <w:div w:id="823617835">
      <w:bodyDiv w:val="1"/>
      <w:marLeft w:val="0"/>
      <w:marRight w:val="0"/>
      <w:marTop w:val="0"/>
      <w:marBottom w:val="0"/>
      <w:divBdr>
        <w:top w:val="none" w:sz="0" w:space="0" w:color="auto"/>
        <w:left w:val="none" w:sz="0" w:space="0" w:color="auto"/>
        <w:bottom w:val="none" w:sz="0" w:space="0" w:color="auto"/>
        <w:right w:val="none" w:sz="0" w:space="0" w:color="auto"/>
      </w:divBdr>
    </w:div>
    <w:div w:id="843283632">
      <w:bodyDiv w:val="1"/>
      <w:marLeft w:val="0"/>
      <w:marRight w:val="0"/>
      <w:marTop w:val="0"/>
      <w:marBottom w:val="0"/>
      <w:divBdr>
        <w:top w:val="none" w:sz="0" w:space="0" w:color="auto"/>
        <w:left w:val="none" w:sz="0" w:space="0" w:color="auto"/>
        <w:bottom w:val="none" w:sz="0" w:space="0" w:color="auto"/>
        <w:right w:val="none" w:sz="0" w:space="0" w:color="auto"/>
      </w:divBdr>
    </w:div>
    <w:div w:id="867255220">
      <w:bodyDiv w:val="1"/>
      <w:marLeft w:val="0"/>
      <w:marRight w:val="0"/>
      <w:marTop w:val="0"/>
      <w:marBottom w:val="0"/>
      <w:divBdr>
        <w:top w:val="none" w:sz="0" w:space="0" w:color="auto"/>
        <w:left w:val="none" w:sz="0" w:space="0" w:color="auto"/>
        <w:bottom w:val="none" w:sz="0" w:space="0" w:color="auto"/>
        <w:right w:val="none" w:sz="0" w:space="0" w:color="auto"/>
      </w:divBdr>
    </w:div>
    <w:div w:id="872226883">
      <w:bodyDiv w:val="1"/>
      <w:marLeft w:val="0"/>
      <w:marRight w:val="0"/>
      <w:marTop w:val="0"/>
      <w:marBottom w:val="0"/>
      <w:divBdr>
        <w:top w:val="none" w:sz="0" w:space="0" w:color="auto"/>
        <w:left w:val="none" w:sz="0" w:space="0" w:color="auto"/>
        <w:bottom w:val="none" w:sz="0" w:space="0" w:color="auto"/>
        <w:right w:val="none" w:sz="0" w:space="0" w:color="auto"/>
      </w:divBdr>
    </w:div>
    <w:div w:id="968052942">
      <w:bodyDiv w:val="1"/>
      <w:marLeft w:val="0"/>
      <w:marRight w:val="0"/>
      <w:marTop w:val="0"/>
      <w:marBottom w:val="0"/>
      <w:divBdr>
        <w:top w:val="none" w:sz="0" w:space="0" w:color="auto"/>
        <w:left w:val="none" w:sz="0" w:space="0" w:color="auto"/>
        <w:bottom w:val="none" w:sz="0" w:space="0" w:color="auto"/>
        <w:right w:val="none" w:sz="0" w:space="0" w:color="auto"/>
      </w:divBdr>
      <w:divsChild>
        <w:div w:id="956255008">
          <w:marLeft w:val="0"/>
          <w:marRight w:val="0"/>
          <w:marTop w:val="0"/>
          <w:marBottom w:val="0"/>
          <w:divBdr>
            <w:top w:val="single" w:sz="6" w:space="2" w:color="6B90DA"/>
            <w:left w:val="none" w:sz="0" w:space="0" w:color="auto"/>
            <w:bottom w:val="none" w:sz="0" w:space="0" w:color="auto"/>
            <w:right w:val="none" w:sz="0" w:space="0" w:color="auto"/>
          </w:divBdr>
        </w:div>
      </w:divsChild>
    </w:div>
    <w:div w:id="976185173">
      <w:bodyDiv w:val="1"/>
      <w:marLeft w:val="0"/>
      <w:marRight w:val="0"/>
      <w:marTop w:val="0"/>
      <w:marBottom w:val="0"/>
      <w:divBdr>
        <w:top w:val="none" w:sz="0" w:space="0" w:color="auto"/>
        <w:left w:val="none" w:sz="0" w:space="0" w:color="auto"/>
        <w:bottom w:val="none" w:sz="0" w:space="0" w:color="auto"/>
        <w:right w:val="none" w:sz="0" w:space="0" w:color="auto"/>
      </w:divBdr>
      <w:divsChild>
        <w:div w:id="1837068160">
          <w:marLeft w:val="0"/>
          <w:marRight w:val="0"/>
          <w:marTop w:val="0"/>
          <w:marBottom w:val="0"/>
          <w:divBdr>
            <w:top w:val="single" w:sz="6" w:space="2" w:color="6B90DA"/>
            <w:left w:val="none" w:sz="0" w:space="0" w:color="auto"/>
            <w:bottom w:val="none" w:sz="0" w:space="0" w:color="auto"/>
            <w:right w:val="none" w:sz="0" w:space="0" w:color="auto"/>
          </w:divBdr>
        </w:div>
      </w:divsChild>
    </w:div>
    <w:div w:id="1054037538">
      <w:bodyDiv w:val="1"/>
      <w:marLeft w:val="0"/>
      <w:marRight w:val="0"/>
      <w:marTop w:val="0"/>
      <w:marBottom w:val="0"/>
      <w:divBdr>
        <w:top w:val="none" w:sz="0" w:space="0" w:color="auto"/>
        <w:left w:val="none" w:sz="0" w:space="0" w:color="auto"/>
        <w:bottom w:val="none" w:sz="0" w:space="0" w:color="auto"/>
        <w:right w:val="none" w:sz="0" w:space="0" w:color="auto"/>
      </w:divBdr>
    </w:div>
    <w:div w:id="1086144950">
      <w:bodyDiv w:val="1"/>
      <w:marLeft w:val="0"/>
      <w:marRight w:val="0"/>
      <w:marTop w:val="0"/>
      <w:marBottom w:val="0"/>
      <w:divBdr>
        <w:top w:val="none" w:sz="0" w:space="0" w:color="auto"/>
        <w:left w:val="none" w:sz="0" w:space="0" w:color="auto"/>
        <w:bottom w:val="none" w:sz="0" w:space="0" w:color="auto"/>
        <w:right w:val="none" w:sz="0" w:space="0" w:color="auto"/>
      </w:divBdr>
    </w:div>
    <w:div w:id="1110129893">
      <w:bodyDiv w:val="1"/>
      <w:marLeft w:val="0"/>
      <w:marRight w:val="0"/>
      <w:marTop w:val="0"/>
      <w:marBottom w:val="0"/>
      <w:divBdr>
        <w:top w:val="none" w:sz="0" w:space="0" w:color="auto"/>
        <w:left w:val="none" w:sz="0" w:space="0" w:color="auto"/>
        <w:bottom w:val="none" w:sz="0" w:space="0" w:color="auto"/>
        <w:right w:val="none" w:sz="0" w:space="0" w:color="auto"/>
      </w:divBdr>
      <w:divsChild>
        <w:div w:id="938176828">
          <w:marLeft w:val="0"/>
          <w:marRight w:val="0"/>
          <w:marTop w:val="0"/>
          <w:marBottom w:val="0"/>
          <w:divBdr>
            <w:top w:val="single" w:sz="6" w:space="2" w:color="6B90DA"/>
            <w:left w:val="none" w:sz="0" w:space="0" w:color="auto"/>
            <w:bottom w:val="none" w:sz="0" w:space="0" w:color="auto"/>
            <w:right w:val="none" w:sz="0" w:space="0" w:color="auto"/>
          </w:divBdr>
        </w:div>
      </w:divsChild>
    </w:div>
    <w:div w:id="1124302768">
      <w:bodyDiv w:val="1"/>
      <w:marLeft w:val="0"/>
      <w:marRight w:val="0"/>
      <w:marTop w:val="0"/>
      <w:marBottom w:val="0"/>
      <w:divBdr>
        <w:top w:val="none" w:sz="0" w:space="0" w:color="auto"/>
        <w:left w:val="none" w:sz="0" w:space="0" w:color="auto"/>
        <w:bottom w:val="none" w:sz="0" w:space="0" w:color="auto"/>
        <w:right w:val="none" w:sz="0" w:space="0" w:color="auto"/>
      </w:divBdr>
      <w:divsChild>
        <w:div w:id="90049862">
          <w:marLeft w:val="0"/>
          <w:marRight w:val="0"/>
          <w:marTop w:val="0"/>
          <w:marBottom w:val="45"/>
          <w:divBdr>
            <w:top w:val="none" w:sz="0" w:space="0" w:color="auto"/>
            <w:left w:val="none" w:sz="0" w:space="0" w:color="auto"/>
            <w:bottom w:val="none" w:sz="0" w:space="0" w:color="auto"/>
            <w:right w:val="none" w:sz="0" w:space="0" w:color="auto"/>
          </w:divBdr>
        </w:div>
        <w:div w:id="1043411361">
          <w:marLeft w:val="0"/>
          <w:marRight w:val="0"/>
          <w:marTop w:val="0"/>
          <w:marBottom w:val="60"/>
          <w:divBdr>
            <w:top w:val="none" w:sz="0" w:space="0" w:color="auto"/>
            <w:left w:val="none" w:sz="0" w:space="0" w:color="auto"/>
            <w:bottom w:val="none" w:sz="0" w:space="0" w:color="auto"/>
            <w:right w:val="none" w:sz="0" w:space="0" w:color="auto"/>
          </w:divBdr>
        </w:div>
      </w:divsChild>
    </w:div>
    <w:div w:id="1281187285">
      <w:bodyDiv w:val="1"/>
      <w:marLeft w:val="0"/>
      <w:marRight w:val="0"/>
      <w:marTop w:val="0"/>
      <w:marBottom w:val="0"/>
      <w:divBdr>
        <w:top w:val="none" w:sz="0" w:space="0" w:color="auto"/>
        <w:left w:val="none" w:sz="0" w:space="0" w:color="auto"/>
        <w:bottom w:val="none" w:sz="0" w:space="0" w:color="auto"/>
        <w:right w:val="none" w:sz="0" w:space="0" w:color="auto"/>
      </w:divBdr>
    </w:div>
    <w:div w:id="1407680291">
      <w:bodyDiv w:val="1"/>
      <w:marLeft w:val="0"/>
      <w:marRight w:val="0"/>
      <w:marTop w:val="0"/>
      <w:marBottom w:val="0"/>
      <w:divBdr>
        <w:top w:val="none" w:sz="0" w:space="0" w:color="auto"/>
        <w:left w:val="none" w:sz="0" w:space="0" w:color="auto"/>
        <w:bottom w:val="none" w:sz="0" w:space="0" w:color="auto"/>
        <w:right w:val="none" w:sz="0" w:space="0" w:color="auto"/>
      </w:divBdr>
      <w:divsChild>
        <w:div w:id="637339988">
          <w:marLeft w:val="0"/>
          <w:marRight w:val="0"/>
          <w:marTop w:val="0"/>
          <w:marBottom w:val="0"/>
          <w:divBdr>
            <w:top w:val="single" w:sz="6" w:space="2" w:color="6B90DA"/>
            <w:left w:val="none" w:sz="0" w:space="0" w:color="auto"/>
            <w:bottom w:val="none" w:sz="0" w:space="0" w:color="auto"/>
            <w:right w:val="none" w:sz="0" w:space="0" w:color="auto"/>
          </w:divBdr>
        </w:div>
      </w:divsChild>
    </w:div>
    <w:div w:id="1423986388">
      <w:bodyDiv w:val="1"/>
      <w:marLeft w:val="0"/>
      <w:marRight w:val="0"/>
      <w:marTop w:val="0"/>
      <w:marBottom w:val="0"/>
      <w:divBdr>
        <w:top w:val="none" w:sz="0" w:space="0" w:color="auto"/>
        <w:left w:val="none" w:sz="0" w:space="0" w:color="auto"/>
        <w:bottom w:val="none" w:sz="0" w:space="0" w:color="auto"/>
        <w:right w:val="none" w:sz="0" w:space="0" w:color="auto"/>
      </w:divBdr>
    </w:div>
    <w:div w:id="1425496490">
      <w:bodyDiv w:val="1"/>
      <w:marLeft w:val="0"/>
      <w:marRight w:val="0"/>
      <w:marTop w:val="0"/>
      <w:marBottom w:val="0"/>
      <w:divBdr>
        <w:top w:val="none" w:sz="0" w:space="0" w:color="auto"/>
        <w:left w:val="none" w:sz="0" w:space="0" w:color="auto"/>
        <w:bottom w:val="none" w:sz="0" w:space="0" w:color="auto"/>
        <w:right w:val="none" w:sz="0" w:space="0" w:color="auto"/>
      </w:divBdr>
    </w:div>
    <w:div w:id="1614364213">
      <w:bodyDiv w:val="1"/>
      <w:marLeft w:val="0"/>
      <w:marRight w:val="0"/>
      <w:marTop w:val="0"/>
      <w:marBottom w:val="0"/>
      <w:divBdr>
        <w:top w:val="none" w:sz="0" w:space="0" w:color="auto"/>
        <w:left w:val="none" w:sz="0" w:space="0" w:color="auto"/>
        <w:bottom w:val="none" w:sz="0" w:space="0" w:color="auto"/>
        <w:right w:val="none" w:sz="0" w:space="0" w:color="auto"/>
      </w:divBdr>
      <w:divsChild>
        <w:div w:id="11884829">
          <w:marLeft w:val="0"/>
          <w:marRight w:val="0"/>
          <w:marTop w:val="0"/>
          <w:marBottom w:val="0"/>
          <w:divBdr>
            <w:top w:val="none" w:sz="0" w:space="0" w:color="auto"/>
            <w:left w:val="none" w:sz="0" w:space="0" w:color="auto"/>
            <w:bottom w:val="none" w:sz="0" w:space="0" w:color="auto"/>
            <w:right w:val="none" w:sz="0" w:space="0" w:color="auto"/>
          </w:divBdr>
          <w:divsChild>
            <w:div w:id="756947137">
              <w:marLeft w:val="0"/>
              <w:marRight w:val="0"/>
              <w:marTop w:val="0"/>
              <w:marBottom w:val="0"/>
              <w:divBdr>
                <w:top w:val="none" w:sz="0" w:space="0" w:color="auto"/>
                <w:left w:val="none" w:sz="0" w:space="0" w:color="auto"/>
                <w:bottom w:val="none" w:sz="0" w:space="0" w:color="auto"/>
                <w:right w:val="none" w:sz="0" w:space="0" w:color="auto"/>
              </w:divBdr>
            </w:div>
            <w:div w:id="858547829">
              <w:marLeft w:val="0"/>
              <w:marRight w:val="180"/>
              <w:marTop w:val="0"/>
              <w:marBottom w:val="0"/>
              <w:divBdr>
                <w:top w:val="none" w:sz="0" w:space="0" w:color="auto"/>
                <w:left w:val="none" w:sz="0" w:space="0" w:color="auto"/>
                <w:bottom w:val="none" w:sz="0" w:space="0" w:color="auto"/>
                <w:right w:val="none" w:sz="0" w:space="0" w:color="auto"/>
              </w:divBdr>
            </w:div>
            <w:div w:id="1023017097">
              <w:marLeft w:val="0"/>
              <w:marRight w:val="0"/>
              <w:marTop w:val="0"/>
              <w:marBottom w:val="0"/>
              <w:divBdr>
                <w:top w:val="none" w:sz="0" w:space="0" w:color="auto"/>
                <w:left w:val="none" w:sz="0" w:space="0" w:color="auto"/>
                <w:bottom w:val="none" w:sz="0" w:space="0" w:color="auto"/>
                <w:right w:val="none" w:sz="0" w:space="0" w:color="auto"/>
              </w:divBdr>
            </w:div>
            <w:div w:id="1090658934">
              <w:marLeft w:val="0"/>
              <w:marRight w:val="0"/>
              <w:marTop w:val="0"/>
              <w:marBottom w:val="0"/>
              <w:divBdr>
                <w:top w:val="none" w:sz="0" w:space="0" w:color="auto"/>
                <w:left w:val="none" w:sz="0" w:space="0" w:color="auto"/>
                <w:bottom w:val="none" w:sz="0" w:space="0" w:color="auto"/>
                <w:right w:val="none" w:sz="0" w:space="0" w:color="auto"/>
              </w:divBdr>
            </w:div>
            <w:div w:id="164064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659652">
      <w:bodyDiv w:val="1"/>
      <w:marLeft w:val="0"/>
      <w:marRight w:val="0"/>
      <w:marTop w:val="0"/>
      <w:marBottom w:val="0"/>
      <w:divBdr>
        <w:top w:val="none" w:sz="0" w:space="0" w:color="auto"/>
        <w:left w:val="none" w:sz="0" w:space="0" w:color="auto"/>
        <w:bottom w:val="none" w:sz="0" w:space="0" w:color="auto"/>
        <w:right w:val="none" w:sz="0" w:space="0" w:color="auto"/>
      </w:divBdr>
    </w:div>
    <w:div w:id="1818259556">
      <w:bodyDiv w:val="1"/>
      <w:marLeft w:val="0"/>
      <w:marRight w:val="0"/>
      <w:marTop w:val="0"/>
      <w:marBottom w:val="0"/>
      <w:divBdr>
        <w:top w:val="none" w:sz="0" w:space="0" w:color="auto"/>
        <w:left w:val="none" w:sz="0" w:space="0" w:color="auto"/>
        <w:bottom w:val="none" w:sz="0" w:space="0" w:color="auto"/>
        <w:right w:val="none" w:sz="0" w:space="0" w:color="auto"/>
      </w:divBdr>
      <w:divsChild>
        <w:div w:id="86853630">
          <w:marLeft w:val="0"/>
          <w:marRight w:val="0"/>
          <w:marTop w:val="0"/>
          <w:marBottom w:val="0"/>
          <w:divBdr>
            <w:top w:val="none" w:sz="0" w:space="0" w:color="auto"/>
            <w:left w:val="none" w:sz="0" w:space="0" w:color="auto"/>
            <w:bottom w:val="none" w:sz="0" w:space="0" w:color="auto"/>
            <w:right w:val="none" w:sz="0" w:space="0" w:color="auto"/>
          </w:divBdr>
          <w:divsChild>
            <w:div w:id="8339548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2093176">
                  <w:marLeft w:val="0"/>
                  <w:marRight w:val="0"/>
                  <w:marTop w:val="0"/>
                  <w:marBottom w:val="0"/>
                  <w:divBdr>
                    <w:top w:val="none" w:sz="0" w:space="0" w:color="auto"/>
                    <w:left w:val="none" w:sz="0" w:space="0" w:color="auto"/>
                    <w:bottom w:val="none" w:sz="0" w:space="0" w:color="auto"/>
                    <w:right w:val="none" w:sz="0" w:space="0" w:color="auto"/>
                  </w:divBdr>
                  <w:divsChild>
                    <w:div w:id="120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681690">
      <w:bodyDiv w:val="1"/>
      <w:marLeft w:val="0"/>
      <w:marRight w:val="0"/>
      <w:marTop w:val="0"/>
      <w:marBottom w:val="0"/>
      <w:divBdr>
        <w:top w:val="none" w:sz="0" w:space="0" w:color="auto"/>
        <w:left w:val="none" w:sz="0" w:space="0" w:color="auto"/>
        <w:bottom w:val="none" w:sz="0" w:space="0" w:color="auto"/>
        <w:right w:val="none" w:sz="0" w:space="0" w:color="auto"/>
      </w:divBdr>
      <w:divsChild>
        <w:div w:id="393898414">
          <w:marLeft w:val="0"/>
          <w:marRight w:val="0"/>
          <w:marTop w:val="0"/>
          <w:marBottom w:val="0"/>
          <w:divBdr>
            <w:top w:val="single" w:sz="6" w:space="0" w:color="FFFFFF"/>
            <w:left w:val="single" w:sz="6" w:space="0" w:color="FFFFFF"/>
            <w:bottom w:val="single" w:sz="6" w:space="0" w:color="FFFFFF"/>
            <w:right w:val="single" w:sz="6" w:space="0" w:color="FFFFFF"/>
          </w:divBdr>
          <w:divsChild>
            <w:div w:id="678508919">
              <w:marLeft w:val="0"/>
              <w:marRight w:val="0"/>
              <w:marTop w:val="0"/>
              <w:marBottom w:val="0"/>
              <w:divBdr>
                <w:top w:val="single" w:sz="6" w:space="0" w:color="FFFFFF"/>
                <w:left w:val="single" w:sz="6" w:space="0" w:color="FFFFFF"/>
                <w:bottom w:val="single" w:sz="6" w:space="0" w:color="FFFFFF"/>
                <w:right w:val="single" w:sz="6" w:space="0" w:color="FFFFFF"/>
              </w:divBdr>
              <w:divsChild>
                <w:div w:id="60447197">
                  <w:marLeft w:val="0"/>
                  <w:marRight w:val="0"/>
                  <w:marTop w:val="0"/>
                  <w:marBottom w:val="0"/>
                  <w:divBdr>
                    <w:top w:val="none" w:sz="0" w:space="0" w:color="auto"/>
                    <w:left w:val="none" w:sz="0" w:space="0" w:color="auto"/>
                    <w:bottom w:val="none" w:sz="0" w:space="0" w:color="auto"/>
                    <w:right w:val="none" w:sz="0" w:space="0" w:color="auto"/>
                  </w:divBdr>
                  <w:divsChild>
                    <w:div w:id="445588102">
                      <w:marLeft w:val="0"/>
                      <w:marRight w:val="0"/>
                      <w:marTop w:val="0"/>
                      <w:marBottom w:val="0"/>
                      <w:divBdr>
                        <w:top w:val="none" w:sz="0" w:space="0" w:color="auto"/>
                        <w:left w:val="none" w:sz="0" w:space="0" w:color="auto"/>
                        <w:bottom w:val="none" w:sz="0" w:space="0" w:color="auto"/>
                        <w:right w:val="none" w:sz="0" w:space="0" w:color="auto"/>
                      </w:divBdr>
                      <w:divsChild>
                        <w:div w:id="263462991">
                          <w:marLeft w:val="0"/>
                          <w:marRight w:val="0"/>
                          <w:marTop w:val="0"/>
                          <w:marBottom w:val="0"/>
                          <w:divBdr>
                            <w:top w:val="none" w:sz="0" w:space="0" w:color="auto"/>
                            <w:left w:val="none" w:sz="0" w:space="0" w:color="auto"/>
                            <w:bottom w:val="none" w:sz="0" w:space="0" w:color="auto"/>
                            <w:right w:val="none" w:sz="0" w:space="0" w:color="auto"/>
                          </w:divBdr>
                          <w:divsChild>
                            <w:div w:id="1154179509">
                              <w:marLeft w:val="0"/>
                              <w:marRight w:val="0"/>
                              <w:marTop w:val="0"/>
                              <w:marBottom w:val="0"/>
                              <w:divBdr>
                                <w:top w:val="none" w:sz="0" w:space="0" w:color="auto"/>
                                <w:left w:val="none" w:sz="0" w:space="0" w:color="auto"/>
                                <w:bottom w:val="none" w:sz="0" w:space="0" w:color="auto"/>
                                <w:right w:val="none" w:sz="0" w:space="0" w:color="auto"/>
                              </w:divBdr>
                              <w:divsChild>
                                <w:div w:id="1984001501">
                                  <w:marLeft w:val="0"/>
                                  <w:marRight w:val="0"/>
                                  <w:marTop w:val="0"/>
                                  <w:marBottom w:val="0"/>
                                  <w:divBdr>
                                    <w:top w:val="none" w:sz="0" w:space="0" w:color="auto"/>
                                    <w:left w:val="none" w:sz="0" w:space="0" w:color="auto"/>
                                    <w:bottom w:val="none" w:sz="0" w:space="0" w:color="auto"/>
                                    <w:right w:val="none" w:sz="0" w:space="0" w:color="auto"/>
                                  </w:divBdr>
                                  <w:divsChild>
                                    <w:div w:id="702898599">
                                      <w:marLeft w:val="0"/>
                                      <w:marRight w:val="0"/>
                                      <w:marTop w:val="0"/>
                                      <w:marBottom w:val="0"/>
                                      <w:divBdr>
                                        <w:top w:val="none" w:sz="0" w:space="0" w:color="auto"/>
                                        <w:left w:val="none" w:sz="0" w:space="0" w:color="auto"/>
                                        <w:bottom w:val="none" w:sz="0" w:space="0" w:color="auto"/>
                                        <w:right w:val="none" w:sz="0" w:space="0" w:color="auto"/>
                                      </w:divBdr>
                                      <w:divsChild>
                                        <w:div w:id="151337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0484569">
      <w:bodyDiv w:val="1"/>
      <w:marLeft w:val="0"/>
      <w:marRight w:val="0"/>
      <w:marTop w:val="0"/>
      <w:marBottom w:val="0"/>
      <w:divBdr>
        <w:top w:val="none" w:sz="0" w:space="0" w:color="auto"/>
        <w:left w:val="none" w:sz="0" w:space="0" w:color="auto"/>
        <w:bottom w:val="none" w:sz="0" w:space="0" w:color="auto"/>
        <w:right w:val="none" w:sz="0" w:space="0" w:color="auto"/>
      </w:divBdr>
      <w:divsChild>
        <w:div w:id="1014650035">
          <w:marLeft w:val="0"/>
          <w:marRight w:val="0"/>
          <w:marTop w:val="0"/>
          <w:marBottom w:val="0"/>
          <w:divBdr>
            <w:top w:val="none" w:sz="0" w:space="0" w:color="auto"/>
            <w:left w:val="none" w:sz="0" w:space="0" w:color="auto"/>
            <w:bottom w:val="none" w:sz="0" w:space="0" w:color="auto"/>
            <w:right w:val="none" w:sz="0" w:space="0" w:color="auto"/>
          </w:divBdr>
          <w:divsChild>
            <w:div w:id="1605845782">
              <w:marLeft w:val="0"/>
              <w:marRight w:val="0"/>
              <w:marTop w:val="0"/>
              <w:marBottom w:val="0"/>
              <w:divBdr>
                <w:top w:val="none" w:sz="0" w:space="0" w:color="auto"/>
                <w:left w:val="none" w:sz="0" w:space="0" w:color="auto"/>
                <w:bottom w:val="none" w:sz="0" w:space="0" w:color="auto"/>
                <w:right w:val="none" w:sz="0" w:space="0" w:color="auto"/>
              </w:divBdr>
              <w:divsChild>
                <w:div w:id="479005312">
                  <w:marLeft w:val="0"/>
                  <w:marRight w:val="0"/>
                  <w:marTop w:val="0"/>
                  <w:marBottom w:val="0"/>
                  <w:divBdr>
                    <w:top w:val="none" w:sz="0" w:space="0" w:color="auto"/>
                    <w:left w:val="none" w:sz="0" w:space="0" w:color="auto"/>
                    <w:bottom w:val="none" w:sz="0" w:space="0" w:color="auto"/>
                    <w:right w:val="none" w:sz="0" w:space="0" w:color="auto"/>
                  </w:divBdr>
                  <w:divsChild>
                    <w:div w:id="1371303798">
                      <w:marLeft w:val="0"/>
                      <w:marRight w:val="0"/>
                      <w:marTop w:val="0"/>
                      <w:marBottom w:val="0"/>
                      <w:divBdr>
                        <w:top w:val="none" w:sz="0" w:space="0" w:color="auto"/>
                        <w:left w:val="none" w:sz="0" w:space="0" w:color="auto"/>
                        <w:bottom w:val="none" w:sz="0" w:space="0" w:color="auto"/>
                        <w:right w:val="none" w:sz="0" w:space="0" w:color="auto"/>
                      </w:divBdr>
                      <w:divsChild>
                        <w:div w:id="1484852320">
                          <w:marLeft w:val="0"/>
                          <w:marRight w:val="0"/>
                          <w:marTop w:val="0"/>
                          <w:marBottom w:val="0"/>
                          <w:divBdr>
                            <w:top w:val="none" w:sz="0" w:space="0" w:color="auto"/>
                            <w:left w:val="none" w:sz="0" w:space="0" w:color="auto"/>
                            <w:bottom w:val="none" w:sz="0" w:space="0" w:color="auto"/>
                            <w:right w:val="none" w:sz="0" w:space="0" w:color="auto"/>
                          </w:divBdr>
                          <w:divsChild>
                            <w:div w:id="1258253132">
                              <w:marLeft w:val="0"/>
                              <w:marRight w:val="0"/>
                              <w:marTop w:val="0"/>
                              <w:marBottom w:val="0"/>
                              <w:divBdr>
                                <w:top w:val="none" w:sz="0" w:space="0" w:color="auto"/>
                                <w:left w:val="none" w:sz="0" w:space="0" w:color="auto"/>
                                <w:bottom w:val="none" w:sz="0" w:space="0" w:color="auto"/>
                                <w:right w:val="none" w:sz="0" w:space="0" w:color="auto"/>
                              </w:divBdr>
                              <w:divsChild>
                                <w:div w:id="583689061">
                                  <w:marLeft w:val="0"/>
                                  <w:marRight w:val="0"/>
                                  <w:marTop w:val="0"/>
                                  <w:marBottom w:val="0"/>
                                  <w:divBdr>
                                    <w:top w:val="none" w:sz="0" w:space="0" w:color="auto"/>
                                    <w:left w:val="none" w:sz="0" w:space="0" w:color="auto"/>
                                    <w:bottom w:val="none" w:sz="0" w:space="0" w:color="auto"/>
                                    <w:right w:val="none" w:sz="0" w:space="0" w:color="auto"/>
                                  </w:divBdr>
                                  <w:divsChild>
                                    <w:div w:id="1368721703">
                                      <w:marLeft w:val="0"/>
                                      <w:marRight w:val="0"/>
                                      <w:marTop w:val="150"/>
                                      <w:marBottom w:val="150"/>
                                      <w:divBdr>
                                        <w:top w:val="none" w:sz="0" w:space="0" w:color="auto"/>
                                        <w:left w:val="none" w:sz="0" w:space="0" w:color="auto"/>
                                        <w:bottom w:val="none" w:sz="0" w:space="0" w:color="auto"/>
                                        <w:right w:val="none" w:sz="0" w:space="0" w:color="auto"/>
                                      </w:divBdr>
                                      <w:divsChild>
                                        <w:div w:id="1995185363">
                                          <w:marLeft w:val="0"/>
                                          <w:marRight w:val="0"/>
                                          <w:marTop w:val="0"/>
                                          <w:marBottom w:val="0"/>
                                          <w:divBdr>
                                            <w:top w:val="none" w:sz="0" w:space="0" w:color="auto"/>
                                            <w:left w:val="none" w:sz="0" w:space="0" w:color="auto"/>
                                            <w:bottom w:val="none" w:sz="0" w:space="0" w:color="auto"/>
                                            <w:right w:val="none" w:sz="0" w:space="0" w:color="auto"/>
                                          </w:divBdr>
                                          <w:divsChild>
                                            <w:div w:id="1841921579">
                                              <w:marLeft w:val="0"/>
                                              <w:marRight w:val="0"/>
                                              <w:marTop w:val="300"/>
                                              <w:marBottom w:val="0"/>
                                              <w:divBdr>
                                                <w:top w:val="none" w:sz="0" w:space="0" w:color="auto"/>
                                                <w:left w:val="none" w:sz="0" w:space="0" w:color="auto"/>
                                                <w:bottom w:val="none" w:sz="0" w:space="0" w:color="auto"/>
                                                <w:right w:val="none" w:sz="0" w:space="0" w:color="auto"/>
                                              </w:divBdr>
                                              <w:divsChild>
                                                <w:div w:id="302396152">
                                                  <w:marLeft w:val="0"/>
                                                  <w:marRight w:val="0"/>
                                                  <w:marTop w:val="0"/>
                                                  <w:marBottom w:val="0"/>
                                                  <w:divBdr>
                                                    <w:top w:val="none" w:sz="0" w:space="0" w:color="auto"/>
                                                    <w:left w:val="none" w:sz="0" w:space="0" w:color="auto"/>
                                                    <w:bottom w:val="none" w:sz="0" w:space="0" w:color="auto"/>
                                                    <w:right w:val="none" w:sz="0" w:space="0" w:color="auto"/>
                                                  </w:divBdr>
                                                  <w:divsChild>
                                                    <w:div w:id="179400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3715894">
      <w:bodyDiv w:val="1"/>
      <w:marLeft w:val="0"/>
      <w:marRight w:val="0"/>
      <w:marTop w:val="0"/>
      <w:marBottom w:val="0"/>
      <w:divBdr>
        <w:top w:val="none" w:sz="0" w:space="0" w:color="auto"/>
        <w:left w:val="none" w:sz="0" w:space="0" w:color="auto"/>
        <w:bottom w:val="none" w:sz="0" w:space="0" w:color="auto"/>
        <w:right w:val="none" w:sz="0" w:space="0" w:color="auto"/>
      </w:divBdr>
    </w:div>
    <w:div w:id="1912808446">
      <w:bodyDiv w:val="1"/>
      <w:marLeft w:val="0"/>
      <w:marRight w:val="0"/>
      <w:marTop w:val="0"/>
      <w:marBottom w:val="0"/>
      <w:divBdr>
        <w:top w:val="none" w:sz="0" w:space="0" w:color="auto"/>
        <w:left w:val="none" w:sz="0" w:space="0" w:color="auto"/>
        <w:bottom w:val="none" w:sz="0" w:space="0" w:color="auto"/>
        <w:right w:val="none" w:sz="0" w:space="0" w:color="auto"/>
      </w:divBdr>
      <w:divsChild>
        <w:div w:id="2023431416">
          <w:marLeft w:val="0"/>
          <w:marRight w:val="0"/>
          <w:marTop w:val="0"/>
          <w:marBottom w:val="0"/>
          <w:divBdr>
            <w:top w:val="none" w:sz="0" w:space="0" w:color="auto"/>
            <w:left w:val="none" w:sz="0" w:space="0" w:color="auto"/>
            <w:bottom w:val="none" w:sz="0" w:space="0" w:color="auto"/>
            <w:right w:val="none" w:sz="0" w:space="0" w:color="auto"/>
          </w:divBdr>
          <w:divsChild>
            <w:div w:id="326910538">
              <w:marLeft w:val="0"/>
              <w:marRight w:val="0"/>
              <w:marTop w:val="0"/>
              <w:marBottom w:val="0"/>
              <w:divBdr>
                <w:top w:val="none" w:sz="0" w:space="0" w:color="auto"/>
                <w:left w:val="none" w:sz="0" w:space="0" w:color="auto"/>
                <w:bottom w:val="none" w:sz="0" w:space="0" w:color="auto"/>
                <w:right w:val="none" w:sz="0" w:space="0" w:color="auto"/>
              </w:divBdr>
            </w:div>
            <w:div w:id="528835339">
              <w:marLeft w:val="0"/>
              <w:marRight w:val="0"/>
              <w:marTop w:val="0"/>
              <w:marBottom w:val="0"/>
              <w:divBdr>
                <w:top w:val="none" w:sz="0" w:space="0" w:color="auto"/>
                <w:left w:val="none" w:sz="0" w:space="0" w:color="auto"/>
                <w:bottom w:val="none" w:sz="0" w:space="0" w:color="auto"/>
                <w:right w:val="none" w:sz="0" w:space="0" w:color="auto"/>
              </w:divBdr>
            </w:div>
            <w:div w:id="1056591233">
              <w:marLeft w:val="0"/>
              <w:marRight w:val="0"/>
              <w:marTop w:val="0"/>
              <w:marBottom w:val="0"/>
              <w:divBdr>
                <w:top w:val="none" w:sz="0" w:space="0" w:color="auto"/>
                <w:left w:val="none" w:sz="0" w:space="0" w:color="auto"/>
                <w:bottom w:val="none" w:sz="0" w:space="0" w:color="auto"/>
                <w:right w:val="none" w:sz="0" w:space="0" w:color="auto"/>
              </w:divBdr>
            </w:div>
            <w:div w:id="1224834818">
              <w:marLeft w:val="0"/>
              <w:marRight w:val="180"/>
              <w:marTop w:val="0"/>
              <w:marBottom w:val="0"/>
              <w:divBdr>
                <w:top w:val="none" w:sz="0" w:space="0" w:color="auto"/>
                <w:left w:val="none" w:sz="0" w:space="0" w:color="auto"/>
                <w:bottom w:val="none" w:sz="0" w:space="0" w:color="auto"/>
                <w:right w:val="none" w:sz="0" w:space="0" w:color="auto"/>
              </w:divBdr>
            </w:div>
            <w:div w:id="195293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88892">
      <w:bodyDiv w:val="1"/>
      <w:marLeft w:val="0"/>
      <w:marRight w:val="0"/>
      <w:marTop w:val="0"/>
      <w:marBottom w:val="0"/>
      <w:divBdr>
        <w:top w:val="none" w:sz="0" w:space="0" w:color="auto"/>
        <w:left w:val="none" w:sz="0" w:space="0" w:color="auto"/>
        <w:bottom w:val="none" w:sz="0" w:space="0" w:color="auto"/>
        <w:right w:val="none" w:sz="0" w:space="0" w:color="auto"/>
      </w:divBdr>
    </w:div>
    <w:div w:id="1949238188">
      <w:bodyDiv w:val="1"/>
      <w:marLeft w:val="0"/>
      <w:marRight w:val="0"/>
      <w:marTop w:val="0"/>
      <w:marBottom w:val="0"/>
      <w:divBdr>
        <w:top w:val="none" w:sz="0" w:space="0" w:color="auto"/>
        <w:left w:val="none" w:sz="0" w:space="0" w:color="auto"/>
        <w:bottom w:val="none" w:sz="0" w:space="0" w:color="auto"/>
        <w:right w:val="none" w:sz="0" w:space="0" w:color="auto"/>
      </w:divBdr>
    </w:div>
    <w:div w:id="2029020160">
      <w:bodyDiv w:val="1"/>
      <w:marLeft w:val="0"/>
      <w:marRight w:val="0"/>
      <w:marTop w:val="0"/>
      <w:marBottom w:val="0"/>
      <w:divBdr>
        <w:top w:val="none" w:sz="0" w:space="0" w:color="auto"/>
        <w:left w:val="none" w:sz="0" w:space="0" w:color="auto"/>
        <w:bottom w:val="none" w:sz="0" w:space="0" w:color="auto"/>
        <w:right w:val="none" w:sz="0" w:space="0" w:color="auto"/>
      </w:divBdr>
      <w:divsChild>
        <w:div w:id="1790316775">
          <w:marLeft w:val="0"/>
          <w:marRight w:val="0"/>
          <w:marTop w:val="0"/>
          <w:marBottom w:val="0"/>
          <w:divBdr>
            <w:top w:val="none" w:sz="0" w:space="0" w:color="auto"/>
            <w:left w:val="none" w:sz="0" w:space="0" w:color="auto"/>
            <w:bottom w:val="none" w:sz="0" w:space="0" w:color="auto"/>
            <w:right w:val="none" w:sz="0" w:space="0" w:color="auto"/>
          </w:divBdr>
          <w:divsChild>
            <w:div w:id="2116824717">
              <w:marLeft w:val="0"/>
              <w:marRight w:val="0"/>
              <w:marTop w:val="0"/>
              <w:marBottom w:val="0"/>
              <w:divBdr>
                <w:top w:val="none" w:sz="0" w:space="0" w:color="auto"/>
                <w:left w:val="none" w:sz="0" w:space="0" w:color="auto"/>
                <w:bottom w:val="none" w:sz="0" w:space="0" w:color="auto"/>
                <w:right w:val="none" w:sz="0" w:space="0" w:color="auto"/>
              </w:divBdr>
              <w:divsChild>
                <w:div w:id="1705251094">
                  <w:marLeft w:val="0"/>
                  <w:marRight w:val="0"/>
                  <w:marTop w:val="0"/>
                  <w:marBottom w:val="0"/>
                  <w:divBdr>
                    <w:top w:val="none" w:sz="0" w:space="0" w:color="auto"/>
                    <w:left w:val="none" w:sz="0" w:space="0" w:color="auto"/>
                    <w:bottom w:val="none" w:sz="0" w:space="0" w:color="auto"/>
                    <w:right w:val="none" w:sz="0" w:space="0" w:color="auto"/>
                  </w:divBdr>
                  <w:divsChild>
                    <w:div w:id="1722555230">
                      <w:marLeft w:val="0"/>
                      <w:marRight w:val="0"/>
                      <w:marTop w:val="0"/>
                      <w:marBottom w:val="0"/>
                      <w:divBdr>
                        <w:top w:val="none" w:sz="0" w:space="0" w:color="auto"/>
                        <w:left w:val="none" w:sz="0" w:space="0" w:color="auto"/>
                        <w:bottom w:val="none" w:sz="0" w:space="0" w:color="auto"/>
                        <w:right w:val="none" w:sz="0" w:space="0" w:color="auto"/>
                      </w:divBdr>
                      <w:divsChild>
                        <w:div w:id="1509711067">
                          <w:marLeft w:val="0"/>
                          <w:marRight w:val="0"/>
                          <w:marTop w:val="0"/>
                          <w:marBottom w:val="0"/>
                          <w:divBdr>
                            <w:top w:val="none" w:sz="0" w:space="0" w:color="auto"/>
                            <w:left w:val="none" w:sz="0" w:space="0" w:color="auto"/>
                            <w:bottom w:val="none" w:sz="0" w:space="0" w:color="auto"/>
                            <w:right w:val="none" w:sz="0" w:space="0" w:color="auto"/>
                          </w:divBdr>
                          <w:divsChild>
                            <w:div w:id="889001858">
                              <w:marLeft w:val="0"/>
                              <w:marRight w:val="0"/>
                              <w:marTop w:val="0"/>
                              <w:marBottom w:val="0"/>
                              <w:divBdr>
                                <w:top w:val="none" w:sz="0" w:space="0" w:color="auto"/>
                                <w:left w:val="none" w:sz="0" w:space="0" w:color="auto"/>
                                <w:bottom w:val="none" w:sz="0" w:space="0" w:color="auto"/>
                                <w:right w:val="none" w:sz="0" w:space="0" w:color="auto"/>
                              </w:divBdr>
                              <w:divsChild>
                                <w:div w:id="653333410">
                                  <w:marLeft w:val="0"/>
                                  <w:marRight w:val="0"/>
                                  <w:marTop w:val="0"/>
                                  <w:marBottom w:val="0"/>
                                  <w:divBdr>
                                    <w:top w:val="none" w:sz="0" w:space="0" w:color="auto"/>
                                    <w:left w:val="none" w:sz="0" w:space="0" w:color="auto"/>
                                    <w:bottom w:val="none" w:sz="0" w:space="0" w:color="auto"/>
                                    <w:right w:val="none" w:sz="0" w:space="0" w:color="auto"/>
                                  </w:divBdr>
                                  <w:divsChild>
                                    <w:div w:id="1891917288">
                                      <w:marLeft w:val="0"/>
                                      <w:marRight w:val="0"/>
                                      <w:marTop w:val="150"/>
                                      <w:marBottom w:val="150"/>
                                      <w:divBdr>
                                        <w:top w:val="none" w:sz="0" w:space="0" w:color="auto"/>
                                        <w:left w:val="none" w:sz="0" w:space="0" w:color="auto"/>
                                        <w:bottom w:val="none" w:sz="0" w:space="0" w:color="auto"/>
                                        <w:right w:val="none" w:sz="0" w:space="0" w:color="auto"/>
                                      </w:divBdr>
                                      <w:divsChild>
                                        <w:div w:id="1286234765">
                                          <w:marLeft w:val="0"/>
                                          <w:marRight w:val="0"/>
                                          <w:marTop w:val="0"/>
                                          <w:marBottom w:val="0"/>
                                          <w:divBdr>
                                            <w:top w:val="none" w:sz="0" w:space="0" w:color="auto"/>
                                            <w:left w:val="none" w:sz="0" w:space="0" w:color="auto"/>
                                            <w:bottom w:val="none" w:sz="0" w:space="0" w:color="auto"/>
                                            <w:right w:val="none" w:sz="0" w:space="0" w:color="auto"/>
                                          </w:divBdr>
                                          <w:divsChild>
                                            <w:div w:id="840001165">
                                              <w:marLeft w:val="0"/>
                                              <w:marRight w:val="0"/>
                                              <w:marTop w:val="300"/>
                                              <w:marBottom w:val="0"/>
                                              <w:divBdr>
                                                <w:top w:val="none" w:sz="0" w:space="0" w:color="auto"/>
                                                <w:left w:val="none" w:sz="0" w:space="0" w:color="auto"/>
                                                <w:bottom w:val="none" w:sz="0" w:space="0" w:color="auto"/>
                                                <w:right w:val="none" w:sz="0" w:space="0" w:color="auto"/>
                                              </w:divBdr>
                                              <w:divsChild>
                                                <w:div w:id="355889968">
                                                  <w:marLeft w:val="0"/>
                                                  <w:marRight w:val="0"/>
                                                  <w:marTop w:val="0"/>
                                                  <w:marBottom w:val="0"/>
                                                  <w:divBdr>
                                                    <w:top w:val="none" w:sz="0" w:space="0" w:color="auto"/>
                                                    <w:left w:val="none" w:sz="0" w:space="0" w:color="auto"/>
                                                    <w:bottom w:val="none" w:sz="0" w:space="0" w:color="auto"/>
                                                    <w:right w:val="none" w:sz="0" w:space="0" w:color="auto"/>
                                                  </w:divBdr>
                                                  <w:divsChild>
                                                    <w:div w:id="27009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5667889">
      <w:bodyDiv w:val="1"/>
      <w:marLeft w:val="0"/>
      <w:marRight w:val="0"/>
      <w:marTop w:val="0"/>
      <w:marBottom w:val="0"/>
      <w:divBdr>
        <w:top w:val="none" w:sz="0" w:space="0" w:color="auto"/>
        <w:left w:val="none" w:sz="0" w:space="0" w:color="auto"/>
        <w:bottom w:val="none" w:sz="0" w:space="0" w:color="auto"/>
        <w:right w:val="none" w:sz="0" w:space="0" w:color="auto"/>
      </w:divBdr>
      <w:divsChild>
        <w:div w:id="1598177778">
          <w:marLeft w:val="0"/>
          <w:marRight w:val="0"/>
          <w:marTop w:val="0"/>
          <w:marBottom w:val="0"/>
          <w:divBdr>
            <w:top w:val="single" w:sz="6" w:space="0" w:color="FFFFFF"/>
            <w:left w:val="single" w:sz="6" w:space="0" w:color="FFFFFF"/>
            <w:bottom w:val="single" w:sz="6" w:space="0" w:color="FFFFFF"/>
            <w:right w:val="single" w:sz="6" w:space="0" w:color="FFFFFF"/>
          </w:divBdr>
          <w:divsChild>
            <w:div w:id="204610164">
              <w:marLeft w:val="0"/>
              <w:marRight w:val="0"/>
              <w:marTop w:val="0"/>
              <w:marBottom w:val="0"/>
              <w:divBdr>
                <w:top w:val="single" w:sz="6" w:space="0" w:color="FFFFFF"/>
                <w:left w:val="single" w:sz="6" w:space="0" w:color="FFFFFF"/>
                <w:bottom w:val="single" w:sz="6" w:space="0" w:color="FFFFFF"/>
                <w:right w:val="single" w:sz="6" w:space="0" w:color="FFFFFF"/>
              </w:divBdr>
              <w:divsChild>
                <w:div w:id="284314433">
                  <w:marLeft w:val="0"/>
                  <w:marRight w:val="0"/>
                  <w:marTop w:val="0"/>
                  <w:marBottom w:val="0"/>
                  <w:divBdr>
                    <w:top w:val="none" w:sz="0" w:space="0" w:color="auto"/>
                    <w:left w:val="none" w:sz="0" w:space="0" w:color="auto"/>
                    <w:bottom w:val="none" w:sz="0" w:space="0" w:color="auto"/>
                    <w:right w:val="none" w:sz="0" w:space="0" w:color="auto"/>
                  </w:divBdr>
                  <w:divsChild>
                    <w:div w:id="871576997">
                      <w:marLeft w:val="0"/>
                      <w:marRight w:val="0"/>
                      <w:marTop w:val="0"/>
                      <w:marBottom w:val="0"/>
                      <w:divBdr>
                        <w:top w:val="none" w:sz="0" w:space="0" w:color="auto"/>
                        <w:left w:val="none" w:sz="0" w:space="0" w:color="auto"/>
                        <w:bottom w:val="none" w:sz="0" w:space="0" w:color="auto"/>
                        <w:right w:val="none" w:sz="0" w:space="0" w:color="auto"/>
                      </w:divBdr>
                      <w:divsChild>
                        <w:div w:id="980427343">
                          <w:marLeft w:val="0"/>
                          <w:marRight w:val="0"/>
                          <w:marTop w:val="0"/>
                          <w:marBottom w:val="0"/>
                          <w:divBdr>
                            <w:top w:val="none" w:sz="0" w:space="0" w:color="auto"/>
                            <w:left w:val="none" w:sz="0" w:space="0" w:color="auto"/>
                            <w:bottom w:val="none" w:sz="0" w:space="0" w:color="auto"/>
                            <w:right w:val="none" w:sz="0" w:space="0" w:color="auto"/>
                          </w:divBdr>
                          <w:divsChild>
                            <w:div w:id="962231897">
                              <w:marLeft w:val="0"/>
                              <w:marRight w:val="0"/>
                              <w:marTop w:val="0"/>
                              <w:marBottom w:val="0"/>
                              <w:divBdr>
                                <w:top w:val="none" w:sz="0" w:space="0" w:color="auto"/>
                                <w:left w:val="none" w:sz="0" w:space="0" w:color="auto"/>
                                <w:bottom w:val="none" w:sz="0" w:space="0" w:color="auto"/>
                                <w:right w:val="none" w:sz="0" w:space="0" w:color="auto"/>
                              </w:divBdr>
                              <w:divsChild>
                                <w:div w:id="1935628029">
                                  <w:marLeft w:val="0"/>
                                  <w:marRight w:val="0"/>
                                  <w:marTop w:val="0"/>
                                  <w:marBottom w:val="0"/>
                                  <w:divBdr>
                                    <w:top w:val="none" w:sz="0" w:space="0" w:color="auto"/>
                                    <w:left w:val="none" w:sz="0" w:space="0" w:color="auto"/>
                                    <w:bottom w:val="none" w:sz="0" w:space="0" w:color="auto"/>
                                    <w:right w:val="none" w:sz="0" w:space="0" w:color="auto"/>
                                  </w:divBdr>
                                  <w:divsChild>
                                    <w:div w:id="727915822">
                                      <w:marLeft w:val="0"/>
                                      <w:marRight w:val="0"/>
                                      <w:marTop w:val="0"/>
                                      <w:marBottom w:val="0"/>
                                      <w:divBdr>
                                        <w:top w:val="none" w:sz="0" w:space="0" w:color="auto"/>
                                        <w:left w:val="none" w:sz="0" w:space="0" w:color="auto"/>
                                        <w:bottom w:val="none" w:sz="0" w:space="0" w:color="auto"/>
                                        <w:right w:val="none" w:sz="0" w:space="0" w:color="auto"/>
                                      </w:divBdr>
                                      <w:divsChild>
                                        <w:div w:id="54382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267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UseLongFileName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26C9354-A18B-47AB-95CE-DC88582AE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33</Pages>
  <Words>8835</Words>
  <Characters>50364</Characters>
  <Application>Microsoft Office Word</Application>
  <DocSecurity>0</DocSecurity>
  <Lines>419</Lines>
  <Paragraphs>118</Paragraphs>
  <ScaleCrop>false</ScaleCrop>
  <HeadingPairs>
    <vt:vector size="6" baseType="variant">
      <vt:variant>
        <vt:lpstr>שם</vt:lpstr>
      </vt:variant>
      <vt:variant>
        <vt:i4>1</vt:i4>
      </vt:variant>
      <vt:variant>
        <vt:lpstr>Title</vt:lpstr>
      </vt:variant>
      <vt:variant>
        <vt:i4>1</vt:i4>
      </vt:variant>
      <vt:variant>
        <vt:lpstr>Headings</vt:lpstr>
      </vt:variant>
      <vt:variant>
        <vt:i4>9</vt:i4>
      </vt:variant>
    </vt:vector>
  </HeadingPairs>
  <TitlesOfParts>
    <vt:vector size="11" baseType="lpstr">
      <vt:lpstr>Religion, Liberalism and Empire in Britain: Antisemitism as Lynchpin</vt:lpstr>
      <vt:lpstr>Religion, Liberalism and Empire in Britain: Antisemitism as Lynchpin</vt:lpstr>
      <vt:lpstr>Introduction</vt:lpstr>
      <vt:lpstr>Protestantism and the Nation – One under Heaven?</vt:lpstr>
      <vt:lpstr>        Protestant Nation</vt:lpstr>
      <vt:lpstr>        Protestantism and/vs. Political Freedom</vt:lpstr>
      <vt:lpstr>Empire – Connections and Contradictions </vt:lpstr>
      <vt:lpstr>        Empire and Nation</vt:lpstr>
      <vt:lpstr>        Empire and Protestantism</vt:lpstr>
      <vt:lpstr>        Empire and Liberty</vt:lpstr>
      <vt:lpstr>Conclusion </vt:lpstr>
    </vt:vector>
  </TitlesOfParts>
  <Company> </Company>
  <LinksUpToDate>false</LinksUpToDate>
  <CharactersWithSpaces>59081</CharactersWithSpaces>
  <SharedDoc>false</SharedDoc>
  <HLinks>
    <vt:vector size="78" baseType="variant">
      <vt:variant>
        <vt:i4>1048632</vt:i4>
      </vt:variant>
      <vt:variant>
        <vt:i4>32</vt:i4>
      </vt:variant>
      <vt:variant>
        <vt:i4>0</vt:i4>
      </vt:variant>
      <vt:variant>
        <vt:i4>5</vt:i4>
      </vt:variant>
      <vt:variant>
        <vt:lpwstr/>
      </vt:variant>
      <vt:variant>
        <vt:lpwstr>_Toc285961977</vt:lpwstr>
      </vt:variant>
      <vt:variant>
        <vt:i4>1048632</vt:i4>
      </vt:variant>
      <vt:variant>
        <vt:i4>26</vt:i4>
      </vt:variant>
      <vt:variant>
        <vt:i4>0</vt:i4>
      </vt:variant>
      <vt:variant>
        <vt:i4>5</vt:i4>
      </vt:variant>
      <vt:variant>
        <vt:lpwstr/>
      </vt:variant>
      <vt:variant>
        <vt:lpwstr>_Toc285961976</vt:lpwstr>
      </vt:variant>
      <vt:variant>
        <vt:i4>1048632</vt:i4>
      </vt:variant>
      <vt:variant>
        <vt:i4>20</vt:i4>
      </vt:variant>
      <vt:variant>
        <vt:i4>0</vt:i4>
      </vt:variant>
      <vt:variant>
        <vt:i4>5</vt:i4>
      </vt:variant>
      <vt:variant>
        <vt:lpwstr/>
      </vt:variant>
      <vt:variant>
        <vt:lpwstr>_Toc285961975</vt:lpwstr>
      </vt:variant>
      <vt:variant>
        <vt:i4>1048632</vt:i4>
      </vt:variant>
      <vt:variant>
        <vt:i4>14</vt:i4>
      </vt:variant>
      <vt:variant>
        <vt:i4>0</vt:i4>
      </vt:variant>
      <vt:variant>
        <vt:i4>5</vt:i4>
      </vt:variant>
      <vt:variant>
        <vt:lpwstr/>
      </vt:variant>
      <vt:variant>
        <vt:lpwstr>_Toc285961974</vt:lpwstr>
      </vt:variant>
      <vt:variant>
        <vt:i4>1048632</vt:i4>
      </vt:variant>
      <vt:variant>
        <vt:i4>8</vt:i4>
      </vt:variant>
      <vt:variant>
        <vt:i4>0</vt:i4>
      </vt:variant>
      <vt:variant>
        <vt:i4>5</vt:i4>
      </vt:variant>
      <vt:variant>
        <vt:lpwstr/>
      </vt:variant>
      <vt:variant>
        <vt:lpwstr>_Toc285961973</vt:lpwstr>
      </vt:variant>
      <vt:variant>
        <vt:i4>1048632</vt:i4>
      </vt:variant>
      <vt:variant>
        <vt:i4>2</vt:i4>
      </vt:variant>
      <vt:variant>
        <vt:i4>0</vt:i4>
      </vt:variant>
      <vt:variant>
        <vt:i4>5</vt:i4>
      </vt:variant>
      <vt:variant>
        <vt:lpwstr/>
      </vt:variant>
      <vt:variant>
        <vt:lpwstr>_Toc285961972</vt:lpwstr>
      </vt:variant>
      <vt:variant>
        <vt:i4>3080245</vt:i4>
      </vt:variant>
      <vt:variant>
        <vt:i4>18</vt:i4>
      </vt:variant>
      <vt:variant>
        <vt:i4>0</vt:i4>
      </vt:variant>
      <vt:variant>
        <vt:i4>5</vt:i4>
      </vt:variant>
      <vt:variant>
        <vt:lpwstr>http://www.youtube.com/watch?v=x0qc2xOfykU&amp;NR=1</vt:lpwstr>
      </vt:variant>
      <vt:variant>
        <vt:lpwstr/>
      </vt:variant>
      <vt:variant>
        <vt:i4>6881383</vt:i4>
      </vt:variant>
      <vt:variant>
        <vt:i4>15</vt:i4>
      </vt:variant>
      <vt:variant>
        <vt:i4>0</vt:i4>
      </vt:variant>
      <vt:variant>
        <vt:i4>5</vt:i4>
      </vt:variant>
      <vt:variant>
        <vt:lpwstr>http://www.youtube.com/watch?v=lBVrPurrqCw&amp;NR=1</vt:lpwstr>
      </vt:variant>
      <vt:variant>
        <vt:lpwstr/>
      </vt:variant>
      <vt:variant>
        <vt:i4>262213</vt:i4>
      </vt:variant>
      <vt:variant>
        <vt:i4>12</vt:i4>
      </vt:variant>
      <vt:variant>
        <vt:i4>0</vt:i4>
      </vt:variant>
      <vt:variant>
        <vt:i4>5</vt:i4>
      </vt:variant>
      <vt:variant>
        <vt:lpwstr>http://www2.warwick.ac.uk/newsandevents/podcasts/media/?podcastItem=religion.mp3</vt:lpwstr>
      </vt:variant>
      <vt:variant>
        <vt:lpwstr/>
      </vt:variant>
      <vt:variant>
        <vt:i4>8323125</vt:i4>
      </vt:variant>
      <vt:variant>
        <vt:i4>9</vt:i4>
      </vt:variant>
      <vt:variant>
        <vt:i4>0</vt:i4>
      </vt:variant>
      <vt:variant>
        <vt:i4>5</vt:i4>
      </vt:variant>
      <vt:variant>
        <vt:lpwstr>http://www.dailymail.co.uk/news/article-1230923/Brown-push-law-reform-male-heirs-longer-priority-Royal-line-succession.html</vt:lpwstr>
      </vt:variant>
      <vt:variant>
        <vt:lpwstr>ixzz0ab9W5HLV</vt:lpwstr>
      </vt:variant>
      <vt:variant>
        <vt:i4>2228331</vt:i4>
      </vt:variant>
      <vt:variant>
        <vt:i4>6</vt:i4>
      </vt:variant>
      <vt:variant>
        <vt:i4>0</vt:i4>
      </vt:variant>
      <vt:variant>
        <vt:i4>5</vt:i4>
      </vt:variant>
      <vt:variant>
        <vt:lpwstr>http://www.royal.gov.uk/ThecurrentRoyalFamily/Successionandprecedence/Succession/Overview.aspx</vt:lpwstr>
      </vt:variant>
      <vt:variant>
        <vt:lpwstr/>
      </vt:variant>
      <vt:variant>
        <vt:i4>2228331</vt:i4>
      </vt:variant>
      <vt:variant>
        <vt:i4>3</vt:i4>
      </vt:variant>
      <vt:variant>
        <vt:i4>0</vt:i4>
      </vt:variant>
      <vt:variant>
        <vt:i4>5</vt:i4>
      </vt:variant>
      <vt:variant>
        <vt:lpwstr>http://www.royal.gov.uk/ThecurrentRoyalFamily/Successionandprecedence/Succession/Overview.aspx</vt:lpwstr>
      </vt:variant>
      <vt:variant>
        <vt:lpwstr/>
      </vt:variant>
      <vt:variant>
        <vt:i4>1769537</vt:i4>
      </vt:variant>
      <vt:variant>
        <vt:i4>0</vt:i4>
      </vt:variant>
      <vt:variant>
        <vt:i4>0</vt:i4>
      </vt:variant>
      <vt:variant>
        <vt:i4>5</vt:i4>
      </vt:variant>
      <vt:variant>
        <vt:lpwstr>http://www.quest-cdecjournal.it/focus.php?id=298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Religion, Liberalism and Empire in Britain: Antisemitism as Lynchpin</dc:title>
  <dc:subject/>
  <dc:creator>הילדה נסימי</dc:creator>
  <cp:keywords/>
  <dc:description/>
  <cp:lastModifiedBy>Hilda Nissimi</cp:lastModifiedBy>
  <cp:revision>10</cp:revision>
  <cp:lastPrinted>2017-01-05T03:38:00Z</cp:lastPrinted>
  <dcterms:created xsi:type="dcterms:W3CDTF">2020-06-04T16:20:00Z</dcterms:created>
  <dcterms:modified xsi:type="dcterms:W3CDTF">2021-11-29T15:17:00Z</dcterms:modified>
</cp:coreProperties>
</file>