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5CB3F" w14:textId="67A7DDBD" w:rsidR="00972B5F" w:rsidRPr="00D2352B" w:rsidRDefault="00B3154A" w:rsidP="004B5E15">
      <w:pPr>
        <w:spacing w:before="120" w:after="120" w:line="360" w:lineRule="auto"/>
        <w:ind w:firstLine="284"/>
        <w:jc w:val="center"/>
        <w:rPr>
          <w:rFonts w:ascii="Garamond" w:hAnsi="Garamond" w:cstheme="majorBidi"/>
          <w:sz w:val="28"/>
          <w:szCs w:val="28"/>
          <w:lang w:bidi="ar-DZ"/>
        </w:rPr>
      </w:pPr>
      <w:bookmarkStart w:id="0" w:name="_GoBack"/>
      <w:bookmarkEnd w:id="0"/>
      <w:commentRangeStart w:id="1"/>
      <w:r w:rsidRPr="00D2352B">
        <w:rPr>
          <w:rFonts w:ascii="Garamond" w:hAnsi="Garamond" w:cstheme="majorBidi"/>
          <w:sz w:val="28"/>
          <w:szCs w:val="28"/>
          <w:lang w:bidi="ar-DZ"/>
        </w:rPr>
        <w:t>PhD</w:t>
      </w:r>
      <w:r w:rsidR="00972B5F" w:rsidRPr="00D2352B">
        <w:rPr>
          <w:rFonts w:ascii="Garamond" w:hAnsi="Garamond" w:cstheme="majorBidi"/>
          <w:sz w:val="28"/>
          <w:szCs w:val="28"/>
          <w:lang w:bidi="ar-DZ"/>
        </w:rPr>
        <w:t xml:space="preserve"> Research Proposal</w:t>
      </w:r>
      <w:commentRangeEnd w:id="1"/>
      <w:r w:rsidRPr="00D2352B">
        <w:rPr>
          <w:rStyle w:val="CommentReference"/>
          <w:rFonts w:ascii="Garamond" w:eastAsiaTheme="minorHAnsi" w:hAnsi="Garamond" w:cstheme="minorBidi"/>
          <w:sz w:val="28"/>
          <w:szCs w:val="28"/>
        </w:rPr>
        <w:commentReference w:id="1"/>
      </w:r>
    </w:p>
    <w:p w14:paraId="1E359778" w14:textId="02D2A194" w:rsidR="00D273E7" w:rsidRPr="004B5E15" w:rsidRDefault="00972B5F" w:rsidP="004B5E15">
      <w:pPr>
        <w:spacing w:before="120" w:after="120" w:line="360" w:lineRule="auto"/>
        <w:ind w:firstLine="284"/>
        <w:jc w:val="center"/>
        <w:rPr>
          <w:rFonts w:ascii="Garamond" w:hAnsi="Garamond" w:cstheme="majorBidi"/>
          <w:sz w:val="28"/>
          <w:szCs w:val="28"/>
          <w:lang w:bidi="ar-DZ"/>
        </w:rPr>
      </w:pPr>
      <w:r w:rsidRPr="00D2352B">
        <w:rPr>
          <w:rFonts w:ascii="Garamond" w:hAnsi="Garamond" w:cstheme="majorBidi"/>
          <w:sz w:val="28"/>
          <w:szCs w:val="28"/>
          <w:lang w:bidi="ar-DZ"/>
        </w:rPr>
        <w:t>Department of Social Anthropology, University of Cambridge</w:t>
      </w:r>
    </w:p>
    <w:p w14:paraId="53581AFD" w14:textId="52A422FA" w:rsidR="00AC46DE" w:rsidRDefault="00AC46DE" w:rsidP="00A470DB">
      <w:pPr>
        <w:spacing w:before="120" w:after="120" w:line="276" w:lineRule="auto"/>
        <w:ind w:firstLine="284"/>
        <w:jc w:val="center"/>
        <w:rPr>
          <w:rFonts w:ascii="Garamond" w:hAnsi="Garamond" w:cstheme="majorBidi"/>
          <w:b/>
          <w:bCs/>
          <w:sz w:val="28"/>
          <w:szCs w:val="28"/>
          <w:lang w:bidi="ar-DZ"/>
        </w:rPr>
      </w:pPr>
      <w:r>
        <w:rPr>
          <w:rFonts w:ascii="Garamond" w:hAnsi="Garamond" w:cstheme="majorBidi"/>
          <w:b/>
          <w:bCs/>
          <w:sz w:val="28"/>
          <w:szCs w:val="28"/>
          <w:lang w:bidi="ar-DZ"/>
        </w:rPr>
        <w:t>The weight of combat boots in Umm-Al Fahm, Jaffa and Nazareth:</w:t>
      </w:r>
      <w:r w:rsidRPr="00D2352B">
        <w:rPr>
          <w:rFonts w:ascii="Garamond" w:hAnsi="Garamond" w:cstheme="majorBidi"/>
          <w:b/>
          <w:bCs/>
          <w:sz w:val="28"/>
          <w:szCs w:val="28"/>
          <w:lang w:bidi="ar-DZ"/>
        </w:rPr>
        <w:t xml:space="preserve"> </w:t>
      </w:r>
      <w:r>
        <w:rPr>
          <w:rFonts w:ascii="Garamond" w:hAnsi="Garamond" w:cstheme="majorBidi"/>
          <w:b/>
          <w:bCs/>
          <w:sz w:val="28"/>
          <w:szCs w:val="28"/>
          <w:lang w:bidi="ar-DZ"/>
        </w:rPr>
        <w:t>An ethnography of Policed life in Occupied Palestine</w:t>
      </w:r>
    </w:p>
    <w:p w14:paraId="5B3C6F09" w14:textId="77777777" w:rsidR="00972B5F" w:rsidRPr="00D2352B" w:rsidRDefault="00972B5F" w:rsidP="004B5E15">
      <w:pPr>
        <w:spacing w:before="120" w:after="120" w:line="360" w:lineRule="auto"/>
        <w:ind w:firstLine="284"/>
        <w:jc w:val="center"/>
        <w:rPr>
          <w:rFonts w:ascii="Garamond" w:hAnsi="Garamond" w:cstheme="majorBidi"/>
          <w:sz w:val="28"/>
          <w:szCs w:val="28"/>
          <w:rtl/>
          <w:lang w:bidi="he-IL"/>
        </w:rPr>
      </w:pPr>
      <w:r w:rsidRPr="00D2352B">
        <w:rPr>
          <w:rFonts w:ascii="Garamond" w:hAnsi="Garamond" w:cstheme="majorBidi"/>
          <w:sz w:val="28"/>
          <w:szCs w:val="28"/>
          <w:lang w:bidi="ar-DZ"/>
        </w:rPr>
        <w:t>Alaa Hajyahia</w:t>
      </w:r>
    </w:p>
    <w:p w14:paraId="387C910D" w14:textId="77777777" w:rsidR="00972B5F" w:rsidRPr="00D2352B" w:rsidRDefault="00972B5F" w:rsidP="004B5E15">
      <w:pPr>
        <w:spacing w:before="120" w:after="120" w:line="360" w:lineRule="auto"/>
        <w:jc w:val="both"/>
        <w:rPr>
          <w:rFonts w:ascii="Garamond" w:hAnsi="Garamond" w:cstheme="majorBidi"/>
          <w:b/>
          <w:bCs/>
          <w:sz w:val="28"/>
          <w:szCs w:val="28"/>
          <w:lang w:bidi="ar-DZ"/>
        </w:rPr>
      </w:pPr>
      <w:r w:rsidRPr="00D2352B">
        <w:rPr>
          <w:rFonts w:ascii="Garamond" w:hAnsi="Garamond" w:cstheme="majorBidi"/>
          <w:b/>
          <w:bCs/>
          <w:sz w:val="28"/>
          <w:szCs w:val="28"/>
          <w:lang w:bidi="ar-DZ"/>
        </w:rPr>
        <w:t>Abstract</w:t>
      </w:r>
    </w:p>
    <w:p w14:paraId="4DF9E734" w14:textId="5DE45D30" w:rsidR="00487E8F" w:rsidRDefault="00A470DB" w:rsidP="00487E8F">
      <w:pPr>
        <w:spacing w:before="120" w:after="120" w:line="360" w:lineRule="auto"/>
        <w:jc w:val="both"/>
        <w:rPr>
          <w:rFonts w:ascii="Garamond" w:hAnsi="Garamond" w:cstheme="majorBidi"/>
          <w:lang w:bidi="ar-DZ"/>
        </w:rPr>
      </w:pPr>
      <w:r>
        <w:rPr>
          <w:rFonts w:ascii="Garamond" w:hAnsi="Garamond" w:cstheme="majorBidi" w:hint="cs"/>
          <w:lang w:bidi="ar-DZ"/>
        </w:rPr>
        <w:t>T</w:t>
      </w:r>
      <w:r>
        <w:rPr>
          <w:rFonts w:ascii="Garamond" w:hAnsi="Garamond" w:cstheme="majorBidi"/>
          <w:lang w:bidi="ar-DZ"/>
        </w:rPr>
        <w:t xml:space="preserve">his project aims to deeply understand the </w:t>
      </w:r>
      <w:r w:rsidR="00234075" w:rsidRPr="00D2352B">
        <w:rPr>
          <w:rFonts w:ascii="Garamond" w:hAnsi="Garamond" w:cstheme="majorBidi"/>
          <w:lang w:bidi="ar-DZ"/>
        </w:rPr>
        <w:t xml:space="preserve">relationship(s) between </w:t>
      </w:r>
      <w:r w:rsidR="009A307F" w:rsidRPr="00D2352B">
        <w:rPr>
          <w:rFonts w:ascii="Garamond" w:hAnsi="Garamond" w:cstheme="majorBidi"/>
          <w:lang w:bidi="ar-DZ"/>
        </w:rPr>
        <w:t xml:space="preserve">the state and </w:t>
      </w:r>
      <w:r w:rsidR="00234075" w:rsidRPr="00D2352B">
        <w:rPr>
          <w:rFonts w:ascii="Garamond" w:hAnsi="Garamond" w:cstheme="majorBidi"/>
          <w:lang w:bidi="ar-DZ"/>
        </w:rPr>
        <w:t>legal authorities, such as police, and</w:t>
      </w:r>
      <w:r w:rsidR="00D2352B">
        <w:rPr>
          <w:rFonts w:ascii="Garamond" w:hAnsi="Garamond" w:cstheme="majorBidi"/>
          <w:lang w:bidi="ar-DZ"/>
        </w:rPr>
        <w:t xml:space="preserve"> </w:t>
      </w:r>
      <w:r w:rsidR="005578A1">
        <w:rPr>
          <w:rFonts w:ascii="Garamond" w:hAnsi="Garamond" w:cstheme="majorBidi"/>
          <w:lang w:bidi="ar-DZ"/>
        </w:rPr>
        <w:t>indigenous people</w:t>
      </w:r>
      <w:r w:rsidR="00234075" w:rsidRPr="00D2352B">
        <w:rPr>
          <w:rFonts w:ascii="Garamond" w:hAnsi="Garamond" w:cstheme="majorBidi"/>
          <w:lang w:bidi="ar-DZ"/>
        </w:rPr>
        <w:t xml:space="preserve">. </w:t>
      </w:r>
      <w:r>
        <w:rPr>
          <w:rFonts w:ascii="Garamond" w:hAnsi="Garamond" w:cstheme="majorBidi"/>
          <w:lang w:bidi="ar-DZ"/>
        </w:rPr>
        <w:t xml:space="preserve">Focusing on Palestinians citizens of Israel, this project aims to, </w:t>
      </w:r>
      <w:r w:rsidR="00234075" w:rsidRPr="00D2352B">
        <w:rPr>
          <w:rFonts w:ascii="Garamond" w:hAnsi="Garamond" w:cstheme="majorBidi"/>
          <w:lang w:bidi="ar-DZ"/>
        </w:rPr>
        <w:t>ethnographically</w:t>
      </w:r>
      <w:r>
        <w:rPr>
          <w:rFonts w:ascii="Garamond" w:hAnsi="Garamond" w:cstheme="majorBidi"/>
          <w:lang w:bidi="ar-DZ"/>
        </w:rPr>
        <w:t>,</w:t>
      </w:r>
      <w:r w:rsidR="00234075" w:rsidRPr="00D2352B">
        <w:rPr>
          <w:rFonts w:ascii="Garamond" w:hAnsi="Garamond" w:cstheme="majorBidi"/>
          <w:lang w:bidi="ar-DZ"/>
        </w:rPr>
        <w:t xml:space="preserve"> uncover </w:t>
      </w:r>
      <w:r w:rsidR="00D2352B">
        <w:rPr>
          <w:rFonts w:ascii="Garamond" w:hAnsi="Garamond" w:cstheme="majorBidi"/>
          <w:lang w:bidi="ar-DZ"/>
        </w:rPr>
        <w:t xml:space="preserve">the </w:t>
      </w:r>
      <w:r w:rsidR="00234075" w:rsidRPr="00D2352B">
        <w:rPr>
          <w:rFonts w:ascii="Garamond" w:hAnsi="Garamond" w:cstheme="majorBidi"/>
          <w:lang w:bidi="ar-DZ"/>
        </w:rPr>
        <w:t xml:space="preserve">complex relationship(s) between the Palestinian Community and the Israeli police. In doing so, </w:t>
      </w:r>
      <w:r>
        <w:rPr>
          <w:rFonts w:ascii="Garamond" w:hAnsi="Garamond" w:cstheme="majorBidi"/>
          <w:lang w:bidi="ar-DZ"/>
        </w:rPr>
        <w:t xml:space="preserve">this project will </w:t>
      </w:r>
      <w:r w:rsidR="00234075" w:rsidRPr="00D2352B">
        <w:rPr>
          <w:rFonts w:ascii="Garamond" w:hAnsi="Garamond" w:cstheme="majorBidi"/>
          <w:lang w:bidi="ar-DZ"/>
        </w:rPr>
        <w:t>contribute valuable insights to the literature,</w:t>
      </w:r>
      <w:r w:rsidR="00487E8F">
        <w:rPr>
          <w:rFonts w:ascii="Garamond" w:hAnsi="Garamond" w:cstheme="majorBidi"/>
          <w:lang w:bidi="ar-DZ"/>
        </w:rPr>
        <w:t xml:space="preserve"> adding to the body of knowledge on the subject,</w:t>
      </w:r>
      <w:r w:rsidR="00234075" w:rsidRPr="00D2352B">
        <w:rPr>
          <w:rFonts w:ascii="Garamond" w:hAnsi="Garamond" w:cstheme="majorBidi"/>
          <w:lang w:bidi="ar-DZ"/>
        </w:rPr>
        <w:t xml:space="preserve"> nourishin</w:t>
      </w:r>
      <w:r w:rsidR="005578A1">
        <w:rPr>
          <w:rFonts w:ascii="Garamond" w:hAnsi="Garamond" w:cstheme="majorBidi"/>
          <w:lang w:bidi="ar-DZ"/>
        </w:rPr>
        <w:t xml:space="preserve">g a scholarly curiosity in the Palestinian </w:t>
      </w:r>
      <w:r w:rsidR="00234075" w:rsidRPr="00D2352B">
        <w:rPr>
          <w:rFonts w:ascii="Garamond" w:hAnsi="Garamond" w:cstheme="majorBidi"/>
          <w:lang w:bidi="ar-DZ"/>
        </w:rPr>
        <w:t xml:space="preserve">community, as well as in the unique position it occupies, marking the first ethnographic foray into </w:t>
      </w:r>
      <w:r w:rsidR="005578A1">
        <w:rPr>
          <w:rFonts w:ascii="Garamond" w:hAnsi="Garamond" w:cstheme="majorBidi"/>
          <w:lang w:bidi="ar-DZ"/>
        </w:rPr>
        <w:t>spheres of violence, loss, pain,</w:t>
      </w:r>
      <w:r w:rsidR="00890DB6">
        <w:rPr>
          <w:rFonts w:ascii="Garamond" w:hAnsi="Garamond" w:cstheme="majorBidi"/>
          <w:lang w:bidi="ar-DZ"/>
        </w:rPr>
        <w:t xml:space="preserve"> </w:t>
      </w:r>
      <w:r w:rsidR="005578A1">
        <w:rPr>
          <w:rFonts w:ascii="Garamond" w:hAnsi="Garamond" w:cstheme="majorBidi"/>
          <w:lang w:bidi="ar-DZ"/>
        </w:rPr>
        <w:t>fears</w:t>
      </w:r>
      <w:r w:rsidR="00890DB6">
        <w:rPr>
          <w:rFonts w:ascii="Garamond" w:hAnsi="Garamond" w:cstheme="majorBidi"/>
          <w:lang w:bidi="ar-DZ"/>
        </w:rPr>
        <w:t>, and policed life</w:t>
      </w:r>
      <w:r w:rsidR="005578A1">
        <w:rPr>
          <w:rFonts w:ascii="Garamond" w:hAnsi="Garamond" w:cstheme="majorBidi"/>
          <w:lang w:bidi="ar-DZ"/>
        </w:rPr>
        <w:t xml:space="preserve"> in occupied Palestine. </w:t>
      </w:r>
    </w:p>
    <w:p w14:paraId="112DE36F" w14:textId="77777777" w:rsidR="00EE1697" w:rsidRPr="00D2352B" w:rsidRDefault="005C385F" w:rsidP="004B5E15">
      <w:pPr>
        <w:spacing w:before="120" w:after="120" w:line="360" w:lineRule="auto"/>
        <w:jc w:val="both"/>
        <w:rPr>
          <w:rFonts w:ascii="Garamond" w:hAnsi="Garamond" w:cstheme="majorBidi"/>
          <w:b/>
          <w:bCs/>
          <w:sz w:val="28"/>
          <w:szCs w:val="28"/>
          <w:lang w:bidi="ar-DZ"/>
        </w:rPr>
      </w:pPr>
      <w:r w:rsidRPr="00D2352B">
        <w:rPr>
          <w:rFonts w:ascii="Garamond" w:hAnsi="Garamond" w:cstheme="majorBidi"/>
          <w:b/>
          <w:bCs/>
          <w:sz w:val="28"/>
          <w:szCs w:val="28"/>
          <w:lang w:bidi="ar-DZ"/>
        </w:rPr>
        <w:t xml:space="preserve">1. </w:t>
      </w:r>
      <w:r w:rsidR="00F72940" w:rsidRPr="00D2352B">
        <w:rPr>
          <w:rFonts w:ascii="Garamond" w:hAnsi="Garamond" w:cstheme="majorBidi"/>
          <w:b/>
          <w:bCs/>
          <w:sz w:val="28"/>
          <w:szCs w:val="28"/>
          <w:lang w:bidi="ar-DZ"/>
        </w:rPr>
        <w:t>Introduction</w:t>
      </w:r>
    </w:p>
    <w:p w14:paraId="31D91CBA" w14:textId="03BC88DF" w:rsidR="005578A1" w:rsidRPr="006178CB" w:rsidRDefault="004B5E69" w:rsidP="004C3677">
      <w:pPr>
        <w:pStyle w:val="NormalWeb"/>
        <w:shd w:val="clear" w:color="auto" w:fill="FFFFFF"/>
        <w:spacing w:before="120" w:beforeAutospacing="0" w:after="120" w:afterAutospacing="0" w:line="360" w:lineRule="auto"/>
        <w:jc w:val="both"/>
        <w:rPr>
          <w:rFonts w:ascii="Garamond" w:hAnsi="Garamond" w:cstheme="majorBidi"/>
          <w:color w:val="000000"/>
          <w:lang w:bidi="ar-DZ"/>
        </w:rPr>
      </w:pPr>
      <w:r>
        <w:rPr>
          <w:rFonts w:ascii="Garamond" w:hAnsi="Garamond" w:cstheme="majorBidi"/>
          <w:color w:val="000000"/>
          <w:lang w:bidi="ar-DZ"/>
        </w:rPr>
        <w:t>In recent years, policing has become an increasing area of public deb</w:t>
      </w:r>
      <w:r w:rsidR="00890DB6">
        <w:rPr>
          <w:rFonts w:ascii="Garamond" w:hAnsi="Garamond" w:cstheme="majorBidi"/>
          <w:color w:val="000000"/>
          <w:lang w:bidi="ar-DZ"/>
        </w:rPr>
        <w:t>ate and critiques. Black lives M</w:t>
      </w:r>
      <w:r>
        <w:rPr>
          <w:rFonts w:ascii="Garamond" w:hAnsi="Garamond" w:cstheme="majorBidi"/>
          <w:color w:val="000000"/>
          <w:lang w:bidi="ar-DZ"/>
        </w:rPr>
        <w:t>atter in the United St</w:t>
      </w:r>
      <w:r w:rsidR="00890DB6">
        <w:rPr>
          <w:rFonts w:ascii="Garamond" w:hAnsi="Garamond" w:cstheme="majorBidi"/>
          <w:color w:val="000000"/>
          <w:lang w:bidi="ar-DZ"/>
        </w:rPr>
        <w:t>ates, European Anti Covid-19 Restrictions Riot, and T</w:t>
      </w:r>
      <w:r>
        <w:rPr>
          <w:rFonts w:ascii="Garamond" w:hAnsi="Garamond" w:cstheme="majorBidi"/>
          <w:color w:val="000000"/>
          <w:lang w:bidi="ar-DZ"/>
        </w:rPr>
        <w:t>he Hong Kong Democracy Demonstrations,</w:t>
      </w:r>
      <w:r w:rsidR="00090DCC">
        <w:rPr>
          <w:rFonts w:ascii="Garamond" w:hAnsi="Garamond" w:cstheme="majorBidi"/>
          <w:color w:val="000000"/>
          <w:lang w:bidi="ar-DZ"/>
        </w:rPr>
        <w:t xml:space="preserve"> have been generating a lot of discussion about the role of police</w:t>
      </w:r>
      <w:r w:rsidR="00890DB6">
        <w:rPr>
          <w:rFonts w:ascii="Garamond" w:hAnsi="Garamond" w:cstheme="majorBidi"/>
          <w:color w:val="000000"/>
          <w:lang w:bidi="ar-DZ"/>
        </w:rPr>
        <w:t xml:space="preserve"> in society</w:t>
      </w:r>
      <w:r w:rsidR="00090DCC">
        <w:rPr>
          <w:rFonts w:ascii="Garamond" w:hAnsi="Garamond" w:cstheme="majorBidi"/>
          <w:color w:val="000000"/>
          <w:lang w:bidi="ar-DZ"/>
        </w:rPr>
        <w:t xml:space="preserve">, raising a concern regarding both Police’s direct and indirect violence, and regarding excessive </w:t>
      </w:r>
      <w:r w:rsidR="00090DCC" w:rsidRPr="006178CB">
        <w:rPr>
          <w:rFonts w:ascii="Garamond" w:hAnsi="Garamond" w:cstheme="majorBidi"/>
          <w:color w:val="000000"/>
        </w:rPr>
        <w:t xml:space="preserve">law and order enforcement practices, </w:t>
      </w:r>
      <w:r w:rsidR="004C3677">
        <w:rPr>
          <w:rFonts w:ascii="Garamond" w:hAnsi="Garamond" w:cstheme="majorBidi"/>
          <w:color w:val="000000"/>
        </w:rPr>
        <w:t xml:space="preserve">especially used </w:t>
      </w:r>
      <w:r w:rsidR="00090DCC" w:rsidRPr="006178CB">
        <w:rPr>
          <w:rFonts w:ascii="Garamond" w:hAnsi="Garamond" w:cstheme="majorBidi"/>
          <w:color w:val="000000"/>
        </w:rPr>
        <w:t>toward</w:t>
      </w:r>
      <w:r w:rsidR="004C3677">
        <w:rPr>
          <w:rFonts w:ascii="Garamond" w:hAnsi="Garamond" w:cstheme="majorBidi"/>
          <w:color w:val="000000"/>
        </w:rPr>
        <w:t>s</w:t>
      </w:r>
      <w:r w:rsidR="00090DCC" w:rsidRPr="006178CB">
        <w:rPr>
          <w:rFonts w:ascii="Garamond" w:hAnsi="Garamond" w:cstheme="majorBidi"/>
          <w:color w:val="000000"/>
        </w:rPr>
        <w:t xml:space="preserve"> marginalized minorities.</w:t>
      </w:r>
      <w:r w:rsidR="00090DCC" w:rsidRPr="006178CB">
        <w:rPr>
          <w:rStyle w:val="FootnoteReference"/>
          <w:rFonts w:ascii="Garamond" w:hAnsi="Garamond" w:cstheme="majorBidi"/>
          <w:color w:val="000000"/>
        </w:rPr>
        <w:footnoteReference w:id="1"/>
      </w:r>
      <w:r w:rsidR="00090DCC">
        <w:rPr>
          <w:rFonts w:ascii="Garamond" w:hAnsi="Garamond" w:cstheme="majorBidi"/>
          <w:color w:val="000000"/>
        </w:rPr>
        <w:t xml:space="preserve"> These discussions, however, </w:t>
      </w:r>
      <w:r w:rsidR="00090DCC">
        <w:rPr>
          <w:rFonts w:ascii="Garamond" w:hAnsi="Garamond" w:cstheme="majorBidi"/>
          <w:color w:val="000000"/>
          <w:lang w:bidi="ar-DZ"/>
        </w:rPr>
        <w:t>have expanded greatly, and influences</w:t>
      </w:r>
      <w:r w:rsidR="004C3677">
        <w:rPr>
          <w:rFonts w:ascii="Garamond" w:hAnsi="Garamond" w:cstheme="majorBidi"/>
          <w:color w:val="000000"/>
          <w:lang w:bidi="ar-DZ"/>
        </w:rPr>
        <w:t xml:space="preserve"> the discourse in</w:t>
      </w:r>
      <w:r w:rsidR="00090DCC">
        <w:rPr>
          <w:rFonts w:ascii="Garamond" w:hAnsi="Garamond" w:cstheme="majorBidi"/>
          <w:color w:val="000000"/>
          <w:lang w:bidi="ar-DZ"/>
        </w:rPr>
        <w:t xml:space="preserve"> many places around the world. </w:t>
      </w:r>
      <w:r w:rsidR="002A292A" w:rsidRPr="006178CB">
        <w:rPr>
          <w:rFonts w:ascii="Garamond" w:hAnsi="Garamond" w:cstheme="majorBidi"/>
          <w:color w:val="000000"/>
        </w:rPr>
        <w:t>The s</w:t>
      </w:r>
      <w:r w:rsidR="006868DA">
        <w:rPr>
          <w:rFonts w:ascii="Garamond" w:hAnsi="Garamond" w:cstheme="majorBidi"/>
          <w:color w:val="000000"/>
        </w:rPr>
        <w:t xml:space="preserve">ame in </w:t>
      </w:r>
      <w:r w:rsidR="00090DCC">
        <w:rPr>
          <w:rFonts w:ascii="Garamond" w:hAnsi="Garamond" w:cstheme="majorBidi"/>
          <w:color w:val="000000"/>
        </w:rPr>
        <w:t>the Palestinian community in Israel</w:t>
      </w:r>
      <w:r w:rsidR="006868DA">
        <w:rPr>
          <w:rFonts w:ascii="Garamond" w:hAnsi="Garamond" w:cstheme="majorBidi"/>
          <w:color w:val="000000"/>
        </w:rPr>
        <w:t>, where the answers that follow a discussion about the</w:t>
      </w:r>
      <w:r w:rsidR="004C3677">
        <w:rPr>
          <w:rFonts w:ascii="Garamond" w:hAnsi="Garamond" w:cstheme="majorBidi"/>
          <w:color w:val="000000"/>
        </w:rPr>
        <w:t xml:space="preserve"> role of</w:t>
      </w:r>
      <w:r w:rsidR="006868DA">
        <w:rPr>
          <w:rFonts w:ascii="Garamond" w:hAnsi="Garamond" w:cstheme="majorBidi"/>
          <w:color w:val="000000"/>
        </w:rPr>
        <w:t xml:space="preserve"> Police</w:t>
      </w:r>
      <w:r w:rsidR="002A292A" w:rsidRPr="006178CB">
        <w:rPr>
          <w:rFonts w:ascii="Garamond" w:hAnsi="Garamond" w:cstheme="majorBidi"/>
          <w:color w:val="000000"/>
        </w:rPr>
        <w:t xml:space="preserve">, </w:t>
      </w:r>
      <w:r w:rsidR="004C3677">
        <w:rPr>
          <w:rFonts w:ascii="Garamond" w:hAnsi="Garamond" w:cstheme="majorBidi"/>
          <w:color w:val="000000"/>
        </w:rPr>
        <w:t xml:space="preserve">the way it conceived, or should be conceived, </w:t>
      </w:r>
      <w:r w:rsidR="002A292A" w:rsidRPr="006178CB">
        <w:rPr>
          <w:rFonts w:ascii="Garamond" w:hAnsi="Garamond" w:cstheme="majorBidi"/>
          <w:color w:val="000000"/>
        </w:rPr>
        <w:t>are very much controversial.</w:t>
      </w:r>
    </w:p>
    <w:p w14:paraId="381F884C" w14:textId="3278A61C" w:rsidR="002A292A" w:rsidRDefault="00A9441D" w:rsidP="00A905FA">
      <w:pPr>
        <w:pStyle w:val="NormalWeb"/>
        <w:shd w:val="clear" w:color="auto" w:fill="FFFFFF"/>
        <w:spacing w:before="120" w:beforeAutospacing="0" w:after="120" w:afterAutospacing="0" w:line="360" w:lineRule="auto"/>
        <w:ind w:firstLine="284"/>
        <w:jc w:val="both"/>
        <w:rPr>
          <w:rFonts w:ascii="Garamond" w:hAnsi="Garamond" w:cstheme="majorBidi"/>
          <w:color w:val="000000"/>
          <w:lang w:bidi="he-IL"/>
        </w:rPr>
      </w:pPr>
      <w:commentRangeStart w:id="2"/>
      <w:r>
        <w:rPr>
          <w:rFonts w:ascii="Garamond" w:hAnsi="Garamond" w:cstheme="majorBidi"/>
          <w:color w:val="000000"/>
        </w:rPr>
        <w:t>L</w:t>
      </w:r>
      <w:r w:rsidR="00A21E5D" w:rsidRPr="006178CB">
        <w:rPr>
          <w:rFonts w:ascii="Garamond" w:hAnsi="Garamond" w:cstheme="majorBidi"/>
          <w:color w:val="000000"/>
        </w:rPr>
        <w:t>ooking at the front page of</w:t>
      </w:r>
      <w:r w:rsidR="00AC46DE">
        <w:rPr>
          <w:rFonts w:ascii="Garamond" w:hAnsi="Garamond" w:cstheme="majorBidi"/>
          <w:color w:val="000000"/>
        </w:rPr>
        <w:t xml:space="preserve"> </w:t>
      </w:r>
      <w:r w:rsidR="00AC46DE" w:rsidRPr="006178CB">
        <w:rPr>
          <w:rFonts w:ascii="Garamond" w:hAnsi="Garamond" w:cstheme="majorBidi"/>
          <w:color w:val="000000"/>
        </w:rPr>
        <w:t>Israeli newspaper</w:t>
      </w:r>
      <w:r w:rsidR="008C4182" w:rsidRPr="006178CB">
        <w:rPr>
          <w:rFonts w:ascii="Garamond" w:hAnsi="Garamond" w:cstheme="majorBidi"/>
          <w:color w:val="000000"/>
        </w:rPr>
        <w:t xml:space="preserve"> </w:t>
      </w:r>
      <w:r w:rsidR="008C4182" w:rsidRPr="00A9441D">
        <w:rPr>
          <w:rFonts w:ascii="Garamond" w:hAnsi="Garamond" w:cstheme="majorBidi"/>
          <w:i/>
          <w:iCs/>
          <w:color w:val="000000"/>
          <w:lang w:bidi="ar-DZ"/>
        </w:rPr>
        <w:t>H</w:t>
      </w:r>
      <w:r>
        <w:rPr>
          <w:rFonts w:ascii="Garamond" w:hAnsi="Garamond" w:cstheme="majorBidi"/>
          <w:i/>
          <w:iCs/>
          <w:color w:val="000000"/>
          <w:lang w:bidi="ar-DZ"/>
        </w:rPr>
        <w:t>aaretz</w:t>
      </w:r>
      <w:r w:rsidR="00AC46DE">
        <w:rPr>
          <w:rFonts w:ascii="Garamond" w:hAnsi="Garamond" w:cstheme="majorBidi"/>
          <w:color w:val="000000"/>
        </w:rPr>
        <w:t>:</w:t>
      </w:r>
      <w:r w:rsidR="006868DA">
        <w:rPr>
          <w:rFonts w:ascii="Garamond" w:hAnsi="Garamond" w:cstheme="majorBidi"/>
          <w:color w:val="000000"/>
        </w:rPr>
        <w:t xml:space="preserve"> </w:t>
      </w:r>
      <w:r w:rsidR="00A21E5D" w:rsidRPr="006178CB">
        <w:rPr>
          <w:rFonts w:ascii="Garamond" w:hAnsi="Garamond" w:cstheme="majorBidi"/>
          <w:color w:val="000000"/>
        </w:rPr>
        <w:t>“Hours after the shooting in the Arab city of Umm Al-Fahm, four houses and three cars in the city caught on fire in suspec</w:t>
      </w:r>
      <w:r w:rsidR="004C3677">
        <w:rPr>
          <w:rFonts w:ascii="Garamond" w:hAnsi="Garamond" w:cstheme="majorBidi"/>
          <w:color w:val="000000"/>
        </w:rPr>
        <w:t>ted arson. Kids are crying. Pe</w:t>
      </w:r>
      <w:r w:rsidR="00A21E5D" w:rsidRPr="006178CB">
        <w:rPr>
          <w:rFonts w:ascii="Garamond" w:hAnsi="Garamond" w:cstheme="majorBidi"/>
          <w:color w:val="000000"/>
        </w:rPr>
        <w:t>ople are afraid to get out from their houses”.</w:t>
      </w:r>
      <w:r w:rsidR="00A21E5D" w:rsidRPr="006178CB">
        <w:rPr>
          <w:rStyle w:val="FootnoteReference"/>
          <w:rFonts w:ascii="Garamond" w:hAnsi="Garamond" w:cstheme="majorBidi"/>
          <w:color w:val="000000"/>
        </w:rPr>
        <w:footnoteReference w:id="2"/>
      </w:r>
      <w:r w:rsidR="00A21E5D" w:rsidRPr="006178CB">
        <w:rPr>
          <w:rFonts w:ascii="Garamond" w:hAnsi="Garamond" w:cstheme="majorBidi"/>
          <w:color w:val="000000"/>
        </w:rPr>
        <w:t xml:space="preserve"> </w:t>
      </w:r>
      <w:r w:rsidR="008C4182" w:rsidRPr="006178CB">
        <w:rPr>
          <w:rFonts w:ascii="Garamond" w:hAnsi="Garamond" w:cstheme="majorBidi"/>
          <w:color w:val="000000"/>
          <w:lang w:bidi="ar-DZ"/>
        </w:rPr>
        <w:t xml:space="preserve"> This story is not surprising, nor new.</w:t>
      </w:r>
      <w:r w:rsidR="002A292A" w:rsidRPr="006178CB">
        <w:rPr>
          <w:rFonts w:ascii="Garamond" w:hAnsi="Garamond" w:cstheme="majorBidi"/>
          <w:color w:val="000000"/>
          <w:lang w:bidi="ar-DZ"/>
        </w:rPr>
        <w:t xml:space="preserve"> </w:t>
      </w:r>
      <w:r w:rsidR="002A292A" w:rsidRPr="006178CB">
        <w:rPr>
          <w:rFonts w:ascii="Garamond" w:hAnsi="Garamond" w:cstheme="majorBidi"/>
          <w:color w:val="000000"/>
          <w:lang w:bidi="ar-DZ"/>
        </w:rPr>
        <w:lastRenderedPageBreak/>
        <w:t>Reviewing a recent report</w:t>
      </w:r>
      <w:r>
        <w:rPr>
          <w:rFonts w:ascii="Garamond" w:hAnsi="Garamond" w:cstheme="majorBidi"/>
          <w:color w:val="000000"/>
          <w:lang w:bidi="ar-DZ"/>
        </w:rPr>
        <w:t xml:space="preserve"> by </w:t>
      </w:r>
      <w:r w:rsidRPr="006178CB">
        <w:rPr>
          <w:rFonts w:ascii="Garamond" w:hAnsi="Garamond" w:cstheme="majorBidi"/>
          <w:color w:val="000000"/>
        </w:rPr>
        <w:t xml:space="preserve">the </w:t>
      </w:r>
      <w:r w:rsidRPr="00A9441D">
        <w:rPr>
          <w:rFonts w:ascii="Garamond" w:hAnsi="Garamond" w:cstheme="majorBidi"/>
          <w:i/>
          <w:iCs/>
          <w:color w:val="000000"/>
        </w:rPr>
        <w:t>Aman Center for Safe Society</w:t>
      </w:r>
      <w:r w:rsidRPr="006178CB">
        <w:rPr>
          <w:rFonts w:ascii="Garamond" w:hAnsi="Garamond" w:cstheme="majorBidi"/>
          <w:color w:val="000000"/>
        </w:rPr>
        <w:t>,</w:t>
      </w:r>
      <w:r w:rsidRPr="006178CB">
        <w:rPr>
          <w:rStyle w:val="FootnoteReference"/>
          <w:rFonts w:ascii="Garamond" w:hAnsi="Garamond" w:cstheme="majorBidi"/>
          <w:color w:val="000000"/>
        </w:rPr>
        <w:footnoteReference w:id="3"/>
      </w:r>
      <w:r w:rsidR="002A292A" w:rsidRPr="006178CB">
        <w:rPr>
          <w:rFonts w:ascii="Garamond" w:hAnsi="Garamond" w:cstheme="majorBidi"/>
          <w:color w:val="000000"/>
          <w:lang w:bidi="ar-DZ"/>
        </w:rPr>
        <w:t xml:space="preserve"> raise up a very disturbing picture: </w:t>
      </w:r>
      <w:r w:rsidR="00A21E5D" w:rsidRPr="006178CB">
        <w:rPr>
          <w:rFonts w:ascii="Garamond" w:hAnsi="Garamond" w:cstheme="majorBidi"/>
          <w:color w:val="000000"/>
          <w:lang w:bidi="ar-DZ"/>
        </w:rPr>
        <w:t>1635 Arab-Palestinian</w:t>
      </w:r>
      <w:r>
        <w:rPr>
          <w:rFonts w:ascii="Garamond" w:hAnsi="Garamond" w:cstheme="majorBidi"/>
          <w:color w:val="000000"/>
          <w:lang w:bidi="ar-DZ"/>
        </w:rPr>
        <w:t xml:space="preserve"> citizens of Israel</w:t>
      </w:r>
      <w:r w:rsidR="00A21E5D" w:rsidRPr="006178CB">
        <w:rPr>
          <w:rFonts w:ascii="Garamond" w:hAnsi="Garamond" w:cstheme="majorBidi"/>
          <w:color w:val="000000"/>
          <w:lang w:bidi="ar-DZ"/>
        </w:rPr>
        <w:t xml:space="preserve"> have been murdered</w:t>
      </w:r>
      <w:r w:rsidR="008C4182" w:rsidRPr="006178CB">
        <w:rPr>
          <w:rFonts w:ascii="Garamond" w:hAnsi="Garamond" w:cstheme="majorBidi"/>
          <w:color w:val="000000"/>
          <w:lang w:bidi="ar-DZ"/>
        </w:rPr>
        <w:t xml:space="preserve"> since 2000</w:t>
      </w:r>
      <w:r w:rsidR="00A21E5D" w:rsidRPr="006178CB">
        <w:rPr>
          <w:rFonts w:ascii="Garamond" w:hAnsi="Garamond" w:cstheme="majorBidi"/>
          <w:color w:val="000000"/>
          <w:lang w:bidi="ar-DZ"/>
        </w:rPr>
        <w:t xml:space="preserve">. In 2015, for instance, 51 </w:t>
      </w:r>
      <w:r w:rsidR="008C4182" w:rsidRPr="006178CB">
        <w:rPr>
          <w:rFonts w:ascii="Garamond" w:hAnsi="Garamond" w:cstheme="majorBidi"/>
          <w:color w:val="000000"/>
          <w:lang w:bidi="ar-DZ"/>
        </w:rPr>
        <w:t xml:space="preserve">were murdered. Nothing changed in 2016, </w:t>
      </w:r>
      <w:r w:rsidR="002A292A" w:rsidRPr="006178CB">
        <w:rPr>
          <w:rFonts w:ascii="Garamond" w:hAnsi="Garamond" w:cstheme="majorBidi"/>
          <w:color w:val="000000"/>
          <w:lang w:bidi="ar-DZ"/>
        </w:rPr>
        <w:t>where</w:t>
      </w:r>
      <w:r w:rsidR="008C4182" w:rsidRPr="006178CB">
        <w:rPr>
          <w:rFonts w:ascii="Garamond" w:hAnsi="Garamond" w:cstheme="majorBidi"/>
          <w:color w:val="000000"/>
          <w:lang w:bidi="ar-DZ"/>
        </w:rPr>
        <w:t xml:space="preserve"> 72 were murdered. Same in 2018, 2019,</w:t>
      </w:r>
      <w:r w:rsidR="008C4182">
        <w:rPr>
          <w:rFonts w:ascii="Garamond" w:hAnsi="Garamond" w:cstheme="majorBidi"/>
          <w:color w:val="000000"/>
          <w:lang w:bidi="ar-DZ"/>
        </w:rPr>
        <w:t xml:space="preserve"> and 2020. Last year, 2021, 119 were murdered. </w:t>
      </w:r>
      <w:r w:rsidR="00A21E5D" w:rsidRPr="00D2352B">
        <w:rPr>
          <w:rFonts w:ascii="Garamond" w:hAnsi="Garamond" w:cstheme="majorBidi"/>
          <w:color w:val="000000"/>
          <w:lang w:bidi="ar-DZ"/>
        </w:rPr>
        <w:t xml:space="preserve">In addition, data shows that since 2000, 68 </w:t>
      </w:r>
      <w:r>
        <w:rPr>
          <w:rFonts w:ascii="Garamond" w:hAnsi="Garamond" w:cstheme="majorBidi"/>
          <w:color w:val="000000"/>
          <w:lang w:bidi="ar-DZ"/>
        </w:rPr>
        <w:t>Arab-</w:t>
      </w:r>
      <w:r w:rsidR="00A21E5D" w:rsidRPr="00D2352B">
        <w:rPr>
          <w:rFonts w:ascii="Garamond" w:hAnsi="Garamond" w:cstheme="majorBidi"/>
          <w:color w:val="000000"/>
          <w:lang w:bidi="ar-DZ"/>
        </w:rPr>
        <w:t xml:space="preserve">Palestinian have been killed by the Israeli police. Most of these cases were carried out by firearms. </w:t>
      </w:r>
      <w:r w:rsidR="002A292A">
        <w:rPr>
          <w:rFonts w:ascii="Garamond" w:hAnsi="Garamond" w:cstheme="majorBidi"/>
          <w:color w:val="000000"/>
          <w:lang w:bidi="ar-DZ"/>
        </w:rPr>
        <w:t>G</w:t>
      </w:r>
      <w:r w:rsidR="00A21E5D" w:rsidRPr="00D2352B">
        <w:rPr>
          <w:rFonts w:ascii="Garamond" w:hAnsi="Garamond" w:cstheme="majorBidi"/>
          <w:color w:val="000000"/>
          <w:lang w:bidi="ar-DZ"/>
        </w:rPr>
        <w:t>etting up every da</w:t>
      </w:r>
      <w:r w:rsidR="002A292A">
        <w:rPr>
          <w:rFonts w:ascii="Garamond" w:hAnsi="Garamond" w:cstheme="majorBidi"/>
          <w:color w:val="000000"/>
          <w:lang w:bidi="ar-DZ"/>
        </w:rPr>
        <w:t xml:space="preserve">y to hear about the next murder, became </w:t>
      </w:r>
      <w:r>
        <w:rPr>
          <w:rFonts w:ascii="Garamond" w:hAnsi="Garamond" w:cstheme="majorBidi"/>
          <w:color w:val="000000"/>
          <w:lang w:bidi="ar-DZ"/>
        </w:rPr>
        <w:t>a usual</w:t>
      </w:r>
      <w:r w:rsidR="002A292A">
        <w:rPr>
          <w:rFonts w:ascii="Garamond" w:hAnsi="Garamond" w:cstheme="majorBidi"/>
          <w:color w:val="000000"/>
          <w:lang w:bidi="ar-DZ"/>
        </w:rPr>
        <w:t xml:space="preserve"> </w:t>
      </w:r>
      <w:r w:rsidR="002A292A" w:rsidRPr="00D2352B">
        <w:rPr>
          <w:rFonts w:ascii="Garamond" w:hAnsi="Garamond" w:cstheme="majorBidi"/>
          <w:color w:val="000000"/>
          <w:lang w:bidi="ar-DZ"/>
        </w:rPr>
        <w:t>story of th</w:t>
      </w:r>
      <w:r w:rsidR="002A292A">
        <w:rPr>
          <w:rFonts w:ascii="Garamond" w:hAnsi="Garamond" w:cstheme="majorBidi"/>
          <w:color w:val="000000"/>
          <w:lang w:bidi="ar-DZ"/>
        </w:rPr>
        <w:t>e Palestinian society in Israel. If a week goes by without hearing about a violent incident, that would be the exception.</w:t>
      </w:r>
      <w:commentRangeEnd w:id="2"/>
      <w:r w:rsidR="004C3677">
        <w:rPr>
          <w:rStyle w:val="CommentReference"/>
          <w:rFonts w:asciiTheme="minorHAnsi" w:eastAsiaTheme="minorHAnsi" w:hAnsiTheme="minorHAnsi" w:cstheme="minorBidi"/>
        </w:rPr>
        <w:commentReference w:id="2"/>
      </w:r>
    </w:p>
    <w:p w14:paraId="79EE4C8E" w14:textId="77777777" w:rsidR="004C3677" w:rsidRDefault="00A21E5D" w:rsidP="004C3677">
      <w:pPr>
        <w:spacing w:before="120" w:after="120" w:line="360" w:lineRule="auto"/>
        <w:ind w:firstLine="284"/>
        <w:contextualSpacing/>
        <w:jc w:val="both"/>
        <w:rPr>
          <w:rFonts w:ascii="Garamond" w:hAnsi="Garamond" w:cstheme="majorBidi"/>
          <w:lang w:bidi="he-IL"/>
        </w:rPr>
      </w:pPr>
      <w:r w:rsidRPr="00D2352B">
        <w:rPr>
          <w:rFonts w:ascii="Garamond" w:hAnsi="Garamond" w:cstheme="majorBidi"/>
          <w:lang w:bidi="he-IL"/>
        </w:rPr>
        <w:t>Despite these high numbers</w:t>
      </w:r>
      <w:r w:rsidR="002A292A">
        <w:rPr>
          <w:rFonts w:ascii="Garamond" w:hAnsi="Garamond" w:cstheme="majorBidi"/>
          <w:lang w:bidi="he-IL"/>
        </w:rPr>
        <w:t xml:space="preserve"> of murders</w:t>
      </w:r>
      <w:r w:rsidRPr="00D2352B">
        <w:rPr>
          <w:rFonts w:ascii="Garamond" w:hAnsi="Garamond" w:cstheme="majorBidi"/>
          <w:lang w:bidi="he-IL"/>
        </w:rPr>
        <w:t>, these cases are not properly handled neither by the judicial system nor by state authorities</w:t>
      </w:r>
      <w:r w:rsidRPr="00D2352B">
        <w:rPr>
          <w:rFonts w:ascii="Garamond" w:hAnsi="Garamond" w:cstheme="majorBidi"/>
          <w:lang w:bidi="ar-DZ"/>
        </w:rPr>
        <w:t>.</w:t>
      </w:r>
      <w:r w:rsidRPr="00D2352B">
        <w:rPr>
          <w:rStyle w:val="FootnoteReference"/>
          <w:rFonts w:ascii="Garamond" w:hAnsi="Garamond" w:cstheme="majorBidi"/>
          <w:lang w:bidi="ar-DZ"/>
        </w:rPr>
        <w:footnoteReference w:id="4"/>
      </w:r>
      <w:r w:rsidRPr="00D2352B">
        <w:rPr>
          <w:rFonts w:ascii="Garamond" w:hAnsi="Garamond" w:cstheme="majorBidi"/>
          <w:lang w:bidi="ar-DZ"/>
        </w:rPr>
        <w:t xml:space="preserve"> </w:t>
      </w:r>
      <w:r w:rsidR="0015246B">
        <w:rPr>
          <w:rFonts w:ascii="Garamond" w:hAnsi="Garamond" w:cstheme="majorBidi"/>
          <w:lang w:bidi="ar-DZ"/>
        </w:rPr>
        <w:t>T</w:t>
      </w:r>
      <w:r w:rsidR="000A08E8">
        <w:rPr>
          <w:rFonts w:ascii="Garamond" w:hAnsi="Garamond" w:cstheme="majorBidi"/>
          <w:lang w:bidi="ar-DZ"/>
        </w:rPr>
        <w:t>he number of femicide cases</w:t>
      </w:r>
      <w:r w:rsidR="0015246B">
        <w:rPr>
          <w:rFonts w:ascii="Garamond" w:hAnsi="Garamond" w:cstheme="majorBidi"/>
          <w:lang w:bidi="ar-DZ"/>
        </w:rPr>
        <w:t>, for instance,</w:t>
      </w:r>
      <w:r w:rsidR="000A08E8">
        <w:rPr>
          <w:rFonts w:ascii="Garamond" w:hAnsi="Garamond" w:cstheme="majorBidi"/>
          <w:lang w:bidi="ar-DZ"/>
        </w:rPr>
        <w:t xml:space="preserve"> soared in the past decade (2011-2020), reaching a horrifying peak: 95 Arab-Palestinian women in the Palestinian community in Israel were murdered, over 50 percent of the victims’ situations of domestic violence were known to welfare authorities, and 33 percent had filed a police complaint previously.</w:t>
      </w:r>
      <w:r w:rsidR="00661AC4">
        <w:rPr>
          <w:rStyle w:val="FootnoteReference"/>
          <w:rFonts w:ascii="Garamond" w:hAnsi="Garamond" w:cstheme="majorBidi"/>
          <w:lang w:bidi="ar-DZ"/>
        </w:rPr>
        <w:footnoteReference w:id="5"/>
      </w:r>
      <w:r w:rsidR="000A08E8">
        <w:rPr>
          <w:rFonts w:ascii="Garamond" w:hAnsi="Garamond" w:cstheme="majorBidi"/>
          <w:lang w:bidi="ar-DZ"/>
        </w:rPr>
        <w:t xml:space="preserve"> </w:t>
      </w:r>
      <w:r w:rsidR="0015246B">
        <w:rPr>
          <w:rFonts w:ascii="Garamond" w:hAnsi="Garamond" w:cstheme="majorBidi"/>
          <w:lang w:bidi="ar-DZ"/>
        </w:rPr>
        <w:t>Femicide, for some, is a distinct crime.</w:t>
      </w:r>
      <w:r w:rsidR="0015246B">
        <w:rPr>
          <w:rStyle w:val="FootnoteReference"/>
          <w:rFonts w:ascii="Garamond" w:hAnsi="Garamond" w:cstheme="majorBidi"/>
          <w:lang w:bidi="ar-DZ"/>
        </w:rPr>
        <w:footnoteReference w:id="6"/>
      </w:r>
      <w:r w:rsidR="0015246B">
        <w:rPr>
          <w:rFonts w:ascii="Garamond" w:hAnsi="Garamond" w:cstheme="majorBidi"/>
          <w:lang w:bidi="ar-DZ"/>
        </w:rPr>
        <w:t xml:space="preserve"> Yet, it is part of a broader increase in violence and murder cases in the Arab-Palestinian society in Israel, what left without </w:t>
      </w:r>
      <w:r w:rsidR="0015246B">
        <w:rPr>
          <w:rFonts w:ascii="Garamond" w:hAnsi="Garamond" w:cstheme="majorBidi"/>
          <w:lang w:bidi="he-IL"/>
        </w:rPr>
        <w:t>a solution by the Police, nor by other state authorities.</w:t>
      </w:r>
      <w:r w:rsidR="00A905FA">
        <w:rPr>
          <w:rFonts w:ascii="Garamond" w:hAnsi="Garamond" w:cstheme="majorBidi"/>
          <w:lang w:bidi="he-IL"/>
        </w:rPr>
        <w:t xml:space="preserve"> </w:t>
      </w:r>
    </w:p>
    <w:p w14:paraId="04183661" w14:textId="77777777" w:rsidR="004C3677" w:rsidRDefault="004C3677" w:rsidP="004C3677">
      <w:pPr>
        <w:spacing w:before="120" w:after="120" w:line="360" w:lineRule="auto"/>
        <w:ind w:firstLine="284"/>
        <w:contextualSpacing/>
        <w:jc w:val="both"/>
        <w:rPr>
          <w:rFonts w:ascii="Garamond" w:hAnsi="Garamond" w:cstheme="majorBidi"/>
          <w:lang w:bidi="ar-DZ"/>
        </w:rPr>
      </w:pPr>
    </w:p>
    <w:p w14:paraId="07536167" w14:textId="1B1AC75F" w:rsidR="00A905FA" w:rsidRDefault="004C3677" w:rsidP="004C3677">
      <w:pPr>
        <w:spacing w:before="120" w:after="120" w:line="360" w:lineRule="auto"/>
        <w:ind w:firstLine="284"/>
        <w:contextualSpacing/>
        <w:jc w:val="both"/>
        <w:rPr>
          <w:rFonts w:ascii="Garamond" w:hAnsi="Garamond" w:cstheme="majorBidi"/>
          <w:rtl/>
          <w:lang w:bidi="he-IL"/>
        </w:rPr>
      </w:pPr>
      <w:r>
        <w:rPr>
          <w:rFonts w:ascii="Garamond" w:hAnsi="Garamond" w:cstheme="majorBidi"/>
          <w:lang w:bidi="ar-DZ"/>
        </w:rPr>
        <w:t>D</w:t>
      </w:r>
      <w:r w:rsidR="00A21E5D" w:rsidRPr="00D2352B">
        <w:rPr>
          <w:rFonts w:ascii="Garamond" w:hAnsi="Garamond" w:cstheme="majorBidi"/>
          <w:lang w:bidi="ar-DZ"/>
        </w:rPr>
        <w:t>espite</w:t>
      </w:r>
      <w:r w:rsidR="00A905FA">
        <w:rPr>
          <w:rFonts w:ascii="Garamond" w:hAnsi="Garamond" w:cstheme="majorBidi"/>
          <w:lang w:bidi="ar-DZ"/>
        </w:rPr>
        <w:t xml:space="preserve"> these empirical data mentioned above, </w:t>
      </w:r>
      <w:r w:rsidR="00904DA5">
        <w:rPr>
          <w:rFonts w:ascii="Garamond" w:hAnsi="Garamond" w:cstheme="majorBidi"/>
          <w:lang w:bidi="ar-DZ"/>
        </w:rPr>
        <w:t xml:space="preserve">daily events in which police officers harm Palestinian citizens, </w:t>
      </w:r>
      <w:r w:rsidR="00A905FA">
        <w:rPr>
          <w:rFonts w:ascii="Garamond" w:hAnsi="Garamond" w:cstheme="majorBidi"/>
          <w:lang w:bidi="ar-DZ"/>
        </w:rPr>
        <w:t>and</w:t>
      </w:r>
      <w:r w:rsidR="00A21E5D" w:rsidRPr="00D2352B">
        <w:rPr>
          <w:rFonts w:ascii="Garamond" w:hAnsi="Garamond" w:cstheme="majorBidi"/>
          <w:lang w:bidi="ar-DZ"/>
        </w:rPr>
        <w:t xml:space="preserve"> histor</w:t>
      </w:r>
      <w:r>
        <w:rPr>
          <w:rFonts w:ascii="Garamond" w:hAnsi="Garamond" w:cstheme="majorBidi"/>
          <w:lang w:bidi="ar-DZ"/>
        </w:rPr>
        <w:t>ical skepticism towards police, a</w:t>
      </w:r>
      <w:r w:rsidRPr="00D2352B">
        <w:rPr>
          <w:rFonts w:ascii="Garamond" w:hAnsi="Garamond" w:cstheme="majorBidi"/>
          <w:lang w:bidi="ar-DZ"/>
        </w:rPr>
        <w:t>rguments in favor of more policing currently dominate the Palestinian discourse as the desired solution and calls for law enforcement and criminal law have grown louder</w:t>
      </w:r>
      <w:r>
        <w:rPr>
          <w:rFonts w:ascii="Garamond" w:hAnsi="Garamond" w:cstheme="majorBidi"/>
          <w:lang w:bidi="ar-DZ"/>
        </w:rPr>
        <w:t>, the police is an integral part of it</w:t>
      </w:r>
      <w:r w:rsidRPr="00D2352B">
        <w:rPr>
          <w:rFonts w:ascii="Garamond" w:hAnsi="Garamond" w:cstheme="majorBidi"/>
          <w:lang w:bidi="ar-DZ"/>
        </w:rPr>
        <w:t>.</w:t>
      </w:r>
      <w:r w:rsidRPr="00D2352B">
        <w:rPr>
          <w:rStyle w:val="FootnoteReference"/>
          <w:rFonts w:ascii="Garamond" w:hAnsi="Garamond" w:cstheme="majorBidi"/>
          <w:lang w:bidi="ar-DZ"/>
        </w:rPr>
        <w:footnoteReference w:id="7"/>
      </w:r>
      <w:r w:rsidRPr="00D2352B">
        <w:rPr>
          <w:rFonts w:ascii="Garamond" w:hAnsi="Garamond" w:cstheme="majorBidi"/>
          <w:lang w:bidi="ar-DZ"/>
        </w:rPr>
        <w:t xml:space="preserve"> </w:t>
      </w:r>
      <w:r w:rsidR="00A21E5D" w:rsidRPr="00D2352B">
        <w:rPr>
          <w:rFonts w:ascii="Garamond" w:hAnsi="Garamond" w:cstheme="majorBidi"/>
          <w:lang w:bidi="ar-DZ"/>
        </w:rPr>
        <w:t xml:space="preserve">Palestinian Knesset members and </w:t>
      </w:r>
      <w:r w:rsidR="00A21E5D" w:rsidRPr="00D2352B">
        <w:rPr>
          <w:rFonts w:ascii="Garamond" w:hAnsi="Garamond" w:cstheme="majorBidi"/>
        </w:rPr>
        <w:t>human</w:t>
      </w:r>
      <w:r w:rsidR="00A21E5D" w:rsidRPr="00D2352B">
        <w:rPr>
          <w:rFonts w:ascii="Garamond" w:hAnsi="Garamond" w:cstheme="majorBidi"/>
          <w:rtl/>
          <w:lang w:bidi="he-IL"/>
        </w:rPr>
        <w:t xml:space="preserve"> </w:t>
      </w:r>
      <w:r w:rsidR="00A21E5D" w:rsidRPr="00D2352B">
        <w:rPr>
          <w:rFonts w:ascii="Garamond" w:hAnsi="Garamond" w:cstheme="majorBidi"/>
          <w:lang w:bidi="ar-DZ"/>
        </w:rPr>
        <w:t xml:space="preserve">rights actors in Israel, repeatedly call </w:t>
      </w:r>
      <w:r w:rsidR="00A21E5D" w:rsidRPr="00A9441D">
        <w:rPr>
          <w:rFonts w:ascii="Garamond" w:hAnsi="Garamond" w:cstheme="majorBidi"/>
          <w:lang w:bidi="ar-DZ"/>
        </w:rPr>
        <w:t>for more police</w:t>
      </w:r>
      <w:r w:rsidR="00A21E5D" w:rsidRPr="00D2352B">
        <w:rPr>
          <w:rFonts w:ascii="Garamond" w:hAnsi="Garamond" w:cstheme="majorBidi"/>
          <w:lang w:bidi="ar-DZ"/>
        </w:rPr>
        <w:t xml:space="preserve"> intervention to save </w:t>
      </w:r>
      <w:r w:rsidR="00A9441D">
        <w:rPr>
          <w:rFonts w:ascii="Garamond" w:hAnsi="Garamond" w:cstheme="majorBidi"/>
          <w:lang w:bidi="ar-DZ"/>
        </w:rPr>
        <w:t>Arab-</w:t>
      </w:r>
      <w:r w:rsidR="00A21E5D" w:rsidRPr="00D2352B">
        <w:rPr>
          <w:rFonts w:ascii="Garamond" w:hAnsi="Garamond" w:cstheme="majorBidi"/>
          <w:lang w:bidi="ar-DZ"/>
        </w:rPr>
        <w:t>Palestinian lives.</w:t>
      </w:r>
      <w:r w:rsidR="00A21E5D" w:rsidRPr="00D2352B">
        <w:rPr>
          <w:rStyle w:val="FootnoteReference"/>
          <w:rFonts w:ascii="Garamond" w:hAnsi="Garamond" w:cstheme="majorBidi"/>
          <w:lang w:bidi="ar-DZ"/>
        </w:rPr>
        <w:footnoteReference w:id="8"/>
      </w:r>
      <w:r w:rsidR="00904DA5">
        <w:rPr>
          <w:rFonts w:ascii="Garamond" w:hAnsi="Garamond" w:cstheme="majorBidi"/>
          <w:lang w:bidi="ar-DZ"/>
        </w:rPr>
        <w:t xml:space="preserve"> Day after day, complaints arrived at the police stations by members of the Palestinian community. </w:t>
      </w:r>
    </w:p>
    <w:p w14:paraId="39D85203" w14:textId="77777777" w:rsidR="00A905FA" w:rsidRDefault="00A905FA" w:rsidP="00A905FA">
      <w:pPr>
        <w:spacing w:before="120" w:after="120" w:line="360" w:lineRule="auto"/>
        <w:ind w:firstLine="284"/>
        <w:contextualSpacing/>
        <w:jc w:val="both"/>
        <w:rPr>
          <w:rFonts w:ascii="Garamond" w:hAnsi="Garamond" w:cstheme="majorBidi"/>
          <w:lang w:bidi="he-IL"/>
        </w:rPr>
      </w:pPr>
    </w:p>
    <w:p w14:paraId="64BC81E6" w14:textId="222408A4" w:rsidR="00820E15" w:rsidRDefault="00A905FA" w:rsidP="00904DA5">
      <w:pPr>
        <w:spacing w:before="120" w:after="120" w:line="360" w:lineRule="auto"/>
        <w:ind w:firstLine="284"/>
        <w:contextualSpacing/>
        <w:jc w:val="both"/>
        <w:rPr>
          <w:rFonts w:ascii="Garamond" w:hAnsi="Garamond" w:cstheme="majorBidi"/>
          <w:lang w:bidi="ar-DZ"/>
        </w:rPr>
      </w:pPr>
      <w:r>
        <w:rPr>
          <w:rFonts w:ascii="Garamond" w:hAnsi="Garamond" w:cstheme="majorBidi"/>
          <w:lang w:bidi="ar-DZ"/>
        </w:rPr>
        <w:lastRenderedPageBreak/>
        <w:t>However, i</w:t>
      </w:r>
      <w:r w:rsidRPr="00D2352B">
        <w:rPr>
          <w:rFonts w:ascii="Garamond" w:hAnsi="Garamond" w:cstheme="majorBidi"/>
          <w:lang w:bidi="ar-DZ"/>
        </w:rPr>
        <w:t>n</w:t>
      </w:r>
      <w:r>
        <w:rPr>
          <w:rFonts w:ascii="Garamond" w:hAnsi="Garamond" w:cstheme="majorBidi"/>
          <w:lang w:bidi="ar-DZ"/>
        </w:rPr>
        <w:t xml:space="preserve"> recent years, there is</w:t>
      </w:r>
      <w:r w:rsidRPr="00D2352B">
        <w:rPr>
          <w:rFonts w:ascii="Garamond" w:hAnsi="Garamond" w:cstheme="majorBidi"/>
          <w:lang w:bidi="ar-DZ"/>
        </w:rPr>
        <w:t xml:space="preserve"> an inc</w:t>
      </w:r>
      <w:r>
        <w:rPr>
          <w:rFonts w:ascii="Garamond" w:hAnsi="Garamond" w:cstheme="majorBidi"/>
          <w:lang w:bidi="ar-DZ"/>
        </w:rPr>
        <w:t>rease in critical discourse</w:t>
      </w:r>
      <w:r w:rsidR="00D1379E">
        <w:rPr>
          <w:rFonts w:ascii="Garamond" w:hAnsi="Garamond" w:cstheme="majorBidi"/>
          <w:lang w:bidi="ar-DZ"/>
        </w:rPr>
        <w:t xml:space="preserve"> within the Palestinian community</w:t>
      </w:r>
      <w:r>
        <w:rPr>
          <w:rFonts w:ascii="Garamond" w:hAnsi="Garamond" w:cstheme="majorBidi"/>
          <w:lang w:bidi="ar-DZ"/>
        </w:rPr>
        <w:t>,</w:t>
      </w:r>
      <w:r w:rsidRPr="00D2352B">
        <w:rPr>
          <w:rFonts w:ascii="Garamond" w:hAnsi="Garamond" w:cstheme="majorBidi"/>
          <w:lang w:bidi="ar-DZ"/>
        </w:rPr>
        <w:t xml:space="preserve"> adopt</w:t>
      </w:r>
      <w:r>
        <w:rPr>
          <w:rFonts w:ascii="Garamond" w:hAnsi="Garamond" w:cstheme="majorBidi"/>
          <w:lang w:bidi="ar-DZ"/>
        </w:rPr>
        <w:t>ing</w:t>
      </w:r>
      <w:r w:rsidRPr="00D2352B">
        <w:rPr>
          <w:rFonts w:ascii="Garamond" w:hAnsi="Garamond" w:cstheme="majorBidi"/>
          <w:lang w:bidi="ar-DZ"/>
        </w:rPr>
        <w:t xml:space="preserve"> the American discourse </w:t>
      </w:r>
      <w:r>
        <w:rPr>
          <w:rFonts w:ascii="Garamond" w:hAnsi="Garamond" w:cstheme="majorBidi"/>
          <w:lang w:bidi="ar-DZ"/>
        </w:rPr>
        <w:t>calling</w:t>
      </w:r>
      <w:r w:rsidRPr="00D2352B">
        <w:rPr>
          <w:rFonts w:ascii="Garamond" w:hAnsi="Garamond" w:cstheme="majorBidi"/>
          <w:lang w:bidi="ar-DZ"/>
        </w:rPr>
        <w:t xml:space="preserve"> for</w:t>
      </w:r>
      <w:r>
        <w:rPr>
          <w:rFonts w:ascii="Garamond" w:hAnsi="Garamond" w:cstheme="majorBidi"/>
          <w:lang w:bidi="ar-DZ"/>
        </w:rPr>
        <w:t xml:space="preserve"> abolition and defunding </w:t>
      </w:r>
      <w:r w:rsidRPr="00D2352B">
        <w:rPr>
          <w:rFonts w:ascii="Garamond" w:hAnsi="Garamond" w:cstheme="majorBidi"/>
          <w:lang w:bidi="ar-DZ"/>
        </w:rPr>
        <w:t>the police</w:t>
      </w:r>
      <w:r>
        <w:rPr>
          <w:rFonts w:ascii="Garamond" w:hAnsi="Garamond" w:cstheme="majorBidi"/>
          <w:lang w:bidi="ar-DZ"/>
        </w:rPr>
        <w:t xml:space="preserve">, </w:t>
      </w:r>
      <w:r w:rsidRPr="00D2352B">
        <w:rPr>
          <w:rFonts w:ascii="Garamond" w:hAnsi="Garamond" w:cstheme="majorBidi"/>
          <w:lang w:bidi="ar-DZ"/>
        </w:rPr>
        <w:t>due to the violence policing in</w:t>
      </w:r>
      <w:r>
        <w:rPr>
          <w:rFonts w:ascii="Garamond" w:hAnsi="Garamond" w:cstheme="majorBidi"/>
          <w:lang w:bidi="ar-DZ"/>
        </w:rPr>
        <w:t>flicts on minority communities, e</w:t>
      </w:r>
      <w:r w:rsidRPr="00D2352B">
        <w:rPr>
          <w:rFonts w:ascii="Garamond" w:hAnsi="Garamond" w:cstheme="majorBidi"/>
          <w:lang w:bidi="ar-DZ"/>
        </w:rPr>
        <w:t xml:space="preserve">xpressing distrust </w:t>
      </w:r>
      <w:r w:rsidR="00D1379E">
        <w:rPr>
          <w:rFonts w:ascii="Garamond" w:hAnsi="Garamond" w:cstheme="majorBidi"/>
          <w:lang w:bidi="ar-DZ"/>
        </w:rPr>
        <w:t xml:space="preserve">toward the Israeli police, and </w:t>
      </w:r>
      <w:r w:rsidR="00D1379E">
        <w:rPr>
          <w:rFonts w:ascii="Garamond" w:hAnsi="Garamond" w:cstheme="majorBidi"/>
          <w:color w:val="000000" w:themeColor="text1"/>
          <w:lang w:bidi="ar-LB"/>
        </w:rPr>
        <w:t>criticizing</w:t>
      </w:r>
      <w:r w:rsidR="00D1379E" w:rsidRPr="003D0142">
        <w:rPr>
          <w:rFonts w:ascii="Garamond" w:hAnsi="Garamond" w:cstheme="majorBidi"/>
          <w:color w:val="000000" w:themeColor="text1"/>
          <w:lang w:bidi="ar-LB"/>
        </w:rPr>
        <w:t xml:space="preserve"> the idea of reinforcing sovereignty through turning to criminal law.</w:t>
      </w:r>
      <w:r w:rsidR="00D1379E" w:rsidRPr="003D0142">
        <w:rPr>
          <w:rStyle w:val="FootnoteReference"/>
          <w:rFonts w:ascii="Garamond" w:hAnsi="Garamond" w:cstheme="majorBidi"/>
          <w:color w:val="000000" w:themeColor="text1"/>
          <w:lang w:bidi="ar-LB"/>
        </w:rPr>
        <w:footnoteReference w:id="9"/>
      </w:r>
      <w:r w:rsidR="00D1379E" w:rsidRPr="003D0142">
        <w:rPr>
          <w:rFonts w:ascii="Garamond" w:hAnsi="Garamond" w:cstheme="majorBidi"/>
          <w:color w:val="000000" w:themeColor="text1"/>
          <w:lang w:bidi="ar-LB"/>
        </w:rPr>
        <w:t xml:space="preserve"> The main assertion of these critical perspectives is that human rights movements in general, rely on criminal law to promote </w:t>
      </w:r>
      <w:r w:rsidR="00D1379E">
        <w:rPr>
          <w:rFonts w:ascii="Garamond" w:hAnsi="Garamond" w:cstheme="majorBidi"/>
          <w:color w:val="000000" w:themeColor="text1"/>
          <w:lang w:bidi="ar-LB"/>
        </w:rPr>
        <w:t>Human</w:t>
      </w:r>
      <w:r w:rsidR="00D1379E" w:rsidRPr="003D0142">
        <w:rPr>
          <w:rFonts w:ascii="Garamond" w:hAnsi="Garamond" w:cstheme="majorBidi"/>
          <w:color w:val="000000" w:themeColor="text1"/>
          <w:lang w:bidi="ar-LB"/>
        </w:rPr>
        <w:t xml:space="preserve"> rights.</w:t>
      </w:r>
      <w:r w:rsidR="00D1379E" w:rsidRPr="003D0142">
        <w:rPr>
          <w:rStyle w:val="FootnoteReference"/>
          <w:rFonts w:ascii="Garamond" w:hAnsi="Garamond" w:cstheme="majorBidi"/>
          <w:color w:val="000000" w:themeColor="text1"/>
          <w:lang w:bidi="ar-LB"/>
        </w:rPr>
        <w:footnoteReference w:id="10"/>
      </w:r>
      <w:r w:rsidR="00D1379E" w:rsidRPr="003D0142">
        <w:rPr>
          <w:rFonts w:ascii="Garamond" w:hAnsi="Garamond" w:cstheme="majorBidi"/>
          <w:color w:val="000000" w:themeColor="text1"/>
          <w:lang w:bidi="ar-LB"/>
        </w:rPr>
        <w:t xml:space="preserve"> </w:t>
      </w:r>
      <w:r w:rsidR="00904DA5">
        <w:rPr>
          <w:rFonts w:ascii="Garamond" w:hAnsi="Garamond" w:cstheme="majorBidi"/>
          <w:color w:val="000000" w:themeColor="text1"/>
          <w:lang w:bidi="ar-LB"/>
        </w:rPr>
        <w:t>According to these arguments, b</w:t>
      </w:r>
      <w:r w:rsidR="00D1379E" w:rsidRPr="003D0142">
        <w:rPr>
          <w:rFonts w:ascii="Garamond" w:hAnsi="Garamond" w:cstheme="majorBidi"/>
          <w:color w:val="000000" w:themeColor="text1"/>
          <w:lang w:bidi="ar-LB"/>
        </w:rPr>
        <w:t>y reinforcing the need for law enforcement, other support mechanisms—like community empowerment initiatives or welfare programs—suffer first.</w:t>
      </w:r>
      <w:r w:rsidR="00D1379E" w:rsidRPr="003D0142">
        <w:rPr>
          <w:rStyle w:val="FootnoteReference"/>
          <w:rFonts w:ascii="Garamond" w:hAnsi="Garamond" w:cstheme="majorBidi"/>
          <w:color w:val="000000" w:themeColor="text1"/>
          <w:lang w:bidi="ar-LB"/>
        </w:rPr>
        <w:footnoteReference w:id="11"/>
      </w:r>
      <w:r w:rsidR="00D1379E" w:rsidRPr="003D0142">
        <w:rPr>
          <w:rFonts w:ascii="Garamond" w:hAnsi="Garamond" w:cstheme="majorBidi"/>
          <w:color w:val="000000" w:themeColor="text1"/>
          <w:lang w:bidi="ar-LB"/>
        </w:rPr>
        <w:t xml:space="preserve"> These critiques have grown substantially after the protests against police violence and systemic racism that erupted after George Floyd’s killing.</w:t>
      </w:r>
      <w:r w:rsidR="00D1379E" w:rsidRPr="003D0142">
        <w:rPr>
          <w:rStyle w:val="FootnoteReference"/>
          <w:rFonts w:ascii="Garamond" w:hAnsi="Garamond" w:cstheme="majorBidi"/>
          <w:color w:val="000000" w:themeColor="text1"/>
          <w:lang w:bidi="ar-LB"/>
        </w:rPr>
        <w:footnoteReference w:id="12"/>
      </w:r>
      <w:r w:rsidR="00D1379E" w:rsidRPr="003D0142">
        <w:rPr>
          <w:rFonts w:ascii="Garamond" w:hAnsi="Garamond" w:cstheme="majorBidi"/>
          <w:color w:val="000000" w:themeColor="text1"/>
          <w:lang w:bidi="ar-LB"/>
        </w:rPr>
        <w:t xml:space="preserve"> This incident brought to the public’s attention many other issues,</w:t>
      </w:r>
      <w:r w:rsidR="00D1379E" w:rsidRPr="003D0142">
        <w:rPr>
          <w:rStyle w:val="FootnoteReference"/>
          <w:rFonts w:ascii="Garamond" w:hAnsi="Garamond" w:cstheme="majorBidi"/>
          <w:color w:val="000000" w:themeColor="text1"/>
          <w:lang w:bidi="ar-LB"/>
        </w:rPr>
        <w:footnoteReference w:id="13"/>
      </w:r>
      <w:r w:rsidR="00D1379E" w:rsidRPr="003D0142">
        <w:rPr>
          <w:rFonts w:ascii="Garamond" w:hAnsi="Garamond" w:cstheme="majorBidi"/>
          <w:color w:val="000000" w:themeColor="text1"/>
          <w:lang w:bidi="ar-LB"/>
        </w:rPr>
        <w:t>, that show the inherent failures of policing when dealing with minority communities.</w:t>
      </w:r>
      <w:r w:rsidR="00D1379E" w:rsidRPr="003D0142">
        <w:rPr>
          <w:rStyle w:val="FootnoteReference"/>
          <w:rFonts w:ascii="Garamond" w:hAnsi="Garamond" w:cstheme="majorBidi"/>
          <w:color w:val="000000" w:themeColor="text1"/>
          <w:lang w:bidi="ar-LB"/>
        </w:rPr>
        <w:footnoteReference w:id="14"/>
      </w:r>
      <w:r w:rsidR="00D1379E" w:rsidRPr="003D0142">
        <w:rPr>
          <w:rFonts w:ascii="Garamond" w:hAnsi="Garamond" w:cstheme="majorBidi"/>
          <w:color w:val="000000" w:themeColor="text1"/>
          <w:lang w:bidi="ar-LB"/>
        </w:rPr>
        <w:t xml:space="preserve"> Other critiques</w:t>
      </w:r>
      <w:r w:rsidR="00904DA5">
        <w:rPr>
          <w:rFonts w:ascii="Garamond" w:hAnsi="Garamond" w:cstheme="majorBidi"/>
          <w:color w:val="000000" w:themeColor="text1"/>
          <w:lang w:bidi="ar-LB"/>
        </w:rPr>
        <w:t>, in the Israeli context,</w:t>
      </w:r>
      <w:r w:rsidR="00D1379E" w:rsidRPr="003D0142">
        <w:rPr>
          <w:rFonts w:ascii="Garamond" w:hAnsi="Garamond" w:cstheme="majorBidi"/>
          <w:color w:val="000000" w:themeColor="text1"/>
          <w:lang w:bidi="ar-LB"/>
        </w:rPr>
        <w:t xml:space="preserve"> have also included discussion </w:t>
      </w:r>
      <w:r w:rsidR="00D1379E" w:rsidRPr="00904DA5">
        <w:rPr>
          <w:rFonts w:ascii="Garamond" w:hAnsi="Garamond" w:cstheme="majorBidi"/>
          <w:color w:val="000000" w:themeColor="text1"/>
          <w:lang w:bidi="ar-LB"/>
        </w:rPr>
        <w:t>of police militarization</w:t>
      </w:r>
      <w:r w:rsidR="00D1379E" w:rsidRPr="003D0142">
        <w:rPr>
          <w:rFonts w:ascii="Garamond" w:hAnsi="Garamond" w:cstheme="majorBidi"/>
          <w:color w:val="000000" w:themeColor="text1"/>
          <w:lang w:bidi="ar-LB"/>
        </w:rPr>
        <w:t xml:space="preserve">, viewing marginalized communities as a threat and thus </w:t>
      </w:r>
      <w:r w:rsidR="00D1379E" w:rsidRPr="003D0142">
        <w:rPr>
          <w:rFonts w:ascii="Garamond" w:hAnsi="Garamond" w:cstheme="majorBidi"/>
          <w:color w:val="000000" w:themeColor="text1"/>
          <w:lang w:bidi="ar-DZ"/>
        </w:rPr>
        <w:t>justifying extreme violence against them.</w:t>
      </w:r>
      <w:r w:rsidR="00D1379E" w:rsidRPr="003D0142">
        <w:rPr>
          <w:rStyle w:val="FootnoteReference"/>
          <w:rFonts w:ascii="Garamond" w:hAnsi="Garamond" w:cstheme="majorBidi"/>
          <w:color w:val="000000" w:themeColor="text1"/>
          <w:lang w:bidi="ar-DZ"/>
        </w:rPr>
        <w:footnoteReference w:id="15"/>
      </w:r>
      <w:r w:rsidR="00D1379E" w:rsidRPr="003D0142">
        <w:rPr>
          <w:rFonts w:ascii="Garamond" w:hAnsi="Garamond" w:cstheme="majorBidi"/>
          <w:color w:val="000000" w:themeColor="text1"/>
          <w:lang w:bidi="ar-DZ"/>
        </w:rPr>
        <w:t xml:space="preserve"> </w:t>
      </w:r>
      <w:commentRangeStart w:id="3"/>
      <w:r>
        <w:rPr>
          <w:rFonts w:ascii="Garamond" w:hAnsi="Garamond" w:cstheme="majorBidi"/>
          <w:lang w:bidi="ar-DZ"/>
        </w:rPr>
        <w:t>It cannot help but remembering the known ‘Black Lives Matter’ Sign, while looking at signs hold by Palestinian people in demonstrations. The ‘Black Lives Matter’, switched, almost naturally, to ‘Palestinian Lives Matter’.</w:t>
      </w:r>
      <w:commentRangeEnd w:id="3"/>
      <w:r w:rsidR="00904DA5">
        <w:rPr>
          <w:rStyle w:val="CommentReference"/>
          <w:rFonts w:asciiTheme="minorHAnsi" w:eastAsiaTheme="minorHAnsi" w:hAnsiTheme="minorHAnsi" w:cstheme="minorBidi"/>
        </w:rPr>
        <w:commentReference w:id="3"/>
      </w:r>
      <w:r>
        <w:rPr>
          <w:rFonts w:ascii="Garamond" w:hAnsi="Garamond" w:cstheme="majorBidi"/>
          <w:lang w:bidi="ar-DZ"/>
        </w:rPr>
        <w:t xml:space="preserve"> This is not surprising, g</w:t>
      </w:r>
      <w:r w:rsidRPr="00D2352B">
        <w:rPr>
          <w:rFonts w:ascii="Garamond" w:hAnsi="Garamond" w:cstheme="majorBidi"/>
          <w:lang w:bidi="ar-DZ"/>
        </w:rPr>
        <w:t>iven the critical race theory movement’s influence on the Palestinian cause</w:t>
      </w:r>
      <w:r>
        <w:rPr>
          <w:rFonts w:ascii="Garamond" w:hAnsi="Garamond" w:cstheme="majorBidi"/>
          <w:lang w:bidi="ar-DZ"/>
        </w:rPr>
        <w:t>.</w:t>
      </w:r>
      <w:r w:rsidRPr="00D2352B">
        <w:rPr>
          <w:rStyle w:val="FootnoteReference"/>
          <w:rFonts w:ascii="Garamond" w:hAnsi="Garamond" w:cstheme="majorBidi"/>
          <w:lang w:bidi="ar-DZ"/>
        </w:rPr>
        <w:footnoteReference w:id="16"/>
      </w:r>
      <w:r w:rsidRPr="00D2352B">
        <w:rPr>
          <w:rFonts w:ascii="Garamond" w:hAnsi="Garamond" w:cstheme="majorBidi"/>
          <w:lang w:bidi="ar-DZ"/>
        </w:rPr>
        <w:t xml:space="preserve"> </w:t>
      </w:r>
      <w:r>
        <w:rPr>
          <w:rFonts w:ascii="Garamond" w:hAnsi="Garamond" w:cstheme="majorBidi"/>
          <w:lang w:bidi="ar-DZ"/>
        </w:rPr>
        <w:t xml:space="preserve">From these people perspective, </w:t>
      </w:r>
      <w:r w:rsidRPr="00D2352B">
        <w:rPr>
          <w:rFonts w:ascii="Garamond" w:hAnsi="Garamond" w:cstheme="majorBidi"/>
          <w:lang w:bidi="ar-DZ"/>
        </w:rPr>
        <w:t xml:space="preserve">a careful look at the effect of more policing on marginalized communities in the US serves as a cautionary tale and warning sign to Palestinian </w:t>
      </w:r>
      <w:r w:rsidR="00904DA5">
        <w:rPr>
          <w:rFonts w:ascii="Garamond" w:hAnsi="Garamond" w:cstheme="majorBidi"/>
          <w:lang w:bidi="ar-DZ"/>
        </w:rPr>
        <w:t>community in Israel</w:t>
      </w:r>
      <w:r w:rsidRPr="00D2352B">
        <w:rPr>
          <w:rFonts w:ascii="Garamond" w:hAnsi="Garamond" w:cstheme="majorBidi"/>
          <w:lang w:bidi="ar-DZ"/>
        </w:rPr>
        <w:t xml:space="preserve">. </w:t>
      </w:r>
    </w:p>
    <w:p w14:paraId="35F255ED" w14:textId="77777777" w:rsidR="00904DA5" w:rsidRDefault="00904DA5" w:rsidP="00904DA5">
      <w:pPr>
        <w:spacing w:before="120" w:after="120" w:line="360" w:lineRule="auto"/>
        <w:ind w:firstLine="284"/>
        <w:contextualSpacing/>
        <w:jc w:val="both"/>
        <w:rPr>
          <w:rFonts w:ascii="Garamond" w:hAnsi="Garamond" w:cstheme="majorBidi"/>
          <w:lang w:bidi="ar-DZ"/>
        </w:rPr>
      </w:pPr>
    </w:p>
    <w:p w14:paraId="4BC8E1FB" w14:textId="77777777" w:rsidR="00C70A2C" w:rsidRDefault="00904DA5" w:rsidP="00C70A2C">
      <w:pPr>
        <w:spacing w:before="120" w:after="120" w:line="360" w:lineRule="auto"/>
        <w:ind w:firstLine="284"/>
        <w:contextualSpacing/>
        <w:jc w:val="both"/>
        <w:rPr>
          <w:rFonts w:ascii="Garamond" w:hAnsi="Garamond" w:cstheme="majorBidi"/>
          <w:lang w:bidi="he-IL"/>
        </w:rPr>
      </w:pPr>
      <w:r>
        <w:rPr>
          <w:rFonts w:ascii="Garamond" w:hAnsi="Garamond" w:cstheme="majorBidi"/>
          <w:lang w:bidi="ar-DZ"/>
        </w:rPr>
        <w:t xml:space="preserve">This project aim to put in its center the policed life, rather than the police’s life. It aims to raise up the various voices within the Palestinian community, and the different way the police is conceived by </w:t>
      </w:r>
      <w:r>
        <w:rPr>
          <w:rFonts w:ascii="Garamond" w:hAnsi="Garamond" w:cstheme="majorBidi"/>
          <w:lang w:bidi="ar-DZ"/>
        </w:rPr>
        <w:lastRenderedPageBreak/>
        <w:t xml:space="preserve">the members of the Palestinian community in Israel. </w:t>
      </w:r>
      <w:r w:rsidR="00C70A2C">
        <w:rPr>
          <w:rFonts w:ascii="Garamond" w:hAnsi="Garamond" w:cstheme="majorBidi"/>
          <w:lang w:bidi="ar-DZ"/>
        </w:rPr>
        <w:t>First</w:t>
      </w:r>
      <w:r w:rsidR="007866EC">
        <w:rPr>
          <w:rFonts w:ascii="Garamond" w:hAnsi="Garamond" w:cstheme="majorBidi"/>
          <w:lang w:bidi="ar-DZ"/>
        </w:rPr>
        <w:t xml:space="preserve">, </w:t>
      </w:r>
      <w:r w:rsidR="00C70A2C">
        <w:rPr>
          <w:rFonts w:ascii="Garamond" w:hAnsi="Garamond" w:cstheme="majorBidi"/>
          <w:lang w:bidi="ar-DZ"/>
        </w:rPr>
        <w:t>this project aims to trace the narratives and the way the police is conceived by members</w:t>
      </w:r>
      <w:r w:rsidR="00EA7249">
        <w:rPr>
          <w:rFonts w:ascii="Garamond" w:hAnsi="Garamond" w:cstheme="majorBidi"/>
          <w:lang w:bidi="ar-DZ"/>
        </w:rPr>
        <w:t xml:space="preserve"> </w:t>
      </w:r>
      <w:r w:rsidR="00C70A2C">
        <w:rPr>
          <w:rFonts w:ascii="Garamond" w:hAnsi="Garamond" w:cstheme="majorBidi"/>
          <w:lang w:bidi="ar-DZ"/>
        </w:rPr>
        <w:t>who are</w:t>
      </w:r>
      <w:r w:rsidR="00EA7249">
        <w:rPr>
          <w:rFonts w:ascii="Garamond" w:hAnsi="Garamond" w:cstheme="majorBidi"/>
          <w:lang w:bidi="ar-DZ"/>
        </w:rPr>
        <w:t xml:space="preserve"> calling for more police i</w:t>
      </w:r>
      <w:r w:rsidR="00C70A2C">
        <w:rPr>
          <w:rFonts w:ascii="Garamond" w:hAnsi="Garamond" w:cstheme="majorBidi"/>
          <w:lang w:bidi="ar-DZ"/>
        </w:rPr>
        <w:t>ntervention. Second, this project will trace the narratives and the way the police is conceived by member who are</w:t>
      </w:r>
      <w:r w:rsidR="00EA7249">
        <w:rPr>
          <w:rFonts w:ascii="Garamond" w:hAnsi="Garamond" w:cstheme="majorBidi"/>
          <w:lang w:bidi="ar-DZ"/>
        </w:rPr>
        <w:t xml:space="preserve"> inspired by black lives matter, calling</w:t>
      </w:r>
      <w:r w:rsidR="00EA7249" w:rsidRPr="00D2352B">
        <w:rPr>
          <w:rFonts w:ascii="Garamond" w:hAnsi="Garamond" w:cstheme="majorBidi"/>
          <w:lang w:bidi="ar-DZ"/>
        </w:rPr>
        <w:t xml:space="preserve"> for</w:t>
      </w:r>
      <w:r w:rsidR="00EA7249">
        <w:rPr>
          <w:rFonts w:ascii="Garamond" w:hAnsi="Garamond" w:cstheme="majorBidi"/>
          <w:lang w:bidi="ar-DZ"/>
        </w:rPr>
        <w:t xml:space="preserve"> abolition and defunding </w:t>
      </w:r>
      <w:r w:rsidR="00EA7249" w:rsidRPr="00D2352B">
        <w:rPr>
          <w:rFonts w:ascii="Garamond" w:hAnsi="Garamond" w:cstheme="majorBidi"/>
          <w:lang w:bidi="ar-DZ"/>
        </w:rPr>
        <w:t>the police</w:t>
      </w:r>
      <w:r w:rsidR="00EA7249">
        <w:rPr>
          <w:rFonts w:ascii="Garamond" w:hAnsi="Garamond" w:cstheme="majorBidi"/>
          <w:lang w:bidi="ar-DZ"/>
        </w:rPr>
        <w:t xml:space="preserve">. </w:t>
      </w:r>
      <w:r w:rsidR="00C70A2C">
        <w:rPr>
          <w:rFonts w:ascii="Garamond" w:hAnsi="Garamond" w:cstheme="majorBidi"/>
          <w:lang w:bidi="ar-DZ"/>
        </w:rPr>
        <w:t xml:space="preserve">Which imagination of police </w:t>
      </w:r>
      <w:r w:rsidR="00EA7249">
        <w:rPr>
          <w:rFonts w:ascii="Garamond" w:hAnsi="Garamond" w:cstheme="majorBidi"/>
          <w:lang w:bidi="ar-DZ"/>
        </w:rPr>
        <w:t>makes a community dividing into two camps, while sharing the same history and living and the same conditions? What is the balances that the Palestinian community members are required to deal with</w:t>
      </w:r>
      <w:r w:rsidR="00C70A2C">
        <w:rPr>
          <w:rFonts w:ascii="Garamond" w:hAnsi="Garamond" w:cstheme="majorBidi"/>
          <w:lang w:bidi="ar-DZ"/>
        </w:rPr>
        <w:t xml:space="preserve"> when choosing to which camp to belong</w:t>
      </w:r>
      <w:r w:rsidR="00EA7249">
        <w:rPr>
          <w:rFonts w:ascii="Garamond" w:hAnsi="Garamond" w:cstheme="majorBidi"/>
          <w:lang w:bidi="ar-DZ"/>
        </w:rPr>
        <w:t>?</w:t>
      </w:r>
      <w:r w:rsidR="00C70A2C">
        <w:rPr>
          <w:rFonts w:ascii="Garamond" w:hAnsi="Garamond" w:cstheme="majorBidi"/>
          <w:lang w:bidi="ar-DZ"/>
        </w:rPr>
        <w:t xml:space="preserve"> Are there only two camps or more? </w:t>
      </w:r>
      <w:r w:rsidR="00EA7249">
        <w:rPr>
          <w:rFonts w:ascii="Garamond" w:hAnsi="Garamond" w:cstheme="majorBidi"/>
          <w:lang w:bidi="ar-DZ"/>
        </w:rPr>
        <w:t xml:space="preserve">What are the values that make up their world and lead them to make the choices they make? </w:t>
      </w:r>
      <w:r w:rsidR="00EA7249">
        <w:rPr>
          <w:rFonts w:ascii="Garamond" w:hAnsi="Garamond" w:cstheme="majorBidi"/>
          <w:lang w:bidi="he-IL"/>
        </w:rPr>
        <w:t xml:space="preserve">And, is there a matter of choice when it comes to life? </w:t>
      </w:r>
    </w:p>
    <w:p w14:paraId="5EFDF59D" w14:textId="19AFB57D" w:rsidR="004B5E15" w:rsidRDefault="00C70A2C" w:rsidP="00C70A2C">
      <w:pPr>
        <w:spacing w:before="120" w:after="120" w:line="360" w:lineRule="auto"/>
        <w:ind w:firstLine="284"/>
        <w:contextualSpacing/>
        <w:jc w:val="both"/>
        <w:rPr>
          <w:rFonts w:ascii="Garamond" w:hAnsi="Garamond" w:cstheme="majorBidi"/>
          <w:lang w:bidi="ar-DZ"/>
        </w:rPr>
      </w:pPr>
      <w:r>
        <w:rPr>
          <w:rFonts w:ascii="Garamond" w:hAnsi="Garamond" w:cstheme="majorBidi"/>
          <w:lang w:bidi="ar-DZ"/>
        </w:rPr>
        <w:t>This</w:t>
      </w:r>
      <w:r w:rsidR="00362C83">
        <w:rPr>
          <w:rFonts w:ascii="Garamond" w:hAnsi="Garamond" w:cstheme="majorBidi"/>
          <w:lang w:bidi="ar-DZ"/>
        </w:rPr>
        <w:t xml:space="preserve"> project</w:t>
      </w:r>
      <w:r w:rsidR="008C4182" w:rsidRPr="00D2352B">
        <w:rPr>
          <w:rFonts w:ascii="Garamond" w:hAnsi="Garamond" w:cstheme="majorBidi"/>
          <w:lang w:bidi="ar-DZ"/>
        </w:rPr>
        <w:t xml:space="preserve"> aim</w:t>
      </w:r>
      <w:r w:rsidR="00362C83">
        <w:rPr>
          <w:rFonts w:ascii="Garamond" w:hAnsi="Garamond" w:cstheme="majorBidi"/>
          <w:lang w:bidi="ar-DZ"/>
        </w:rPr>
        <w:t>s</w:t>
      </w:r>
      <w:r w:rsidR="008C4182" w:rsidRPr="00D2352B">
        <w:rPr>
          <w:rFonts w:ascii="Garamond" w:hAnsi="Garamond" w:cstheme="majorBidi"/>
          <w:lang w:bidi="ar-DZ"/>
        </w:rPr>
        <w:t xml:space="preserve"> to illuminate the</w:t>
      </w:r>
      <w:r w:rsidR="00362C83">
        <w:rPr>
          <w:rFonts w:ascii="Garamond" w:hAnsi="Garamond" w:cstheme="majorBidi"/>
          <w:lang w:bidi="ar-DZ"/>
        </w:rPr>
        <w:t>se</w:t>
      </w:r>
      <w:r w:rsidR="008C4182" w:rsidRPr="00D2352B">
        <w:rPr>
          <w:rFonts w:ascii="Garamond" w:hAnsi="Garamond" w:cstheme="majorBidi"/>
          <w:lang w:bidi="ar-DZ"/>
        </w:rPr>
        <w:t xml:space="preserve"> tensions, complexities, and varied meanings of policing, law and order enforcement, from the eyes of Palestinian people. Based on ethnography, participant observation and inductive thinking, I hope to come with new insights about </w:t>
      </w:r>
      <w:r w:rsidR="00362C83">
        <w:rPr>
          <w:rFonts w:ascii="Garamond" w:hAnsi="Garamond" w:cstheme="majorBidi"/>
          <w:lang w:bidi="ar-DZ"/>
        </w:rPr>
        <w:t>the way</w:t>
      </w:r>
      <w:r w:rsidR="00362C83" w:rsidRPr="00D2352B">
        <w:rPr>
          <w:rFonts w:ascii="Garamond" w:hAnsi="Garamond" w:cstheme="majorBidi"/>
          <w:lang w:bidi="ar-DZ"/>
        </w:rPr>
        <w:t xml:space="preserve"> the</w:t>
      </w:r>
      <w:r>
        <w:rPr>
          <w:rFonts w:ascii="Garamond" w:hAnsi="Garamond" w:cstheme="majorBidi"/>
          <w:lang w:bidi="ar-DZ"/>
        </w:rPr>
        <w:t xml:space="preserve"> policed</w:t>
      </w:r>
      <w:r w:rsidR="00362C83" w:rsidRPr="00D2352B">
        <w:rPr>
          <w:rFonts w:ascii="Garamond" w:hAnsi="Garamond" w:cstheme="majorBidi"/>
          <w:lang w:bidi="ar-DZ"/>
        </w:rPr>
        <w:t xml:space="preserve"> Palestinian community imagine</w:t>
      </w:r>
      <w:r w:rsidR="00362C83">
        <w:rPr>
          <w:rFonts w:ascii="Garamond" w:hAnsi="Garamond" w:cstheme="majorBidi"/>
          <w:lang w:bidi="ar-DZ"/>
        </w:rPr>
        <w:t xml:space="preserve"> and think about</w:t>
      </w:r>
      <w:r w:rsidR="00F87F9D">
        <w:rPr>
          <w:rFonts w:ascii="Garamond" w:hAnsi="Garamond" w:cstheme="majorBidi"/>
          <w:lang w:bidi="ar-DZ"/>
        </w:rPr>
        <w:t xml:space="preserve"> the police.</w:t>
      </w:r>
      <w:r w:rsidR="00362C83" w:rsidRPr="00D2352B">
        <w:rPr>
          <w:rFonts w:ascii="Garamond" w:hAnsi="Garamond" w:cstheme="majorBidi"/>
          <w:lang w:bidi="ar-DZ"/>
        </w:rPr>
        <w:t xml:space="preserve"> Why</w:t>
      </w:r>
      <w:r w:rsidR="008C4182" w:rsidRPr="00D2352B">
        <w:rPr>
          <w:rFonts w:ascii="Garamond" w:hAnsi="Garamond" w:cstheme="majorBidi"/>
          <w:lang w:bidi="ar-DZ"/>
        </w:rPr>
        <w:t xml:space="preserve"> the Palestinian community in Israel calls for more police intervention, despite the </w:t>
      </w:r>
      <w:r w:rsidR="00362C83">
        <w:rPr>
          <w:rFonts w:ascii="Garamond" w:hAnsi="Garamond" w:cstheme="majorBidi"/>
          <w:lang w:bidi="ar-DZ"/>
        </w:rPr>
        <w:t>historical skepticism toward it</w:t>
      </w:r>
      <w:r w:rsidR="00F87F9D">
        <w:rPr>
          <w:rFonts w:ascii="Garamond" w:hAnsi="Garamond" w:cstheme="majorBidi"/>
          <w:lang w:bidi="ar-DZ"/>
        </w:rPr>
        <w:t>, the annoying pictures many reports show, and the ongoing raise in murders numbers</w:t>
      </w:r>
      <w:r w:rsidR="00362C83">
        <w:rPr>
          <w:rFonts w:ascii="Garamond" w:hAnsi="Garamond" w:cstheme="majorBidi"/>
          <w:lang w:bidi="ar-DZ"/>
        </w:rPr>
        <w:t>?</w:t>
      </w:r>
      <w:r w:rsidR="008C4182" w:rsidRPr="00D2352B">
        <w:rPr>
          <w:rFonts w:ascii="Garamond" w:hAnsi="Garamond" w:cstheme="majorBidi"/>
          <w:lang w:bidi="ar-DZ"/>
        </w:rPr>
        <w:t xml:space="preserve"> </w:t>
      </w:r>
    </w:p>
    <w:p w14:paraId="33F678A8" w14:textId="77777777" w:rsidR="00AC46DE" w:rsidRPr="00D2352B" w:rsidRDefault="00AC46DE" w:rsidP="0021517F">
      <w:pPr>
        <w:spacing w:before="120" w:after="120" w:line="360" w:lineRule="auto"/>
        <w:contextualSpacing/>
        <w:jc w:val="both"/>
        <w:rPr>
          <w:rFonts w:ascii="Garamond" w:hAnsi="Garamond" w:cstheme="majorBidi"/>
          <w:rtl/>
          <w:lang w:bidi="ar-DZ"/>
        </w:rPr>
      </w:pPr>
    </w:p>
    <w:p w14:paraId="7EB85597" w14:textId="28985A1B" w:rsidR="00B67BDD" w:rsidRPr="00D2352B" w:rsidRDefault="005C385F" w:rsidP="004B5E15">
      <w:pPr>
        <w:spacing w:before="120" w:after="120" w:line="360" w:lineRule="auto"/>
        <w:jc w:val="both"/>
        <w:rPr>
          <w:rFonts w:ascii="Garamond" w:hAnsi="Garamond" w:cstheme="majorBidi"/>
          <w:b/>
          <w:bCs/>
          <w:color w:val="000000" w:themeColor="text1"/>
          <w:sz w:val="28"/>
          <w:szCs w:val="28"/>
        </w:rPr>
      </w:pPr>
      <w:r w:rsidRPr="00D2352B">
        <w:rPr>
          <w:rFonts w:ascii="Garamond" w:hAnsi="Garamond" w:cstheme="majorBidi"/>
          <w:b/>
          <w:bCs/>
          <w:color w:val="000000" w:themeColor="text1"/>
          <w:sz w:val="28"/>
          <w:szCs w:val="28"/>
        </w:rPr>
        <w:t>2. Contextual background</w:t>
      </w:r>
    </w:p>
    <w:p w14:paraId="6E3B64CB" w14:textId="4E6FC28D" w:rsidR="005162C5" w:rsidRPr="005162C5" w:rsidRDefault="00B67BDD" w:rsidP="005162C5">
      <w:pPr>
        <w:spacing w:before="120" w:after="120" w:line="360" w:lineRule="auto"/>
        <w:jc w:val="both"/>
        <w:rPr>
          <w:rFonts w:ascii="Garamond" w:hAnsi="Garamond"/>
        </w:rPr>
      </w:pPr>
      <w:r w:rsidRPr="00D2352B">
        <w:rPr>
          <w:rFonts w:ascii="Garamond" w:hAnsi="Garamond"/>
        </w:rPr>
        <w:t xml:space="preserve">Today, Arab-Palestinian citizens of Israel, an indigenous minority, comprise about 20% of Israeli citizens. About half live in the </w:t>
      </w:r>
      <w:r w:rsidR="005162C5" w:rsidRPr="00D2352B">
        <w:rPr>
          <w:rFonts w:ascii="Garamond" w:hAnsi="Garamond"/>
        </w:rPr>
        <w:t>north</w:t>
      </w:r>
      <w:r w:rsidR="005162C5">
        <w:rPr>
          <w:rFonts w:ascii="Garamond" w:hAnsi="Garamond" w:hint="cs"/>
          <w:rtl/>
        </w:rPr>
        <w:t xml:space="preserve"> </w:t>
      </w:r>
      <w:r w:rsidR="005162C5">
        <w:rPr>
          <w:rFonts w:ascii="Garamond" w:hAnsi="Garamond"/>
        </w:rPr>
        <w:t>of Israel,</w:t>
      </w:r>
      <w:r w:rsidRPr="00D2352B">
        <w:rPr>
          <w:rFonts w:ascii="Garamond" w:hAnsi="Garamond"/>
        </w:rPr>
        <w:t xml:space="preserve"> with the other half divided between the Triangle region,</w:t>
      </w:r>
      <w:r w:rsidR="005162C5">
        <w:rPr>
          <w:rStyle w:val="FootnoteReference"/>
          <w:rFonts w:ascii="Garamond" w:hAnsi="Garamond"/>
        </w:rPr>
        <w:footnoteReference w:id="17"/>
      </w:r>
      <w:r w:rsidRPr="00D2352B">
        <w:rPr>
          <w:rFonts w:ascii="Garamond" w:hAnsi="Garamond"/>
        </w:rPr>
        <w:t xml:space="preserve"> the Negev</w:t>
      </w:r>
      <w:r w:rsidR="005162C5">
        <w:rPr>
          <w:rFonts w:ascii="Garamond" w:hAnsi="Garamond" w:hint="cs"/>
          <w:rtl/>
        </w:rPr>
        <w:t xml:space="preserve"> </w:t>
      </w:r>
      <w:r w:rsidR="005162C5" w:rsidRPr="005162C5">
        <w:rPr>
          <w:rFonts w:ascii="Arabic Typesetting" w:hAnsi="Arabic Typesetting" w:cs="Arabic Typesetting"/>
          <w:lang w:bidi="ar-DZ"/>
        </w:rPr>
        <w:t>(</w:t>
      </w:r>
      <w:r w:rsidR="005162C5" w:rsidRPr="005162C5">
        <w:rPr>
          <w:rFonts w:ascii="Arabic Typesetting" w:hAnsi="Arabic Typesetting" w:cs="Arabic Typesetting"/>
          <w:rtl/>
          <w:lang w:bidi="ar-DZ"/>
        </w:rPr>
        <w:t>النقب</w:t>
      </w:r>
      <w:r w:rsidR="005162C5" w:rsidRPr="005162C5">
        <w:rPr>
          <w:rFonts w:ascii="Arabic Typesetting" w:hAnsi="Arabic Typesetting" w:cs="Arabic Typesetting"/>
          <w:lang w:bidi="ar-DZ"/>
        </w:rPr>
        <w:t>)</w:t>
      </w:r>
      <w:r w:rsidRPr="00D2352B">
        <w:rPr>
          <w:rFonts w:ascii="Garamond" w:hAnsi="Garamond"/>
        </w:rPr>
        <w:t xml:space="preserve"> and various mixed Arab-Jewish cities such as Lod, Jaffa, Haifa and Acre. Thus, the vast majority of Israel’s Arab-Palestinian citizens reside in towns or villages and in geographic regions which are exclusively Arab-Palestinian. </w:t>
      </w:r>
    </w:p>
    <w:p w14:paraId="3893A532" w14:textId="3A6397E4" w:rsidR="00B67BDD" w:rsidRDefault="00B67BDD" w:rsidP="005162C5">
      <w:pPr>
        <w:spacing w:before="120" w:after="120" w:line="360" w:lineRule="auto"/>
        <w:ind w:firstLine="284"/>
        <w:jc w:val="both"/>
        <w:rPr>
          <w:rFonts w:ascii="Garamond" w:hAnsi="Garamond"/>
          <w:lang w:bidi="he-IL"/>
        </w:rPr>
      </w:pPr>
      <w:r w:rsidRPr="00D2352B">
        <w:rPr>
          <w:rFonts w:ascii="Garamond" w:hAnsi="Garamond"/>
        </w:rPr>
        <w:t>Palestinian-Arab citizens of Israel, although officially possessing full rights as citizens, have chronically suffered as a putatively hostile minority with little political representation and a weakened social, economic and educational infrastructure and have been discriminated against in all aspects and fields of Israeli life.</w:t>
      </w:r>
      <w:r w:rsidRPr="00D2352B">
        <w:rPr>
          <w:rStyle w:val="FootnoteReference"/>
          <w:rFonts w:ascii="Garamond" w:hAnsi="Garamond"/>
        </w:rPr>
        <w:footnoteReference w:id="18"/>
      </w:r>
      <w:r w:rsidRPr="00D2352B">
        <w:rPr>
          <w:rFonts w:ascii="Garamond" w:hAnsi="Garamond"/>
        </w:rPr>
        <w:t xml:space="preserve"> </w:t>
      </w:r>
      <w:r w:rsidR="005162C5">
        <w:rPr>
          <w:rFonts w:ascii="Garamond" w:hAnsi="Garamond"/>
        </w:rPr>
        <w:t>T</w:t>
      </w:r>
      <w:r w:rsidRPr="00D2352B">
        <w:rPr>
          <w:rFonts w:ascii="Garamond" w:hAnsi="Garamond"/>
        </w:rPr>
        <w:t>his situation of inequality takes place in a context of ongoing historical conflict between Isr</w:t>
      </w:r>
      <w:r w:rsidR="005162C5">
        <w:rPr>
          <w:rFonts w:ascii="Garamond" w:hAnsi="Garamond"/>
        </w:rPr>
        <w:t xml:space="preserve">ael and the Palestinian people, </w:t>
      </w:r>
      <w:r w:rsidRPr="00D2352B">
        <w:rPr>
          <w:rFonts w:ascii="Garamond" w:hAnsi="Garamond"/>
        </w:rPr>
        <w:t xml:space="preserve">described by some scholars as a settler colonial. For instance, in their article, </w:t>
      </w:r>
      <w:proofErr w:type="spellStart"/>
      <w:r w:rsidRPr="00D2352B">
        <w:rPr>
          <w:rFonts w:ascii="Garamond" w:hAnsi="Garamond"/>
        </w:rPr>
        <w:t>Rouhana</w:t>
      </w:r>
      <w:proofErr w:type="spellEnd"/>
      <w:r w:rsidRPr="00D2352B">
        <w:rPr>
          <w:rFonts w:ascii="Garamond" w:hAnsi="Garamond"/>
        </w:rPr>
        <w:t xml:space="preserve"> and Sabbagh-</w:t>
      </w:r>
      <w:proofErr w:type="spellStart"/>
      <w:r w:rsidRPr="00D2352B">
        <w:rPr>
          <w:rFonts w:ascii="Garamond" w:hAnsi="Garamond"/>
        </w:rPr>
        <w:t>Khory</w:t>
      </w:r>
      <w:proofErr w:type="spellEnd"/>
      <w:r w:rsidRPr="00D2352B">
        <w:rPr>
          <w:rFonts w:ascii="Garamond" w:hAnsi="Garamond"/>
        </w:rPr>
        <w:t xml:space="preserve">, </w:t>
      </w:r>
      <w:r w:rsidR="005162C5">
        <w:rPr>
          <w:rFonts w:ascii="Garamond" w:hAnsi="Garamond"/>
        </w:rPr>
        <w:t>argue that u</w:t>
      </w:r>
      <w:r w:rsidRPr="00D2352B">
        <w:rPr>
          <w:rFonts w:ascii="Garamond" w:hAnsi="Garamond"/>
        </w:rPr>
        <w:t>nderstanding the evolution of the Palestinian collective po</w:t>
      </w:r>
      <w:r w:rsidR="005162C5">
        <w:rPr>
          <w:rFonts w:ascii="Garamond" w:hAnsi="Garamond"/>
        </w:rPr>
        <w:t xml:space="preserve">litical position within Israel, </w:t>
      </w:r>
      <w:r w:rsidRPr="00D2352B">
        <w:rPr>
          <w:rFonts w:ascii="Garamond" w:hAnsi="Garamond"/>
        </w:rPr>
        <w:t xml:space="preserve">requires contextualization within the framework of the </w:t>
      </w:r>
      <w:r w:rsidRPr="00D2352B">
        <w:rPr>
          <w:rFonts w:ascii="Garamond" w:hAnsi="Garamond"/>
        </w:rPr>
        <w:lastRenderedPageBreak/>
        <w:t>conflict between the Zionist movement – a settler – colonial movement with national claims – and the indigenous Palestinian national movement.</w:t>
      </w:r>
      <w:r w:rsidRPr="00D2352B">
        <w:rPr>
          <w:rStyle w:val="FootnoteReference"/>
          <w:rFonts w:ascii="Garamond" w:hAnsi="Garamond"/>
        </w:rPr>
        <w:footnoteReference w:id="19"/>
      </w:r>
      <w:r w:rsidRPr="00D2352B">
        <w:rPr>
          <w:rFonts w:ascii="Garamond" w:hAnsi="Garamond"/>
        </w:rPr>
        <w:t xml:space="preserve">   </w:t>
      </w:r>
    </w:p>
    <w:p w14:paraId="4FE08655" w14:textId="41EB976F" w:rsidR="003A1647" w:rsidRPr="00D2352B" w:rsidRDefault="003A1647" w:rsidP="003A1647">
      <w:pPr>
        <w:spacing w:before="120" w:after="120" w:line="360" w:lineRule="auto"/>
        <w:ind w:firstLine="284"/>
        <w:jc w:val="both"/>
        <w:rPr>
          <w:rFonts w:ascii="Garamond" w:hAnsi="Garamond"/>
          <w:lang w:bidi="ar-DZ"/>
        </w:rPr>
      </w:pPr>
      <w:r>
        <w:rPr>
          <w:rFonts w:ascii="Garamond" w:hAnsi="Garamond"/>
          <w:lang w:bidi="ar-DZ"/>
        </w:rPr>
        <w:t>There is a history of extremely complex and violent relations between the Israel Police, and Palestinian citizens of Israel. Some argue that, “Israel’s police were explicitly designed to enforce racial supremacy with violence and impunity.”</w:t>
      </w:r>
      <w:r>
        <w:rPr>
          <w:rStyle w:val="FootnoteReference"/>
          <w:rFonts w:ascii="Garamond" w:hAnsi="Garamond"/>
          <w:lang w:bidi="ar-DZ"/>
        </w:rPr>
        <w:footnoteReference w:id="20"/>
      </w:r>
      <w:r>
        <w:rPr>
          <w:rFonts w:ascii="Garamond" w:hAnsi="Garamond"/>
          <w:lang w:bidi="ar-DZ"/>
        </w:rPr>
        <w:t xml:space="preserve"> Second Intifada, known as the October 2000 killings, was a defining moment in shaping the relationship between the Israeli police and Palestinians, where Israeli forces gunned down 12 Palestinians Israeli citizens’ protesters, and not a single police officer was held responsible. In her article, </w:t>
      </w:r>
      <w:proofErr w:type="spellStart"/>
      <w:r>
        <w:rPr>
          <w:rFonts w:ascii="Garamond" w:hAnsi="Garamond"/>
          <w:lang w:bidi="ar-DZ"/>
        </w:rPr>
        <w:t>Suhad</w:t>
      </w:r>
      <w:proofErr w:type="spellEnd"/>
      <w:r>
        <w:rPr>
          <w:rFonts w:ascii="Garamond" w:hAnsi="Garamond"/>
          <w:lang w:bidi="ar-DZ"/>
        </w:rPr>
        <w:t xml:space="preserve"> </w:t>
      </w:r>
      <w:proofErr w:type="spellStart"/>
      <w:r>
        <w:rPr>
          <w:rFonts w:ascii="Garamond" w:hAnsi="Garamond"/>
          <w:lang w:bidi="ar-DZ"/>
        </w:rPr>
        <w:t>Bishara</w:t>
      </w:r>
      <w:proofErr w:type="spellEnd"/>
      <w:r>
        <w:rPr>
          <w:rFonts w:ascii="Garamond" w:hAnsi="Garamond"/>
          <w:lang w:bidi="ar-DZ"/>
        </w:rPr>
        <w:t>, argued that in order to understand why Israel “failed” to put those responsible on trial, one must look at the broader political contexts. Therefore, she argued that “Israel’s national police force is inherently tied to the state’s legal system and to the values of the regime under which it operated – that is, the goals of ethnic supremacy for Jews and oppressive control over Palestinians”.</w:t>
      </w:r>
      <w:r>
        <w:rPr>
          <w:rStyle w:val="FootnoteReference"/>
          <w:rFonts w:ascii="Garamond" w:hAnsi="Garamond"/>
          <w:lang w:bidi="ar-DZ"/>
        </w:rPr>
        <w:footnoteReference w:id="21"/>
      </w:r>
      <w:r>
        <w:rPr>
          <w:rFonts w:ascii="Garamond" w:hAnsi="Garamond"/>
          <w:lang w:bidi="ar-DZ"/>
        </w:rPr>
        <w:t xml:space="preserve"> </w:t>
      </w:r>
    </w:p>
    <w:p w14:paraId="21966DE8" w14:textId="2ED890B3" w:rsidR="008F0286" w:rsidRDefault="000310B5" w:rsidP="00D20D41">
      <w:pPr>
        <w:spacing w:before="120" w:after="120" w:line="360" w:lineRule="auto"/>
        <w:ind w:firstLine="284"/>
        <w:jc w:val="both"/>
        <w:rPr>
          <w:rFonts w:ascii="Garamond" w:hAnsi="Garamond"/>
          <w:lang w:bidi="ar-DZ"/>
        </w:rPr>
      </w:pPr>
      <w:r>
        <w:rPr>
          <w:rFonts w:ascii="Garamond" w:hAnsi="Garamond"/>
        </w:rPr>
        <w:t>Th</w:t>
      </w:r>
      <w:r w:rsidR="00D20D41">
        <w:rPr>
          <w:rFonts w:ascii="Garamond" w:hAnsi="Garamond"/>
        </w:rPr>
        <w:t>e</w:t>
      </w:r>
      <w:r>
        <w:rPr>
          <w:rFonts w:ascii="Garamond" w:hAnsi="Garamond"/>
        </w:rPr>
        <w:t xml:space="preserve"> tensions between Israeli Jews and the Arab-Palestinian</w:t>
      </w:r>
      <w:r w:rsidR="00D20D41">
        <w:rPr>
          <w:rFonts w:ascii="Garamond" w:hAnsi="Garamond"/>
        </w:rPr>
        <w:t>, however,</w:t>
      </w:r>
      <w:r>
        <w:rPr>
          <w:rFonts w:ascii="Garamond" w:hAnsi="Garamond"/>
        </w:rPr>
        <w:t xml:space="preserve"> </w:t>
      </w:r>
      <w:r>
        <w:rPr>
          <w:rFonts w:ascii="Garamond" w:hAnsi="Garamond"/>
          <w:lang w:bidi="ar-DZ"/>
        </w:rPr>
        <w:t>did</w:t>
      </w:r>
      <w:r w:rsidR="00D20D41">
        <w:rPr>
          <w:rFonts w:ascii="Garamond" w:hAnsi="Garamond"/>
          <w:lang w:bidi="ar-DZ"/>
        </w:rPr>
        <w:t xml:space="preserve">n’t stop in the second Intifada. Twenty years later, </w:t>
      </w:r>
      <w:r>
        <w:rPr>
          <w:rFonts w:ascii="Garamond" w:hAnsi="Garamond"/>
          <w:lang w:bidi="ar-DZ"/>
        </w:rPr>
        <w:t xml:space="preserve">May, 2021, an outbreak of violence in the </w:t>
      </w:r>
      <w:r w:rsidR="00D20D41">
        <w:rPr>
          <w:rFonts w:ascii="Garamond" w:hAnsi="Garamond"/>
          <w:lang w:bidi="ar-DZ"/>
        </w:rPr>
        <w:t xml:space="preserve">same </w:t>
      </w:r>
      <w:r>
        <w:rPr>
          <w:rFonts w:ascii="Garamond" w:hAnsi="Garamond"/>
          <w:lang w:bidi="ar-DZ"/>
        </w:rPr>
        <w:t>ongoing conflict.</w:t>
      </w:r>
      <w:r>
        <w:rPr>
          <w:rStyle w:val="FootnoteReference"/>
          <w:rFonts w:ascii="Garamond" w:hAnsi="Garamond"/>
          <w:lang w:bidi="ar-DZ"/>
        </w:rPr>
        <w:footnoteReference w:id="22"/>
      </w:r>
      <w:r>
        <w:rPr>
          <w:rFonts w:ascii="Garamond" w:hAnsi="Garamond"/>
          <w:lang w:bidi="ar-DZ"/>
        </w:rPr>
        <w:t xml:space="preserve"> This conflict was triggered, on 6 May, when Palestinians began protest in East Jerusalem, over an anticipated decision of the Supreme Court of Israel on the eviction of Palestinian familie</w:t>
      </w:r>
      <w:r w:rsidR="00D20D41">
        <w:rPr>
          <w:rFonts w:ascii="Garamond" w:hAnsi="Garamond"/>
          <w:lang w:bidi="ar-DZ"/>
        </w:rPr>
        <w:t xml:space="preserve">s in Sheikh Jarrah, Jerusalem, followed </w:t>
      </w:r>
      <w:r w:rsidR="00C77D12">
        <w:rPr>
          <w:rFonts w:ascii="Garamond" w:hAnsi="Garamond"/>
          <w:lang w:bidi="ar-DZ"/>
        </w:rPr>
        <w:t xml:space="preserve">by protests, police riot control, heavy violence </w:t>
      </w:r>
      <w:r w:rsidR="00D20D41">
        <w:rPr>
          <w:rFonts w:ascii="Garamond" w:hAnsi="Garamond"/>
          <w:lang w:bidi="ar-DZ"/>
        </w:rPr>
        <w:t>between Arab-Palestinians citizens of Israel and Jewish people. However, May 2021 conflict, some call it the Third Intifada, was another defining moment in raising question regarding to police violence and brutality toward the Palestinian community in Israel.</w:t>
      </w:r>
    </w:p>
    <w:p w14:paraId="19622F9C" w14:textId="6D5BB115" w:rsidR="005B2F6A" w:rsidRPr="00C70A2C" w:rsidRDefault="000310B5" w:rsidP="00C70A2C">
      <w:pPr>
        <w:pStyle w:val="CommentText"/>
        <w:rPr>
          <w:lang w:bidi="he-IL"/>
        </w:rPr>
      </w:pPr>
      <w:r>
        <w:rPr>
          <w:rStyle w:val="CommentReference"/>
        </w:rPr>
        <w:annotationRef/>
      </w:r>
    </w:p>
    <w:p w14:paraId="286E788E" w14:textId="77777777" w:rsidR="005C385F" w:rsidRPr="00D2352B" w:rsidRDefault="005C385F" w:rsidP="004B5E15">
      <w:pPr>
        <w:spacing w:before="120" w:after="120" w:line="360" w:lineRule="auto"/>
        <w:jc w:val="both"/>
        <w:rPr>
          <w:rFonts w:ascii="Garamond" w:hAnsi="Garamond" w:cstheme="majorBidi"/>
          <w:b/>
          <w:bCs/>
          <w:sz w:val="28"/>
          <w:szCs w:val="28"/>
          <w:lang w:bidi="ar-DZ"/>
        </w:rPr>
      </w:pPr>
      <w:r w:rsidRPr="00D2352B">
        <w:rPr>
          <w:rFonts w:ascii="Garamond" w:hAnsi="Garamond" w:cstheme="majorBidi"/>
          <w:b/>
          <w:bCs/>
          <w:sz w:val="28"/>
          <w:szCs w:val="28"/>
          <w:lang w:bidi="ar-DZ"/>
        </w:rPr>
        <w:t>4. Methodology</w:t>
      </w:r>
    </w:p>
    <w:p w14:paraId="72FB8A7A" w14:textId="784A08BD" w:rsidR="005C385F" w:rsidRDefault="004D68AC" w:rsidP="000F742F">
      <w:pPr>
        <w:spacing w:before="120" w:after="120" w:line="360" w:lineRule="auto"/>
        <w:jc w:val="both"/>
        <w:rPr>
          <w:rFonts w:ascii="Garamond" w:hAnsi="Garamond" w:cstheme="majorBidi"/>
          <w:lang w:bidi="ar-DZ"/>
        </w:rPr>
      </w:pPr>
      <w:r w:rsidRPr="004B5E15">
        <w:rPr>
          <w:rFonts w:ascii="Garamond" w:hAnsi="Garamond" w:cstheme="majorBidi"/>
          <w:lang w:bidi="ar-DZ"/>
        </w:rPr>
        <w:t>For my PhD project, I plan to be based in three</w:t>
      </w:r>
      <w:r w:rsidR="00571FF5" w:rsidRPr="004B5E15">
        <w:rPr>
          <w:rFonts w:ascii="Garamond" w:hAnsi="Garamond" w:cstheme="majorBidi"/>
          <w:lang w:bidi="ar-DZ"/>
        </w:rPr>
        <w:t xml:space="preserve"> different</w:t>
      </w:r>
      <w:r w:rsidRPr="004B5E15">
        <w:rPr>
          <w:rFonts w:ascii="Garamond" w:hAnsi="Garamond" w:cstheme="majorBidi"/>
          <w:lang w:bidi="ar-DZ"/>
        </w:rPr>
        <w:t xml:space="preserve"> regions in occupied Palestine, conducting 12 months of fieldwork: </w:t>
      </w:r>
      <w:r w:rsidRPr="006178CB">
        <w:rPr>
          <w:rFonts w:ascii="Garamond" w:hAnsi="Garamond" w:cstheme="majorBidi"/>
          <w:lang w:bidi="ar-DZ"/>
        </w:rPr>
        <w:t>Umm</w:t>
      </w:r>
      <w:r w:rsidR="00AA3485" w:rsidRPr="006178CB">
        <w:rPr>
          <w:rFonts w:ascii="Garamond" w:hAnsi="Garamond" w:cstheme="majorBidi"/>
          <w:lang w:bidi="ar-DZ"/>
        </w:rPr>
        <w:t xml:space="preserve"> A</w:t>
      </w:r>
      <w:r w:rsidRPr="006178CB">
        <w:rPr>
          <w:rFonts w:ascii="Garamond" w:hAnsi="Garamond" w:cstheme="majorBidi"/>
          <w:lang w:bidi="ar-DZ"/>
        </w:rPr>
        <w:t>l</w:t>
      </w:r>
      <w:r w:rsidR="006178CB">
        <w:rPr>
          <w:rFonts w:ascii="Garamond" w:hAnsi="Garamond" w:cstheme="majorBidi"/>
          <w:lang w:bidi="ar-DZ"/>
        </w:rPr>
        <w:t xml:space="preserve"> </w:t>
      </w:r>
      <w:r w:rsidR="00AA3485" w:rsidRPr="006178CB">
        <w:rPr>
          <w:rFonts w:ascii="Garamond" w:hAnsi="Garamond" w:cstheme="majorBidi"/>
          <w:lang w:bidi="ar-DZ"/>
        </w:rPr>
        <w:t>Fahm</w:t>
      </w:r>
      <w:r w:rsidRPr="006178CB">
        <w:rPr>
          <w:rFonts w:ascii="Garamond" w:hAnsi="Garamond" w:cstheme="majorBidi"/>
          <w:lang w:bidi="ar-DZ"/>
        </w:rPr>
        <w:t xml:space="preserve">, Jaffa, and </w:t>
      </w:r>
      <w:r w:rsidR="00F87F9D">
        <w:rPr>
          <w:rFonts w:ascii="Garamond" w:hAnsi="Garamond" w:cstheme="majorBidi"/>
          <w:lang w:bidi="ar-DZ"/>
        </w:rPr>
        <w:t xml:space="preserve">Nazareth, putting the Police-Palestinian Citizen encounter at the center of my observation. </w:t>
      </w:r>
      <w:r w:rsidR="00F87F9D" w:rsidRPr="006178CB">
        <w:rPr>
          <w:rFonts w:ascii="Garamond" w:hAnsi="Garamond" w:cstheme="majorBidi"/>
          <w:lang w:bidi="ar-DZ"/>
        </w:rPr>
        <w:t>Umm Al</w:t>
      </w:r>
      <w:r w:rsidR="00F87F9D">
        <w:rPr>
          <w:rFonts w:ascii="Garamond" w:hAnsi="Garamond" w:cstheme="majorBidi"/>
          <w:lang w:bidi="ar-DZ"/>
        </w:rPr>
        <w:t xml:space="preserve"> </w:t>
      </w:r>
      <w:r w:rsidR="00F87F9D" w:rsidRPr="006178CB">
        <w:rPr>
          <w:rFonts w:ascii="Garamond" w:hAnsi="Garamond" w:cstheme="majorBidi"/>
          <w:lang w:bidi="ar-DZ"/>
        </w:rPr>
        <w:t xml:space="preserve">Fahm, Jaffa, and </w:t>
      </w:r>
      <w:r w:rsidR="00F87F9D">
        <w:rPr>
          <w:rFonts w:ascii="Garamond" w:hAnsi="Garamond" w:cstheme="majorBidi"/>
          <w:lang w:bidi="ar-DZ"/>
        </w:rPr>
        <w:t>Nazareth</w:t>
      </w:r>
      <w:r w:rsidR="007F5022">
        <w:rPr>
          <w:rFonts w:ascii="Garamond" w:hAnsi="Garamond" w:cstheme="majorBidi"/>
          <w:lang w:bidi="ar-DZ"/>
        </w:rPr>
        <w:t xml:space="preserve"> are the central Arab-Palestinian cities in Israel, where historically, all the great riots took place. </w:t>
      </w:r>
      <w:r w:rsidR="007F5022">
        <w:rPr>
          <w:rFonts w:ascii="Garamond" w:hAnsi="Garamond" w:cstheme="majorBidi"/>
          <w:lang w:bidi="he-IL"/>
        </w:rPr>
        <w:t xml:space="preserve">These </w:t>
      </w:r>
      <w:r w:rsidR="007F5022">
        <w:rPr>
          <w:rFonts w:ascii="Garamond" w:hAnsi="Garamond" w:cstheme="majorBidi"/>
          <w:lang w:bidi="ar-DZ"/>
        </w:rPr>
        <w:t>three cities express</w:t>
      </w:r>
      <w:r w:rsidR="007F5022">
        <w:rPr>
          <w:rFonts w:ascii="Garamond" w:hAnsi="Garamond" w:cstheme="majorBidi" w:hint="cs"/>
          <w:rtl/>
          <w:lang w:bidi="ar-DZ"/>
        </w:rPr>
        <w:t xml:space="preserve"> </w:t>
      </w:r>
      <w:r w:rsidR="007F5022">
        <w:rPr>
          <w:rFonts w:ascii="Garamond" w:hAnsi="Garamond" w:cstheme="majorBidi"/>
          <w:lang w:bidi="ar-DZ"/>
        </w:rPr>
        <w:t>both religious and political diversity. Geographically, the distance between these three cities in no more than one hour.</w:t>
      </w:r>
      <w:r w:rsidR="000F742F">
        <w:rPr>
          <w:rFonts w:ascii="Garamond" w:hAnsi="Garamond" w:cstheme="majorBidi"/>
          <w:lang w:bidi="ar-DZ"/>
        </w:rPr>
        <w:t xml:space="preserve"> Concentrating on these three sites, and talking into account the difference attitude </w:t>
      </w:r>
      <w:r w:rsidR="000F742F">
        <w:rPr>
          <w:rFonts w:ascii="Garamond" w:hAnsi="Garamond" w:cstheme="majorBidi"/>
          <w:lang w:bidi="ar-DZ"/>
        </w:rPr>
        <w:lastRenderedPageBreak/>
        <w:t>towards the police, when it comes to a Muslim, Christian, or nationally mixed city, will</w:t>
      </w:r>
      <w:r w:rsidR="007F5022">
        <w:rPr>
          <w:rFonts w:ascii="Garamond" w:hAnsi="Garamond" w:cstheme="majorBidi"/>
          <w:lang w:bidi="ar-DZ"/>
        </w:rPr>
        <w:t xml:space="preserve"> </w:t>
      </w:r>
      <w:r w:rsidR="000F742F">
        <w:rPr>
          <w:rFonts w:ascii="Garamond" w:hAnsi="Garamond" w:cstheme="majorBidi"/>
          <w:lang w:bidi="ar-DZ"/>
        </w:rPr>
        <w:t xml:space="preserve">help in better understanding the complexities this project aims to cover.  </w:t>
      </w:r>
      <w:r w:rsidR="007F5022">
        <w:rPr>
          <w:rFonts w:ascii="Garamond" w:hAnsi="Garamond" w:cstheme="majorBidi"/>
          <w:lang w:bidi="ar-DZ"/>
        </w:rPr>
        <w:t xml:space="preserve">  </w:t>
      </w:r>
    </w:p>
    <w:p w14:paraId="56BA62A8" w14:textId="0C14BA84" w:rsidR="007564A6" w:rsidRPr="007564A6" w:rsidRDefault="007564A6" w:rsidP="007564A6">
      <w:pPr>
        <w:spacing w:before="120" w:after="120" w:line="360" w:lineRule="auto"/>
        <w:jc w:val="both"/>
        <w:rPr>
          <w:rFonts w:ascii="Garamond" w:hAnsi="Garamond" w:cstheme="majorBidi"/>
          <w:b/>
          <w:bCs/>
          <w:rtl/>
          <w:lang w:bidi="he-IL"/>
        </w:rPr>
      </w:pPr>
      <w:r w:rsidRPr="007564A6">
        <w:rPr>
          <w:rFonts w:ascii="Garamond" w:hAnsi="Garamond" w:cstheme="majorBidi"/>
          <w:b/>
          <w:bCs/>
          <w:lang w:bidi="ar-DZ"/>
        </w:rPr>
        <w:t>S</w:t>
      </w:r>
      <w:r>
        <w:rPr>
          <w:rFonts w:ascii="Garamond" w:hAnsi="Garamond" w:cstheme="majorBidi"/>
          <w:b/>
          <w:bCs/>
          <w:lang w:bidi="ar-DZ"/>
        </w:rPr>
        <w:t>ITES</w:t>
      </w:r>
    </w:p>
    <w:p w14:paraId="3FAFAB7A" w14:textId="58E790DF" w:rsidR="00AA3485" w:rsidRPr="006178CB" w:rsidRDefault="00AA3485" w:rsidP="0021517F">
      <w:pPr>
        <w:spacing w:before="120" w:after="120" w:line="360" w:lineRule="auto"/>
        <w:ind w:left="720"/>
        <w:jc w:val="both"/>
        <w:rPr>
          <w:rFonts w:ascii="Garamond" w:hAnsi="Garamond" w:cstheme="majorBidi"/>
          <w:rtl/>
          <w:lang w:bidi="he-IL"/>
        </w:rPr>
      </w:pPr>
      <w:r w:rsidRPr="006178CB">
        <w:rPr>
          <w:rFonts w:ascii="Garamond" w:hAnsi="Garamond" w:cstheme="majorBidi"/>
          <w:lang w:bidi="ar-DZ"/>
        </w:rPr>
        <w:t>(1)</w:t>
      </w:r>
      <w:r w:rsidR="00A60A6F" w:rsidRPr="006178CB">
        <w:rPr>
          <w:rFonts w:ascii="Garamond" w:hAnsi="Garamond" w:cstheme="majorBidi"/>
          <w:lang w:bidi="ar-DZ"/>
        </w:rPr>
        <w:t xml:space="preserve"> </w:t>
      </w:r>
      <w:r w:rsidR="0073022C" w:rsidRPr="0073022C">
        <w:rPr>
          <w:rFonts w:ascii="Garamond" w:hAnsi="Garamond" w:cstheme="majorBidi"/>
          <w:b/>
          <w:bCs/>
          <w:lang w:bidi="ar-DZ"/>
        </w:rPr>
        <w:t>‘</w:t>
      </w:r>
      <w:r w:rsidR="006178CB" w:rsidRPr="006178CB">
        <w:rPr>
          <w:rFonts w:ascii="Garamond" w:hAnsi="Garamond" w:cstheme="majorBidi"/>
          <w:b/>
          <w:bCs/>
          <w:lang w:bidi="ar-DZ"/>
        </w:rPr>
        <w:t xml:space="preserve">Umm Al </w:t>
      </w:r>
      <w:proofErr w:type="spellStart"/>
      <w:r w:rsidR="00A60A6F" w:rsidRPr="006178CB">
        <w:rPr>
          <w:rFonts w:ascii="Garamond" w:hAnsi="Garamond" w:cstheme="majorBidi"/>
          <w:b/>
          <w:bCs/>
          <w:lang w:bidi="ar-DZ"/>
        </w:rPr>
        <w:t>Fahm</w:t>
      </w:r>
      <w:proofErr w:type="spellEnd"/>
      <w:r w:rsidR="0073022C">
        <w:rPr>
          <w:rFonts w:ascii="Garamond" w:hAnsi="Garamond" w:cstheme="majorBidi"/>
          <w:b/>
          <w:bCs/>
          <w:lang w:bidi="ar-DZ"/>
        </w:rPr>
        <w:t>’</w:t>
      </w:r>
      <w:r w:rsidR="00AD65E0">
        <w:rPr>
          <w:rFonts w:ascii="Garamond" w:hAnsi="Garamond" w:cstheme="majorBidi"/>
          <w:b/>
          <w:bCs/>
          <w:lang w:bidi="ar-DZ"/>
        </w:rPr>
        <w:t xml:space="preserve"> </w:t>
      </w:r>
      <w:r w:rsidR="00AD65E0" w:rsidRPr="00AD65E0">
        <w:rPr>
          <w:rFonts w:ascii="Garamond" w:hAnsi="Garamond" w:cstheme="majorBidi"/>
          <w:lang w:bidi="ar-DZ"/>
        </w:rPr>
        <w:t>(</w:t>
      </w:r>
      <w:r w:rsidR="00AD65E0" w:rsidRPr="00AD65E0">
        <w:rPr>
          <w:rFonts w:ascii="Garamond" w:hAnsi="Garamond" w:cstheme="majorBidi"/>
          <w:lang w:bidi="he-IL"/>
        </w:rPr>
        <w:t>Arabic</w:t>
      </w:r>
      <w:r w:rsidR="00AD65E0" w:rsidRPr="00AD65E0">
        <w:rPr>
          <w:rFonts w:ascii="Garamond" w:hAnsi="Garamond" w:cstheme="majorBidi" w:hint="cs"/>
          <w:rtl/>
          <w:lang w:bidi="ar-DZ"/>
        </w:rPr>
        <w:t xml:space="preserve"> </w:t>
      </w:r>
      <w:r w:rsidR="00AD65E0" w:rsidRPr="00AD65E0">
        <w:rPr>
          <w:rFonts w:ascii="Garamond" w:hAnsi="Garamond" w:cstheme="majorBidi"/>
          <w:lang w:bidi="ar-DZ"/>
        </w:rPr>
        <w:t>-</w:t>
      </w:r>
      <w:r w:rsidR="00AD65E0" w:rsidRPr="00AD65E0">
        <w:rPr>
          <w:rFonts w:ascii="Garamond" w:hAnsi="Garamond" w:cstheme="majorBidi"/>
          <w:lang w:bidi="he-IL"/>
        </w:rPr>
        <w:t xml:space="preserve"> </w:t>
      </w:r>
      <w:r w:rsidR="00AD65E0" w:rsidRPr="00AD65E0">
        <w:rPr>
          <w:rFonts w:ascii="Arabic Typesetting" w:hAnsi="Arabic Typesetting" w:cs="Arabic Typesetting"/>
          <w:sz w:val="28"/>
          <w:szCs w:val="28"/>
          <w:rtl/>
          <w:lang w:bidi="ar-DZ"/>
        </w:rPr>
        <w:t>ام الفحم</w:t>
      </w:r>
      <w:r w:rsidR="00AD65E0" w:rsidRPr="00AD65E0">
        <w:rPr>
          <w:rFonts w:ascii="Garamond" w:hAnsi="Garamond" w:cstheme="majorBidi"/>
          <w:lang w:bidi="he-IL"/>
        </w:rPr>
        <w:t>)</w:t>
      </w:r>
      <w:r w:rsidR="00AD65E0" w:rsidRPr="004E01B0">
        <w:rPr>
          <w:rFonts w:ascii="Garamond" w:hAnsi="Garamond" w:cstheme="majorBidi"/>
          <w:b/>
          <w:bCs/>
          <w:lang w:bidi="he-IL"/>
        </w:rPr>
        <w:t>:</w:t>
      </w:r>
      <w:r w:rsidR="00AD65E0" w:rsidRPr="004E01B0">
        <w:rPr>
          <w:rFonts w:ascii="Garamond" w:hAnsi="Garamond" w:cstheme="majorBidi" w:hint="cs"/>
          <w:b/>
          <w:bCs/>
          <w:rtl/>
          <w:lang w:bidi="ar-DZ"/>
        </w:rPr>
        <w:t xml:space="preserve"> </w:t>
      </w:r>
      <w:r w:rsidR="00A60A6F" w:rsidRPr="006178CB">
        <w:rPr>
          <w:rFonts w:ascii="Garamond" w:hAnsi="Garamond" w:cstheme="majorBidi"/>
          <w:lang w:bidi="ar-DZ"/>
        </w:rPr>
        <w:t xml:space="preserve">Umm </w:t>
      </w:r>
      <w:r w:rsidR="006178CB" w:rsidRPr="006178CB">
        <w:rPr>
          <w:rFonts w:ascii="Garamond" w:hAnsi="Garamond" w:cstheme="majorBidi"/>
          <w:lang w:bidi="ar-DZ"/>
        </w:rPr>
        <w:t xml:space="preserve">Al </w:t>
      </w:r>
      <w:r w:rsidR="00A60A6F" w:rsidRPr="006178CB">
        <w:rPr>
          <w:rFonts w:ascii="Garamond" w:hAnsi="Garamond" w:cstheme="majorBidi"/>
          <w:lang w:bidi="ar-DZ"/>
        </w:rPr>
        <w:t>Fahm</w:t>
      </w:r>
      <w:r w:rsidR="0021517F">
        <w:rPr>
          <w:rFonts w:ascii="Garamond" w:hAnsi="Garamond" w:cstheme="majorBidi"/>
          <w:lang w:bidi="ar-DZ"/>
        </w:rPr>
        <w:t xml:space="preserve">, the main city in the triangle, </w:t>
      </w:r>
      <w:r w:rsidR="00A60A6F" w:rsidRPr="006178CB">
        <w:rPr>
          <w:rFonts w:ascii="Garamond" w:hAnsi="Garamond" w:cstheme="majorBidi"/>
          <w:lang w:bidi="ar-DZ"/>
        </w:rPr>
        <w:t>is the third largest Arab</w:t>
      </w:r>
      <w:r w:rsidR="006178CB" w:rsidRPr="006178CB">
        <w:rPr>
          <w:rFonts w:ascii="Garamond" w:hAnsi="Garamond" w:cstheme="majorBidi"/>
          <w:lang w:bidi="ar-DZ"/>
        </w:rPr>
        <w:t>-Palestinian</w:t>
      </w:r>
      <w:r w:rsidR="00A60A6F" w:rsidRPr="006178CB">
        <w:rPr>
          <w:rFonts w:ascii="Garamond" w:hAnsi="Garamond" w:cstheme="majorBidi"/>
          <w:lang w:bidi="ar-DZ"/>
        </w:rPr>
        <w:t xml:space="preserve"> city i</w:t>
      </w:r>
      <w:r w:rsidR="004B5E15" w:rsidRPr="006178CB">
        <w:rPr>
          <w:rFonts w:ascii="Garamond" w:hAnsi="Garamond" w:cstheme="majorBidi"/>
          <w:lang w:bidi="ar-DZ"/>
        </w:rPr>
        <w:t>n Israel</w:t>
      </w:r>
      <w:r w:rsidR="006178CB" w:rsidRPr="006178CB">
        <w:rPr>
          <w:rFonts w:ascii="Garamond" w:hAnsi="Garamond" w:cstheme="majorBidi"/>
          <w:lang w:bidi="ar-DZ"/>
        </w:rPr>
        <w:t>,</w:t>
      </w:r>
      <w:r w:rsidR="007F5022">
        <w:rPr>
          <w:rFonts w:ascii="Garamond" w:hAnsi="Garamond" w:cstheme="majorBidi"/>
          <w:lang w:bidi="ar-DZ"/>
        </w:rPr>
        <w:t xml:space="preserve"> has a Muslim religious character,</w:t>
      </w:r>
      <w:r w:rsidR="006178CB" w:rsidRPr="006178CB">
        <w:rPr>
          <w:rFonts w:ascii="Garamond" w:hAnsi="Garamond" w:cstheme="majorBidi"/>
          <w:lang w:bidi="ar-DZ"/>
        </w:rPr>
        <w:t xml:space="preserve"> located near by the separation wall</w:t>
      </w:r>
      <w:r w:rsidR="004B5E15" w:rsidRPr="006178CB">
        <w:rPr>
          <w:rFonts w:ascii="Garamond" w:hAnsi="Garamond" w:cstheme="majorBidi"/>
          <w:lang w:bidi="ar-DZ"/>
        </w:rPr>
        <w:t>.</w:t>
      </w:r>
      <w:r w:rsidR="006178CB" w:rsidRPr="006178CB">
        <w:rPr>
          <w:rStyle w:val="FootnoteReference"/>
          <w:rFonts w:ascii="Garamond" w:hAnsi="Garamond" w:cstheme="majorBidi"/>
          <w:lang w:bidi="ar-DZ"/>
        </w:rPr>
        <w:footnoteReference w:id="23"/>
      </w:r>
      <w:r w:rsidR="006178CB" w:rsidRPr="006178CB">
        <w:rPr>
          <w:rFonts w:ascii="Garamond" w:hAnsi="Garamond" w:cstheme="majorBidi"/>
          <w:lang w:bidi="ar-DZ"/>
        </w:rPr>
        <w:t xml:space="preserve"> In relation to other surrounding Arab-Palestinian villages, it includes many commercial centers. </w:t>
      </w:r>
      <w:r w:rsidR="006178CB">
        <w:rPr>
          <w:rFonts w:ascii="Garamond" w:hAnsi="Garamond" w:cstheme="majorBidi"/>
          <w:lang w:bidi="ar-DZ"/>
        </w:rPr>
        <w:t xml:space="preserve">Politically, </w:t>
      </w:r>
      <w:r w:rsidR="006178CB" w:rsidRPr="006178CB">
        <w:rPr>
          <w:rFonts w:ascii="Garamond" w:hAnsi="Garamond" w:cstheme="majorBidi"/>
          <w:lang w:bidi="ar-DZ"/>
        </w:rPr>
        <w:t>Umm Al Fahm</w:t>
      </w:r>
      <w:r w:rsidR="00A60A6F" w:rsidRPr="006178CB">
        <w:rPr>
          <w:rFonts w:ascii="Garamond" w:hAnsi="Garamond" w:cstheme="majorBidi"/>
          <w:lang w:bidi="ar-DZ"/>
        </w:rPr>
        <w:t xml:space="preserve"> was one of the focal of the </w:t>
      </w:r>
      <w:r w:rsidR="004B5E15" w:rsidRPr="006178CB">
        <w:rPr>
          <w:rFonts w:ascii="Garamond" w:hAnsi="Garamond" w:cstheme="majorBidi"/>
          <w:lang w:bidi="ar-DZ"/>
        </w:rPr>
        <w:t>Second Intifada</w:t>
      </w:r>
      <w:r w:rsidR="006178CB" w:rsidRPr="006178CB">
        <w:rPr>
          <w:rFonts w:ascii="Garamond" w:hAnsi="Garamond" w:cstheme="majorBidi"/>
          <w:rtl/>
          <w:lang w:bidi="he-IL"/>
        </w:rPr>
        <w:t>;</w:t>
      </w:r>
      <w:r w:rsidR="00A60A6F" w:rsidRPr="006178CB">
        <w:rPr>
          <w:rFonts w:ascii="Garamond" w:hAnsi="Garamond" w:cstheme="majorBidi"/>
          <w:lang w:bidi="ar-DZ"/>
        </w:rPr>
        <w:t xml:space="preserve"> </w:t>
      </w:r>
      <w:r w:rsidR="004B5E15" w:rsidRPr="006178CB">
        <w:rPr>
          <w:rFonts w:ascii="Garamond" w:hAnsi="Garamond" w:cstheme="majorBidi"/>
          <w:lang w:bidi="ar-DZ"/>
        </w:rPr>
        <w:t>Violent demonstrations by city residents led to the blockade o</w:t>
      </w:r>
      <w:r w:rsidR="006178CB" w:rsidRPr="006178CB">
        <w:rPr>
          <w:rFonts w:ascii="Garamond" w:hAnsi="Garamond" w:cstheme="majorBidi"/>
          <w:lang w:bidi="ar-DZ"/>
        </w:rPr>
        <w:t>f main road</w:t>
      </w:r>
      <w:r w:rsidR="006178CB" w:rsidRPr="006178CB">
        <w:rPr>
          <w:rFonts w:ascii="Garamond" w:hAnsi="Garamond" w:cstheme="majorBidi"/>
          <w:lang w:bidi="he-IL"/>
        </w:rPr>
        <w:t>s</w:t>
      </w:r>
      <w:r w:rsidR="006178CB" w:rsidRPr="006178CB">
        <w:rPr>
          <w:rFonts w:ascii="Garamond" w:hAnsi="Garamond" w:cstheme="majorBidi"/>
          <w:rtl/>
          <w:lang w:bidi="he-IL"/>
        </w:rPr>
        <w:t>;</w:t>
      </w:r>
      <w:r w:rsidR="004B5E15" w:rsidRPr="006178CB">
        <w:rPr>
          <w:rFonts w:ascii="Garamond" w:hAnsi="Garamond" w:cstheme="majorBidi"/>
          <w:lang w:bidi="ar-DZ"/>
        </w:rPr>
        <w:t xml:space="preserve"> On the first day of the events, two of the protesters were killed by police fire, and the next day another protester was killed. </w:t>
      </w:r>
      <w:r w:rsidR="0021517F">
        <w:rPr>
          <w:rFonts w:ascii="Garamond" w:hAnsi="Garamond" w:cstheme="majorBidi"/>
          <w:lang w:bidi="ar-DZ"/>
        </w:rPr>
        <w:t xml:space="preserve">The fact that Umm Al Fahm is located at the center on Israel, and nearby a main street – Wadi Ara – that connects the North and the South, makes it the ideal place for having large demonstrations, which Palestinian people across the county, can easily join. </w:t>
      </w:r>
    </w:p>
    <w:p w14:paraId="1FA30E45" w14:textId="2F4DE257" w:rsidR="00AA3485" w:rsidRPr="004E01B0" w:rsidRDefault="00AA3485" w:rsidP="0021517F">
      <w:pPr>
        <w:spacing w:before="120" w:after="120" w:line="360" w:lineRule="auto"/>
        <w:ind w:left="720"/>
        <w:jc w:val="both"/>
        <w:rPr>
          <w:rFonts w:ascii="Garamond" w:hAnsi="Garamond" w:cstheme="majorBidi"/>
          <w:lang w:bidi="ar-DZ"/>
        </w:rPr>
      </w:pPr>
      <w:r w:rsidRPr="004E01B0">
        <w:rPr>
          <w:rFonts w:ascii="Garamond" w:hAnsi="Garamond" w:cstheme="majorBidi"/>
          <w:lang w:bidi="ar-DZ"/>
        </w:rPr>
        <w:t>(2)</w:t>
      </w:r>
      <w:r w:rsidR="00A60A6F" w:rsidRPr="004E01B0">
        <w:rPr>
          <w:rFonts w:ascii="Garamond" w:hAnsi="Garamond" w:cstheme="majorBidi"/>
          <w:lang w:bidi="ar-DZ"/>
        </w:rPr>
        <w:t xml:space="preserve"> </w:t>
      </w:r>
      <w:r w:rsidR="0073022C" w:rsidRPr="0073022C">
        <w:rPr>
          <w:rFonts w:ascii="Garamond" w:hAnsi="Garamond" w:cstheme="majorBidi"/>
          <w:b/>
          <w:bCs/>
          <w:lang w:bidi="ar-DZ"/>
        </w:rPr>
        <w:t>‘</w:t>
      </w:r>
      <w:r w:rsidR="00A60A6F" w:rsidRPr="004E01B0">
        <w:rPr>
          <w:rFonts w:ascii="Garamond" w:hAnsi="Garamond" w:cstheme="majorBidi"/>
          <w:b/>
          <w:bCs/>
          <w:lang w:bidi="ar-DZ"/>
        </w:rPr>
        <w:t>Jaffa</w:t>
      </w:r>
      <w:r w:rsidR="0073022C">
        <w:rPr>
          <w:rFonts w:ascii="Garamond" w:hAnsi="Garamond" w:cstheme="majorBidi"/>
          <w:b/>
          <w:bCs/>
          <w:lang w:bidi="ar-DZ"/>
        </w:rPr>
        <w:t>’</w:t>
      </w:r>
      <w:r w:rsidR="00AD65E0" w:rsidRPr="004E01B0">
        <w:rPr>
          <w:rFonts w:ascii="Garamond" w:hAnsi="Garamond" w:cstheme="majorBidi"/>
          <w:b/>
          <w:bCs/>
          <w:lang w:bidi="ar-DZ"/>
        </w:rPr>
        <w:t xml:space="preserve"> </w:t>
      </w:r>
      <w:r w:rsidR="00AD65E0" w:rsidRPr="004E01B0">
        <w:rPr>
          <w:rFonts w:ascii="Garamond" w:hAnsi="Garamond" w:cstheme="majorBidi"/>
          <w:lang w:bidi="ar-DZ"/>
        </w:rPr>
        <w:t>(</w:t>
      </w:r>
      <w:r w:rsidR="00AD65E0" w:rsidRPr="004E01B0">
        <w:rPr>
          <w:rFonts w:ascii="Garamond" w:hAnsi="Garamond" w:cstheme="majorBidi"/>
          <w:lang w:bidi="he-IL"/>
        </w:rPr>
        <w:t>Arabic</w:t>
      </w:r>
      <w:r w:rsidR="00AD65E0" w:rsidRPr="004E01B0">
        <w:rPr>
          <w:rFonts w:ascii="Garamond" w:hAnsi="Garamond" w:cstheme="majorBidi"/>
          <w:rtl/>
          <w:lang w:bidi="ar-DZ"/>
        </w:rPr>
        <w:t xml:space="preserve"> </w:t>
      </w:r>
      <w:r w:rsidR="00AD65E0" w:rsidRPr="004E01B0">
        <w:rPr>
          <w:rFonts w:ascii="Garamond" w:hAnsi="Garamond" w:cstheme="majorBidi"/>
          <w:lang w:bidi="ar-DZ"/>
        </w:rPr>
        <w:t>-</w:t>
      </w:r>
      <w:r w:rsidR="00AD65E0" w:rsidRPr="004E01B0">
        <w:rPr>
          <w:rFonts w:ascii="Garamond" w:hAnsi="Garamond" w:cstheme="majorBidi"/>
          <w:lang w:bidi="he-IL"/>
        </w:rPr>
        <w:t xml:space="preserve"> </w:t>
      </w:r>
      <w:r w:rsidR="00AD65E0" w:rsidRPr="004E01B0">
        <w:rPr>
          <w:rFonts w:ascii="Garamond" w:hAnsi="Garamond" w:cs="Arabic Typesetting"/>
          <w:sz w:val="28"/>
          <w:szCs w:val="28"/>
          <w:rtl/>
          <w:lang w:bidi="ar-DZ"/>
        </w:rPr>
        <w:t>يافا</w:t>
      </w:r>
      <w:r w:rsidR="00AD65E0" w:rsidRPr="004E01B0">
        <w:rPr>
          <w:rFonts w:ascii="Garamond" w:hAnsi="Garamond" w:cs="Arabic Typesetting"/>
          <w:lang w:bidi="he-IL"/>
        </w:rPr>
        <w:t>)</w:t>
      </w:r>
      <w:r w:rsidR="00AD65E0" w:rsidRPr="004E01B0">
        <w:rPr>
          <w:rFonts w:ascii="Garamond" w:hAnsi="Garamond" w:cstheme="majorBidi"/>
          <w:b/>
          <w:bCs/>
          <w:lang w:bidi="he-IL"/>
        </w:rPr>
        <w:t>:</w:t>
      </w:r>
      <w:r w:rsidR="007F5022" w:rsidRPr="004E01B0">
        <w:rPr>
          <w:rFonts w:ascii="Garamond" w:hAnsi="Garamond" w:cstheme="majorBidi"/>
          <w:b/>
          <w:bCs/>
          <w:lang w:bidi="ar-DZ"/>
        </w:rPr>
        <w:t xml:space="preserve"> </w:t>
      </w:r>
      <w:r w:rsidR="00AD65E0" w:rsidRPr="004E01B0">
        <w:rPr>
          <w:rFonts w:ascii="Garamond" w:hAnsi="Garamond" w:cstheme="majorBidi"/>
          <w:lang w:bidi="ar-DZ"/>
        </w:rPr>
        <w:t xml:space="preserve">Jaffa is a port city, </w:t>
      </w:r>
      <w:r w:rsidR="004E01B0" w:rsidRPr="004E01B0">
        <w:rPr>
          <w:rFonts w:ascii="Garamond" w:hAnsi="Garamond" w:cstheme="majorBidi"/>
          <w:lang w:bidi="ar-DZ"/>
        </w:rPr>
        <w:t>it existed as an independent city for thousands of years, until it was united with Tel-Aviv in 1949, following the Nakba</w:t>
      </w:r>
      <w:r w:rsidR="0021517F">
        <w:rPr>
          <w:rFonts w:ascii="Garamond" w:hAnsi="Garamond" w:cstheme="majorBidi"/>
          <w:lang w:bidi="ar-DZ"/>
        </w:rPr>
        <w:t xml:space="preserve"> (Known also as the Palestinian Catastrophe)</w:t>
      </w:r>
      <w:r w:rsidR="004E01B0" w:rsidRPr="004E01B0">
        <w:rPr>
          <w:rFonts w:ascii="Garamond" w:hAnsi="Garamond" w:cstheme="majorBidi"/>
          <w:lang w:bidi="ar-DZ"/>
        </w:rPr>
        <w:t xml:space="preserve">. Jaffa is one of the mixed cities in Israel, inhabited by both Arabs and Jews. </w:t>
      </w:r>
      <w:r w:rsidR="0021517F">
        <w:rPr>
          <w:rFonts w:ascii="Garamond" w:hAnsi="Garamond" w:cstheme="majorBidi"/>
          <w:lang w:bidi="ar-DZ"/>
        </w:rPr>
        <w:t>Before 1948, Jaffa was the main city of culture and commerce in Palestine. Being a port city, makes it very much accessible to important cultural figures and intellectuals who came to visit, choose to stay there.</w:t>
      </w:r>
      <w:r w:rsidR="0021517F">
        <w:rPr>
          <w:rStyle w:val="FootnoteReference"/>
          <w:rFonts w:ascii="Garamond" w:hAnsi="Garamond" w:cstheme="majorBidi"/>
          <w:lang w:bidi="ar-DZ"/>
        </w:rPr>
        <w:footnoteReference w:id="24"/>
      </w:r>
      <w:r w:rsidR="0021517F">
        <w:rPr>
          <w:rFonts w:ascii="Garamond" w:hAnsi="Garamond" w:cstheme="majorBidi"/>
          <w:lang w:bidi="ar-DZ"/>
        </w:rPr>
        <w:t xml:space="preserve"> However, currently, </w:t>
      </w:r>
      <w:r w:rsidR="004E01B0" w:rsidRPr="004E01B0">
        <w:rPr>
          <w:rFonts w:ascii="Garamond" w:hAnsi="Garamond" w:cstheme="majorBidi"/>
          <w:lang w:bidi="ar-DZ"/>
        </w:rPr>
        <w:t xml:space="preserve">Jaffa is considered one of the main centers of violence in Palestine, with a very high percentage of lack of education and unemployment. </w:t>
      </w:r>
      <w:r w:rsidR="004E01B0">
        <w:rPr>
          <w:rFonts w:ascii="Garamond" w:hAnsi="Garamond" w:cstheme="majorBidi"/>
          <w:lang w:bidi="ar-DZ"/>
        </w:rPr>
        <w:t>As for 2008, there are about 46,500 residents living in Jaffa, 32,500 are Jews and 14,000 are Arabs</w:t>
      </w:r>
      <w:r w:rsidR="0073022C">
        <w:rPr>
          <w:rFonts w:ascii="Garamond" w:hAnsi="Garamond" w:cstheme="majorBidi"/>
          <w:lang w:bidi="ar-DZ"/>
        </w:rPr>
        <w:t>, most of them are Muslims</w:t>
      </w:r>
      <w:r w:rsidR="004E01B0">
        <w:rPr>
          <w:rFonts w:ascii="Garamond" w:hAnsi="Garamond" w:cstheme="majorBidi"/>
          <w:lang w:bidi="ar-DZ"/>
        </w:rPr>
        <w:t xml:space="preserve">. Jaffa has also begun to undergo gentrification process. Among the Arab community in Jaffa, there are arguments that the Israeli government is trying to push their feet away by establishing prestigious projects that are populated mainly by Jews. </w:t>
      </w:r>
    </w:p>
    <w:p w14:paraId="16C362ED" w14:textId="126A2CB7" w:rsidR="00AA3485" w:rsidRDefault="00AD65E0" w:rsidP="0073022C">
      <w:pPr>
        <w:spacing w:before="120" w:after="120" w:line="360" w:lineRule="auto"/>
        <w:ind w:left="720"/>
        <w:jc w:val="both"/>
        <w:rPr>
          <w:rFonts w:ascii="Garamond" w:hAnsi="Garamond" w:cstheme="majorBidi"/>
          <w:lang w:bidi="he-IL"/>
        </w:rPr>
      </w:pPr>
      <w:r w:rsidRPr="004B5E15">
        <w:rPr>
          <w:rFonts w:ascii="Garamond" w:hAnsi="Garamond" w:cstheme="majorBidi"/>
          <w:lang w:bidi="ar-DZ"/>
        </w:rPr>
        <w:t xml:space="preserve"> </w:t>
      </w:r>
      <w:r w:rsidR="00AA3485" w:rsidRPr="004B5E15">
        <w:rPr>
          <w:rFonts w:ascii="Garamond" w:hAnsi="Garamond" w:cstheme="majorBidi"/>
          <w:lang w:bidi="ar-DZ"/>
        </w:rPr>
        <w:t>(3)</w:t>
      </w:r>
      <w:r w:rsidR="00A60A6F" w:rsidRPr="004B5E15">
        <w:rPr>
          <w:rFonts w:ascii="Garamond" w:hAnsi="Garamond" w:cstheme="majorBidi"/>
          <w:lang w:bidi="ar-DZ"/>
        </w:rPr>
        <w:t xml:space="preserve"> </w:t>
      </w:r>
      <w:r w:rsidR="0073022C" w:rsidRPr="0073022C">
        <w:rPr>
          <w:rFonts w:ascii="Garamond" w:hAnsi="Garamond" w:cstheme="majorBidi"/>
          <w:b/>
          <w:bCs/>
          <w:lang w:bidi="ar-DZ"/>
        </w:rPr>
        <w:t>‘</w:t>
      </w:r>
      <w:r w:rsidR="004E01B0" w:rsidRPr="004B5E15">
        <w:rPr>
          <w:rFonts w:ascii="Garamond" w:hAnsi="Garamond" w:cstheme="majorBidi"/>
          <w:b/>
          <w:bCs/>
          <w:lang w:bidi="ar-DZ"/>
        </w:rPr>
        <w:t>Nazareth</w:t>
      </w:r>
      <w:r w:rsidR="0073022C">
        <w:rPr>
          <w:rFonts w:ascii="Garamond" w:hAnsi="Garamond" w:cstheme="majorBidi"/>
          <w:b/>
          <w:bCs/>
          <w:lang w:bidi="ar-DZ"/>
        </w:rPr>
        <w:t>’</w:t>
      </w:r>
      <w:r w:rsidR="004E01B0" w:rsidRPr="00AD65E0">
        <w:rPr>
          <w:rFonts w:ascii="Garamond" w:hAnsi="Garamond" w:cstheme="majorBidi"/>
          <w:lang w:bidi="ar-DZ"/>
        </w:rPr>
        <w:t xml:space="preserve"> (</w:t>
      </w:r>
      <w:r w:rsidR="004E01B0" w:rsidRPr="00AD65E0">
        <w:rPr>
          <w:rFonts w:ascii="Garamond" w:hAnsi="Garamond" w:cstheme="majorBidi"/>
          <w:lang w:bidi="he-IL"/>
        </w:rPr>
        <w:t>Arabic</w:t>
      </w:r>
      <w:r w:rsidR="004E01B0" w:rsidRPr="00AD65E0">
        <w:rPr>
          <w:rFonts w:ascii="Garamond" w:hAnsi="Garamond" w:cstheme="majorBidi" w:hint="cs"/>
          <w:rtl/>
          <w:lang w:bidi="ar-DZ"/>
        </w:rPr>
        <w:t xml:space="preserve"> </w:t>
      </w:r>
      <w:r w:rsidR="004E01B0">
        <w:rPr>
          <w:rFonts w:ascii="Garamond" w:hAnsi="Garamond" w:cstheme="majorBidi"/>
          <w:lang w:bidi="ar-DZ"/>
        </w:rPr>
        <w:t>–</w:t>
      </w:r>
      <w:proofErr w:type="gramStart"/>
      <w:r w:rsidR="004E01B0">
        <w:rPr>
          <w:rFonts w:ascii="Arabic Typesetting" w:hAnsi="Arabic Typesetting" w:cs="Arabic Typesetting" w:hint="cs"/>
          <w:sz w:val="28"/>
          <w:szCs w:val="28"/>
          <w:rtl/>
          <w:lang w:bidi="ar-DZ"/>
        </w:rPr>
        <w:t xml:space="preserve">الناصرة </w:t>
      </w:r>
      <w:r w:rsidR="004E01B0">
        <w:rPr>
          <w:rFonts w:ascii="Arabic Typesetting" w:hAnsi="Arabic Typesetting" w:cs="Arabic Typesetting"/>
          <w:sz w:val="28"/>
          <w:szCs w:val="28"/>
          <w:lang w:bidi="ar-DZ"/>
        </w:rPr>
        <w:t>)</w:t>
      </w:r>
      <w:proofErr w:type="gramEnd"/>
      <w:r w:rsidR="004E01B0" w:rsidRPr="004E01B0">
        <w:rPr>
          <w:rFonts w:ascii="Garamond" w:hAnsi="Garamond" w:cstheme="majorBidi"/>
          <w:b/>
          <w:bCs/>
          <w:lang w:bidi="he-IL"/>
        </w:rPr>
        <w:t>:</w:t>
      </w:r>
      <w:r w:rsidR="004E01B0">
        <w:rPr>
          <w:rFonts w:ascii="Garamond" w:hAnsi="Garamond" w:cstheme="majorBidi"/>
          <w:b/>
          <w:bCs/>
          <w:lang w:bidi="he-IL"/>
        </w:rPr>
        <w:t xml:space="preserve"> </w:t>
      </w:r>
      <w:r w:rsidR="0073022C">
        <w:rPr>
          <w:rFonts w:ascii="Garamond" w:hAnsi="Garamond" w:cstheme="majorBidi"/>
          <w:lang w:bidi="he-IL"/>
        </w:rPr>
        <w:t xml:space="preserve">Nazareth, known as “The Arab Capital of Israel”, is the largest Arab-Palestinian city in Israel. In 2019, its population was 77,445, of whom 69% are Muslim and 30.9% are Christian. In the New Testament, Nazareth is described as the childhood home of Jesus, and as such is a center of Christian pilgrimage. </w:t>
      </w:r>
      <w:r w:rsidR="006A0972">
        <w:rPr>
          <w:rFonts w:ascii="Garamond" w:hAnsi="Garamond" w:cstheme="majorBidi"/>
          <w:lang w:bidi="he-IL"/>
        </w:rPr>
        <w:t xml:space="preserve">Nazareth, being such an important city for Christianity, makes the relationship between the city and the Jewish state very much </w:t>
      </w:r>
      <w:r w:rsidR="006A0972">
        <w:rPr>
          <w:rFonts w:ascii="Garamond" w:hAnsi="Garamond" w:cstheme="majorBidi"/>
          <w:lang w:bidi="he-IL"/>
        </w:rPr>
        <w:lastRenderedPageBreak/>
        <w:t>delicate and complex. This case is very different from the case of Jaffa and Umm Al Fahm, and may add another layer to this study.</w:t>
      </w:r>
    </w:p>
    <w:p w14:paraId="39919BCE" w14:textId="2F1A985F" w:rsidR="00126097" w:rsidRPr="00126097" w:rsidRDefault="00126097" w:rsidP="00126097">
      <w:pPr>
        <w:spacing w:before="120" w:after="120" w:line="360" w:lineRule="auto"/>
        <w:jc w:val="both"/>
        <w:rPr>
          <w:rFonts w:ascii="Garamond" w:hAnsi="Garamond" w:cstheme="majorBidi"/>
          <w:b/>
          <w:bCs/>
          <w:rtl/>
          <w:lang w:bidi="ar-DZ"/>
        </w:rPr>
      </w:pPr>
      <w:r w:rsidRPr="00126097">
        <w:rPr>
          <w:rFonts w:ascii="Garamond" w:hAnsi="Garamond" w:cstheme="majorBidi"/>
          <w:b/>
          <w:bCs/>
          <w:lang w:bidi="he-IL"/>
        </w:rPr>
        <w:t>M</w:t>
      </w:r>
      <w:r>
        <w:rPr>
          <w:rFonts w:ascii="Garamond" w:hAnsi="Garamond" w:cstheme="majorBidi"/>
          <w:b/>
          <w:bCs/>
          <w:lang w:bidi="he-IL"/>
        </w:rPr>
        <w:t>ETHODS</w:t>
      </w:r>
    </w:p>
    <w:p w14:paraId="0392E0B6" w14:textId="2F7F1692" w:rsidR="00126097" w:rsidRDefault="00AA3485" w:rsidP="00126097">
      <w:pPr>
        <w:spacing w:before="120" w:after="120" w:line="360" w:lineRule="auto"/>
        <w:jc w:val="both"/>
        <w:rPr>
          <w:rFonts w:ascii="Garamond" w:hAnsi="Garamond" w:cstheme="majorBidi"/>
          <w:lang w:bidi="ar-DZ"/>
        </w:rPr>
      </w:pPr>
      <w:r w:rsidRPr="004B5E15">
        <w:rPr>
          <w:rFonts w:ascii="Garamond" w:hAnsi="Garamond" w:cstheme="majorBidi"/>
          <w:lang w:bidi="ar-DZ"/>
        </w:rPr>
        <w:t>As for t</w:t>
      </w:r>
      <w:r w:rsidR="007F5022">
        <w:rPr>
          <w:rFonts w:ascii="Garamond" w:hAnsi="Garamond" w:cstheme="majorBidi"/>
          <w:lang w:bidi="ar-DZ"/>
        </w:rPr>
        <w:t xml:space="preserve">he method, I </w:t>
      </w:r>
      <w:r w:rsidR="00AC46DE">
        <w:rPr>
          <w:rFonts w:ascii="Garamond" w:hAnsi="Garamond" w:cstheme="majorBidi"/>
          <w:lang w:bidi="ar-DZ"/>
        </w:rPr>
        <w:t>will</w:t>
      </w:r>
      <w:r w:rsidR="007F5022">
        <w:rPr>
          <w:rFonts w:ascii="Garamond" w:hAnsi="Garamond" w:cstheme="majorBidi"/>
          <w:lang w:bidi="ar-DZ"/>
        </w:rPr>
        <w:t xml:space="preserve"> conduct </w:t>
      </w:r>
      <w:r w:rsidRPr="004B5E15">
        <w:rPr>
          <w:rFonts w:ascii="Garamond" w:hAnsi="Garamond" w:cstheme="majorBidi"/>
          <w:lang w:bidi="ar-DZ"/>
        </w:rPr>
        <w:t>ethnographic research, including participant observation, witnessing the daily experience of Palestinian Citizen of Israel, and their encounter with the Police. I will also conduct personal interviews, in order to apprehend the moral dilemmas that they face.</w:t>
      </w:r>
      <w:r w:rsidR="004B5E15">
        <w:rPr>
          <w:rFonts w:ascii="Garamond" w:hAnsi="Garamond" w:cstheme="majorBidi"/>
          <w:lang w:bidi="ar-DZ"/>
        </w:rPr>
        <w:t xml:space="preserve"> </w:t>
      </w:r>
      <w:r w:rsidR="00126097">
        <w:rPr>
          <w:rFonts w:ascii="Garamond" w:hAnsi="Garamond" w:cstheme="majorBidi"/>
          <w:lang w:bidi="ar-DZ"/>
        </w:rPr>
        <w:t xml:space="preserve">The interviews will be conducted with the families and close contacts of people who were murdered in the past years, by the Israeli police and by others. In addition, I will conduct interviews with professional actors, who were involves in such cases, as such social workers, lawyers, and feminist organizations. I will follow demonstrations happening in the regions and attend them in order to closely observe the interactions, and the Police-Arab citizen’s encounter. </w:t>
      </w:r>
    </w:p>
    <w:p w14:paraId="3C3F1152" w14:textId="4121701F" w:rsidR="00126097" w:rsidRPr="00126097" w:rsidRDefault="00126097" w:rsidP="00126097">
      <w:pPr>
        <w:spacing w:before="120" w:after="120" w:line="360" w:lineRule="auto"/>
        <w:jc w:val="both"/>
        <w:rPr>
          <w:rFonts w:ascii="Garamond" w:hAnsi="Garamond" w:cstheme="majorBidi"/>
          <w:b/>
          <w:bCs/>
          <w:lang w:bidi="ar-DZ"/>
        </w:rPr>
      </w:pPr>
      <w:r w:rsidRPr="00126097">
        <w:rPr>
          <w:rFonts w:ascii="Garamond" w:hAnsi="Garamond" w:cstheme="majorBidi"/>
          <w:b/>
          <w:bCs/>
          <w:lang w:bidi="ar-DZ"/>
        </w:rPr>
        <w:t>CHALLENGES</w:t>
      </w:r>
    </w:p>
    <w:p w14:paraId="06E6DE2C" w14:textId="64E6D1F7" w:rsidR="00487E8F" w:rsidRDefault="00AA3485" w:rsidP="007564A6">
      <w:pPr>
        <w:spacing w:before="120" w:after="120" w:line="360" w:lineRule="auto"/>
        <w:jc w:val="both"/>
        <w:rPr>
          <w:rFonts w:ascii="Garamond" w:hAnsi="Garamond" w:cstheme="majorBidi"/>
          <w:lang w:bidi="ar-DZ"/>
        </w:rPr>
      </w:pPr>
      <w:r w:rsidRPr="004B5E15">
        <w:rPr>
          <w:rFonts w:ascii="Garamond" w:hAnsi="Garamond" w:cstheme="majorBidi"/>
          <w:lang w:bidi="ar-DZ"/>
        </w:rPr>
        <w:t xml:space="preserve">Based on my belonging to the Palestinian community in Israel, </w:t>
      </w:r>
      <w:r w:rsidR="007564A6">
        <w:rPr>
          <w:rFonts w:ascii="Garamond" w:hAnsi="Garamond" w:cstheme="majorBidi"/>
          <w:lang w:bidi="ar-DZ"/>
        </w:rPr>
        <w:t>and as a native speaker of Arabic</w:t>
      </w:r>
      <w:r w:rsidRPr="004B5E15">
        <w:rPr>
          <w:rFonts w:ascii="Garamond" w:hAnsi="Garamond" w:cstheme="majorBidi"/>
          <w:lang w:bidi="ar-DZ"/>
        </w:rPr>
        <w:t>,</w:t>
      </w:r>
      <w:r w:rsidR="007F5022">
        <w:rPr>
          <w:rFonts w:ascii="Garamond" w:hAnsi="Garamond" w:cstheme="majorBidi"/>
          <w:lang w:bidi="ar-DZ"/>
        </w:rPr>
        <w:t xml:space="preserve"> </w:t>
      </w:r>
      <w:r w:rsidR="007564A6">
        <w:rPr>
          <w:rFonts w:ascii="Garamond" w:hAnsi="Garamond" w:cstheme="majorBidi"/>
          <w:lang w:bidi="ar-DZ"/>
        </w:rPr>
        <w:t xml:space="preserve">will be an advantage for me in entering the field. Furthermore, the historical knowledge I know about the region, will give me a context and allow me to be aware of the smallest nuances. </w:t>
      </w:r>
      <w:r w:rsidR="00487E8F">
        <w:rPr>
          <w:rFonts w:ascii="Garamond" w:hAnsi="Garamond" w:cstheme="majorBidi"/>
          <w:lang w:bidi="he-IL"/>
        </w:rPr>
        <w:t xml:space="preserve">However, this project may nonetheless face a few </w:t>
      </w:r>
      <w:r w:rsidR="004D1372">
        <w:rPr>
          <w:rFonts w:ascii="Garamond" w:hAnsi="Garamond" w:cstheme="majorBidi"/>
          <w:lang w:bidi="he-IL"/>
        </w:rPr>
        <w:t xml:space="preserve">challenges, overcoming it, will </w:t>
      </w:r>
      <w:r w:rsidR="007564A6">
        <w:rPr>
          <w:rFonts w:ascii="Garamond" w:hAnsi="Garamond" w:cstheme="majorBidi"/>
          <w:lang w:bidi="he-IL"/>
        </w:rPr>
        <w:t>bring</w:t>
      </w:r>
      <w:r w:rsidR="004D1372">
        <w:rPr>
          <w:rFonts w:ascii="Garamond" w:hAnsi="Garamond" w:cstheme="majorBidi"/>
          <w:lang w:bidi="he-IL"/>
        </w:rPr>
        <w:t xml:space="preserve"> a groundbreaking contrib</w:t>
      </w:r>
      <w:r w:rsidR="007564A6">
        <w:rPr>
          <w:rFonts w:ascii="Garamond" w:hAnsi="Garamond" w:cstheme="majorBidi"/>
          <w:lang w:bidi="he-IL"/>
        </w:rPr>
        <w:t xml:space="preserve">ution to the study of the subject in conflict zones.  </w:t>
      </w:r>
    </w:p>
    <w:p w14:paraId="5D376164" w14:textId="77777777" w:rsidR="00190C9B" w:rsidRDefault="00487E8F" w:rsidP="00190C9B">
      <w:pPr>
        <w:spacing w:before="120" w:after="120" w:line="360" w:lineRule="auto"/>
        <w:ind w:firstLine="284"/>
        <w:jc w:val="both"/>
        <w:rPr>
          <w:rFonts w:ascii="Garamond" w:hAnsi="Garamond" w:cstheme="majorBidi"/>
          <w:lang w:bidi="ar-DZ"/>
        </w:rPr>
      </w:pPr>
      <w:r>
        <w:rPr>
          <w:rFonts w:ascii="Garamond" w:hAnsi="Garamond" w:cstheme="majorBidi"/>
          <w:lang w:bidi="he-IL"/>
        </w:rPr>
        <w:t xml:space="preserve">First, </w:t>
      </w:r>
      <w:r w:rsidR="004D1372">
        <w:rPr>
          <w:rFonts w:ascii="Garamond" w:hAnsi="Garamond" w:cstheme="majorBidi"/>
          <w:lang w:bidi="ar-DZ"/>
        </w:rPr>
        <w:t xml:space="preserve">dealing with spheres of life, death and loss, in not </w:t>
      </w:r>
      <w:r w:rsidR="00190C9B">
        <w:rPr>
          <w:rFonts w:ascii="Garamond" w:hAnsi="Garamond" w:cstheme="majorBidi"/>
          <w:lang w:bidi="ar-DZ"/>
        </w:rPr>
        <w:t xml:space="preserve">an </w:t>
      </w:r>
      <w:r w:rsidR="004D1372">
        <w:rPr>
          <w:rFonts w:ascii="Garamond" w:hAnsi="Garamond" w:cstheme="majorBidi"/>
          <w:lang w:bidi="ar-DZ"/>
        </w:rPr>
        <w:t>easy</w:t>
      </w:r>
      <w:r w:rsidR="00190C9B">
        <w:rPr>
          <w:rFonts w:ascii="Garamond" w:hAnsi="Garamond" w:cstheme="majorBidi"/>
          <w:lang w:bidi="ar-DZ"/>
        </w:rPr>
        <w:t xml:space="preserve"> task</w:t>
      </w:r>
      <w:r w:rsidR="004D1372">
        <w:rPr>
          <w:rFonts w:ascii="Garamond" w:hAnsi="Garamond" w:cstheme="majorBidi"/>
          <w:lang w:bidi="ar-DZ"/>
        </w:rPr>
        <w:t xml:space="preserve">. It touches on the most </w:t>
      </w:r>
      <w:r w:rsidR="00190C9B">
        <w:rPr>
          <w:rFonts w:ascii="Garamond" w:hAnsi="Garamond" w:cstheme="majorBidi"/>
          <w:lang w:bidi="ar-DZ"/>
        </w:rPr>
        <w:t xml:space="preserve">sensitive points of human life. It </w:t>
      </w:r>
      <w:r w:rsidR="004D1372">
        <w:rPr>
          <w:rFonts w:ascii="Garamond" w:hAnsi="Garamond" w:cstheme="majorBidi"/>
          <w:lang w:bidi="ar-DZ"/>
        </w:rPr>
        <w:t xml:space="preserve">is an engagement with a personal trauma, which </w:t>
      </w:r>
      <w:r w:rsidR="00190C9B">
        <w:rPr>
          <w:rFonts w:ascii="Garamond" w:hAnsi="Garamond" w:cstheme="majorBidi"/>
          <w:lang w:bidi="ar-DZ"/>
        </w:rPr>
        <w:t xml:space="preserve">can lead to outbursts and evoke </w:t>
      </w:r>
      <w:r w:rsidR="004D1372">
        <w:rPr>
          <w:rFonts w:ascii="Garamond" w:hAnsi="Garamond" w:cstheme="majorBidi"/>
          <w:lang w:bidi="ar-DZ"/>
        </w:rPr>
        <w:t xml:space="preserve">difficult memories. </w:t>
      </w:r>
    </w:p>
    <w:p w14:paraId="0F948857" w14:textId="2000DD17" w:rsidR="00190C9B" w:rsidRDefault="00190C9B" w:rsidP="00B82C03">
      <w:pPr>
        <w:spacing w:before="120" w:after="120" w:line="360" w:lineRule="auto"/>
        <w:ind w:firstLine="284"/>
        <w:jc w:val="both"/>
        <w:rPr>
          <w:rFonts w:ascii="Garamond" w:hAnsi="Garamond" w:cstheme="majorBidi"/>
          <w:lang w:bidi="ar-DZ"/>
        </w:rPr>
      </w:pPr>
      <w:r>
        <w:rPr>
          <w:rFonts w:ascii="Garamond" w:hAnsi="Garamond" w:cstheme="majorBidi"/>
          <w:lang w:bidi="ar-DZ"/>
        </w:rPr>
        <w:t xml:space="preserve">Second, </w:t>
      </w:r>
      <w:r w:rsidR="00B82C03">
        <w:rPr>
          <w:rFonts w:ascii="Garamond" w:hAnsi="Garamond" w:cstheme="majorBidi"/>
          <w:lang w:bidi="ar-DZ"/>
        </w:rPr>
        <w:t xml:space="preserve">issues of violence, bloodshed, and murder, are issues that are not just personal. These are issues that evoke feelings of suspicion, towards everyone who ask about them. It will not be the first time that one Palestinian would suspect other Palestinian. This is extremely true in this study, due to the dear that they will think I’m collaborating with the police, or other state institutions. If they collaborate, they would harm themselves. </w:t>
      </w:r>
    </w:p>
    <w:p w14:paraId="380900BE" w14:textId="10CCC910" w:rsidR="00B55F4C" w:rsidRDefault="00190C9B" w:rsidP="00190C9B">
      <w:pPr>
        <w:spacing w:before="120" w:after="120" w:line="360" w:lineRule="auto"/>
        <w:ind w:firstLine="284"/>
        <w:jc w:val="both"/>
        <w:rPr>
          <w:rFonts w:ascii="Garamond" w:hAnsi="Garamond" w:cstheme="majorBidi"/>
          <w:lang w:bidi="ar-DZ"/>
        </w:rPr>
      </w:pPr>
      <w:r>
        <w:rPr>
          <w:rFonts w:ascii="Garamond" w:hAnsi="Garamond" w:cstheme="majorBidi"/>
          <w:lang w:bidi="he-IL"/>
        </w:rPr>
        <w:t>Third,</w:t>
      </w:r>
      <w:r w:rsidR="004D1372">
        <w:rPr>
          <w:rFonts w:ascii="Garamond" w:hAnsi="Garamond" w:cstheme="majorBidi"/>
          <w:lang w:bidi="he-IL"/>
        </w:rPr>
        <w:t xml:space="preserve"> being a women might be </w:t>
      </w:r>
      <w:r>
        <w:rPr>
          <w:rFonts w:ascii="Garamond" w:hAnsi="Garamond" w:cstheme="majorBidi"/>
          <w:lang w:bidi="he-IL"/>
        </w:rPr>
        <w:t xml:space="preserve">a challenge. Particularly, in a conversation with men. </w:t>
      </w:r>
      <w:r>
        <w:rPr>
          <w:rFonts w:ascii="Garamond" w:hAnsi="Garamond" w:cstheme="majorBidi"/>
          <w:lang w:bidi="ar-DZ"/>
        </w:rPr>
        <w:t xml:space="preserve">Discussion on power relations between men and women, have already taken place in Anthropology and other disciplines. The interview room, according to </w:t>
      </w:r>
      <w:r w:rsidRPr="00190C9B">
        <w:rPr>
          <w:rFonts w:ascii="Garamond" w:hAnsi="Garamond" w:cstheme="majorBidi"/>
          <w:i/>
          <w:iCs/>
          <w:lang w:bidi="ar-DZ"/>
        </w:rPr>
        <w:t>Bourdieu</w:t>
      </w:r>
      <w:r>
        <w:rPr>
          <w:rFonts w:ascii="Garamond" w:hAnsi="Garamond" w:cstheme="majorBidi"/>
          <w:lang w:bidi="ar-DZ"/>
        </w:rPr>
        <w:t xml:space="preserve">, is a microcosm of the social relations outside of it. </w:t>
      </w:r>
    </w:p>
    <w:p w14:paraId="3209D14C" w14:textId="2D3DC70C" w:rsidR="007564A6" w:rsidRDefault="004D1372" w:rsidP="00B82C03">
      <w:pPr>
        <w:spacing w:before="120" w:after="120" w:line="360" w:lineRule="auto"/>
        <w:ind w:firstLine="284"/>
        <w:jc w:val="both"/>
        <w:rPr>
          <w:rFonts w:ascii="Garamond" w:hAnsi="Garamond" w:cstheme="majorBidi"/>
          <w:lang w:bidi="ar-DZ"/>
        </w:rPr>
      </w:pPr>
      <w:r>
        <w:rPr>
          <w:rFonts w:ascii="Garamond" w:hAnsi="Garamond" w:cstheme="majorBidi"/>
          <w:lang w:bidi="he-IL"/>
        </w:rPr>
        <w:t>Nonetheless, I’m confident that Professor Yael Navaro’</w:t>
      </w:r>
      <w:r w:rsidR="003711BC">
        <w:rPr>
          <w:rFonts w:ascii="Garamond" w:hAnsi="Garamond" w:cstheme="majorBidi"/>
          <w:lang w:bidi="he-IL"/>
        </w:rPr>
        <w:t xml:space="preserve">s expertise will mitigate these </w:t>
      </w:r>
      <w:r>
        <w:rPr>
          <w:rFonts w:ascii="Garamond" w:hAnsi="Garamond" w:cstheme="majorBidi"/>
          <w:lang w:bidi="he-IL"/>
        </w:rPr>
        <w:t>challenge</w:t>
      </w:r>
      <w:r w:rsidR="003711BC">
        <w:rPr>
          <w:rFonts w:ascii="Garamond" w:hAnsi="Garamond" w:cstheme="majorBidi"/>
          <w:lang w:bidi="he-IL"/>
        </w:rPr>
        <w:t>s, helping me assemble a comprehensive picture of the background needed for this project, and</w:t>
      </w:r>
      <w:r>
        <w:rPr>
          <w:rFonts w:ascii="Garamond" w:hAnsi="Garamond" w:cstheme="majorBidi"/>
          <w:lang w:bidi="he-IL"/>
        </w:rPr>
        <w:t xml:space="preserve"> </w:t>
      </w:r>
      <w:r w:rsidR="003711BC">
        <w:rPr>
          <w:rFonts w:ascii="Garamond" w:hAnsi="Garamond" w:cstheme="majorBidi"/>
          <w:lang w:bidi="he-IL"/>
        </w:rPr>
        <w:t xml:space="preserve">in </w:t>
      </w:r>
      <w:r w:rsidR="003711BC">
        <w:rPr>
          <w:rFonts w:ascii="Garamond" w:hAnsi="Garamond" w:cstheme="majorBidi"/>
          <w:lang w:bidi="he-IL"/>
        </w:rPr>
        <w:lastRenderedPageBreak/>
        <w:t>determining</w:t>
      </w:r>
      <w:r>
        <w:rPr>
          <w:rFonts w:ascii="Garamond" w:hAnsi="Garamond" w:cstheme="majorBidi"/>
          <w:lang w:bidi="he-IL"/>
        </w:rPr>
        <w:t xml:space="preserve"> how best to approach </w:t>
      </w:r>
      <w:r w:rsidR="003711BC">
        <w:rPr>
          <w:rFonts w:ascii="Garamond" w:hAnsi="Garamond" w:cstheme="majorBidi"/>
          <w:lang w:bidi="he-IL"/>
        </w:rPr>
        <w:t>i</w:t>
      </w:r>
      <w:r w:rsidR="007564A6">
        <w:rPr>
          <w:rFonts w:ascii="Garamond" w:hAnsi="Garamond" w:cstheme="majorBidi"/>
          <w:lang w:bidi="he-IL"/>
        </w:rPr>
        <w:t xml:space="preserve">t. </w:t>
      </w:r>
      <w:r w:rsidR="007564A6" w:rsidRPr="00D2352B">
        <w:rPr>
          <w:rFonts w:ascii="Garamond" w:hAnsi="Garamond" w:cstheme="majorBidi"/>
          <w:lang w:bidi="ar-DZ"/>
        </w:rPr>
        <w:t xml:space="preserve">In doing so, </w:t>
      </w:r>
      <w:r w:rsidR="007564A6">
        <w:rPr>
          <w:rFonts w:ascii="Garamond" w:hAnsi="Garamond" w:cstheme="majorBidi"/>
          <w:lang w:bidi="ar-DZ"/>
        </w:rPr>
        <w:t xml:space="preserve">this project will </w:t>
      </w:r>
      <w:r w:rsidR="007564A6" w:rsidRPr="00D2352B">
        <w:rPr>
          <w:rFonts w:ascii="Garamond" w:hAnsi="Garamond" w:cstheme="majorBidi"/>
          <w:lang w:bidi="ar-DZ"/>
        </w:rPr>
        <w:t>contribute valuable insights to the literature,</w:t>
      </w:r>
      <w:r w:rsidR="007564A6">
        <w:rPr>
          <w:rFonts w:ascii="Garamond" w:hAnsi="Garamond" w:cstheme="majorBidi"/>
          <w:lang w:bidi="ar-DZ"/>
        </w:rPr>
        <w:t xml:space="preserve"> adding to the body of knowledge on the subject,</w:t>
      </w:r>
      <w:r w:rsidR="007564A6" w:rsidRPr="00D2352B">
        <w:rPr>
          <w:rFonts w:ascii="Garamond" w:hAnsi="Garamond" w:cstheme="majorBidi"/>
          <w:lang w:bidi="ar-DZ"/>
        </w:rPr>
        <w:t xml:space="preserve"> nourishin</w:t>
      </w:r>
      <w:r w:rsidR="007564A6">
        <w:rPr>
          <w:rFonts w:ascii="Garamond" w:hAnsi="Garamond" w:cstheme="majorBidi"/>
          <w:lang w:bidi="ar-DZ"/>
        </w:rPr>
        <w:t xml:space="preserve">g a scholarly curiosity in the Palestinian </w:t>
      </w:r>
      <w:r w:rsidR="007564A6" w:rsidRPr="00D2352B">
        <w:rPr>
          <w:rFonts w:ascii="Garamond" w:hAnsi="Garamond" w:cstheme="majorBidi"/>
          <w:lang w:bidi="ar-DZ"/>
        </w:rPr>
        <w:t xml:space="preserve">community, as well as in the unique position it occupies, marking the first ethnographic foray into </w:t>
      </w:r>
      <w:r w:rsidR="007564A6">
        <w:rPr>
          <w:rFonts w:ascii="Garamond" w:hAnsi="Garamond" w:cstheme="majorBidi"/>
          <w:lang w:bidi="ar-DZ"/>
        </w:rPr>
        <w:t xml:space="preserve">spheres of violence, loss, pain, and fears in occupied Palestine. </w:t>
      </w:r>
    </w:p>
    <w:p w14:paraId="3FF96752" w14:textId="77777777" w:rsidR="00AC46DE" w:rsidRDefault="00AC46DE" w:rsidP="004B5E15">
      <w:pPr>
        <w:spacing w:before="120" w:after="120" w:line="360" w:lineRule="auto"/>
        <w:jc w:val="both"/>
        <w:rPr>
          <w:rFonts w:ascii="Garamond" w:hAnsi="Garamond" w:cstheme="majorBidi"/>
          <w:sz w:val="22"/>
          <w:szCs w:val="22"/>
          <w:lang w:bidi="ar-DZ"/>
        </w:rPr>
      </w:pPr>
    </w:p>
    <w:p w14:paraId="5C2E8575" w14:textId="77777777" w:rsidR="00B82C03" w:rsidRDefault="00B82C03" w:rsidP="004B5E15">
      <w:pPr>
        <w:spacing w:before="120" w:after="120" w:line="360" w:lineRule="auto"/>
        <w:jc w:val="both"/>
        <w:rPr>
          <w:rFonts w:ascii="Garamond" w:hAnsi="Garamond" w:cstheme="majorBidi"/>
          <w:sz w:val="22"/>
          <w:szCs w:val="22"/>
          <w:lang w:bidi="ar-DZ"/>
        </w:rPr>
      </w:pPr>
    </w:p>
    <w:p w14:paraId="7FC2CBFE" w14:textId="77777777" w:rsidR="00B82C03" w:rsidRDefault="00B82C03" w:rsidP="004B5E15">
      <w:pPr>
        <w:spacing w:before="120" w:after="120" w:line="360" w:lineRule="auto"/>
        <w:jc w:val="both"/>
        <w:rPr>
          <w:rFonts w:ascii="Garamond" w:hAnsi="Garamond" w:cstheme="majorBidi"/>
          <w:sz w:val="22"/>
          <w:szCs w:val="22"/>
          <w:lang w:bidi="ar-DZ"/>
        </w:rPr>
      </w:pPr>
    </w:p>
    <w:p w14:paraId="6F18BE17" w14:textId="77777777" w:rsidR="00B82C03" w:rsidRPr="004B5E15" w:rsidRDefault="00B82C03" w:rsidP="004B5E15">
      <w:pPr>
        <w:spacing w:before="120" w:after="120" w:line="360" w:lineRule="auto"/>
        <w:jc w:val="both"/>
        <w:rPr>
          <w:rFonts w:ascii="Garamond" w:hAnsi="Garamond" w:cstheme="majorBidi"/>
          <w:sz w:val="22"/>
          <w:szCs w:val="22"/>
          <w:rtl/>
          <w:lang w:bidi="ar-DZ"/>
        </w:rPr>
      </w:pPr>
    </w:p>
    <w:p w14:paraId="112A6B07" w14:textId="23589428" w:rsidR="007564A6" w:rsidRDefault="006A0972" w:rsidP="007564A6">
      <w:pPr>
        <w:spacing w:before="120" w:after="120" w:line="360" w:lineRule="auto"/>
        <w:jc w:val="both"/>
        <w:rPr>
          <w:rFonts w:ascii="Garamond" w:hAnsi="Garamond" w:cstheme="majorBidi"/>
          <w:b/>
          <w:bCs/>
          <w:sz w:val="28"/>
          <w:szCs w:val="28"/>
          <w:lang w:bidi="ar-DZ"/>
        </w:rPr>
      </w:pPr>
      <w:r>
        <w:rPr>
          <w:rFonts w:ascii="Garamond" w:hAnsi="Garamond" w:cstheme="majorBidi"/>
          <w:b/>
          <w:bCs/>
          <w:sz w:val="28"/>
          <w:szCs w:val="28"/>
          <w:lang w:bidi="ar-DZ"/>
        </w:rPr>
        <w:t>5</w:t>
      </w:r>
      <w:r w:rsidRPr="00D2352B">
        <w:rPr>
          <w:rFonts w:ascii="Garamond" w:hAnsi="Garamond" w:cstheme="majorBidi"/>
          <w:b/>
          <w:bCs/>
          <w:sz w:val="28"/>
          <w:szCs w:val="28"/>
          <w:lang w:bidi="ar-DZ"/>
        </w:rPr>
        <w:t xml:space="preserve">. </w:t>
      </w:r>
      <w:r>
        <w:rPr>
          <w:rFonts w:ascii="Garamond" w:hAnsi="Garamond" w:cstheme="majorBidi"/>
          <w:b/>
          <w:bCs/>
          <w:sz w:val="28"/>
          <w:szCs w:val="28"/>
          <w:lang w:bidi="ar-DZ"/>
        </w:rPr>
        <w:t xml:space="preserve">Bibliography </w:t>
      </w:r>
    </w:p>
    <w:p w14:paraId="1838873E" w14:textId="77777777" w:rsidR="007564A6" w:rsidRPr="007564A6" w:rsidRDefault="007564A6" w:rsidP="007564A6">
      <w:pPr>
        <w:spacing w:before="120" w:after="120" w:line="360" w:lineRule="auto"/>
        <w:jc w:val="both"/>
        <w:rPr>
          <w:rFonts w:ascii="Garamond" w:hAnsi="Garamond" w:cstheme="majorBidi"/>
          <w:b/>
          <w:bCs/>
          <w:sz w:val="28"/>
          <w:szCs w:val="28"/>
          <w:lang w:bidi="ar-DZ"/>
        </w:rPr>
      </w:pPr>
    </w:p>
    <w:p w14:paraId="2F8E3442" w14:textId="17BF5F95" w:rsidR="00880BA2" w:rsidRPr="00D2352B" w:rsidRDefault="00EE5235" w:rsidP="004B5E15">
      <w:pPr>
        <w:spacing w:before="120" w:after="120" w:line="360" w:lineRule="auto"/>
        <w:ind w:firstLine="284"/>
        <w:rPr>
          <w:rFonts w:ascii="Garamond" w:hAnsi="Garamond"/>
          <w:lang w:bidi="ar-DZ"/>
        </w:rPr>
      </w:pPr>
      <w:r>
        <w:rPr>
          <w:rFonts w:ascii="Garamond" w:hAnsi="Garamond"/>
          <w:lang w:bidi="ar-DZ"/>
        </w:rPr>
        <w:pict w14:anchorId="53ACC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2pt;height:264pt">
            <v:imagedata r:id="rId11" o:title="original"/>
          </v:shape>
        </w:pict>
      </w:r>
    </w:p>
    <w:sectPr w:rsidR="00880BA2" w:rsidRPr="00D2352B" w:rsidSect="008262C9">
      <w:pgSz w:w="12240" w:h="15840"/>
      <w:pgMar w:top="1134" w:right="1418" w:bottom="1134"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aa Hajyahia" w:date="2021-12-05T19:54:00Z" w:initials="אחי">
    <w:p w14:paraId="5FD42812" w14:textId="77777777" w:rsidR="00A36A1C" w:rsidRDefault="00A36A1C" w:rsidP="00B3154A">
      <w:pPr>
        <w:shd w:val="clear" w:color="auto" w:fill="FFFFFF"/>
        <w:spacing w:before="100" w:beforeAutospacing="1" w:after="100" w:afterAutospacing="1" w:line="270" w:lineRule="atLeast"/>
        <w:rPr>
          <w:rFonts w:ascii="David" w:hAnsi="David" w:cs="David"/>
          <w:color w:val="171717"/>
        </w:rPr>
      </w:pPr>
      <w:r>
        <w:rPr>
          <w:rStyle w:val="CommentReference"/>
        </w:rPr>
        <w:annotationRef/>
      </w:r>
      <w:r w:rsidRPr="00B3154A">
        <w:rPr>
          <w:rFonts w:ascii="David" w:hAnsi="David" w:cs="David"/>
          <w:color w:val="171717"/>
        </w:rPr>
        <w:t xml:space="preserve">This is a vital document and it is not sufficient to simply fill in the research summary box on the application form. </w:t>
      </w:r>
    </w:p>
    <w:p w14:paraId="77AA07A1" w14:textId="77777777" w:rsidR="00A36A1C" w:rsidRDefault="00A36A1C" w:rsidP="00B3154A">
      <w:pPr>
        <w:shd w:val="clear" w:color="auto" w:fill="FFFFFF"/>
        <w:spacing w:before="100" w:beforeAutospacing="1" w:after="100" w:afterAutospacing="1" w:line="270" w:lineRule="atLeast"/>
        <w:rPr>
          <w:rFonts w:ascii="David" w:hAnsi="David" w:cs="David"/>
          <w:color w:val="171717"/>
        </w:rPr>
      </w:pPr>
    </w:p>
    <w:p w14:paraId="7D194C7D" w14:textId="691221DD" w:rsidR="00A36A1C" w:rsidRDefault="00A36A1C" w:rsidP="00B3154A">
      <w:pPr>
        <w:shd w:val="clear" w:color="auto" w:fill="FFFFFF"/>
        <w:spacing w:before="100" w:beforeAutospacing="1" w:after="100" w:afterAutospacing="1" w:line="270" w:lineRule="atLeast"/>
        <w:rPr>
          <w:rFonts w:ascii="David" w:hAnsi="David" w:cs="David"/>
          <w:color w:val="171717"/>
        </w:rPr>
      </w:pPr>
      <w:r w:rsidRPr="00B3154A">
        <w:rPr>
          <w:rFonts w:ascii="David" w:hAnsi="David" w:cs="David"/>
          <w:color w:val="171717"/>
        </w:rPr>
        <w:t xml:space="preserve">Applicants should head the document with their name and the title of their intended project. </w:t>
      </w:r>
      <w:r w:rsidRPr="00B3154A">
        <w:rPr>
          <w:rFonts w:ascii="David" w:hAnsi="David" w:cs="David"/>
          <w:color w:val="171717"/>
          <w:highlight w:val="yellow"/>
        </w:rPr>
        <w:t>Proposals are usually 1,000 to 2,500 words in length (excluding references)</w:t>
      </w:r>
      <w:r w:rsidRPr="00B3154A">
        <w:rPr>
          <w:rFonts w:ascii="David" w:hAnsi="David" w:cs="David"/>
          <w:color w:val="171717"/>
        </w:rPr>
        <w:t xml:space="preserve"> and should give a clear idea of the </w:t>
      </w:r>
      <w:r w:rsidRPr="00890DB6">
        <w:rPr>
          <w:rFonts w:ascii="David" w:hAnsi="David" w:cs="David"/>
          <w:color w:val="171717"/>
          <w:highlight w:val="yellow"/>
        </w:rPr>
        <w:t>viability and importance of the research area</w:t>
      </w:r>
      <w:r w:rsidRPr="00B3154A">
        <w:rPr>
          <w:rFonts w:ascii="David" w:hAnsi="David" w:cs="David"/>
          <w:color w:val="171717"/>
        </w:rPr>
        <w:t xml:space="preserve">. </w:t>
      </w:r>
      <w:r w:rsidRPr="00890DB6">
        <w:rPr>
          <w:rFonts w:ascii="David" w:hAnsi="David" w:cs="David"/>
          <w:color w:val="171717"/>
          <w:highlight w:val="yellow"/>
        </w:rPr>
        <w:t>It should take note of relevant academic literature</w:t>
      </w:r>
      <w:r w:rsidRPr="00B3154A">
        <w:rPr>
          <w:rFonts w:ascii="David" w:hAnsi="David" w:cs="David"/>
          <w:color w:val="171717"/>
        </w:rPr>
        <w:t>, and some thought should be given to the methodology by suggesting appropriate research methods.</w:t>
      </w:r>
    </w:p>
    <w:p w14:paraId="767ACB3F" w14:textId="77777777" w:rsidR="00A36A1C" w:rsidRPr="00B3154A" w:rsidRDefault="00A36A1C" w:rsidP="00B3154A">
      <w:pPr>
        <w:shd w:val="clear" w:color="auto" w:fill="FFFFFF"/>
        <w:spacing w:before="100" w:beforeAutospacing="1" w:after="100" w:afterAutospacing="1" w:line="270" w:lineRule="atLeast"/>
        <w:rPr>
          <w:rFonts w:ascii="David" w:hAnsi="David" w:cs="David"/>
          <w:color w:val="171717"/>
        </w:rPr>
      </w:pPr>
    </w:p>
    <w:p w14:paraId="49E2FD8D" w14:textId="43054781" w:rsidR="00A36A1C" w:rsidRPr="00B3154A" w:rsidRDefault="00A36A1C" w:rsidP="00B3154A">
      <w:pPr>
        <w:shd w:val="clear" w:color="auto" w:fill="FFFFFF"/>
        <w:spacing w:before="100" w:beforeAutospacing="1" w:after="100" w:afterAutospacing="1" w:line="270" w:lineRule="atLeast"/>
        <w:rPr>
          <w:rFonts w:ascii="Verdana" w:hAnsi="Verdana"/>
          <w:color w:val="171717"/>
          <w:sz w:val="18"/>
          <w:szCs w:val="18"/>
        </w:rPr>
      </w:pPr>
      <w:r w:rsidRPr="00B3154A">
        <w:rPr>
          <w:rFonts w:ascii="David" w:hAnsi="David" w:cs="David"/>
          <w:color w:val="171717"/>
          <w:shd w:val="clear" w:color="auto" w:fill="FFFFFF"/>
        </w:rPr>
        <w:t xml:space="preserve">However it is not obligatory to name </w:t>
      </w:r>
      <w:r w:rsidRPr="00B3154A">
        <w:rPr>
          <w:rFonts w:ascii="David" w:hAnsi="David" w:cs="David"/>
          <w:color w:val="171717"/>
          <w:highlight w:val="yellow"/>
          <w:shd w:val="clear" w:color="auto" w:fill="FFFFFF"/>
        </w:rPr>
        <w:t>a potential supervisor on the application form.</w:t>
      </w:r>
    </w:p>
  </w:comment>
  <w:comment w:id="2" w:author="Alaa Hajyahia" w:date="2021-12-08T06:17:00Z" w:initials="אחי">
    <w:p w14:paraId="72DB8789" w14:textId="5B980CC9" w:rsidR="004C3677" w:rsidRDefault="004C3677">
      <w:pPr>
        <w:pStyle w:val="CommentText"/>
      </w:pPr>
      <w:r>
        <w:rPr>
          <w:rStyle w:val="CommentReference"/>
        </w:rPr>
        <w:annotationRef/>
      </w:r>
      <w:r>
        <w:t>I want this paragraph to be strong as much as we can.</w:t>
      </w:r>
    </w:p>
  </w:comment>
  <w:comment w:id="3" w:author="Alaa Hajyahia" w:date="2021-12-08T06:30:00Z" w:initials="אחי">
    <w:p w14:paraId="6BF63732" w14:textId="380FD5C6" w:rsidR="00904DA5" w:rsidRDefault="00904DA5">
      <w:pPr>
        <w:pStyle w:val="CommentText"/>
      </w:pPr>
      <w:r>
        <w:rPr>
          <w:rStyle w:val="CommentReference"/>
        </w:rPr>
        <w:annotationRef/>
      </w:r>
      <w:r>
        <w:t>I want this to be strong and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E2FD8D" w15:done="0"/>
  <w15:commentEx w15:paraId="72DB8789" w15:done="0"/>
  <w15:commentEx w15:paraId="6BF637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E2FD8D" w16cid:durableId="255B35CD"/>
  <w16cid:commentId w16cid:paraId="72DB8789" w16cid:durableId="255B35CE"/>
  <w16cid:commentId w16cid:paraId="6BF63732" w16cid:durableId="255B35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D57DC" w14:textId="77777777" w:rsidR="00391FB4" w:rsidRDefault="00391FB4" w:rsidP="00972B5F">
      <w:r>
        <w:separator/>
      </w:r>
    </w:p>
  </w:endnote>
  <w:endnote w:type="continuationSeparator" w:id="0">
    <w:p w14:paraId="3D8F31C3" w14:textId="77777777" w:rsidR="00391FB4" w:rsidRDefault="00391FB4" w:rsidP="0097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abic Typesetting">
    <w:charset w:val="B2"/>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D5C63" w14:textId="77777777" w:rsidR="00391FB4" w:rsidRDefault="00391FB4" w:rsidP="00972B5F">
      <w:r>
        <w:separator/>
      </w:r>
    </w:p>
  </w:footnote>
  <w:footnote w:type="continuationSeparator" w:id="0">
    <w:p w14:paraId="5601D484" w14:textId="77777777" w:rsidR="00391FB4" w:rsidRDefault="00391FB4" w:rsidP="00972B5F">
      <w:r>
        <w:continuationSeparator/>
      </w:r>
    </w:p>
  </w:footnote>
  <w:footnote w:id="1">
    <w:p w14:paraId="6737EE09" w14:textId="77777777" w:rsidR="00A36A1C" w:rsidRPr="005D68BE" w:rsidRDefault="00A36A1C" w:rsidP="00090DCC">
      <w:pPr>
        <w:pStyle w:val="FootnoteText"/>
        <w:rPr>
          <w:rFonts w:ascii="Garamond" w:hAnsi="Garamond"/>
          <w:rtl/>
          <w:lang w:bidi="he-IL"/>
        </w:rPr>
      </w:pPr>
      <w:r w:rsidRPr="00D2352B">
        <w:rPr>
          <w:rStyle w:val="FootnoteReference"/>
          <w:rFonts w:ascii="Garamond" w:hAnsi="Garamond" w:cs="FrankRuehl"/>
        </w:rPr>
        <w:footnoteRef/>
      </w:r>
      <w:r w:rsidRPr="00D2352B">
        <w:rPr>
          <w:rFonts w:ascii="Garamond" w:hAnsi="Garamond" w:cs="FrankRuehl"/>
        </w:rPr>
        <w:t xml:space="preserve"> </w:t>
      </w:r>
      <w:r w:rsidRPr="005D68BE">
        <w:rPr>
          <w:rFonts w:ascii="Garamond" w:hAnsi="Garamond"/>
        </w:rPr>
        <w:t xml:space="preserve">Reiss, Albert </w:t>
      </w:r>
      <w:proofErr w:type="gramStart"/>
      <w:r w:rsidRPr="005D68BE">
        <w:rPr>
          <w:rFonts w:ascii="Garamond" w:hAnsi="Garamond"/>
        </w:rPr>
        <w:t>J..</w:t>
      </w:r>
      <w:proofErr w:type="gramEnd"/>
      <w:r w:rsidRPr="005D68BE">
        <w:rPr>
          <w:rFonts w:ascii="Garamond" w:hAnsi="Garamond"/>
        </w:rPr>
        <w:t xml:space="preserve"> "Police Brutality?". </w:t>
      </w:r>
      <w:r w:rsidRPr="005D68BE">
        <w:rPr>
          <w:rFonts w:ascii="Garamond" w:hAnsi="Garamond"/>
          <w:i/>
          <w:iCs/>
        </w:rPr>
        <w:t>Readings in Criminology and Penology</w:t>
      </w:r>
      <w:r w:rsidRPr="005D68BE">
        <w:rPr>
          <w:rFonts w:ascii="Garamond" w:hAnsi="Garamond"/>
        </w:rPr>
        <w:t xml:space="preserve">, edited by David Dressler, New York Chichester, West Sussex: Columbia University Press, 1972, pp. 456-476. </w:t>
      </w:r>
      <w:hyperlink r:id="rId1" w:history="1">
        <w:r w:rsidRPr="005D68BE">
          <w:rPr>
            <w:rStyle w:val="Hyperlink"/>
            <w:rFonts w:ascii="Garamond" w:hAnsi="Garamond"/>
          </w:rPr>
          <w:t>https://doi.org/10.7312/dres92534-051</w:t>
        </w:r>
      </w:hyperlink>
      <w:r w:rsidRPr="005D68BE">
        <w:rPr>
          <w:rFonts w:ascii="Garamond" w:hAnsi="Garamond"/>
          <w:rtl/>
          <w:lang w:bidi="he-IL"/>
        </w:rPr>
        <w:t>;</w:t>
      </w:r>
      <w:r w:rsidRPr="005D68BE">
        <w:rPr>
          <w:rFonts w:ascii="Garamond" w:hAnsi="Garamond"/>
          <w:lang w:bidi="he-IL"/>
        </w:rPr>
        <w:t xml:space="preserve"> </w:t>
      </w:r>
      <w:r w:rsidRPr="005D68BE">
        <w:rPr>
          <w:rFonts w:ascii="Garamond" w:hAnsi="Garamond" w:cs="Arial"/>
          <w:color w:val="000000" w:themeColor="text1"/>
          <w:kern w:val="36"/>
        </w:rPr>
        <w:t xml:space="preserve">Arnold Binder, Peter </w:t>
      </w:r>
      <w:proofErr w:type="spellStart"/>
      <w:r w:rsidRPr="005D68BE">
        <w:rPr>
          <w:rFonts w:ascii="Garamond" w:hAnsi="Garamond" w:cs="Arial"/>
          <w:color w:val="000000" w:themeColor="text1"/>
          <w:kern w:val="36"/>
        </w:rPr>
        <w:t>Schart</w:t>
      </w:r>
      <w:proofErr w:type="spellEnd"/>
      <w:r w:rsidRPr="005D68BE">
        <w:rPr>
          <w:rFonts w:ascii="Garamond" w:hAnsi="Garamond" w:cs="Arial"/>
          <w:color w:val="000000" w:themeColor="text1"/>
          <w:kern w:val="36"/>
        </w:rPr>
        <w:t xml:space="preserve">, </w:t>
      </w:r>
      <w:hyperlink r:id="rId2" w:history="1">
        <w:r w:rsidRPr="005D68BE">
          <w:rPr>
            <w:rStyle w:val="Hyperlink"/>
            <w:rFonts w:ascii="Garamond" w:hAnsi="Garamond" w:cs="Arial"/>
            <w:kern w:val="36"/>
          </w:rPr>
          <w:t>The Violent Police-Citizen Encounter</w:t>
        </w:r>
      </w:hyperlink>
      <w:r w:rsidRPr="005D68BE">
        <w:rPr>
          <w:rFonts w:ascii="Garamond" w:hAnsi="Garamond" w:cs="Arial"/>
          <w:color w:val="000000" w:themeColor="text1"/>
          <w:kern w:val="36"/>
        </w:rPr>
        <w:t xml:space="preserve">. In recent decades, ethnographies on policing have also begun to be conduct. See, for example:  </w:t>
      </w:r>
      <w:r w:rsidRPr="005D68BE">
        <w:rPr>
          <w:rFonts w:ascii="Garamond" w:hAnsi="Garamond" w:cs="Arial"/>
          <w:color w:val="222222"/>
          <w:shd w:val="clear" w:color="auto" w:fill="FFFFFF"/>
        </w:rPr>
        <w:t>Manning, P. K. (2014). Ethnographies of policing. In </w:t>
      </w:r>
      <w:r w:rsidRPr="005D68BE">
        <w:rPr>
          <w:rFonts w:ascii="Garamond" w:hAnsi="Garamond" w:cs="Arial"/>
          <w:i/>
          <w:iCs/>
          <w:color w:val="222222"/>
          <w:shd w:val="clear" w:color="auto" w:fill="FFFFFF"/>
        </w:rPr>
        <w:t>The Oxford handbook of police and policing</w:t>
      </w:r>
      <w:r w:rsidRPr="005D68BE">
        <w:rPr>
          <w:rFonts w:ascii="Garamond" w:hAnsi="Garamond" w:cs="Arial"/>
          <w:color w:val="222222"/>
          <w:shd w:val="clear" w:color="auto" w:fill="FFFFFF"/>
        </w:rPr>
        <w:t>.</w:t>
      </w:r>
      <w:r w:rsidRPr="005D68BE">
        <w:rPr>
          <w:rFonts w:ascii="Garamond" w:hAnsi="Garamond" w:cs="Arial"/>
          <w:color w:val="222222"/>
          <w:shd w:val="clear" w:color="auto" w:fill="FFFFFF"/>
          <w:rtl/>
        </w:rPr>
        <w:t>‏</w:t>
      </w:r>
      <w:r w:rsidRPr="005D68BE">
        <w:rPr>
          <w:rFonts w:ascii="Garamond" w:hAnsi="Garamond" w:cs="Arial"/>
          <w:color w:val="222222"/>
          <w:shd w:val="clear" w:color="auto" w:fill="FFFFFF"/>
        </w:rPr>
        <w:t xml:space="preserve"> </w:t>
      </w:r>
      <w:proofErr w:type="spellStart"/>
      <w:r w:rsidRPr="005D68BE">
        <w:rPr>
          <w:rFonts w:ascii="Garamond" w:hAnsi="Garamond" w:cs="Arial"/>
          <w:color w:val="222222"/>
          <w:shd w:val="clear" w:color="auto" w:fill="FFFFFF"/>
        </w:rPr>
        <w:t>Fassin</w:t>
      </w:r>
      <w:proofErr w:type="spellEnd"/>
      <w:r w:rsidRPr="005D68BE">
        <w:rPr>
          <w:rFonts w:ascii="Garamond" w:hAnsi="Garamond" w:cs="Arial"/>
          <w:color w:val="222222"/>
          <w:shd w:val="clear" w:color="auto" w:fill="FFFFFF"/>
        </w:rPr>
        <w:t>, D. (2013). </w:t>
      </w:r>
      <w:r w:rsidRPr="005D68BE">
        <w:rPr>
          <w:rFonts w:ascii="Garamond" w:hAnsi="Garamond" w:cs="Arial"/>
          <w:i/>
          <w:iCs/>
          <w:color w:val="222222"/>
          <w:shd w:val="clear" w:color="auto" w:fill="FFFFFF"/>
        </w:rPr>
        <w:t>Enforcing order: An ethnography of urban policing</w:t>
      </w:r>
      <w:r w:rsidRPr="005D68BE">
        <w:rPr>
          <w:rFonts w:ascii="Garamond" w:hAnsi="Garamond" w:cs="Arial"/>
          <w:color w:val="222222"/>
          <w:shd w:val="clear" w:color="auto" w:fill="FFFFFF"/>
        </w:rPr>
        <w:t>. Polity.</w:t>
      </w:r>
      <w:r w:rsidRPr="005D68BE">
        <w:rPr>
          <w:rFonts w:ascii="Garamond" w:hAnsi="Garamond" w:cs="Arial"/>
          <w:color w:val="222222"/>
          <w:shd w:val="clear" w:color="auto" w:fill="FFFFFF"/>
          <w:rtl/>
        </w:rPr>
        <w:t>‏</w:t>
      </w:r>
    </w:p>
  </w:footnote>
  <w:footnote w:id="2">
    <w:p w14:paraId="7EB25FEB" w14:textId="77777777" w:rsidR="00A36A1C" w:rsidRDefault="00A36A1C" w:rsidP="00A21E5D">
      <w:pPr>
        <w:pStyle w:val="FootnoteText"/>
        <w:rPr>
          <w:rtl/>
        </w:rPr>
      </w:pPr>
      <w:r w:rsidRPr="00D2352B">
        <w:rPr>
          <w:rStyle w:val="FootnoteReference"/>
          <w:rFonts w:ascii="Garamond" w:hAnsi="Garamond" w:cs="FrankRuehl"/>
        </w:rPr>
        <w:footnoteRef/>
      </w:r>
      <w:r w:rsidRPr="00D2352B">
        <w:rPr>
          <w:rFonts w:ascii="Garamond" w:hAnsi="Garamond" w:cs="FrankRuehl"/>
        </w:rPr>
        <w:t xml:space="preserve"> https://www.haaretz.com/israel-news/.premium-israeli-killed-another-wounded-as-arab-community-marks-117-murder-victims-this-year-1.10434215.</w:t>
      </w:r>
    </w:p>
  </w:footnote>
  <w:footnote w:id="3">
    <w:p w14:paraId="6CA14A60" w14:textId="77777777" w:rsidR="00A36A1C" w:rsidRDefault="00A36A1C" w:rsidP="00A9441D">
      <w:pPr>
        <w:pStyle w:val="FootnoteText"/>
        <w:jc w:val="both"/>
      </w:pPr>
      <w:r>
        <w:rPr>
          <w:rStyle w:val="FootnoteReference"/>
        </w:rPr>
        <w:footnoteRef/>
      </w:r>
      <w:r>
        <w:t>https://aman-center.org/%d8%aa%d9%81%d8%a7%d8%b5%d9%8a%d9%84-%d8%a7%d9%84%d8%b6%d8%ad%d8%a7%d9%8a%d8%a7/</w:t>
      </w:r>
    </w:p>
  </w:footnote>
  <w:footnote w:id="4">
    <w:p w14:paraId="2CC18504" w14:textId="77777777" w:rsidR="00A36A1C" w:rsidRDefault="00A36A1C" w:rsidP="00A21E5D">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lang w:bidi="ar-DZ"/>
        </w:rPr>
        <w:t xml:space="preserve"> </w:t>
      </w:r>
      <w:r>
        <w:rPr>
          <w:rFonts w:asciiTheme="majorBidi" w:hAnsiTheme="majorBidi" w:cstheme="majorBidi"/>
          <w:color w:val="222222"/>
          <w:shd w:val="clear" w:color="auto" w:fill="FFFFFF"/>
        </w:rPr>
        <w:t xml:space="preserve">Masha </w:t>
      </w:r>
      <w:proofErr w:type="spellStart"/>
      <w:r>
        <w:rPr>
          <w:rFonts w:asciiTheme="majorBidi" w:hAnsiTheme="majorBidi" w:cstheme="majorBidi"/>
          <w:color w:val="222222"/>
          <w:shd w:val="clear" w:color="auto" w:fill="FFFFFF"/>
        </w:rPr>
        <w:t>Abarboch</w:t>
      </w:r>
      <w:proofErr w:type="spellEnd"/>
      <w:r>
        <w:rPr>
          <w:rFonts w:asciiTheme="majorBidi" w:hAnsiTheme="majorBidi" w:cstheme="majorBidi"/>
          <w:color w:val="222222"/>
          <w:shd w:val="clear" w:color="auto" w:fill="FFFFFF"/>
        </w:rPr>
        <w:t>,</w:t>
      </w:r>
      <w:r>
        <w:rPr>
          <w:rFonts w:asciiTheme="majorBidi" w:hAnsiTheme="majorBidi" w:cstheme="majorBidi"/>
          <w:i/>
          <w:iCs/>
          <w:color w:val="222222"/>
          <w:shd w:val="clear" w:color="auto" w:fill="FFFFFF"/>
        </w:rPr>
        <w:t xml:space="preserve"> </w:t>
      </w:r>
      <w:proofErr w:type="spellStart"/>
      <w:r>
        <w:rPr>
          <w:rFonts w:asciiTheme="majorBidi" w:hAnsiTheme="majorBidi" w:cstheme="majorBidi"/>
          <w:i/>
          <w:iCs/>
          <w:color w:val="222222"/>
          <w:shd w:val="clear" w:color="auto" w:fill="FFFFFF"/>
        </w:rPr>
        <w:t>A’tira</w:t>
      </w:r>
      <w:proofErr w:type="spellEnd"/>
      <w:r>
        <w:rPr>
          <w:rFonts w:asciiTheme="majorBidi" w:hAnsiTheme="majorBidi" w:cstheme="majorBidi"/>
          <w:i/>
          <w:iCs/>
          <w:color w:val="222222"/>
          <w:shd w:val="clear" w:color="auto" w:fill="FFFFFF"/>
        </w:rPr>
        <w:t xml:space="preserve">: </w:t>
      </w:r>
      <w:proofErr w:type="spellStart"/>
      <w:r>
        <w:rPr>
          <w:rFonts w:asciiTheme="majorBidi" w:hAnsiTheme="majorBidi" w:cstheme="majorBidi"/>
          <w:i/>
          <w:iCs/>
          <w:color w:val="222222"/>
          <w:shd w:val="clear" w:color="auto" w:fill="FFFFFF"/>
        </w:rPr>
        <w:t>Hafsiku</w:t>
      </w:r>
      <w:proofErr w:type="spellEnd"/>
      <w:r>
        <w:rPr>
          <w:rFonts w:asciiTheme="majorBidi" w:hAnsiTheme="majorBidi" w:cstheme="majorBidi"/>
          <w:i/>
          <w:iCs/>
          <w:color w:val="222222"/>
          <w:shd w:val="clear" w:color="auto" w:fill="FFFFFF"/>
        </w:rPr>
        <w:t xml:space="preserve"> </w:t>
      </w:r>
      <w:proofErr w:type="spellStart"/>
      <w:r>
        <w:rPr>
          <w:rFonts w:asciiTheme="majorBidi" w:hAnsiTheme="majorBidi" w:cstheme="majorBidi"/>
          <w:i/>
          <w:iCs/>
          <w:color w:val="222222"/>
          <w:shd w:val="clear" w:color="auto" w:fill="FFFFFF"/>
        </w:rPr>
        <w:t>Lehahbi</w:t>
      </w:r>
      <w:proofErr w:type="spellEnd"/>
      <w:r>
        <w:rPr>
          <w:rFonts w:asciiTheme="majorBidi" w:hAnsiTheme="majorBidi" w:cstheme="majorBidi"/>
          <w:i/>
          <w:iCs/>
          <w:color w:val="222222"/>
          <w:shd w:val="clear" w:color="auto" w:fill="FFFFFF"/>
        </w:rPr>
        <w:t xml:space="preserve"> et </w:t>
      </w:r>
      <w:proofErr w:type="spellStart"/>
      <w:r>
        <w:rPr>
          <w:rFonts w:asciiTheme="majorBidi" w:hAnsiTheme="majorBidi" w:cstheme="majorBidi"/>
          <w:i/>
          <w:iCs/>
          <w:color w:val="222222"/>
          <w:shd w:val="clear" w:color="auto" w:fill="FFFFFF"/>
        </w:rPr>
        <w:t>Hakirot</w:t>
      </w:r>
      <w:proofErr w:type="spellEnd"/>
      <w:r>
        <w:rPr>
          <w:rFonts w:asciiTheme="majorBidi" w:hAnsiTheme="majorBidi" w:cstheme="majorBidi"/>
          <w:i/>
          <w:iCs/>
          <w:color w:val="222222"/>
          <w:shd w:val="clear" w:color="auto" w:fill="FFFFFF"/>
        </w:rPr>
        <w:t xml:space="preserve"> </w:t>
      </w:r>
      <w:proofErr w:type="spellStart"/>
      <w:r>
        <w:rPr>
          <w:rFonts w:asciiTheme="majorBidi" w:hAnsiTheme="majorBidi" w:cstheme="majorBidi"/>
          <w:i/>
          <w:iCs/>
          <w:color w:val="222222"/>
          <w:shd w:val="clear" w:color="auto" w:fill="FFFFFF"/>
        </w:rPr>
        <w:t>Retsah</w:t>
      </w:r>
      <w:proofErr w:type="spellEnd"/>
      <w:r>
        <w:rPr>
          <w:rFonts w:asciiTheme="majorBidi" w:hAnsiTheme="majorBidi" w:cstheme="majorBidi"/>
          <w:i/>
          <w:iCs/>
          <w:color w:val="222222"/>
          <w:shd w:val="clear" w:color="auto" w:fill="FFFFFF"/>
        </w:rPr>
        <w:t xml:space="preserve"> </w:t>
      </w:r>
      <w:proofErr w:type="spellStart"/>
      <w:r>
        <w:rPr>
          <w:rFonts w:asciiTheme="majorBidi" w:hAnsiTheme="majorBidi" w:cstheme="majorBidi"/>
          <w:i/>
          <w:iCs/>
          <w:color w:val="222222"/>
          <w:shd w:val="clear" w:color="auto" w:fill="FFFFFF"/>
        </w:rPr>
        <w:t>Hanashim</w:t>
      </w:r>
      <w:proofErr w:type="spellEnd"/>
      <w:r>
        <w:rPr>
          <w:rFonts w:asciiTheme="majorBidi" w:hAnsiTheme="majorBidi" w:cstheme="majorBidi"/>
          <w:i/>
          <w:iCs/>
          <w:color w:val="222222"/>
          <w:shd w:val="clear" w:color="auto" w:fill="FFFFFF"/>
        </w:rPr>
        <w:t xml:space="preserve"> </w:t>
      </w:r>
      <w:proofErr w:type="spellStart"/>
      <w:r>
        <w:rPr>
          <w:rFonts w:asciiTheme="majorBidi" w:hAnsiTheme="majorBidi" w:cstheme="majorBidi"/>
          <w:i/>
          <w:iCs/>
          <w:color w:val="222222"/>
          <w:shd w:val="clear" w:color="auto" w:fill="FFFFFF"/>
        </w:rPr>
        <w:t>HaA’rabiot</w:t>
      </w:r>
      <w:proofErr w:type="spellEnd"/>
      <w:r>
        <w:rPr>
          <w:rFonts w:asciiTheme="majorBidi" w:hAnsiTheme="majorBidi" w:cstheme="majorBidi"/>
          <w:color w:val="222222"/>
          <w:shd w:val="clear" w:color="auto" w:fill="FFFFFF"/>
        </w:rPr>
        <w:t xml:space="preserve"> [</w:t>
      </w:r>
      <w:r>
        <w:rPr>
          <w:rFonts w:asciiTheme="majorBidi" w:hAnsiTheme="majorBidi" w:cstheme="majorBidi"/>
          <w:i/>
          <w:iCs/>
          <w:color w:val="222222"/>
          <w:shd w:val="clear" w:color="auto" w:fill="FFFFFF"/>
        </w:rPr>
        <w:t>Petition: Stop Hiding the Investigation of Arab Women’s Murders</w:t>
      </w:r>
      <w:r>
        <w:rPr>
          <w:rFonts w:asciiTheme="majorBidi" w:hAnsiTheme="majorBidi" w:cstheme="majorBidi"/>
          <w:color w:val="222222"/>
          <w:shd w:val="clear" w:color="auto" w:fill="FFFFFF"/>
        </w:rPr>
        <w:t xml:space="preserve">], </w:t>
      </w:r>
      <w:proofErr w:type="spellStart"/>
      <w:r>
        <w:rPr>
          <w:rFonts w:asciiTheme="majorBidi" w:hAnsiTheme="majorBidi" w:cstheme="majorBidi"/>
          <w:smallCaps/>
          <w:color w:val="222222"/>
          <w:shd w:val="clear" w:color="auto" w:fill="FFFFFF"/>
        </w:rPr>
        <w:t>HaMakom</w:t>
      </w:r>
      <w:proofErr w:type="spellEnd"/>
      <w:r>
        <w:rPr>
          <w:rFonts w:asciiTheme="majorBidi" w:hAnsiTheme="majorBidi" w:cstheme="majorBidi"/>
          <w:smallCaps/>
          <w:color w:val="222222"/>
          <w:shd w:val="clear" w:color="auto" w:fill="FFFFFF"/>
        </w:rPr>
        <w:t xml:space="preserve"> Independent Magazine</w:t>
      </w:r>
      <w:r>
        <w:rPr>
          <w:rFonts w:asciiTheme="majorBidi" w:hAnsiTheme="majorBidi" w:cstheme="majorBidi"/>
          <w:color w:val="222222"/>
          <w:shd w:val="clear" w:color="auto" w:fill="FFFFFF"/>
        </w:rPr>
        <w:t xml:space="preserve"> (Aug. 27, 2020),</w:t>
      </w:r>
      <w:r>
        <w:rPr>
          <w:rFonts w:asciiTheme="majorBidi" w:hAnsiTheme="majorBidi" w:cstheme="majorBidi"/>
        </w:rPr>
        <w:t xml:space="preserve"> </w:t>
      </w:r>
      <w:hyperlink r:id="rId3" w:history="1">
        <w:r>
          <w:rPr>
            <w:rStyle w:val="Hyperlink"/>
            <w:rFonts w:asciiTheme="majorBidi" w:hAnsiTheme="majorBidi" w:cstheme="majorBidi"/>
            <w:shd w:val="clear" w:color="auto" w:fill="FFFFFF"/>
          </w:rPr>
          <w:t>https://www.ha-makom.co.il/post-mash-new-arab/</w:t>
        </w:r>
      </w:hyperlink>
      <w:r>
        <w:rPr>
          <w:rFonts w:asciiTheme="majorBidi" w:hAnsiTheme="majorBidi" w:cstheme="majorBidi"/>
          <w:color w:val="0000FF"/>
        </w:rPr>
        <w:t>.</w:t>
      </w:r>
    </w:p>
  </w:footnote>
  <w:footnote w:id="5">
    <w:p w14:paraId="0DAE0123" w14:textId="1659CEA0" w:rsidR="00A36A1C" w:rsidRDefault="00A36A1C">
      <w:pPr>
        <w:pStyle w:val="FootnoteText"/>
      </w:pPr>
      <w:r>
        <w:rPr>
          <w:rStyle w:val="FootnoteReference"/>
        </w:rPr>
        <w:footnoteRef/>
      </w:r>
      <w:r>
        <w:t xml:space="preserve"> </w:t>
      </w:r>
      <w:proofErr w:type="spellStart"/>
      <w:r w:rsidRPr="00661AC4">
        <w:rPr>
          <w:rFonts w:ascii="Garamond" w:hAnsi="Garamond"/>
        </w:rPr>
        <w:t>Kayan</w:t>
      </w:r>
      <w:proofErr w:type="spellEnd"/>
      <w:r w:rsidRPr="00661AC4">
        <w:rPr>
          <w:rFonts w:ascii="Garamond" w:hAnsi="Garamond"/>
        </w:rPr>
        <w:t xml:space="preserve"> Report, Femicide: A grim reality and possibilities for resistance. 2021</w:t>
      </w:r>
      <w:r>
        <w:rPr>
          <w:rFonts w:ascii="Garamond" w:hAnsi="Garamond"/>
        </w:rPr>
        <w:t xml:space="preserve">: </w:t>
      </w:r>
      <w:r w:rsidRPr="00661AC4">
        <w:rPr>
          <w:rFonts w:ascii="Garamond" w:hAnsi="Garamond"/>
        </w:rPr>
        <w:t>https://www.kayanfeminist.org/home-page</w:t>
      </w:r>
      <w:r>
        <w:rPr>
          <w:rFonts w:ascii="Garamond" w:hAnsi="Garamond"/>
        </w:rPr>
        <w:t>.</w:t>
      </w:r>
    </w:p>
  </w:footnote>
  <w:footnote w:id="6">
    <w:p w14:paraId="2602BA29" w14:textId="49545311" w:rsidR="00A36A1C" w:rsidRPr="00661AC4" w:rsidRDefault="00A36A1C" w:rsidP="00A905FA">
      <w:pPr>
        <w:pStyle w:val="FootnoteText"/>
        <w:rPr>
          <w:rFonts w:ascii="Garamond" w:hAnsi="Garamond"/>
        </w:rPr>
      </w:pPr>
      <w:r w:rsidRPr="00661AC4">
        <w:rPr>
          <w:rStyle w:val="FootnoteReference"/>
          <w:rFonts w:ascii="Garamond" w:hAnsi="Garamond"/>
        </w:rPr>
        <w:footnoteRef/>
      </w:r>
      <w:r w:rsidRPr="00661AC4">
        <w:rPr>
          <w:rFonts w:ascii="Garamond" w:hAnsi="Garamond"/>
        </w:rPr>
        <w:t xml:space="preserve"> </w:t>
      </w:r>
      <w:r>
        <w:rPr>
          <w:rFonts w:ascii="Garamond" w:hAnsi="Garamond"/>
        </w:rPr>
        <w:t xml:space="preserve">According to </w:t>
      </w:r>
      <w:proofErr w:type="spellStart"/>
      <w:r>
        <w:rPr>
          <w:rFonts w:ascii="Garamond" w:hAnsi="Garamond"/>
        </w:rPr>
        <w:t>Kayan</w:t>
      </w:r>
      <w:proofErr w:type="spellEnd"/>
      <w:r>
        <w:rPr>
          <w:rFonts w:ascii="Garamond" w:hAnsi="Garamond"/>
        </w:rPr>
        <w:t>: “Femicide is a distinct crime: its key motive is linked to a patriarchal social structure that perpetuates women’s inferiority and subordination to men, which subsequently legitimizes violence directed at women, including the ultimate violence: femicide”. See: Footnote 5, page 86</w:t>
      </w:r>
    </w:p>
  </w:footnote>
  <w:footnote w:id="7">
    <w:p w14:paraId="39DAF200" w14:textId="77777777" w:rsidR="004C3677" w:rsidRDefault="004C3677" w:rsidP="004C3677">
      <w:pPr>
        <w:pStyle w:val="FootnoteText"/>
        <w:rPr>
          <w:rFonts w:asciiTheme="majorBidi" w:hAnsiTheme="majorBidi" w:cstheme="majorBidi"/>
          <w:lang w:bidi="he-IL"/>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i/>
          <w:iCs/>
          <w:lang w:val="es-ES"/>
        </w:rPr>
        <w:t>e.g</w:t>
      </w:r>
      <w:proofErr w:type="spellEnd"/>
      <w:r>
        <w:rPr>
          <w:rFonts w:asciiTheme="majorBidi" w:hAnsiTheme="majorBidi" w:cstheme="majorBidi"/>
          <w:lang w:val="es-ES"/>
        </w:rPr>
        <w:t xml:space="preserve">. </w:t>
      </w:r>
      <w:proofErr w:type="spellStart"/>
      <w:r>
        <w:rPr>
          <w:rFonts w:asciiTheme="majorBidi" w:hAnsiTheme="majorBidi" w:cstheme="majorBidi"/>
          <w:color w:val="000000" w:themeColor="text1"/>
          <w:lang w:val="es-ES" w:bidi="ar-DZ"/>
        </w:rPr>
        <w:t>Aburabia</w:t>
      </w:r>
      <w:proofErr w:type="spellEnd"/>
      <w:r>
        <w:rPr>
          <w:rFonts w:asciiTheme="majorBidi" w:hAnsiTheme="majorBidi" w:cstheme="majorBidi"/>
          <w:color w:val="000000" w:themeColor="text1"/>
          <w:lang w:val="es-ES" w:bidi="ar-DZ"/>
        </w:rPr>
        <w:t xml:space="preserve">, </w:t>
      </w:r>
      <w:r>
        <w:rPr>
          <w:rFonts w:asciiTheme="majorBidi" w:hAnsiTheme="majorBidi" w:cstheme="majorBidi"/>
          <w:i/>
          <w:iCs/>
          <w:color w:val="000000" w:themeColor="text1"/>
          <w:lang w:val="es-ES" w:bidi="ar-DZ"/>
        </w:rPr>
        <w:t xml:space="preserve">supra </w:t>
      </w:r>
      <w:r>
        <w:rPr>
          <w:rFonts w:asciiTheme="majorBidi" w:hAnsiTheme="majorBidi" w:cstheme="majorBidi"/>
          <w:color w:val="000000" w:themeColor="text1"/>
          <w:lang w:val="es-ES" w:bidi="ar-DZ"/>
        </w:rPr>
        <w:t>note 6.</w:t>
      </w:r>
    </w:p>
  </w:footnote>
  <w:footnote w:id="8">
    <w:p w14:paraId="1718B708" w14:textId="77777777" w:rsidR="00A36A1C" w:rsidRDefault="00A36A1C" w:rsidP="00A21E5D">
      <w:pPr>
        <w:pStyle w:val="FootnoteText"/>
        <w:jc w:val="both"/>
        <w:rPr>
          <w:rFonts w:asciiTheme="majorBidi" w:hAnsiTheme="majorBidi" w:cstheme="majorBidi"/>
          <w:rtl/>
          <w:lang w:bidi="ar-DZ"/>
        </w:rPr>
      </w:pPr>
      <w:r>
        <w:rPr>
          <w:rStyle w:val="FootnoteReference"/>
          <w:rFonts w:asciiTheme="majorBidi" w:hAnsiTheme="majorBidi" w:cstheme="majorBidi"/>
          <w:color w:val="000000" w:themeColor="text1"/>
        </w:rPr>
        <w:footnoteRef/>
      </w:r>
      <w:r>
        <w:rPr>
          <w:rFonts w:asciiTheme="majorBidi" w:hAnsiTheme="majorBidi" w:cstheme="majorBidi"/>
          <w:color w:val="000000" w:themeColor="text1"/>
        </w:rPr>
        <w:t xml:space="preserve"> M</w:t>
      </w:r>
      <w:r>
        <w:rPr>
          <w:rFonts w:asciiTheme="majorBidi" w:hAnsiTheme="majorBidi" w:cstheme="majorBidi"/>
          <w:color w:val="000000" w:themeColor="text1"/>
          <w:lang w:bidi="he-IL"/>
        </w:rPr>
        <w:t xml:space="preserve">ichael Milstein, </w:t>
      </w:r>
      <w:proofErr w:type="spellStart"/>
      <w:r>
        <w:rPr>
          <w:rFonts w:asciiTheme="majorBidi" w:hAnsiTheme="majorBidi" w:cstheme="majorBidi"/>
          <w:i/>
          <w:iCs/>
          <w:color w:val="000000" w:themeColor="text1"/>
          <w:lang w:bidi="he-IL"/>
        </w:rPr>
        <w:t>Hamishtara</w:t>
      </w:r>
      <w:proofErr w:type="spellEnd"/>
      <w:r>
        <w:rPr>
          <w:rFonts w:asciiTheme="majorBidi" w:hAnsiTheme="majorBidi" w:cstheme="majorBidi"/>
          <w:i/>
          <w:iCs/>
          <w:color w:val="000000" w:themeColor="text1"/>
          <w:lang w:bidi="he-IL"/>
        </w:rPr>
        <w:t xml:space="preserve"> </w:t>
      </w:r>
      <w:proofErr w:type="spellStart"/>
      <w:r>
        <w:rPr>
          <w:rFonts w:asciiTheme="majorBidi" w:hAnsiTheme="majorBidi" w:cstheme="majorBidi"/>
          <w:i/>
          <w:iCs/>
          <w:color w:val="000000" w:themeColor="text1"/>
          <w:lang w:bidi="he-IL"/>
        </w:rPr>
        <w:t>VeHaHevra</w:t>
      </w:r>
      <w:proofErr w:type="spellEnd"/>
      <w:r>
        <w:rPr>
          <w:rFonts w:asciiTheme="majorBidi" w:hAnsiTheme="majorBidi" w:cstheme="majorBidi"/>
          <w:i/>
          <w:iCs/>
          <w:color w:val="000000" w:themeColor="text1"/>
          <w:lang w:bidi="he-IL"/>
        </w:rPr>
        <w:t xml:space="preserve"> </w:t>
      </w:r>
      <w:proofErr w:type="spellStart"/>
      <w:r>
        <w:rPr>
          <w:rFonts w:asciiTheme="majorBidi" w:hAnsiTheme="majorBidi" w:cstheme="majorBidi"/>
          <w:i/>
          <w:iCs/>
          <w:color w:val="000000" w:themeColor="text1"/>
          <w:lang w:bidi="he-IL"/>
        </w:rPr>
        <w:t>HaAravit</w:t>
      </w:r>
      <w:proofErr w:type="spellEnd"/>
      <w:r>
        <w:rPr>
          <w:rFonts w:asciiTheme="majorBidi" w:hAnsiTheme="majorBidi" w:cstheme="majorBidi"/>
          <w:i/>
          <w:iCs/>
          <w:color w:val="000000" w:themeColor="text1"/>
          <w:lang w:bidi="he-IL"/>
        </w:rPr>
        <w:t xml:space="preserve"> </w:t>
      </w:r>
      <w:proofErr w:type="spellStart"/>
      <w:r>
        <w:rPr>
          <w:rFonts w:asciiTheme="majorBidi" w:hAnsiTheme="majorBidi" w:cstheme="majorBidi"/>
          <w:i/>
          <w:iCs/>
          <w:color w:val="000000" w:themeColor="text1"/>
          <w:lang w:bidi="he-IL"/>
        </w:rPr>
        <w:t>Nigshu</w:t>
      </w:r>
      <w:proofErr w:type="spellEnd"/>
      <w:r>
        <w:rPr>
          <w:rFonts w:asciiTheme="majorBidi" w:hAnsiTheme="majorBidi" w:cstheme="majorBidi"/>
          <w:i/>
          <w:iCs/>
          <w:color w:val="000000" w:themeColor="text1"/>
          <w:lang w:bidi="he-IL"/>
        </w:rPr>
        <w:t xml:space="preserve"> </w:t>
      </w:r>
      <w:proofErr w:type="spellStart"/>
      <w:r>
        <w:rPr>
          <w:rFonts w:asciiTheme="majorBidi" w:hAnsiTheme="majorBidi" w:cstheme="majorBidi"/>
          <w:i/>
          <w:iCs/>
          <w:color w:val="000000" w:themeColor="text1"/>
          <w:lang w:bidi="he-IL"/>
        </w:rPr>
        <w:t>LeMivhan</w:t>
      </w:r>
      <w:proofErr w:type="spellEnd"/>
      <w:r>
        <w:rPr>
          <w:rFonts w:asciiTheme="majorBidi" w:hAnsiTheme="majorBidi" w:cstheme="majorBidi"/>
          <w:i/>
          <w:iCs/>
          <w:color w:val="000000" w:themeColor="text1"/>
          <w:lang w:bidi="he-IL"/>
        </w:rPr>
        <w:t xml:space="preserve"> </w:t>
      </w:r>
      <w:proofErr w:type="spellStart"/>
      <w:r>
        <w:rPr>
          <w:rFonts w:asciiTheme="majorBidi" w:hAnsiTheme="majorBidi" w:cstheme="majorBidi"/>
          <w:i/>
          <w:iCs/>
          <w:color w:val="000000" w:themeColor="text1"/>
          <w:lang w:bidi="he-IL"/>
        </w:rPr>
        <w:t>Meshutaf</w:t>
      </w:r>
      <w:proofErr w:type="spellEnd"/>
      <w:r>
        <w:rPr>
          <w:rFonts w:asciiTheme="majorBidi" w:hAnsiTheme="majorBidi" w:cstheme="majorBidi"/>
          <w:i/>
          <w:iCs/>
          <w:color w:val="000000" w:themeColor="text1"/>
          <w:lang w:bidi="he-IL"/>
        </w:rPr>
        <w:t xml:space="preserve">, </w:t>
      </w:r>
      <w:proofErr w:type="spellStart"/>
      <w:r>
        <w:rPr>
          <w:rFonts w:asciiTheme="majorBidi" w:hAnsiTheme="majorBidi" w:cstheme="majorBidi"/>
          <w:i/>
          <w:iCs/>
          <w:color w:val="000000" w:themeColor="text1"/>
          <w:lang w:bidi="he-IL"/>
        </w:rPr>
        <w:t>VeAsur</w:t>
      </w:r>
      <w:proofErr w:type="spellEnd"/>
      <w:r>
        <w:rPr>
          <w:rFonts w:asciiTheme="majorBidi" w:hAnsiTheme="majorBidi" w:cstheme="majorBidi"/>
          <w:i/>
          <w:iCs/>
          <w:color w:val="000000" w:themeColor="text1"/>
          <w:lang w:bidi="he-IL"/>
        </w:rPr>
        <w:t xml:space="preserve"> </w:t>
      </w:r>
      <w:proofErr w:type="spellStart"/>
      <w:r>
        <w:rPr>
          <w:rFonts w:asciiTheme="majorBidi" w:hAnsiTheme="majorBidi" w:cstheme="majorBidi"/>
          <w:i/>
          <w:iCs/>
          <w:color w:val="000000" w:themeColor="text1"/>
          <w:lang w:bidi="he-IL"/>
        </w:rPr>
        <w:t>Lahen</w:t>
      </w:r>
      <w:proofErr w:type="spellEnd"/>
      <w:r>
        <w:rPr>
          <w:rFonts w:asciiTheme="majorBidi" w:hAnsiTheme="majorBidi" w:cstheme="majorBidi"/>
          <w:i/>
          <w:iCs/>
          <w:color w:val="000000" w:themeColor="text1"/>
          <w:lang w:bidi="he-IL"/>
        </w:rPr>
        <w:t xml:space="preserve"> </w:t>
      </w:r>
      <w:proofErr w:type="spellStart"/>
      <w:r>
        <w:rPr>
          <w:rFonts w:asciiTheme="majorBidi" w:hAnsiTheme="majorBidi" w:cstheme="majorBidi"/>
          <w:i/>
          <w:iCs/>
          <w:color w:val="000000" w:themeColor="text1"/>
          <w:lang w:bidi="he-IL"/>
        </w:rPr>
        <w:t>Lehikashel</w:t>
      </w:r>
      <w:proofErr w:type="spellEnd"/>
      <w:r>
        <w:rPr>
          <w:rFonts w:asciiTheme="majorBidi" w:hAnsiTheme="majorBidi" w:cstheme="majorBidi"/>
          <w:i/>
          <w:iCs/>
          <w:color w:val="000000" w:themeColor="text1"/>
          <w:lang w:bidi="he-IL"/>
        </w:rPr>
        <w:t xml:space="preserve"> </w:t>
      </w:r>
      <w:r>
        <w:rPr>
          <w:rFonts w:asciiTheme="majorBidi" w:hAnsiTheme="majorBidi" w:cstheme="majorBidi"/>
          <w:color w:val="000000" w:themeColor="text1"/>
          <w:lang w:bidi="he-IL"/>
        </w:rPr>
        <w:t>[</w:t>
      </w:r>
      <w:r>
        <w:rPr>
          <w:rFonts w:asciiTheme="majorBidi" w:hAnsiTheme="majorBidi" w:cstheme="majorBidi"/>
          <w:i/>
          <w:iCs/>
          <w:color w:val="000000" w:themeColor="text1"/>
          <w:lang w:bidi="he-IL"/>
        </w:rPr>
        <w:t>The Police and the Arabic Society Entered to a Joint Test They Mustn’t Fail</w:t>
      </w:r>
      <w:r>
        <w:rPr>
          <w:rFonts w:asciiTheme="majorBidi" w:hAnsiTheme="majorBidi" w:cstheme="majorBidi"/>
          <w:color w:val="000000" w:themeColor="text1"/>
          <w:lang w:bidi="he-IL"/>
        </w:rPr>
        <w:t xml:space="preserve">], </w:t>
      </w:r>
      <w:r>
        <w:rPr>
          <w:rFonts w:asciiTheme="majorBidi" w:hAnsiTheme="majorBidi" w:cstheme="majorBidi"/>
          <w:smallCaps/>
          <w:color w:val="000000" w:themeColor="text1"/>
          <w:lang w:bidi="he-IL"/>
        </w:rPr>
        <w:t>The marker (</w:t>
      </w:r>
      <w:r>
        <w:rPr>
          <w:rFonts w:asciiTheme="majorBidi" w:hAnsiTheme="majorBidi" w:cstheme="majorBidi"/>
          <w:color w:val="000000" w:themeColor="text1"/>
          <w:lang w:bidi="he-IL"/>
        </w:rPr>
        <w:t>Nov</w:t>
      </w:r>
      <w:r>
        <w:rPr>
          <w:rFonts w:asciiTheme="majorBidi" w:hAnsiTheme="majorBidi" w:cstheme="majorBidi"/>
          <w:smallCaps/>
          <w:color w:val="000000" w:themeColor="text1"/>
          <w:lang w:bidi="he-IL"/>
        </w:rPr>
        <w:t>. 17, 2019),</w:t>
      </w:r>
      <w:r>
        <w:rPr>
          <w:rFonts w:asciiTheme="majorBidi" w:hAnsiTheme="majorBidi" w:cstheme="majorBidi"/>
          <w:color w:val="000000" w:themeColor="text1"/>
          <w:lang w:bidi="he-IL"/>
        </w:rPr>
        <w:t xml:space="preserve"> </w:t>
      </w:r>
      <w:hyperlink r:id="rId4" w:history="1">
        <w:r>
          <w:rPr>
            <w:rStyle w:val="Hyperlink"/>
            <w:rFonts w:asciiTheme="majorBidi" w:hAnsiTheme="majorBidi" w:cstheme="majorBidi"/>
            <w:lang w:bidi="ar-DZ"/>
          </w:rPr>
          <w:t>https://www.themarker.com/news/politics/1.8135471</w:t>
        </w:r>
      </w:hyperlink>
      <w:r>
        <w:rPr>
          <w:rFonts w:asciiTheme="majorBidi" w:hAnsiTheme="majorBidi" w:cstheme="majorBidi"/>
          <w:color w:val="000000" w:themeColor="text1"/>
          <w:lang w:bidi="ar-DZ"/>
        </w:rPr>
        <w:t xml:space="preserve">; </w:t>
      </w:r>
      <w:proofErr w:type="spellStart"/>
      <w:r>
        <w:rPr>
          <w:rFonts w:asciiTheme="majorBidi" w:hAnsiTheme="majorBidi" w:cstheme="majorBidi"/>
          <w:color w:val="000000" w:themeColor="text1"/>
          <w:lang w:bidi="ar-DZ"/>
        </w:rPr>
        <w:t>Rawia</w:t>
      </w:r>
      <w:proofErr w:type="spellEnd"/>
      <w:r>
        <w:rPr>
          <w:rFonts w:asciiTheme="majorBidi" w:hAnsiTheme="majorBidi" w:cstheme="majorBidi"/>
          <w:color w:val="000000" w:themeColor="text1"/>
          <w:lang w:bidi="ar-DZ"/>
        </w:rPr>
        <w:t xml:space="preserve"> </w:t>
      </w:r>
      <w:proofErr w:type="spellStart"/>
      <w:r>
        <w:rPr>
          <w:rFonts w:asciiTheme="majorBidi" w:hAnsiTheme="majorBidi" w:cstheme="majorBidi"/>
          <w:color w:val="000000" w:themeColor="text1"/>
          <w:lang w:bidi="ar-DZ"/>
        </w:rPr>
        <w:t>Aburabia</w:t>
      </w:r>
      <w:proofErr w:type="spellEnd"/>
      <w:r>
        <w:rPr>
          <w:rFonts w:asciiTheme="majorBidi" w:hAnsiTheme="majorBidi" w:cstheme="majorBidi"/>
          <w:color w:val="000000" w:themeColor="text1"/>
          <w:lang w:bidi="ar-DZ"/>
        </w:rPr>
        <w:t xml:space="preserve">, </w:t>
      </w:r>
      <w:proofErr w:type="spellStart"/>
      <w:r>
        <w:rPr>
          <w:rFonts w:asciiTheme="majorBidi" w:hAnsiTheme="majorBidi" w:cstheme="majorBidi"/>
          <w:i/>
          <w:iCs/>
          <w:color w:val="000000" w:themeColor="text1"/>
          <w:lang w:bidi="ar-DZ"/>
        </w:rPr>
        <w:t>Hapoligamiah</w:t>
      </w:r>
      <w:proofErr w:type="spellEnd"/>
      <w:r>
        <w:rPr>
          <w:rFonts w:asciiTheme="majorBidi" w:hAnsiTheme="majorBidi" w:cstheme="majorBidi"/>
          <w:i/>
          <w:iCs/>
          <w:color w:val="000000" w:themeColor="text1"/>
          <w:lang w:bidi="ar-DZ"/>
        </w:rPr>
        <w:t xml:space="preserve"> </w:t>
      </w:r>
      <w:proofErr w:type="spellStart"/>
      <w:r>
        <w:rPr>
          <w:rFonts w:asciiTheme="majorBidi" w:hAnsiTheme="majorBidi" w:cstheme="majorBidi"/>
          <w:i/>
          <w:iCs/>
          <w:color w:val="000000" w:themeColor="text1"/>
          <w:lang w:bidi="ar-DZ"/>
        </w:rPr>
        <w:t>BaMishpat</w:t>
      </w:r>
      <w:proofErr w:type="spellEnd"/>
      <w:r>
        <w:rPr>
          <w:rFonts w:asciiTheme="majorBidi" w:hAnsiTheme="majorBidi" w:cstheme="majorBidi"/>
          <w:i/>
          <w:iCs/>
          <w:color w:val="000000" w:themeColor="text1"/>
          <w:lang w:bidi="ar-DZ"/>
        </w:rPr>
        <w:t xml:space="preserve"> </w:t>
      </w:r>
      <w:proofErr w:type="spellStart"/>
      <w:r>
        <w:rPr>
          <w:rFonts w:asciiTheme="majorBidi" w:hAnsiTheme="majorBidi" w:cstheme="majorBidi"/>
          <w:i/>
          <w:iCs/>
          <w:color w:val="000000" w:themeColor="text1"/>
          <w:lang w:bidi="ar-DZ"/>
        </w:rPr>
        <w:t>HaIsraeli</w:t>
      </w:r>
      <w:proofErr w:type="spellEnd"/>
      <w:r>
        <w:rPr>
          <w:rFonts w:asciiTheme="majorBidi" w:hAnsiTheme="majorBidi" w:cstheme="majorBidi"/>
          <w:i/>
          <w:iCs/>
          <w:color w:val="000000" w:themeColor="text1"/>
          <w:lang w:bidi="ar-DZ"/>
        </w:rPr>
        <w:t xml:space="preserve">: </w:t>
      </w:r>
      <w:proofErr w:type="spellStart"/>
      <w:r>
        <w:rPr>
          <w:rFonts w:asciiTheme="majorBidi" w:hAnsiTheme="majorBidi" w:cstheme="majorBidi"/>
          <w:i/>
          <w:iCs/>
          <w:color w:val="000000" w:themeColor="text1"/>
          <w:lang w:bidi="ar-DZ"/>
        </w:rPr>
        <w:t>Likrat</w:t>
      </w:r>
      <w:proofErr w:type="spellEnd"/>
      <w:r>
        <w:rPr>
          <w:rFonts w:asciiTheme="majorBidi" w:hAnsiTheme="majorBidi" w:cstheme="majorBidi"/>
          <w:i/>
          <w:iCs/>
          <w:color w:val="000000" w:themeColor="text1"/>
          <w:lang w:bidi="ar-DZ"/>
        </w:rPr>
        <w:t xml:space="preserve"> Gisha </w:t>
      </w:r>
      <w:proofErr w:type="spellStart"/>
      <w:r>
        <w:rPr>
          <w:rFonts w:asciiTheme="majorBidi" w:hAnsiTheme="majorBidi" w:cstheme="majorBidi"/>
          <w:i/>
          <w:iCs/>
          <w:color w:val="000000" w:themeColor="text1"/>
          <w:lang w:bidi="ar-DZ"/>
        </w:rPr>
        <w:t>Hibridit</w:t>
      </w:r>
      <w:proofErr w:type="spellEnd"/>
      <w:r>
        <w:rPr>
          <w:rFonts w:asciiTheme="majorBidi" w:hAnsiTheme="majorBidi" w:cstheme="majorBidi"/>
          <w:i/>
          <w:iCs/>
          <w:color w:val="000000" w:themeColor="text1"/>
          <w:lang w:bidi="ar-DZ"/>
        </w:rPr>
        <w:t xml:space="preserve"> </w:t>
      </w:r>
      <w:r>
        <w:rPr>
          <w:rFonts w:asciiTheme="majorBidi" w:hAnsiTheme="majorBidi" w:cstheme="majorBidi"/>
          <w:color w:val="000000" w:themeColor="text1"/>
          <w:rtl/>
          <w:lang w:bidi="he-IL"/>
        </w:rPr>
        <w:t>]</w:t>
      </w:r>
      <w:r>
        <w:rPr>
          <w:rFonts w:asciiTheme="majorBidi" w:hAnsiTheme="majorBidi" w:cstheme="majorBidi"/>
          <w:i/>
          <w:iCs/>
        </w:rPr>
        <w:t xml:space="preserve">Towards a hybrid paradigm of Polygamy </w:t>
      </w:r>
      <w:r>
        <w:rPr>
          <w:rFonts w:asciiTheme="majorBidi" w:hAnsiTheme="majorBidi" w:cstheme="majorBidi"/>
          <w:i/>
          <w:iCs/>
          <w:color w:val="000000"/>
        </w:rPr>
        <w:t>in Israeli Law - a reflexive journey following the work of Richard T. Ford</w:t>
      </w:r>
      <w:r>
        <w:rPr>
          <w:rFonts w:asciiTheme="majorBidi" w:hAnsiTheme="majorBidi" w:cstheme="majorBidi"/>
          <w:color w:val="000000" w:themeColor="text1"/>
          <w:rtl/>
          <w:lang w:bidi="he-IL"/>
        </w:rPr>
        <w:t>[</w:t>
      </w:r>
      <w:r>
        <w:rPr>
          <w:rFonts w:asciiTheme="majorBidi" w:hAnsiTheme="majorBidi" w:cstheme="majorBidi"/>
          <w:color w:val="000000" w:themeColor="text1"/>
          <w:lang w:bidi="ar-DZ"/>
        </w:rPr>
        <w:t xml:space="preserve">, 11 </w:t>
      </w:r>
      <w:proofErr w:type="spellStart"/>
      <w:r>
        <w:rPr>
          <w:rFonts w:asciiTheme="majorBidi" w:hAnsiTheme="majorBidi" w:cstheme="majorBidi"/>
          <w:smallCaps/>
          <w:color w:val="000000" w:themeColor="text1"/>
          <w:lang w:bidi="ar-DZ"/>
        </w:rPr>
        <w:t>Ma’sei</w:t>
      </w:r>
      <w:proofErr w:type="spellEnd"/>
      <w:r>
        <w:rPr>
          <w:rFonts w:asciiTheme="majorBidi" w:hAnsiTheme="majorBidi" w:cstheme="majorBidi"/>
          <w:smallCaps/>
          <w:color w:val="000000" w:themeColor="text1"/>
          <w:lang w:bidi="ar-DZ"/>
        </w:rPr>
        <w:t xml:space="preserve"> </w:t>
      </w:r>
      <w:proofErr w:type="spellStart"/>
      <w:r>
        <w:rPr>
          <w:rFonts w:asciiTheme="majorBidi" w:hAnsiTheme="majorBidi" w:cstheme="majorBidi"/>
          <w:smallCaps/>
          <w:color w:val="000000" w:themeColor="text1"/>
          <w:lang w:bidi="ar-DZ"/>
        </w:rPr>
        <w:t>Mishpat</w:t>
      </w:r>
      <w:proofErr w:type="spellEnd"/>
      <w:r>
        <w:rPr>
          <w:rFonts w:asciiTheme="majorBidi" w:hAnsiTheme="majorBidi" w:cstheme="majorBidi"/>
          <w:smallCaps/>
          <w:color w:val="000000" w:themeColor="text1"/>
          <w:lang w:bidi="ar-DZ"/>
        </w:rPr>
        <w:t xml:space="preserve"> 53 (2020).</w:t>
      </w:r>
    </w:p>
  </w:footnote>
  <w:footnote w:id="9">
    <w:p w14:paraId="301432CF" w14:textId="77777777" w:rsidR="00A36A1C" w:rsidRDefault="00A36A1C" w:rsidP="00D1379E">
      <w:pPr>
        <w:pStyle w:val="FootnoteText"/>
        <w:jc w:val="both"/>
        <w:rPr>
          <w:rFonts w:asciiTheme="majorBidi" w:hAnsiTheme="majorBidi" w:cstheme="majorBidi"/>
          <w:color w:val="000000" w:themeColor="text1"/>
          <w:rtl/>
        </w:rPr>
      </w:pPr>
      <w:r>
        <w:rPr>
          <w:rStyle w:val="FootnoteReference"/>
          <w:rFonts w:asciiTheme="majorBidi" w:hAnsiTheme="majorBidi" w:cstheme="majorBidi"/>
          <w:color w:val="000000" w:themeColor="text1"/>
        </w:rPr>
        <w:footnoteRef/>
      </w:r>
      <w:r>
        <w:rPr>
          <w:rFonts w:asciiTheme="majorBidi" w:hAnsiTheme="majorBidi" w:cstheme="majorBidi"/>
          <w:color w:val="000000" w:themeColor="text1"/>
        </w:rPr>
        <w:t xml:space="preserve"> Hila Shamir, </w:t>
      </w:r>
      <w:proofErr w:type="spellStart"/>
      <w:r>
        <w:rPr>
          <w:rFonts w:asciiTheme="majorBidi" w:hAnsiTheme="majorBidi" w:cstheme="majorBidi"/>
          <w:i/>
          <w:iCs/>
          <w:color w:val="000000" w:themeColor="text1"/>
        </w:rPr>
        <w:t>Gishat</w:t>
      </w:r>
      <w:proofErr w:type="spellEnd"/>
      <w:r>
        <w:rPr>
          <w:rFonts w:asciiTheme="majorBidi" w:hAnsiTheme="majorBidi" w:cstheme="majorBidi"/>
          <w:i/>
          <w:iCs/>
          <w:color w:val="000000" w:themeColor="text1"/>
        </w:rPr>
        <w:t xml:space="preserve"> </w:t>
      </w:r>
      <w:proofErr w:type="spellStart"/>
      <w:r>
        <w:rPr>
          <w:rFonts w:asciiTheme="majorBidi" w:hAnsiTheme="majorBidi" w:cstheme="majorBidi"/>
          <w:i/>
          <w:iCs/>
          <w:color w:val="000000" w:themeColor="text1"/>
        </w:rPr>
        <w:t>A’voda</w:t>
      </w:r>
      <w:proofErr w:type="spellEnd"/>
      <w:r>
        <w:rPr>
          <w:rFonts w:asciiTheme="majorBidi" w:hAnsiTheme="majorBidi" w:cstheme="majorBidi"/>
          <w:i/>
          <w:iCs/>
          <w:color w:val="000000" w:themeColor="text1"/>
        </w:rPr>
        <w:t xml:space="preserve"> </w:t>
      </w:r>
      <w:proofErr w:type="spellStart"/>
      <w:r>
        <w:rPr>
          <w:rFonts w:asciiTheme="majorBidi" w:hAnsiTheme="majorBidi" w:cstheme="majorBidi"/>
          <w:i/>
          <w:iCs/>
          <w:color w:val="000000" w:themeColor="text1"/>
          <w:lang w:bidi="he-IL"/>
        </w:rPr>
        <w:t>LeSahar</w:t>
      </w:r>
      <w:proofErr w:type="spellEnd"/>
      <w:r>
        <w:rPr>
          <w:rFonts w:asciiTheme="majorBidi" w:hAnsiTheme="majorBidi" w:cstheme="majorBidi"/>
          <w:i/>
          <w:iCs/>
          <w:color w:val="000000" w:themeColor="text1"/>
          <w:lang w:bidi="he-IL"/>
        </w:rPr>
        <w:t xml:space="preserve"> </w:t>
      </w:r>
      <w:proofErr w:type="spellStart"/>
      <w:r>
        <w:rPr>
          <w:rFonts w:asciiTheme="majorBidi" w:hAnsiTheme="majorBidi" w:cstheme="majorBidi"/>
          <w:i/>
          <w:iCs/>
          <w:color w:val="000000" w:themeColor="text1"/>
          <w:lang w:bidi="he-IL"/>
        </w:rPr>
        <w:t>BeBnei</w:t>
      </w:r>
      <w:proofErr w:type="spellEnd"/>
      <w:r>
        <w:rPr>
          <w:rFonts w:asciiTheme="majorBidi" w:hAnsiTheme="majorBidi" w:cstheme="majorBidi"/>
          <w:i/>
          <w:iCs/>
          <w:color w:val="000000" w:themeColor="text1"/>
          <w:lang w:bidi="he-IL"/>
        </w:rPr>
        <w:t xml:space="preserve"> Adam: 20 Shana </w:t>
      </w:r>
      <w:proofErr w:type="spellStart"/>
      <w:r>
        <w:rPr>
          <w:rFonts w:asciiTheme="majorBidi" w:hAnsiTheme="majorBidi" w:cstheme="majorBidi"/>
          <w:i/>
          <w:iCs/>
          <w:color w:val="000000" w:themeColor="text1"/>
          <w:lang w:bidi="he-IL"/>
        </w:rPr>
        <w:t>LaMaabak</w:t>
      </w:r>
      <w:proofErr w:type="spellEnd"/>
      <w:r>
        <w:rPr>
          <w:rFonts w:asciiTheme="majorBidi" w:hAnsiTheme="majorBidi" w:cstheme="majorBidi"/>
          <w:i/>
          <w:iCs/>
          <w:color w:val="000000" w:themeColor="text1"/>
          <w:lang w:bidi="he-IL"/>
        </w:rPr>
        <w:t xml:space="preserve"> </w:t>
      </w:r>
      <w:proofErr w:type="spellStart"/>
      <w:r>
        <w:rPr>
          <w:rFonts w:asciiTheme="majorBidi" w:hAnsiTheme="majorBidi" w:cstheme="majorBidi"/>
          <w:i/>
          <w:iCs/>
          <w:color w:val="000000" w:themeColor="text1"/>
          <w:lang w:bidi="he-IL"/>
        </w:rPr>
        <w:t>HaBinleumi</w:t>
      </w:r>
      <w:proofErr w:type="spellEnd"/>
      <w:r>
        <w:rPr>
          <w:rFonts w:asciiTheme="majorBidi" w:hAnsiTheme="majorBidi" w:cstheme="majorBidi"/>
          <w:i/>
          <w:iCs/>
          <w:color w:val="000000" w:themeColor="text1"/>
          <w:lang w:bidi="he-IL"/>
        </w:rPr>
        <w:t xml:space="preserve"> </w:t>
      </w:r>
      <w:proofErr w:type="spellStart"/>
      <w:r>
        <w:rPr>
          <w:rFonts w:asciiTheme="majorBidi" w:hAnsiTheme="majorBidi" w:cstheme="majorBidi"/>
          <w:i/>
          <w:iCs/>
          <w:color w:val="000000" w:themeColor="text1"/>
          <w:lang w:bidi="he-IL"/>
        </w:rPr>
        <w:t>BeSahar</w:t>
      </w:r>
      <w:proofErr w:type="spellEnd"/>
      <w:r>
        <w:rPr>
          <w:rFonts w:asciiTheme="majorBidi" w:hAnsiTheme="majorBidi" w:cstheme="majorBidi"/>
          <w:i/>
          <w:iCs/>
          <w:color w:val="000000" w:themeColor="text1"/>
          <w:lang w:bidi="he-IL"/>
        </w:rPr>
        <w:t xml:space="preserve"> </w:t>
      </w:r>
      <w:proofErr w:type="spellStart"/>
      <w:r>
        <w:rPr>
          <w:rFonts w:asciiTheme="majorBidi" w:hAnsiTheme="majorBidi" w:cstheme="majorBidi"/>
          <w:i/>
          <w:iCs/>
          <w:color w:val="000000" w:themeColor="text1"/>
          <w:lang w:bidi="he-IL"/>
        </w:rPr>
        <w:t>BeBnei</w:t>
      </w:r>
      <w:proofErr w:type="spellEnd"/>
      <w:r>
        <w:rPr>
          <w:rFonts w:asciiTheme="majorBidi" w:hAnsiTheme="majorBidi" w:cstheme="majorBidi"/>
          <w:i/>
          <w:iCs/>
          <w:color w:val="000000" w:themeColor="text1"/>
          <w:lang w:bidi="he-IL"/>
        </w:rPr>
        <w:t xml:space="preserve"> Adam </w:t>
      </w:r>
      <w:r>
        <w:rPr>
          <w:rFonts w:asciiTheme="majorBidi" w:hAnsiTheme="majorBidi" w:cstheme="majorBidi"/>
          <w:color w:val="000000" w:themeColor="text1"/>
          <w:lang w:bidi="he-IL"/>
        </w:rPr>
        <w:t>[</w:t>
      </w:r>
      <w:r>
        <w:rPr>
          <w:rFonts w:asciiTheme="majorBidi" w:hAnsiTheme="majorBidi" w:cstheme="majorBidi"/>
          <w:i/>
          <w:iCs/>
          <w:color w:val="000000" w:themeColor="text1"/>
          <w:lang w:bidi="he-IL"/>
        </w:rPr>
        <w:t>A Labor Paradigm for Human Trafficking: 20 years of the International Struggle on Human Trafficking</w:t>
      </w:r>
      <w:r>
        <w:rPr>
          <w:rFonts w:asciiTheme="majorBidi" w:hAnsiTheme="majorBidi" w:cstheme="majorBidi"/>
          <w:color w:val="000000" w:themeColor="text1"/>
          <w:lang w:bidi="he-IL"/>
        </w:rPr>
        <w:t xml:space="preserve">], 44 </w:t>
      </w:r>
      <w:proofErr w:type="spellStart"/>
      <w:r>
        <w:rPr>
          <w:rFonts w:asciiTheme="majorBidi" w:hAnsiTheme="majorBidi" w:cstheme="majorBidi"/>
          <w:smallCaps/>
          <w:color w:val="000000" w:themeColor="text1"/>
          <w:lang w:bidi="he-IL"/>
        </w:rPr>
        <w:t>I’yuney</w:t>
      </w:r>
      <w:proofErr w:type="spellEnd"/>
      <w:r>
        <w:rPr>
          <w:rFonts w:asciiTheme="majorBidi" w:hAnsiTheme="majorBidi" w:cstheme="majorBidi"/>
          <w:smallCaps/>
          <w:color w:val="000000" w:themeColor="text1"/>
          <w:lang w:bidi="he-IL"/>
        </w:rPr>
        <w:t xml:space="preserve"> </w:t>
      </w:r>
      <w:proofErr w:type="spellStart"/>
      <w:r>
        <w:rPr>
          <w:rFonts w:asciiTheme="majorBidi" w:hAnsiTheme="majorBidi" w:cstheme="majorBidi"/>
          <w:smallCaps/>
          <w:color w:val="000000" w:themeColor="text1"/>
          <w:lang w:bidi="he-IL"/>
        </w:rPr>
        <w:t>Mishpat</w:t>
      </w:r>
      <w:proofErr w:type="spellEnd"/>
      <w:r>
        <w:rPr>
          <w:rFonts w:asciiTheme="majorBidi" w:hAnsiTheme="majorBidi" w:cstheme="majorBidi"/>
          <w:color w:val="000000" w:themeColor="text1"/>
          <w:lang w:bidi="he-IL"/>
        </w:rPr>
        <w:t xml:space="preserve"> (forthcoming 2021)</w:t>
      </w:r>
      <w:r>
        <w:rPr>
          <w:rFonts w:asciiTheme="majorBidi" w:hAnsiTheme="majorBidi" w:cstheme="majorBidi"/>
          <w:color w:val="000000" w:themeColor="text1"/>
        </w:rPr>
        <w:t xml:space="preserve">; </w:t>
      </w:r>
      <w:r>
        <w:rPr>
          <w:rFonts w:asciiTheme="majorBidi" w:eastAsia="David" w:hAnsiTheme="majorBidi" w:cstheme="majorBidi"/>
          <w:color w:val="000000" w:themeColor="text1"/>
        </w:rPr>
        <w:t xml:space="preserve">Aya Gruber, </w:t>
      </w:r>
      <w:r>
        <w:rPr>
          <w:rFonts w:asciiTheme="majorBidi" w:eastAsia="David" w:hAnsiTheme="majorBidi" w:cstheme="majorBidi"/>
          <w:i/>
          <w:color w:val="000000" w:themeColor="text1"/>
        </w:rPr>
        <w:t>Carceral Feminism at a Crossroad</w:t>
      </w:r>
      <w:r>
        <w:rPr>
          <w:rFonts w:asciiTheme="majorBidi" w:eastAsia="David" w:hAnsiTheme="majorBidi" w:cstheme="majorBidi"/>
          <w:color w:val="000000" w:themeColor="text1"/>
        </w:rPr>
        <w:t xml:space="preserve">, </w:t>
      </w:r>
      <w:r>
        <w:rPr>
          <w:rFonts w:asciiTheme="majorBidi" w:eastAsia="David" w:hAnsiTheme="majorBidi" w:cstheme="majorBidi"/>
          <w:smallCaps/>
          <w:color w:val="000000" w:themeColor="text1"/>
        </w:rPr>
        <w:t>LPE</w:t>
      </w:r>
      <w:r>
        <w:rPr>
          <w:rFonts w:asciiTheme="majorBidi" w:eastAsia="David" w:hAnsiTheme="majorBidi" w:cstheme="majorBidi"/>
          <w:color w:val="000000" w:themeColor="text1"/>
        </w:rPr>
        <w:t xml:space="preserve"> (August 4, 2020), </w:t>
      </w:r>
      <w:hyperlink r:id="rId5" w:history="1">
        <w:r>
          <w:rPr>
            <w:rStyle w:val="Hyperlink"/>
            <w:rFonts w:asciiTheme="majorBidi" w:eastAsia="David" w:hAnsiTheme="majorBidi" w:cstheme="majorBidi"/>
          </w:rPr>
          <w:t>https://lpeblog.org/2020/08/04/carceral-feminism-at-a-crossroad/</w:t>
        </w:r>
      </w:hyperlink>
      <w:r>
        <w:rPr>
          <w:rFonts w:asciiTheme="majorBidi" w:eastAsia="David" w:hAnsiTheme="majorBidi" w:cstheme="majorBidi"/>
          <w:color w:val="0000FF"/>
          <w:u w:val="single"/>
          <w:lang w:bidi="he-IL"/>
        </w:rPr>
        <w:t>.</w:t>
      </w:r>
    </w:p>
  </w:footnote>
  <w:footnote w:id="10">
    <w:p w14:paraId="11EE0C0A" w14:textId="77777777" w:rsidR="00A36A1C" w:rsidRDefault="00A36A1C" w:rsidP="00D1379E">
      <w:pPr>
        <w:rPr>
          <w:rFonts w:asciiTheme="majorBidi" w:hAnsiTheme="majorBidi" w:cstheme="majorBidi"/>
          <w:sz w:val="20"/>
          <w:szCs w:val="20"/>
          <w:rtl/>
        </w:rPr>
      </w:pPr>
      <w:r>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color w:val="222222"/>
          <w:sz w:val="20"/>
          <w:szCs w:val="20"/>
          <w:shd w:val="clear" w:color="auto" w:fill="FFFFFF"/>
        </w:rPr>
        <w:t>Mattia Pinto,</w:t>
      </w:r>
      <w:r>
        <w:rPr>
          <w:rFonts w:asciiTheme="majorBidi" w:hAnsiTheme="majorBidi" w:cstheme="majorBidi"/>
          <w:i/>
          <w:iCs/>
          <w:color w:val="222222"/>
          <w:sz w:val="20"/>
          <w:szCs w:val="20"/>
          <w:shd w:val="clear" w:color="auto" w:fill="FFFFFF"/>
        </w:rPr>
        <w:t xml:space="preserve"> Historical Trends of Human Rights Gone Criminal</w:t>
      </w:r>
      <w:r>
        <w:rPr>
          <w:rFonts w:asciiTheme="majorBidi" w:hAnsiTheme="majorBidi" w:cstheme="majorBidi"/>
          <w:color w:val="222222"/>
          <w:sz w:val="20"/>
          <w:szCs w:val="20"/>
          <w:shd w:val="clear" w:color="auto" w:fill="FFFFFF"/>
        </w:rPr>
        <w:t xml:space="preserve">, </w:t>
      </w:r>
      <w:r>
        <w:rPr>
          <w:rFonts w:asciiTheme="majorBidi" w:hAnsiTheme="majorBidi" w:cstheme="majorBidi"/>
          <w:smallCaps/>
          <w:color w:val="222222"/>
          <w:sz w:val="20"/>
          <w:szCs w:val="20"/>
          <w:shd w:val="clear" w:color="auto" w:fill="FFFFFF"/>
        </w:rPr>
        <w:t xml:space="preserve">42 Hum. </w:t>
      </w:r>
      <w:proofErr w:type="spellStart"/>
      <w:r>
        <w:rPr>
          <w:rFonts w:asciiTheme="majorBidi" w:hAnsiTheme="majorBidi" w:cstheme="majorBidi"/>
          <w:smallCaps/>
          <w:color w:val="222222"/>
          <w:sz w:val="20"/>
          <w:szCs w:val="20"/>
          <w:shd w:val="clear" w:color="auto" w:fill="FFFFFF"/>
        </w:rPr>
        <w:t>Rts</w:t>
      </w:r>
      <w:proofErr w:type="spellEnd"/>
      <w:r>
        <w:rPr>
          <w:rFonts w:asciiTheme="majorBidi" w:hAnsiTheme="majorBidi" w:cstheme="majorBidi"/>
          <w:smallCaps/>
          <w:color w:val="222222"/>
          <w:sz w:val="20"/>
          <w:szCs w:val="20"/>
          <w:shd w:val="clear" w:color="auto" w:fill="FFFFFF"/>
        </w:rPr>
        <w:t>. Q.</w:t>
      </w:r>
      <w:r>
        <w:rPr>
          <w:rFonts w:asciiTheme="majorBidi" w:hAnsiTheme="majorBidi" w:cstheme="majorBidi"/>
          <w:color w:val="222222"/>
          <w:sz w:val="20"/>
          <w:szCs w:val="20"/>
          <w:shd w:val="clear" w:color="auto" w:fill="FFFFFF"/>
        </w:rPr>
        <w:t xml:space="preserve"> 729 (2020).</w:t>
      </w:r>
    </w:p>
  </w:footnote>
  <w:footnote w:id="11">
    <w:p w14:paraId="74509121" w14:textId="77777777" w:rsidR="00A36A1C" w:rsidRDefault="00A36A1C" w:rsidP="00D1379E">
      <w:pPr>
        <w:jc w:val="both"/>
        <w:rPr>
          <w:rFonts w:asciiTheme="majorBidi" w:eastAsia="David" w:hAnsiTheme="majorBidi" w:cstheme="majorBidi"/>
          <w:color w:val="000000" w:themeColor="text1"/>
          <w:sz w:val="20"/>
          <w:szCs w:val="20"/>
        </w:rPr>
      </w:pPr>
      <w:r>
        <w:rPr>
          <w:rStyle w:val="FootnoteReference"/>
          <w:rFonts w:asciiTheme="majorBidi" w:hAnsiTheme="majorBidi" w:cstheme="majorBidi"/>
          <w:color w:val="000000" w:themeColor="text1"/>
          <w:sz w:val="20"/>
          <w:szCs w:val="20"/>
        </w:rPr>
        <w:footnoteRef/>
      </w:r>
      <w:r>
        <w:rPr>
          <w:rFonts w:asciiTheme="majorBidi" w:hAnsiTheme="majorBidi" w:cstheme="majorBidi"/>
          <w:color w:val="000000" w:themeColor="text1"/>
          <w:sz w:val="20"/>
          <w:szCs w:val="20"/>
        </w:rPr>
        <w:t xml:space="preserve"> </w:t>
      </w:r>
      <w:r>
        <w:rPr>
          <w:rFonts w:asciiTheme="majorBidi" w:eastAsia="David" w:hAnsiTheme="majorBidi" w:cstheme="majorBidi"/>
          <w:color w:val="000000" w:themeColor="text1"/>
          <w:sz w:val="20"/>
          <w:szCs w:val="20"/>
        </w:rPr>
        <w:t xml:space="preserve">Hila Shamir, </w:t>
      </w:r>
      <w:r>
        <w:rPr>
          <w:rFonts w:asciiTheme="majorBidi" w:eastAsia="David" w:hAnsiTheme="majorBidi" w:cstheme="majorBidi"/>
          <w:i/>
          <w:iCs/>
          <w:color w:val="000000" w:themeColor="text1"/>
          <w:sz w:val="20"/>
          <w:szCs w:val="20"/>
        </w:rPr>
        <w:t>A Labor Paradigm for Human Trafficking</w:t>
      </w:r>
      <w:r>
        <w:rPr>
          <w:rFonts w:asciiTheme="majorBidi" w:eastAsia="David" w:hAnsiTheme="majorBidi" w:cstheme="majorBidi"/>
          <w:color w:val="000000" w:themeColor="text1"/>
          <w:sz w:val="20"/>
          <w:szCs w:val="20"/>
        </w:rPr>
        <w:t xml:space="preserve">, 60 </w:t>
      </w:r>
      <w:r>
        <w:rPr>
          <w:rFonts w:asciiTheme="majorBidi" w:eastAsia="David" w:hAnsiTheme="majorBidi" w:cstheme="majorBidi"/>
          <w:iCs/>
          <w:smallCaps/>
          <w:color w:val="000000" w:themeColor="text1"/>
          <w:sz w:val="20"/>
          <w:szCs w:val="20"/>
        </w:rPr>
        <w:t>UCLA L. Rev</w:t>
      </w:r>
      <w:r>
        <w:rPr>
          <w:rFonts w:asciiTheme="majorBidi" w:eastAsia="David" w:hAnsiTheme="majorBidi" w:cstheme="majorBidi"/>
          <w:i/>
          <w:color w:val="000000" w:themeColor="text1"/>
          <w:sz w:val="20"/>
          <w:szCs w:val="20"/>
        </w:rPr>
        <w:t>.</w:t>
      </w:r>
      <w:r>
        <w:rPr>
          <w:rFonts w:asciiTheme="majorBidi" w:eastAsia="David" w:hAnsiTheme="majorBidi" w:cstheme="majorBidi"/>
          <w:color w:val="000000" w:themeColor="text1"/>
          <w:sz w:val="20"/>
          <w:szCs w:val="20"/>
        </w:rPr>
        <w:t xml:space="preserve"> 76 (2012).</w:t>
      </w:r>
    </w:p>
  </w:footnote>
  <w:footnote w:id="12">
    <w:p w14:paraId="51DC935A" w14:textId="77777777" w:rsidR="00A36A1C" w:rsidRDefault="00A36A1C" w:rsidP="00D1379E">
      <w:pPr>
        <w:pStyle w:val="FootnoteText"/>
        <w:jc w:val="both"/>
        <w:rPr>
          <w:rFonts w:asciiTheme="majorBidi" w:hAnsiTheme="majorBidi" w:cstheme="majorBidi"/>
          <w:color w:val="000000" w:themeColor="text1"/>
        </w:rPr>
      </w:pPr>
      <w:r>
        <w:rPr>
          <w:rStyle w:val="FootnoteReference"/>
          <w:rFonts w:asciiTheme="majorBidi" w:hAnsiTheme="majorBidi" w:cstheme="majorBidi"/>
          <w:color w:val="000000" w:themeColor="text1"/>
        </w:rPr>
        <w:footnoteRef/>
      </w:r>
      <w:r>
        <w:rPr>
          <w:rFonts w:asciiTheme="majorBidi" w:hAnsiTheme="majorBidi" w:cstheme="majorBidi"/>
          <w:color w:val="000000" w:themeColor="text1"/>
        </w:rPr>
        <w:t xml:space="preserve"> </w:t>
      </w:r>
      <w:r>
        <w:rPr>
          <w:rFonts w:asciiTheme="majorBidi" w:hAnsiTheme="majorBidi" w:cstheme="majorBidi"/>
          <w:color w:val="000000" w:themeColor="text1"/>
          <w:lang w:val="es-CR"/>
        </w:rPr>
        <w:t xml:space="preserve">Shamir, </w:t>
      </w:r>
      <w:r>
        <w:rPr>
          <w:rFonts w:asciiTheme="majorBidi" w:hAnsiTheme="majorBidi" w:cstheme="majorBidi"/>
          <w:i/>
          <w:iCs/>
          <w:color w:val="000000" w:themeColor="text1"/>
          <w:lang w:val="es-CR"/>
        </w:rPr>
        <w:t>supra</w:t>
      </w:r>
      <w:r>
        <w:rPr>
          <w:rFonts w:asciiTheme="majorBidi" w:hAnsiTheme="majorBidi" w:cstheme="majorBidi"/>
          <w:color w:val="000000" w:themeColor="text1"/>
          <w:lang w:val="es-CR"/>
        </w:rPr>
        <w:t xml:space="preserve"> note 9; </w:t>
      </w:r>
      <w:proofErr w:type="spellStart"/>
      <w:r>
        <w:rPr>
          <w:rFonts w:asciiTheme="majorBidi" w:hAnsiTheme="majorBidi" w:cstheme="majorBidi"/>
          <w:color w:val="000000" w:themeColor="text1"/>
          <w:lang w:val="es-CR"/>
        </w:rPr>
        <w:t>Gruber</w:t>
      </w:r>
      <w:proofErr w:type="spellEnd"/>
      <w:r>
        <w:rPr>
          <w:rFonts w:asciiTheme="majorBidi" w:hAnsiTheme="majorBidi" w:cstheme="majorBidi"/>
          <w:color w:val="000000" w:themeColor="text1"/>
          <w:lang w:val="es-CR"/>
        </w:rPr>
        <w:t xml:space="preserve">, </w:t>
      </w:r>
      <w:r>
        <w:rPr>
          <w:rFonts w:asciiTheme="majorBidi" w:hAnsiTheme="majorBidi" w:cstheme="majorBidi"/>
          <w:i/>
          <w:iCs/>
          <w:color w:val="000000" w:themeColor="text1"/>
          <w:lang w:val="es-CR"/>
        </w:rPr>
        <w:t>supra</w:t>
      </w:r>
      <w:r>
        <w:rPr>
          <w:rFonts w:asciiTheme="majorBidi" w:hAnsiTheme="majorBidi" w:cstheme="majorBidi"/>
          <w:color w:val="000000" w:themeColor="text1"/>
          <w:lang w:val="es-CR"/>
        </w:rPr>
        <w:t xml:space="preserve"> note 9.</w:t>
      </w:r>
    </w:p>
  </w:footnote>
  <w:footnote w:id="13">
    <w:p w14:paraId="160DC0FC" w14:textId="77777777" w:rsidR="00A36A1C" w:rsidRDefault="00A36A1C" w:rsidP="00D1379E">
      <w:pPr>
        <w:pStyle w:val="FootnoteText"/>
        <w:jc w:val="both"/>
        <w:rPr>
          <w:rFonts w:asciiTheme="majorBidi" w:hAnsiTheme="majorBidi" w:cstheme="majorBidi"/>
          <w:color w:val="000000" w:themeColor="text1"/>
        </w:rPr>
      </w:pPr>
      <w:r>
        <w:rPr>
          <w:rStyle w:val="FootnoteReference"/>
          <w:rFonts w:asciiTheme="majorBidi" w:hAnsiTheme="majorBidi" w:cstheme="majorBidi"/>
          <w:color w:val="000000" w:themeColor="text1"/>
        </w:rPr>
        <w:footnoteRef/>
      </w:r>
      <w:r>
        <w:rPr>
          <w:rFonts w:asciiTheme="majorBidi" w:hAnsiTheme="majorBidi" w:cstheme="majorBidi"/>
          <w:i/>
          <w:iCs/>
          <w:color w:val="000000" w:themeColor="text1"/>
          <w:lang w:bidi="ar-LB"/>
        </w:rPr>
        <w:t xml:space="preserve"> See</w:t>
      </w:r>
      <w:r>
        <w:rPr>
          <w:rFonts w:asciiTheme="majorBidi" w:hAnsiTheme="majorBidi" w:cstheme="majorBidi"/>
          <w:color w:val="000000" w:themeColor="text1"/>
          <w:lang w:bidi="ar-LB"/>
        </w:rPr>
        <w:t xml:space="preserve">, </w:t>
      </w:r>
      <w:r>
        <w:rPr>
          <w:rFonts w:asciiTheme="majorBidi" w:hAnsiTheme="majorBidi" w:cstheme="majorBidi"/>
          <w:i/>
          <w:iCs/>
          <w:color w:val="000000" w:themeColor="text1"/>
          <w:lang w:bidi="ar-LB"/>
        </w:rPr>
        <w:t>e.g.</w:t>
      </w:r>
      <w:r>
        <w:rPr>
          <w:rFonts w:asciiTheme="majorBidi" w:hAnsiTheme="majorBidi" w:cstheme="majorBidi"/>
          <w:color w:val="000000" w:themeColor="text1"/>
          <w:lang w:bidi="ar-LB"/>
        </w:rPr>
        <w:t>,</w:t>
      </w:r>
      <w:r>
        <w:rPr>
          <w:rFonts w:asciiTheme="majorBidi" w:eastAsia="David" w:hAnsiTheme="majorBidi" w:cstheme="majorBidi"/>
          <w:color w:val="000000" w:themeColor="text1"/>
        </w:rPr>
        <w:t xml:space="preserve"> Leigh </w:t>
      </w:r>
      <w:proofErr w:type="spellStart"/>
      <w:r>
        <w:rPr>
          <w:rFonts w:asciiTheme="majorBidi" w:eastAsia="David" w:hAnsiTheme="majorBidi" w:cstheme="majorBidi"/>
          <w:color w:val="000000" w:themeColor="text1"/>
        </w:rPr>
        <w:t>Goodmark</w:t>
      </w:r>
      <w:proofErr w:type="spellEnd"/>
      <w:r>
        <w:rPr>
          <w:rFonts w:asciiTheme="majorBidi" w:eastAsia="David" w:hAnsiTheme="majorBidi" w:cstheme="majorBidi"/>
          <w:color w:val="000000" w:themeColor="text1"/>
        </w:rPr>
        <w:t xml:space="preserve">, </w:t>
      </w:r>
      <w:r>
        <w:rPr>
          <w:rFonts w:asciiTheme="majorBidi" w:eastAsia="David" w:hAnsiTheme="majorBidi" w:cstheme="majorBidi"/>
          <w:i/>
          <w:color w:val="000000" w:themeColor="text1"/>
        </w:rPr>
        <w:t>The Unintended Consequences of Domestic Violence Criminalization: Reassessing a Governance Feminist Success Story, in</w:t>
      </w:r>
      <w:r>
        <w:rPr>
          <w:rFonts w:asciiTheme="majorBidi" w:eastAsia="David" w:hAnsiTheme="majorBidi" w:cstheme="majorBidi"/>
          <w:color w:val="000000" w:themeColor="text1"/>
        </w:rPr>
        <w:t xml:space="preserve"> </w:t>
      </w:r>
      <w:r>
        <w:rPr>
          <w:rFonts w:asciiTheme="majorBidi" w:eastAsia="David" w:hAnsiTheme="majorBidi" w:cstheme="majorBidi"/>
          <w:smallCaps/>
          <w:color w:val="000000" w:themeColor="text1"/>
        </w:rPr>
        <w:t>Governance Feminism: Notes from the Field</w:t>
      </w:r>
      <w:r>
        <w:rPr>
          <w:rFonts w:asciiTheme="majorBidi" w:eastAsia="David" w:hAnsiTheme="majorBidi" w:cstheme="majorBidi"/>
          <w:color w:val="000000" w:themeColor="text1"/>
        </w:rPr>
        <w:t xml:space="preserve">, 124 (Janet Halley, et al., eds., 2019); </w:t>
      </w:r>
      <w:r>
        <w:rPr>
          <w:rFonts w:asciiTheme="majorBidi" w:eastAsia="David" w:hAnsiTheme="majorBidi" w:cstheme="majorBidi"/>
          <w:smallCaps/>
          <w:color w:val="000000" w:themeColor="text1"/>
        </w:rPr>
        <w:t xml:space="preserve">Kristin </w:t>
      </w:r>
      <w:proofErr w:type="spellStart"/>
      <w:r>
        <w:rPr>
          <w:rFonts w:asciiTheme="majorBidi" w:eastAsia="David" w:hAnsiTheme="majorBidi" w:cstheme="majorBidi"/>
          <w:smallCaps/>
          <w:color w:val="000000" w:themeColor="text1"/>
        </w:rPr>
        <w:t>Bumiller</w:t>
      </w:r>
      <w:proofErr w:type="spellEnd"/>
      <w:r>
        <w:rPr>
          <w:rFonts w:asciiTheme="majorBidi" w:eastAsia="David" w:hAnsiTheme="majorBidi" w:cstheme="majorBidi"/>
          <w:smallCaps/>
          <w:color w:val="000000" w:themeColor="text1"/>
        </w:rPr>
        <w:t>, In an Abusive State: How Neoliberalism Appropriated the Feminist Movement against Sexual Violence</w:t>
      </w:r>
      <w:r>
        <w:rPr>
          <w:rFonts w:asciiTheme="majorBidi" w:eastAsia="David" w:hAnsiTheme="majorBidi" w:cstheme="majorBidi"/>
          <w:color w:val="000000" w:themeColor="text1"/>
        </w:rPr>
        <w:t xml:space="preserve"> (2008).</w:t>
      </w:r>
    </w:p>
  </w:footnote>
  <w:footnote w:id="14">
    <w:p w14:paraId="28B13C7E" w14:textId="77777777" w:rsidR="00A36A1C" w:rsidRDefault="00A36A1C" w:rsidP="00D1379E">
      <w:pPr>
        <w:spacing w:after="120"/>
        <w:contextualSpacing/>
        <w:jc w:val="both"/>
        <w:rPr>
          <w:rFonts w:asciiTheme="majorBidi" w:eastAsia="David" w:hAnsiTheme="majorBidi" w:cstheme="majorBidi"/>
          <w:color w:val="000000" w:themeColor="text1"/>
          <w:sz w:val="20"/>
          <w:szCs w:val="20"/>
        </w:rPr>
      </w:pPr>
      <w:r>
        <w:rPr>
          <w:rStyle w:val="FootnoteReference"/>
          <w:rFonts w:asciiTheme="majorBidi" w:hAnsiTheme="majorBidi" w:cstheme="majorBidi"/>
          <w:color w:val="000000" w:themeColor="text1"/>
          <w:sz w:val="20"/>
          <w:szCs w:val="20"/>
        </w:rPr>
        <w:footnoteRef/>
      </w:r>
      <w:r>
        <w:rPr>
          <w:rFonts w:asciiTheme="majorBidi" w:eastAsia="David" w:hAnsiTheme="majorBidi" w:cstheme="majorBidi"/>
          <w:color w:val="000000" w:themeColor="text1"/>
          <w:sz w:val="20"/>
          <w:szCs w:val="20"/>
        </w:rPr>
        <w:t xml:space="preserve"> </w:t>
      </w:r>
      <w:r>
        <w:rPr>
          <w:rFonts w:asciiTheme="majorBidi" w:hAnsiTheme="majorBidi" w:cstheme="majorBidi"/>
          <w:color w:val="000000" w:themeColor="text1"/>
          <w:sz w:val="20"/>
          <w:szCs w:val="20"/>
        </w:rPr>
        <w:t xml:space="preserve">Emma Elms, </w:t>
      </w:r>
      <w:r>
        <w:rPr>
          <w:rFonts w:asciiTheme="majorBidi" w:hAnsiTheme="majorBidi" w:cstheme="majorBidi"/>
          <w:i/>
          <w:iCs/>
          <w:color w:val="000000" w:themeColor="text1"/>
          <w:sz w:val="20"/>
          <w:szCs w:val="20"/>
        </w:rPr>
        <w:t>Goal 10: Reduced Inequalities ‘BLACK PEOPLE ARE OVER-POLICED AND UNDER-PROTECTED’ The stark racial inequality in policing has to stop</w:t>
      </w:r>
      <w:r>
        <w:rPr>
          <w:rFonts w:asciiTheme="majorBidi" w:hAnsiTheme="majorBidi" w:cstheme="majorBidi"/>
          <w:color w:val="000000" w:themeColor="text1"/>
          <w:sz w:val="20"/>
          <w:szCs w:val="20"/>
        </w:rPr>
        <w:t xml:space="preserve">, </w:t>
      </w:r>
      <w:proofErr w:type="spellStart"/>
      <w:r>
        <w:rPr>
          <w:rFonts w:asciiTheme="majorBidi" w:hAnsiTheme="majorBidi" w:cstheme="majorBidi"/>
          <w:smallCaps/>
          <w:color w:val="000000" w:themeColor="text1"/>
          <w:sz w:val="20"/>
          <w:szCs w:val="20"/>
        </w:rPr>
        <w:t>Togetherband</w:t>
      </w:r>
      <w:proofErr w:type="spellEnd"/>
      <w:r>
        <w:rPr>
          <w:rFonts w:asciiTheme="majorBidi" w:hAnsiTheme="majorBidi" w:cstheme="majorBidi"/>
          <w:color w:val="000000" w:themeColor="text1"/>
          <w:sz w:val="20"/>
          <w:szCs w:val="20"/>
        </w:rPr>
        <w:t xml:space="preserve"> (July 24, 2020), </w:t>
      </w:r>
      <w:hyperlink r:id="rId6" w:history="1">
        <w:r>
          <w:rPr>
            <w:rStyle w:val="Hyperlink"/>
            <w:rFonts w:asciiTheme="majorBidi" w:hAnsiTheme="majorBidi" w:cstheme="majorBidi"/>
            <w:sz w:val="20"/>
            <w:szCs w:val="20"/>
          </w:rPr>
          <w:t>https://togetherband.org/blogs/news/black-people-are-over-policed-and-under-protected</w:t>
        </w:r>
      </w:hyperlink>
      <w:r>
        <w:rPr>
          <w:rStyle w:val="Hyperlink"/>
          <w:rFonts w:asciiTheme="majorBidi" w:hAnsiTheme="majorBidi" w:cstheme="majorBidi"/>
          <w:color w:val="000000" w:themeColor="text1"/>
          <w:sz w:val="20"/>
          <w:szCs w:val="20"/>
        </w:rPr>
        <w:t>.</w:t>
      </w:r>
      <w:r>
        <w:rPr>
          <w:rFonts w:asciiTheme="majorBidi" w:eastAsia="David" w:hAnsiTheme="majorBidi" w:cstheme="majorBidi"/>
          <w:i/>
          <w:color w:val="000000" w:themeColor="text1"/>
          <w:sz w:val="20"/>
          <w:szCs w:val="20"/>
        </w:rPr>
        <w:t>; How George Floyd’s death reverberates around the world</w:t>
      </w:r>
      <w:r>
        <w:rPr>
          <w:rFonts w:asciiTheme="majorBidi" w:eastAsia="David" w:hAnsiTheme="majorBidi" w:cstheme="majorBidi"/>
          <w:color w:val="000000" w:themeColor="text1"/>
          <w:sz w:val="20"/>
          <w:szCs w:val="20"/>
        </w:rPr>
        <w:t xml:space="preserve">, </w:t>
      </w:r>
      <w:r>
        <w:rPr>
          <w:rFonts w:asciiTheme="majorBidi" w:eastAsia="David" w:hAnsiTheme="majorBidi" w:cstheme="majorBidi"/>
          <w:smallCaps/>
          <w:color w:val="000000" w:themeColor="text1"/>
          <w:sz w:val="20"/>
          <w:szCs w:val="20"/>
        </w:rPr>
        <w:t>Economist</w:t>
      </w:r>
      <w:r>
        <w:rPr>
          <w:rFonts w:asciiTheme="majorBidi" w:eastAsia="David" w:hAnsiTheme="majorBidi" w:cstheme="majorBidi"/>
          <w:color w:val="000000" w:themeColor="text1"/>
          <w:sz w:val="20"/>
          <w:szCs w:val="20"/>
        </w:rPr>
        <w:t xml:space="preserve"> (June 8, 2020),</w:t>
      </w:r>
    </w:p>
    <w:p w14:paraId="326A8969" w14:textId="77777777" w:rsidR="00A36A1C" w:rsidRDefault="00391FB4" w:rsidP="00D1379E">
      <w:pPr>
        <w:spacing w:after="120"/>
        <w:contextualSpacing/>
        <w:jc w:val="both"/>
        <w:rPr>
          <w:rFonts w:asciiTheme="majorBidi" w:hAnsiTheme="majorBidi" w:cstheme="majorBidi"/>
          <w:b/>
          <w:bCs/>
          <w:sz w:val="20"/>
          <w:szCs w:val="20"/>
          <w:highlight w:val="yellow"/>
        </w:rPr>
      </w:pPr>
      <w:hyperlink r:id="rId7" w:history="1">
        <w:r w:rsidR="00A36A1C">
          <w:rPr>
            <w:rStyle w:val="Hyperlink"/>
            <w:rFonts w:asciiTheme="majorBidi" w:eastAsia="David" w:hAnsiTheme="majorBidi" w:cstheme="majorBidi"/>
            <w:sz w:val="20"/>
            <w:szCs w:val="20"/>
          </w:rPr>
          <w:t>https://www.economist.com/international/2020/06/08/how-george-floyds-death-reverberates-around-the-world</w:t>
        </w:r>
      </w:hyperlink>
      <w:r w:rsidR="00A36A1C">
        <w:rPr>
          <w:rFonts w:asciiTheme="majorBidi" w:eastAsia="David" w:hAnsiTheme="majorBidi" w:cstheme="majorBidi"/>
          <w:color w:val="000000" w:themeColor="text1"/>
          <w:sz w:val="20"/>
          <w:szCs w:val="20"/>
        </w:rPr>
        <w:t xml:space="preserve">; Michael Safi, </w:t>
      </w:r>
      <w:r w:rsidR="00A36A1C">
        <w:rPr>
          <w:rFonts w:asciiTheme="majorBidi" w:eastAsia="David" w:hAnsiTheme="majorBidi" w:cstheme="majorBidi"/>
          <w:i/>
          <w:color w:val="000000" w:themeColor="text1"/>
          <w:sz w:val="20"/>
          <w:szCs w:val="20"/>
        </w:rPr>
        <w:t>George Floyd killing triggers wave of activism around the world</w:t>
      </w:r>
      <w:r w:rsidR="00A36A1C">
        <w:rPr>
          <w:rFonts w:asciiTheme="majorBidi" w:eastAsia="David" w:hAnsiTheme="majorBidi" w:cstheme="majorBidi"/>
          <w:color w:val="000000" w:themeColor="text1"/>
          <w:sz w:val="20"/>
          <w:szCs w:val="20"/>
        </w:rPr>
        <w:t xml:space="preserve">, </w:t>
      </w:r>
      <w:r w:rsidR="00A36A1C">
        <w:rPr>
          <w:rFonts w:asciiTheme="majorBidi" w:eastAsia="David" w:hAnsiTheme="majorBidi" w:cstheme="majorBidi"/>
          <w:smallCaps/>
          <w:color w:val="000000" w:themeColor="text1"/>
          <w:sz w:val="20"/>
          <w:szCs w:val="20"/>
        </w:rPr>
        <w:t>The Guardian</w:t>
      </w:r>
      <w:r w:rsidR="00A36A1C">
        <w:rPr>
          <w:rFonts w:asciiTheme="majorBidi" w:eastAsia="David" w:hAnsiTheme="majorBidi" w:cstheme="majorBidi"/>
          <w:color w:val="000000" w:themeColor="text1"/>
          <w:sz w:val="20"/>
          <w:szCs w:val="20"/>
        </w:rPr>
        <w:t xml:space="preserve"> (June 10, 2020), </w:t>
      </w:r>
      <w:hyperlink r:id="rId8" w:history="1">
        <w:r w:rsidR="00A36A1C">
          <w:rPr>
            <w:rStyle w:val="Hyperlink"/>
            <w:rFonts w:asciiTheme="majorBidi" w:eastAsia="David" w:hAnsiTheme="majorBidi" w:cstheme="majorBidi"/>
            <w:sz w:val="20"/>
            <w:szCs w:val="20"/>
          </w:rPr>
          <w:t>https://www.theguardian.com/us-news/2020/jun/09/george-floyd-killing-triggers-wave-of-activism-around-the-world</w:t>
        </w:r>
      </w:hyperlink>
      <w:r w:rsidR="00A36A1C">
        <w:rPr>
          <w:rFonts w:asciiTheme="majorBidi" w:hAnsiTheme="majorBidi" w:cstheme="majorBidi"/>
          <w:color w:val="000000" w:themeColor="text1"/>
          <w:sz w:val="20"/>
          <w:szCs w:val="20"/>
        </w:rPr>
        <w:t>.</w:t>
      </w:r>
    </w:p>
  </w:footnote>
  <w:footnote w:id="15">
    <w:p w14:paraId="3C26609B" w14:textId="77777777" w:rsidR="00A36A1C" w:rsidRDefault="00A36A1C" w:rsidP="00D1379E">
      <w:pPr>
        <w:pStyle w:val="FootnoteText"/>
        <w:jc w:val="both"/>
        <w:rPr>
          <w:rFonts w:asciiTheme="majorBidi" w:hAnsiTheme="majorBidi" w:cstheme="majorBidi"/>
          <w:sz w:val="17"/>
          <w:szCs w:val="17"/>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Eliav</w:t>
      </w:r>
      <w:proofErr w:type="spellEnd"/>
      <w:r>
        <w:rPr>
          <w:rFonts w:asciiTheme="majorBidi" w:hAnsiTheme="majorBidi" w:cstheme="majorBidi"/>
        </w:rPr>
        <w:t xml:space="preserve"> Lieblich &amp; Adam Shinar, </w:t>
      </w:r>
      <w:r>
        <w:rPr>
          <w:rFonts w:asciiTheme="majorBidi" w:hAnsiTheme="majorBidi" w:cstheme="majorBidi"/>
          <w:i/>
          <w:iCs/>
        </w:rPr>
        <w:t>The case against police militarization</w:t>
      </w:r>
      <w:r>
        <w:rPr>
          <w:rFonts w:asciiTheme="majorBidi" w:hAnsiTheme="majorBidi" w:cstheme="majorBidi"/>
          <w:smallCaps/>
        </w:rPr>
        <w:t xml:space="preserve">, </w:t>
      </w:r>
      <w:r>
        <w:rPr>
          <w:rFonts w:asciiTheme="majorBidi" w:hAnsiTheme="majorBidi" w:cstheme="majorBidi"/>
        </w:rPr>
        <w:t>23</w:t>
      </w:r>
      <w:r>
        <w:rPr>
          <w:rFonts w:asciiTheme="majorBidi" w:hAnsiTheme="majorBidi" w:cstheme="majorBidi"/>
          <w:smallCaps/>
        </w:rPr>
        <w:t xml:space="preserve"> Mich. J. Race &amp; L</w:t>
      </w:r>
      <w:r>
        <w:rPr>
          <w:rFonts w:asciiTheme="majorBidi" w:hAnsiTheme="majorBidi" w:cstheme="majorBidi"/>
        </w:rPr>
        <w:t>. 105 (2017).</w:t>
      </w:r>
    </w:p>
  </w:footnote>
  <w:footnote w:id="16">
    <w:p w14:paraId="772F6F7A" w14:textId="77777777" w:rsidR="00A36A1C" w:rsidRDefault="00A36A1C" w:rsidP="00A905FA">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color w:val="222222"/>
          <w:shd w:val="clear" w:color="auto" w:fill="FFFFFF"/>
        </w:rPr>
        <w:t>Noura</w:t>
      </w:r>
      <w:proofErr w:type="spellEnd"/>
      <w:r>
        <w:rPr>
          <w:rFonts w:asciiTheme="majorBidi" w:hAnsiTheme="majorBidi" w:cstheme="majorBidi"/>
          <w:color w:val="222222"/>
          <w:shd w:val="clear" w:color="auto" w:fill="FFFFFF"/>
        </w:rPr>
        <w:t xml:space="preserve"> Erakat &amp; Marc Lamont Hill, </w:t>
      </w:r>
      <w:r>
        <w:rPr>
          <w:rFonts w:asciiTheme="majorBidi" w:hAnsiTheme="majorBidi" w:cstheme="majorBidi"/>
          <w:i/>
          <w:iCs/>
          <w:color w:val="222222"/>
          <w:shd w:val="clear" w:color="auto" w:fill="FFFFFF"/>
        </w:rPr>
        <w:t>Black-Palestinian Transnational Solidarity: Renewals, Returns, and Practice</w:t>
      </w:r>
      <w:r>
        <w:rPr>
          <w:rFonts w:asciiTheme="majorBidi" w:hAnsiTheme="majorBidi" w:cstheme="majorBidi"/>
          <w:color w:val="222222"/>
          <w:shd w:val="clear" w:color="auto" w:fill="FFFFFF"/>
        </w:rPr>
        <w:t>,</w:t>
      </w:r>
      <w:r>
        <w:rPr>
          <w:rFonts w:asciiTheme="majorBidi" w:hAnsiTheme="majorBidi" w:cstheme="majorBidi"/>
          <w:i/>
          <w:iCs/>
          <w:color w:val="222222"/>
          <w:shd w:val="clear" w:color="auto" w:fill="FFFFFF"/>
        </w:rPr>
        <w:t xml:space="preserve"> </w:t>
      </w:r>
      <w:r>
        <w:rPr>
          <w:rFonts w:asciiTheme="majorBidi" w:hAnsiTheme="majorBidi" w:cstheme="majorBidi"/>
          <w:smallCaps/>
          <w:color w:val="222222"/>
          <w:shd w:val="clear" w:color="auto" w:fill="FFFFFF"/>
        </w:rPr>
        <w:t xml:space="preserve">J. Palestine Stud., </w:t>
      </w:r>
      <w:r>
        <w:rPr>
          <w:rFonts w:asciiTheme="majorBidi" w:hAnsiTheme="majorBidi" w:cstheme="majorBidi"/>
          <w:color w:val="222222"/>
          <w:shd w:val="clear" w:color="auto" w:fill="FFFFFF"/>
        </w:rPr>
        <w:t>Aug</w:t>
      </w:r>
      <w:r>
        <w:rPr>
          <w:rFonts w:asciiTheme="majorBidi" w:hAnsiTheme="majorBidi" w:cstheme="majorBidi"/>
          <w:smallCaps/>
          <w:color w:val="222222"/>
          <w:shd w:val="clear" w:color="auto" w:fill="FFFFFF"/>
        </w:rPr>
        <w:t xml:space="preserve">. 2019, </w:t>
      </w:r>
      <w:r>
        <w:rPr>
          <w:rFonts w:asciiTheme="majorBidi" w:hAnsiTheme="majorBidi" w:cstheme="majorBidi"/>
          <w:color w:val="222222"/>
          <w:shd w:val="clear" w:color="auto" w:fill="FFFFFF"/>
        </w:rPr>
        <w:t xml:space="preserve">at </w:t>
      </w:r>
      <w:r>
        <w:rPr>
          <w:rFonts w:asciiTheme="majorBidi" w:hAnsiTheme="majorBidi" w:cstheme="majorBidi"/>
          <w:smallCaps/>
          <w:color w:val="222222"/>
          <w:shd w:val="clear" w:color="auto" w:fill="FFFFFF"/>
        </w:rPr>
        <w:t>7</w:t>
      </w:r>
      <w:r>
        <w:rPr>
          <w:rFonts w:asciiTheme="majorBidi" w:hAnsiTheme="majorBidi" w:cstheme="majorBidi"/>
          <w:color w:val="222222"/>
          <w:shd w:val="clear" w:color="auto" w:fill="FFFFFF"/>
        </w:rPr>
        <w:t>.</w:t>
      </w:r>
    </w:p>
  </w:footnote>
  <w:footnote w:id="17">
    <w:p w14:paraId="08024926" w14:textId="461742A5" w:rsidR="00A36A1C" w:rsidRDefault="00A36A1C">
      <w:pPr>
        <w:pStyle w:val="FootnoteText"/>
      </w:pPr>
      <w:r>
        <w:rPr>
          <w:rStyle w:val="FootnoteReference"/>
        </w:rPr>
        <w:footnoteRef/>
      </w:r>
      <w:r>
        <w:t xml:space="preserve"> </w:t>
      </w:r>
      <w:r w:rsidRPr="005162C5">
        <w:rPr>
          <w:rFonts w:ascii="Garamond" w:hAnsi="Garamond"/>
        </w:rPr>
        <w:t>A concentration of Arab-Palestinian towns and villages, located within the boundaries of both the Central District and Haifa District.</w:t>
      </w:r>
    </w:p>
  </w:footnote>
  <w:footnote w:id="18">
    <w:p w14:paraId="70EF9F9F" w14:textId="12AC54C4" w:rsidR="00A36A1C" w:rsidRPr="00C77D12" w:rsidRDefault="00A36A1C" w:rsidP="000310B5">
      <w:pPr>
        <w:pStyle w:val="FootnoteText"/>
        <w:rPr>
          <w:rFonts w:ascii="Garamond" w:hAnsi="Garamond"/>
        </w:rPr>
      </w:pPr>
      <w:r w:rsidRPr="00C77D12">
        <w:rPr>
          <w:rStyle w:val="FootnoteReference"/>
          <w:rFonts w:ascii="Garamond" w:hAnsi="Garamond"/>
        </w:rPr>
        <w:footnoteRef/>
      </w:r>
      <w:r w:rsidRPr="00C77D12">
        <w:rPr>
          <w:rFonts w:ascii="Garamond" w:hAnsi="Garamond"/>
        </w:rPr>
        <w:t xml:space="preserve"> Ghanem, A. 2001. The Palestinian-Arab Minority in Israel 1948 – 2001: A Political Study. Albany, NY: SUNY Press.</w:t>
      </w:r>
    </w:p>
  </w:footnote>
  <w:footnote w:id="19">
    <w:p w14:paraId="33CB982A" w14:textId="77777777" w:rsidR="00A36A1C" w:rsidRPr="00C77D12" w:rsidRDefault="00A36A1C" w:rsidP="00B67BDD">
      <w:pPr>
        <w:pStyle w:val="FootnoteText"/>
        <w:rPr>
          <w:rFonts w:ascii="Garamond" w:hAnsi="Garamond"/>
        </w:rPr>
      </w:pPr>
      <w:r w:rsidRPr="00C77D12">
        <w:rPr>
          <w:rStyle w:val="FootnoteReference"/>
          <w:rFonts w:ascii="Garamond" w:hAnsi="Garamond"/>
        </w:rPr>
        <w:footnoteRef/>
      </w:r>
      <w:r w:rsidRPr="00C77D12">
        <w:rPr>
          <w:rFonts w:ascii="Garamond" w:hAnsi="Garamond"/>
        </w:rPr>
        <w:t xml:space="preserve"> https://www.tandfonline.com/doi/full/10.1080/2201473X.2014.947671</w:t>
      </w:r>
    </w:p>
  </w:footnote>
  <w:footnote w:id="20">
    <w:p w14:paraId="62D1C915" w14:textId="3D003CAB" w:rsidR="00A36A1C" w:rsidRDefault="00A36A1C">
      <w:pPr>
        <w:pStyle w:val="FootnoteText"/>
      </w:pPr>
      <w:r>
        <w:rPr>
          <w:rStyle w:val="FootnoteReference"/>
        </w:rPr>
        <w:footnoteRef/>
      </w:r>
      <w:r>
        <w:t xml:space="preserve"> </w:t>
      </w:r>
      <w:r w:rsidRPr="003A1647">
        <w:rPr>
          <w:rFonts w:ascii="Garamond" w:hAnsi="Garamond"/>
        </w:rPr>
        <w:t>https://www.972mag.com/israel-colonial-police-palestinian-citizens/</w:t>
      </w:r>
    </w:p>
  </w:footnote>
  <w:footnote w:id="21">
    <w:p w14:paraId="061D4ACE" w14:textId="5623D58A" w:rsidR="00A36A1C" w:rsidRDefault="00A36A1C" w:rsidP="003A1647">
      <w:pPr>
        <w:pStyle w:val="FootnoteText"/>
      </w:pPr>
      <w:r>
        <w:rPr>
          <w:rStyle w:val="FootnoteReference"/>
        </w:rPr>
        <w:footnoteRef/>
      </w:r>
      <w:r>
        <w:t xml:space="preserve"> </w:t>
      </w:r>
      <w:r w:rsidRPr="003A1647">
        <w:rPr>
          <w:rFonts w:ascii="Garamond" w:hAnsi="Garamond"/>
          <w:lang w:bidi="ar-DZ"/>
        </w:rPr>
        <w:t>https://www.972mag.com/israel-colonial-police-palestinian-citizens/</w:t>
      </w:r>
    </w:p>
  </w:footnote>
  <w:footnote w:id="22">
    <w:p w14:paraId="14BA4793" w14:textId="6D38C926" w:rsidR="00A36A1C" w:rsidRDefault="00A36A1C">
      <w:pPr>
        <w:pStyle w:val="FootnoteText"/>
      </w:pPr>
      <w:r w:rsidRPr="00C77D12">
        <w:rPr>
          <w:rStyle w:val="FootnoteReference"/>
          <w:rFonts w:ascii="Garamond" w:hAnsi="Garamond"/>
        </w:rPr>
        <w:footnoteRef/>
      </w:r>
      <w:r w:rsidRPr="00C77D12">
        <w:rPr>
          <w:rFonts w:ascii="Garamond" w:hAnsi="Garamond"/>
        </w:rPr>
        <w:t xml:space="preserve"> https://www.aljazeera.com/features/2021/10/4/october-2000-vs-may-2021-how-palestinians-defied-fragmentation</w:t>
      </w:r>
    </w:p>
  </w:footnote>
  <w:footnote w:id="23">
    <w:p w14:paraId="461CF155" w14:textId="2970A900" w:rsidR="00A36A1C" w:rsidRPr="006A0972" w:rsidRDefault="00A36A1C" w:rsidP="006178CB">
      <w:pPr>
        <w:pStyle w:val="FootnoteText"/>
        <w:rPr>
          <w:rFonts w:ascii="Garamond" w:hAnsi="Garamond"/>
          <w:lang w:bidi="ar-DZ"/>
        </w:rPr>
      </w:pPr>
      <w:r w:rsidRPr="006A0972">
        <w:rPr>
          <w:rStyle w:val="FootnoteReference"/>
          <w:rFonts w:ascii="Garamond" w:hAnsi="Garamond"/>
        </w:rPr>
        <w:footnoteRef/>
      </w:r>
      <w:r w:rsidRPr="006A0972">
        <w:rPr>
          <w:rFonts w:ascii="Garamond" w:hAnsi="Garamond"/>
        </w:rPr>
        <w:t xml:space="preserve"> The Wall was built by the Israeli government</w:t>
      </w:r>
      <w:r w:rsidRPr="006A0972">
        <w:rPr>
          <w:rFonts w:ascii="Garamond" w:hAnsi="Garamond"/>
          <w:lang w:bidi="ar-DZ"/>
        </w:rPr>
        <w:t xml:space="preserve">, and it is consider to be a contentious element of the Israeli Palestinian conflict. </w:t>
      </w:r>
      <w:r w:rsidRPr="006A0972">
        <w:rPr>
          <w:rFonts w:ascii="Garamond" w:hAnsi="Garamond"/>
        </w:rPr>
        <w:t>In Hebrew, it’s called “Security Fence”. In Arabic, it’s called “The wall of Apartheid”.</w:t>
      </w:r>
    </w:p>
  </w:footnote>
  <w:footnote w:id="24">
    <w:p w14:paraId="59F0FE0B" w14:textId="32D4A323" w:rsidR="00A36A1C" w:rsidRDefault="00A36A1C" w:rsidP="006A0972">
      <w:pPr>
        <w:pStyle w:val="FootnoteText"/>
      </w:pPr>
      <w:r w:rsidRPr="006A0972">
        <w:rPr>
          <w:rStyle w:val="FootnoteReference"/>
          <w:rFonts w:ascii="Garamond" w:hAnsi="Garamond"/>
        </w:rPr>
        <w:footnoteRef/>
      </w:r>
      <w:r w:rsidRPr="006A0972">
        <w:rPr>
          <w:rFonts w:ascii="Garamond" w:hAnsi="Garamond"/>
        </w:rPr>
        <w:t xml:space="preserve"> </w:t>
      </w:r>
      <w:r w:rsidRPr="006A0972">
        <w:rPr>
          <w:rFonts w:ascii="Garamond" w:hAnsi="Garamond" w:cstheme="majorBidi"/>
          <w:lang w:bidi="ar-DZ"/>
        </w:rPr>
        <w:t xml:space="preserve">The most memorable example is Umm </w:t>
      </w:r>
      <w:proofErr w:type="spellStart"/>
      <w:r w:rsidRPr="006A0972">
        <w:rPr>
          <w:rFonts w:ascii="Garamond" w:hAnsi="Garamond" w:cstheme="majorBidi"/>
          <w:lang w:bidi="ar-DZ"/>
        </w:rPr>
        <w:t>Kalthum</w:t>
      </w:r>
      <w:proofErr w:type="spellEnd"/>
      <w:r w:rsidRPr="006A0972">
        <w:rPr>
          <w:rFonts w:ascii="Garamond" w:hAnsi="Garamond" w:cstheme="majorBidi"/>
          <w:lang w:bidi="ar-DZ"/>
        </w:rPr>
        <w:t>, who consider a national icon in Egypt and has been dubbed “The Voice of Egypt”, given the honorific title ‘</w:t>
      </w:r>
      <w:proofErr w:type="spellStart"/>
      <w:r w:rsidRPr="006A0972">
        <w:rPr>
          <w:rFonts w:ascii="Garamond" w:hAnsi="Garamond" w:cstheme="majorBidi"/>
          <w:lang w:bidi="ar-DZ"/>
        </w:rPr>
        <w:t>Kawkab</w:t>
      </w:r>
      <w:proofErr w:type="spellEnd"/>
      <w:r w:rsidRPr="006A0972">
        <w:rPr>
          <w:rFonts w:ascii="Garamond" w:hAnsi="Garamond" w:cstheme="majorBidi"/>
          <w:lang w:bidi="ar-DZ"/>
        </w:rPr>
        <w:t xml:space="preserve"> Al-</w:t>
      </w:r>
      <w:proofErr w:type="spellStart"/>
      <w:r w:rsidRPr="006A0972">
        <w:rPr>
          <w:rFonts w:ascii="Garamond" w:hAnsi="Garamond" w:cstheme="majorBidi"/>
          <w:lang w:bidi="ar-DZ"/>
        </w:rPr>
        <w:t>Sharq</w:t>
      </w:r>
      <w:proofErr w:type="spellEnd"/>
      <w:r w:rsidRPr="006A0972">
        <w:rPr>
          <w:rFonts w:ascii="Garamond" w:hAnsi="Garamond" w:cstheme="majorBidi"/>
          <w:lang w:bidi="ar-DZ"/>
        </w:rPr>
        <w:t>’ – The start of the East.</w:t>
      </w:r>
      <w:r>
        <w:rPr>
          <w:rFonts w:ascii="Garamond" w:hAnsi="Garamond" w:cstheme="majorBidi"/>
          <w:lang w:bidi="ar-D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01956"/>
    <w:multiLevelType w:val="multilevel"/>
    <w:tmpl w:val="5CBC30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a Hajyahia">
    <w15:presenceInfo w15:providerId="None" w15:userId="Alaa Hajya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wNjI0MjQxNzM3tjRS0lEKTi0uzszPAymwqAUAQCGubywAAAA="/>
  </w:docVars>
  <w:rsids>
    <w:rsidRoot w:val="00972B5F"/>
    <w:rsid w:val="0000323C"/>
    <w:rsid w:val="000310B5"/>
    <w:rsid w:val="000465BB"/>
    <w:rsid w:val="00090DCC"/>
    <w:rsid w:val="0009407E"/>
    <w:rsid w:val="000A08E8"/>
    <w:rsid w:val="000F742F"/>
    <w:rsid w:val="000F7928"/>
    <w:rsid w:val="0010379D"/>
    <w:rsid w:val="00126097"/>
    <w:rsid w:val="0015246B"/>
    <w:rsid w:val="00190C9B"/>
    <w:rsid w:val="00197B73"/>
    <w:rsid w:val="001E4BB6"/>
    <w:rsid w:val="0021517F"/>
    <w:rsid w:val="00234075"/>
    <w:rsid w:val="00263C67"/>
    <w:rsid w:val="002A292A"/>
    <w:rsid w:val="002A3D75"/>
    <w:rsid w:val="002C00A9"/>
    <w:rsid w:val="002C438D"/>
    <w:rsid w:val="002F09EF"/>
    <w:rsid w:val="00303146"/>
    <w:rsid w:val="00360F79"/>
    <w:rsid w:val="00362C83"/>
    <w:rsid w:val="003711BC"/>
    <w:rsid w:val="00391FB4"/>
    <w:rsid w:val="003A0DB9"/>
    <w:rsid w:val="003A1647"/>
    <w:rsid w:val="003A789B"/>
    <w:rsid w:val="003C560C"/>
    <w:rsid w:val="003D0142"/>
    <w:rsid w:val="003E2277"/>
    <w:rsid w:val="003F729C"/>
    <w:rsid w:val="00487E8F"/>
    <w:rsid w:val="0049579A"/>
    <w:rsid w:val="004A2085"/>
    <w:rsid w:val="004B5E15"/>
    <w:rsid w:val="004B5E69"/>
    <w:rsid w:val="004C0400"/>
    <w:rsid w:val="004C3677"/>
    <w:rsid w:val="004D1372"/>
    <w:rsid w:val="004D68AC"/>
    <w:rsid w:val="004E01B0"/>
    <w:rsid w:val="004E5CB6"/>
    <w:rsid w:val="005162C5"/>
    <w:rsid w:val="005578A1"/>
    <w:rsid w:val="00566AF2"/>
    <w:rsid w:val="005713C6"/>
    <w:rsid w:val="00571FF5"/>
    <w:rsid w:val="005A7745"/>
    <w:rsid w:val="005B2F6A"/>
    <w:rsid w:val="005C385F"/>
    <w:rsid w:val="005D68BE"/>
    <w:rsid w:val="005F4A51"/>
    <w:rsid w:val="00616DC7"/>
    <w:rsid w:val="006178CB"/>
    <w:rsid w:val="00644E17"/>
    <w:rsid w:val="00661AC4"/>
    <w:rsid w:val="00676961"/>
    <w:rsid w:val="006868DA"/>
    <w:rsid w:val="006A0972"/>
    <w:rsid w:val="006D2901"/>
    <w:rsid w:val="006E13DC"/>
    <w:rsid w:val="006F16C5"/>
    <w:rsid w:val="0073022C"/>
    <w:rsid w:val="007564A6"/>
    <w:rsid w:val="00770120"/>
    <w:rsid w:val="007866EC"/>
    <w:rsid w:val="007F5022"/>
    <w:rsid w:val="00820E15"/>
    <w:rsid w:val="008254B8"/>
    <w:rsid w:val="008262C9"/>
    <w:rsid w:val="00855159"/>
    <w:rsid w:val="00860C81"/>
    <w:rsid w:val="00862A2A"/>
    <w:rsid w:val="00880BA2"/>
    <w:rsid w:val="00890DB6"/>
    <w:rsid w:val="008918ED"/>
    <w:rsid w:val="008B1728"/>
    <w:rsid w:val="008C07F9"/>
    <w:rsid w:val="008C3F1E"/>
    <w:rsid w:val="008C4182"/>
    <w:rsid w:val="008F0286"/>
    <w:rsid w:val="00904DA5"/>
    <w:rsid w:val="00921886"/>
    <w:rsid w:val="00930D6C"/>
    <w:rsid w:val="0095515A"/>
    <w:rsid w:val="00972B5F"/>
    <w:rsid w:val="00992515"/>
    <w:rsid w:val="00997D5E"/>
    <w:rsid w:val="009A307F"/>
    <w:rsid w:val="009F2BF7"/>
    <w:rsid w:val="00A21E5D"/>
    <w:rsid w:val="00A36A1C"/>
    <w:rsid w:val="00A470DB"/>
    <w:rsid w:val="00A51399"/>
    <w:rsid w:val="00A60A6F"/>
    <w:rsid w:val="00A651B3"/>
    <w:rsid w:val="00A905FA"/>
    <w:rsid w:val="00A9441D"/>
    <w:rsid w:val="00AA3485"/>
    <w:rsid w:val="00AB37FD"/>
    <w:rsid w:val="00AC46DE"/>
    <w:rsid w:val="00AD65E0"/>
    <w:rsid w:val="00AF3957"/>
    <w:rsid w:val="00B3154A"/>
    <w:rsid w:val="00B35C10"/>
    <w:rsid w:val="00B55CF2"/>
    <w:rsid w:val="00B55F4C"/>
    <w:rsid w:val="00B635C3"/>
    <w:rsid w:val="00B63934"/>
    <w:rsid w:val="00B67BDD"/>
    <w:rsid w:val="00B82C03"/>
    <w:rsid w:val="00B905B1"/>
    <w:rsid w:val="00BA0859"/>
    <w:rsid w:val="00BB764F"/>
    <w:rsid w:val="00BC26C9"/>
    <w:rsid w:val="00BC5445"/>
    <w:rsid w:val="00BD1C38"/>
    <w:rsid w:val="00BE28D7"/>
    <w:rsid w:val="00BE7172"/>
    <w:rsid w:val="00C70A2C"/>
    <w:rsid w:val="00C77D12"/>
    <w:rsid w:val="00CF253A"/>
    <w:rsid w:val="00D054C0"/>
    <w:rsid w:val="00D1379E"/>
    <w:rsid w:val="00D20D41"/>
    <w:rsid w:val="00D2352B"/>
    <w:rsid w:val="00D273E7"/>
    <w:rsid w:val="00D60870"/>
    <w:rsid w:val="00DC2F45"/>
    <w:rsid w:val="00E5413C"/>
    <w:rsid w:val="00E61650"/>
    <w:rsid w:val="00EA7249"/>
    <w:rsid w:val="00EE1697"/>
    <w:rsid w:val="00EE5235"/>
    <w:rsid w:val="00F253B1"/>
    <w:rsid w:val="00F72940"/>
    <w:rsid w:val="00F87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E5A6E"/>
  <w15:chartTrackingRefBased/>
  <w15:docId w15:val="{3F7CABAA-5F6C-41D4-A26D-F5E3D7E0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B5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D68B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2B5F"/>
    <w:rPr>
      <w:sz w:val="16"/>
      <w:szCs w:val="16"/>
    </w:rPr>
  </w:style>
  <w:style w:type="paragraph" w:styleId="CommentText">
    <w:name w:val="annotation text"/>
    <w:basedOn w:val="Normal"/>
    <w:link w:val="CommentTextChar"/>
    <w:uiPriority w:val="99"/>
    <w:unhideWhenUsed/>
    <w:rsid w:val="00972B5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72B5F"/>
    <w:rPr>
      <w:sz w:val="20"/>
      <w:szCs w:val="20"/>
    </w:rPr>
  </w:style>
  <w:style w:type="paragraph" w:styleId="FootnoteText">
    <w:name w:val="footnote text"/>
    <w:basedOn w:val="Normal"/>
    <w:link w:val="FootnoteTextChar"/>
    <w:uiPriority w:val="99"/>
    <w:unhideWhenUsed/>
    <w:rsid w:val="00972B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72B5F"/>
    <w:rPr>
      <w:sz w:val="20"/>
      <w:szCs w:val="20"/>
    </w:rPr>
  </w:style>
  <w:style w:type="character" w:styleId="FootnoteReference">
    <w:name w:val="footnote reference"/>
    <w:basedOn w:val="DefaultParagraphFont"/>
    <w:uiPriority w:val="99"/>
    <w:semiHidden/>
    <w:unhideWhenUsed/>
    <w:qFormat/>
    <w:rsid w:val="00972B5F"/>
    <w:rPr>
      <w:vertAlign w:val="superscript"/>
    </w:rPr>
  </w:style>
  <w:style w:type="character" w:styleId="Hyperlink">
    <w:name w:val="Hyperlink"/>
    <w:basedOn w:val="DefaultParagraphFont"/>
    <w:uiPriority w:val="99"/>
    <w:unhideWhenUsed/>
    <w:rsid w:val="00972B5F"/>
    <w:rPr>
      <w:color w:val="0000FF"/>
      <w:u w:val="single"/>
    </w:rPr>
  </w:style>
  <w:style w:type="paragraph" w:styleId="NormalWeb">
    <w:name w:val="Normal (Web)"/>
    <w:basedOn w:val="Normal"/>
    <w:uiPriority w:val="99"/>
    <w:unhideWhenUsed/>
    <w:rsid w:val="00972B5F"/>
    <w:pPr>
      <w:spacing w:before="100" w:beforeAutospacing="1" w:after="100" w:afterAutospacing="1"/>
    </w:pPr>
  </w:style>
  <w:style w:type="paragraph" w:styleId="BalloonText">
    <w:name w:val="Balloon Text"/>
    <w:basedOn w:val="Normal"/>
    <w:link w:val="BalloonTextChar"/>
    <w:uiPriority w:val="99"/>
    <w:semiHidden/>
    <w:unhideWhenUsed/>
    <w:rsid w:val="00972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B5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3154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3154A"/>
    <w:rPr>
      <w:rFonts w:ascii="Times New Roman" w:eastAsia="Times New Roman" w:hAnsi="Times New Roman" w:cs="Times New Roman"/>
      <w:b/>
      <w:bCs/>
      <w:sz w:val="20"/>
      <w:szCs w:val="20"/>
    </w:rPr>
  </w:style>
  <w:style w:type="paragraph" w:styleId="Revision">
    <w:name w:val="Revision"/>
    <w:hidden/>
    <w:uiPriority w:val="99"/>
    <w:semiHidden/>
    <w:rsid w:val="00A21E5D"/>
    <w:pPr>
      <w:spacing w:after="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95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5515A"/>
    <w:rPr>
      <w:rFonts w:ascii="Courier New" w:eastAsia="Times New Roman" w:hAnsi="Courier New" w:cs="Courier New"/>
      <w:sz w:val="20"/>
      <w:szCs w:val="20"/>
    </w:rPr>
  </w:style>
  <w:style w:type="character" w:customStyle="1" w:styleId="y2iqfc">
    <w:name w:val="y2iqfc"/>
    <w:basedOn w:val="DefaultParagraphFont"/>
    <w:rsid w:val="0095515A"/>
  </w:style>
  <w:style w:type="character" w:customStyle="1" w:styleId="Heading1Char">
    <w:name w:val="Heading 1 Char"/>
    <w:basedOn w:val="DefaultParagraphFont"/>
    <w:link w:val="Heading1"/>
    <w:uiPriority w:val="9"/>
    <w:rsid w:val="005D68BE"/>
    <w:rPr>
      <w:rFonts w:ascii="Times New Roman" w:eastAsia="Times New Roman" w:hAnsi="Times New Roman" w:cs="Times New Roman"/>
      <w:b/>
      <w:bCs/>
      <w:kern w:val="36"/>
      <w:sz w:val="48"/>
      <w:szCs w:val="48"/>
    </w:rPr>
  </w:style>
  <w:style w:type="paragraph" w:customStyle="1" w:styleId="Default">
    <w:name w:val="Default"/>
    <w:rsid w:val="006A09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91710">
      <w:bodyDiv w:val="1"/>
      <w:marLeft w:val="0"/>
      <w:marRight w:val="0"/>
      <w:marTop w:val="0"/>
      <w:marBottom w:val="0"/>
      <w:divBdr>
        <w:top w:val="none" w:sz="0" w:space="0" w:color="auto"/>
        <w:left w:val="none" w:sz="0" w:space="0" w:color="auto"/>
        <w:bottom w:val="none" w:sz="0" w:space="0" w:color="auto"/>
        <w:right w:val="none" w:sz="0" w:space="0" w:color="auto"/>
      </w:divBdr>
      <w:divsChild>
        <w:div w:id="6450115">
          <w:marLeft w:val="0"/>
          <w:marRight w:val="0"/>
          <w:marTop w:val="0"/>
          <w:marBottom w:val="0"/>
          <w:divBdr>
            <w:top w:val="none" w:sz="0" w:space="0" w:color="auto"/>
            <w:left w:val="none" w:sz="0" w:space="0" w:color="auto"/>
            <w:bottom w:val="none" w:sz="0" w:space="0" w:color="auto"/>
            <w:right w:val="none" w:sz="0" w:space="0" w:color="auto"/>
          </w:divBdr>
          <w:divsChild>
            <w:div w:id="8520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12923">
      <w:bodyDiv w:val="1"/>
      <w:marLeft w:val="0"/>
      <w:marRight w:val="0"/>
      <w:marTop w:val="0"/>
      <w:marBottom w:val="0"/>
      <w:divBdr>
        <w:top w:val="none" w:sz="0" w:space="0" w:color="auto"/>
        <w:left w:val="none" w:sz="0" w:space="0" w:color="auto"/>
        <w:bottom w:val="none" w:sz="0" w:space="0" w:color="auto"/>
        <w:right w:val="none" w:sz="0" w:space="0" w:color="auto"/>
      </w:divBdr>
    </w:div>
    <w:div w:id="764765627">
      <w:bodyDiv w:val="1"/>
      <w:marLeft w:val="0"/>
      <w:marRight w:val="0"/>
      <w:marTop w:val="0"/>
      <w:marBottom w:val="0"/>
      <w:divBdr>
        <w:top w:val="none" w:sz="0" w:space="0" w:color="auto"/>
        <w:left w:val="none" w:sz="0" w:space="0" w:color="auto"/>
        <w:bottom w:val="none" w:sz="0" w:space="0" w:color="auto"/>
        <w:right w:val="none" w:sz="0" w:space="0" w:color="auto"/>
      </w:divBdr>
      <w:divsChild>
        <w:div w:id="1620146353">
          <w:marLeft w:val="0"/>
          <w:marRight w:val="0"/>
          <w:marTop w:val="0"/>
          <w:marBottom w:val="0"/>
          <w:divBdr>
            <w:top w:val="none" w:sz="0" w:space="0" w:color="auto"/>
            <w:left w:val="none" w:sz="0" w:space="0" w:color="auto"/>
            <w:bottom w:val="none" w:sz="0" w:space="0" w:color="auto"/>
            <w:right w:val="none" w:sz="0" w:space="0" w:color="auto"/>
          </w:divBdr>
          <w:divsChild>
            <w:div w:id="1460105189">
              <w:marLeft w:val="0"/>
              <w:marRight w:val="0"/>
              <w:marTop w:val="0"/>
              <w:marBottom w:val="0"/>
              <w:divBdr>
                <w:top w:val="none" w:sz="0" w:space="0" w:color="auto"/>
                <w:left w:val="none" w:sz="0" w:space="0" w:color="auto"/>
                <w:bottom w:val="none" w:sz="0" w:space="0" w:color="auto"/>
                <w:right w:val="none" w:sz="0" w:space="0" w:color="auto"/>
              </w:divBdr>
              <w:divsChild>
                <w:div w:id="1513258388">
                  <w:marLeft w:val="0"/>
                  <w:marRight w:val="0"/>
                  <w:marTop w:val="0"/>
                  <w:marBottom w:val="0"/>
                  <w:divBdr>
                    <w:top w:val="none" w:sz="0" w:space="0" w:color="auto"/>
                    <w:left w:val="none" w:sz="0" w:space="0" w:color="auto"/>
                    <w:bottom w:val="none" w:sz="0" w:space="0" w:color="auto"/>
                    <w:right w:val="none" w:sz="0" w:space="0" w:color="auto"/>
                  </w:divBdr>
                  <w:divsChild>
                    <w:div w:id="1342704750">
                      <w:marLeft w:val="0"/>
                      <w:marRight w:val="0"/>
                      <w:marTop w:val="0"/>
                      <w:marBottom w:val="0"/>
                      <w:divBdr>
                        <w:top w:val="none" w:sz="0" w:space="0" w:color="auto"/>
                        <w:left w:val="none" w:sz="0" w:space="0" w:color="auto"/>
                        <w:bottom w:val="none" w:sz="0" w:space="0" w:color="auto"/>
                        <w:right w:val="none" w:sz="0" w:space="0" w:color="auto"/>
                      </w:divBdr>
                      <w:divsChild>
                        <w:div w:id="2126151301">
                          <w:marLeft w:val="0"/>
                          <w:marRight w:val="0"/>
                          <w:marTop w:val="0"/>
                          <w:marBottom w:val="0"/>
                          <w:divBdr>
                            <w:top w:val="none" w:sz="0" w:space="0" w:color="auto"/>
                            <w:left w:val="none" w:sz="0" w:space="0" w:color="auto"/>
                            <w:bottom w:val="none" w:sz="0" w:space="0" w:color="auto"/>
                            <w:right w:val="none" w:sz="0" w:space="0" w:color="auto"/>
                          </w:divBdr>
                          <w:divsChild>
                            <w:div w:id="1600605863">
                              <w:marLeft w:val="0"/>
                              <w:marRight w:val="0"/>
                              <w:marTop w:val="0"/>
                              <w:marBottom w:val="0"/>
                              <w:divBdr>
                                <w:top w:val="none" w:sz="0" w:space="0" w:color="auto"/>
                                <w:left w:val="none" w:sz="0" w:space="0" w:color="auto"/>
                                <w:bottom w:val="none" w:sz="0" w:space="0" w:color="auto"/>
                                <w:right w:val="none" w:sz="0" w:space="0" w:color="auto"/>
                              </w:divBdr>
                              <w:divsChild>
                                <w:div w:id="1102608895">
                                  <w:marLeft w:val="0"/>
                                  <w:marRight w:val="0"/>
                                  <w:marTop w:val="0"/>
                                  <w:marBottom w:val="0"/>
                                  <w:divBdr>
                                    <w:top w:val="none" w:sz="0" w:space="0" w:color="auto"/>
                                    <w:left w:val="none" w:sz="0" w:space="0" w:color="auto"/>
                                    <w:bottom w:val="none" w:sz="0" w:space="0" w:color="auto"/>
                                    <w:right w:val="none" w:sz="0" w:space="0" w:color="auto"/>
                                  </w:divBdr>
                                  <w:divsChild>
                                    <w:div w:id="1550024547">
                                      <w:marLeft w:val="0"/>
                                      <w:marRight w:val="0"/>
                                      <w:marTop w:val="0"/>
                                      <w:marBottom w:val="0"/>
                                      <w:divBdr>
                                        <w:top w:val="none" w:sz="0" w:space="0" w:color="auto"/>
                                        <w:left w:val="none" w:sz="0" w:space="0" w:color="auto"/>
                                        <w:bottom w:val="none" w:sz="0" w:space="0" w:color="auto"/>
                                        <w:right w:val="none" w:sz="0" w:space="0" w:color="auto"/>
                                      </w:divBdr>
                                    </w:div>
                                    <w:div w:id="1145008771">
                                      <w:marLeft w:val="0"/>
                                      <w:marRight w:val="0"/>
                                      <w:marTop w:val="0"/>
                                      <w:marBottom w:val="0"/>
                                      <w:divBdr>
                                        <w:top w:val="none" w:sz="0" w:space="0" w:color="auto"/>
                                        <w:left w:val="none" w:sz="0" w:space="0" w:color="auto"/>
                                        <w:bottom w:val="none" w:sz="0" w:space="0" w:color="auto"/>
                                        <w:right w:val="none" w:sz="0" w:space="0" w:color="auto"/>
                                      </w:divBdr>
                                      <w:divsChild>
                                        <w:div w:id="1068957838">
                                          <w:marLeft w:val="165"/>
                                          <w:marRight w:val="0"/>
                                          <w:marTop w:val="150"/>
                                          <w:marBottom w:val="0"/>
                                          <w:divBdr>
                                            <w:top w:val="none" w:sz="0" w:space="0" w:color="auto"/>
                                            <w:left w:val="none" w:sz="0" w:space="0" w:color="auto"/>
                                            <w:bottom w:val="none" w:sz="0" w:space="0" w:color="auto"/>
                                            <w:right w:val="none" w:sz="0" w:space="0" w:color="auto"/>
                                          </w:divBdr>
                                          <w:divsChild>
                                            <w:div w:id="1543445828">
                                              <w:marLeft w:val="0"/>
                                              <w:marRight w:val="0"/>
                                              <w:marTop w:val="0"/>
                                              <w:marBottom w:val="0"/>
                                              <w:divBdr>
                                                <w:top w:val="none" w:sz="0" w:space="0" w:color="auto"/>
                                                <w:left w:val="none" w:sz="0" w:space="0" w:color="auto"/>
                                                <w:bottom w:val="none" w:sz="0" w:space="0" w:color="auto"/>
                                                <w:right w:val="none" w:sz="0" w:space="0" w:color="auto"/>
                                              </w:divBdr>
                                              <w:divsChild>
                                                <w:div w:id="697123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2854286">
      <w:bodyDiv w:val="1"/>
      <w:marLeft w:val="0"/>
      <w:marRight w:val="0"/>
      <w:marTop w:val="0"/>
      <w:marBottom w:val="0"/>
      <w:divBdr>
        <w:top w:val="none" w:sz="0" w:space="0" w:color="auto"/>
        <w:left w:val="none" w:sz="0" w:space="0" w:color="auto"/>
        <w:bottom w:val="none" w:sz="0" w:space="0" w:color="auto"/>
        <w:right w:val="none" w:sz="0" w:space="0" w:color="auto"/>
      </w:divBdr>
      <w:divsChild>
        <w:div w:id="1321739639">
          <w:marLeft w:val="0"/>
          <w:marRight w:val="0"/>
          <w:marTop w:val="0"/>
          <w:marBottom w:val="0"/>
          <w:divBdr>
            <w:top w:val="none" w:sz="0" w:space="0" w:color="auto"/>
            <w:left w:val="none" w:sz="0" w:space="0" w:color="auto"/>
            <w:bottom w:val="none" w:sz="0" w:space="0" w:color="auto"/>
            <w:right w:val="none" w:sz="0" w:space="0" w:color="auto"/>
          </w:divBdr>
          <w:divsChild>
            <w:div w:id="145363421">
              <w:marLeft w:val="0"/>
              <w:marRight w:val="0"/>
              <w:marTop w:val="0"/>
              <w:marBottom w:val="0"/>
              <w:divBdr>
                <w:top w:val="none" w:sz="0" w:space="0" w:color="auto"/>
                <w:left w:val="none" w:sz="0" w:space="0" w:color="auto"/>
                <w:bottom w:val="none" w:sz="0" w:space="0" w:color="auto"/>
                <w:right w:val="none" w:sz="0" w:space="0" w:color="auto"/>
              </w:divBdr>
              <w:divsChild>
                <w:div w:id="1230535282">
                  <w:marLeft w:val="0"/>
                  <w:marRight w:val="0"/>
                  <w:marTop w:val="0"/>
                  <w:marBottom w:val="0"/>
                  <w:divBdr>
                    <w:top w:val="none" w:sz="0" w:space="0" w:color="auto"/>
                    <w:left w:val="none" w:sz="0" w:space="0" w:color="auto"/>
                    <w:bottom w:val="none" w:sz="0" w:space="0" w:color="auto"/>
                    <w:right w:val="none" w:sz="0" w:space="0" w:color="auto"/>
                  </w:divBdr>
                  <w:divsChild>
                    <w:div w:id="1307051571">
                      <w:marLeft w:val="0"/>
                      <w:marRight w:val="0"/>
                      <w:marTop w:val="0"/>
                      <w:marBottom w:val="0"/>
                      <w:divBdr>
                        <w:top w:val="none" w:sz="0" w:space="0" w:color="auto"/>
                        <w:left w:val="none" w:sz="0" w:space="0" w:color="auto"/>
                        <w:bottom w:val="none" w:sz="0" w:space="0" w:color="auto"/>
                        <w:right w:val="none" w:sz="0" w:space="0" w:color="auto"/>
                      </w:divBdr>
                      <w:divsChild>
                        <w:div w:id="1791053598">
                          <w:marLeft w:val="0"/>
                          <w:marRight w:val="0"/>
                          <w:marTop w:val="0"/>
                          <w:marBottom w:val="0"/>
                          <w:divBdr>
                            <w:top w:val="none" w:sz="0" w:space="0" w:color="auto"/>
                            <w:left w:val="none" w:sz="0" w:space="0" w:color="auto"/>
                            <w:bottom w:val="none" w:sz="0" w:space="0" w:color="auto"/>
                            <w:right w:val="none" w:sz="0" w:space="0" w:color="auto"/>
                          </w:divBdr>
                          <w:divsChild>
                            <w:div w:id="1901820686">
                              <w:marLeft w:val="0"/>
                              <w:marRight w:val="0"/>
                              <w:marTop w:val="0"/>
                              <w:marBottom w:val="0"/>
                              <w:divBdr>
                                <w:top w:val="none" w:sz="0" w:space="0" w:color="auto"/>
                                <w:left w:val="none" w:sz="0" w:space="0" w:color="auto"/>
                                <w:bottom w:val="none" w:sz="0" w:space="0" w:color="auto"/>
                                <w:right w:val="none" w:sz="0" w:space="0" w:color="auto"/>
                              </w:divBdr>
                              <w:divsChild>
                                <w:div w:id="1249509716">
                                  <w:marLeft w:val="0"/>
                                  <w:marRight w:val="0"/>
                                  <w:marTop w:val="0"/>
                                  <w:marBottom w:val="0"/>
                                  <w:divBdr>
                                    <w:top w:val="none" w:sz="0" w:space="0" w:color="auto"/>
                                    <w:left w:val="none" w:sz="0" w:space="0" w:color="auto"/>
                                    <w:bottom w:val="none" w:sz="0" w:space="0" w:color="auto"/>
                                    <w:right w:val="none" w:sz="0" w:space="0" w:color="auto"/>
                                  </w:divBdr>
                                  <w:divsChild>
                                    <w:div w:id="1317148051">
                                      <w:marLeft w:val="0"/>
                                      <w:marRight w:val="0"/>
                                      <w:marTop w:val="0"/>
                                      <w:marBottom w:val="0"/>
                                      <w:divBdr>
                                        <w:top w:val="none" w:sz="0" w:space="0" w:color="auto"/>
                                        <w:left w:val="none" w:sz="0" w:space="0" w:color="auto"/>
                                        <w:bottom w:val="none" w:sz="0" w:space="0" w:color="auto"/>
                                        <w:right w:val="none" w:sz="0" w:space="0" w:color="auto"/>
                                      </w:divBdr>
                                    </w:div>
                                    <w:div w:id="222761086">
                                      <w:marLeft w:val="0"/>
                                      <w:marRight w:val="0"/>
                                      <w:marTop w:val="0"/>
                                      <w:marBottom w:val="0"/>
                                      <w:divBdr>
                                        <w:top w:val="none" w:sz="0" w:space="0" w:color="auto"/>
                                        <w:left w:val="none" w:sz="0" w:space="0" w:color="auto"/>
                                        <w:bottom w:val="none" w:sz="0" w:space="0" w:color="auto"/>
                                        <w:right w:val="none" w:sz="0" w:space="0" w:color="auto"/>
                                      </w:divBdr>
                                      <w:divsChild>
                                        <w:div w:id="893008030">
                                          <w:marLeft w:val="165"/>
                                          <w:marRight w:val="0"/>
                                          <w:marTop w:val="150"/>
                                          <w:marBottom w:val="0"/>
                                          <w:divBdr>
                                            <w:top w:val="none" w:sz="0" w:space="0" w:color="auto"/>
                                            <w:left w:val="none" w:sz="0" w:space="0" w:color="auto"/>
                                            <w:bottom w:val="none" w:sz="0" w:space="0" w:color="auto"/>
                                            <w:right w:val="none" w:sz="0" w:space="0" w:color="auto"/>
                                          </w:divBdr>
                                          <w:divsChild>
                                            <w:div w:id="1542597620">
                                              <w:marLeft w:val="0"/>
                                              <w:marRight w:val="0"/>
                                              <w:marTop w:val="0"/>
                                              <w:marBottom w:val="0"/>
                                              <w:divBdr>
                                                <w:top w:val="none" w:sz="0" w:space="0" w:color="auto"/>
                                                <w:left w:val="none" w:sz="0" w:space="0" w:color="auto"/>
                                                <w:bottom w:val="none" w:sz="0" w:space="0" w:color="auto"/>
                                                <w:right w:val="none" w:sz="0" w:space="0" w:color="auto"/>
                                              </w:divBdr>
                                              <w:divsChild>
                                                <w:div w:id="9253062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497110">
      <w:bodyDiv w:val="1"/>
      <w:marLeft w:val="0"/>
      <w:marRight w:val="0"/>
      <w:marTop w:val="0"/>
      <w:marBottom w:val="0"/>
      <w:divBdr>
        <w:top w:val="none" w:sz="0" w:space="0" w:color="auto"/>
        <w:left w:val="none" w:sz="0" w:space="0" w:color="auto"/>
        <w:bottom w:val="none" w:sz="0" w:space="0" w:color="auto"/>
        <w:right w:val="none" w:sz="0" w:space="0" w:color="auto"/>
      </w:divBdr>
      <w:divsChild>
        <w:div w:id="753235752">
          <w:marLeft w:val="0"/>
          <w:marRight w:val="0"/>
          <w:marTop w:val="0"/>
          <w:marBottom w:val="0"/>
          <w:divBdr>
            <w:top w:val="none" w:sz="0" w:space="0" w:color="auto"/>
            <w:left w:val="none" w:sz="0" w:space="0" w:color="auto"/>
            <w:bottom w:val="none" w:sz="0" w:space="0" w:color="auto"/>
            <w:right w:val="none" w:sz="0" w:space="0" w:color="auto"/>
          </w:divBdr>
          <w:divsChild>
            <w:div w:id="717972381">
              <w:marLeft w:val="0"/>
              <w:marRight w:val="0"/>
              <w:marTop w:val="0"/>
              <w:marBottom w:val="0"/>
              <w:divBdr>
                <w:top w:val="none" w:sz="0" w:space="0" w:color="auto"/>
                <w:left w:val="none" w:sz="0" w:space="0" w:color="auto"/>
                <w:bottom w:val="none" w:sz="0" w:space="0" w:color="auto"/>
                <w:right w:val="none" w:sz="0" w:space="0" w:color="auto"/>
              </w:divBdr>
              <w:divsChild>
                <w:div w:id="973755059">
                  <w:marLeft w:val="0"/>
                  <w:marRight w:val="0"/>
                  <w:marTop w:val="0"/>
                  <w:marBottom w:val="0"/>
                  <w:divBdr>
                    <w:top w:val="none" w:sz="0" w:space="0" w:color="auto"/>
                    <w:left w:val="none" w:sz="0" w:space="0" w:color="auto"/>
                    <w:bottom w:val="none" w:sz="0" w:space="0" w:color="auto"/>
                    <w:right w:val="none" w:sz="0" w:space="0" w:color="auto"/>
                  </w:divBdr>
                  <w:divsChild>
                    <w:div w:id="245770474">
                      <w:marLeft w:val="0"/>
                      <w:marRight w:val="0"/>
                      <w:marTop w:val="0"/>
                      <w:marBottom w:val="0"/>
                      <w:divBdr>
                        <w:top w:val="none" w:sz="0" w:space="0" w:color="auto"/>
                        <w:left w:val="none" w:sz="0" w:space="0" w:color="auto"/>
                        <w:bottom w:val="none" w:sz="0" w:space="0" w:color="auto"/>
                        <w:right w:val="none" w:sz="0" w:space="0" w:color="auto"/>
                      </w:divBdr>
                      <w:divsChild>
                        <w:div w:id="493304990">
                          <w:marLeft w:val="0"/>
                          <w:marRight w:val="0"/>
                          <w:marTop w:val="0"/>
                          <w:marBottom w:val="0"/>
                          <w:divBdr>
                            <w:top w:val="none" w:sz="0" w:space="0" w:color="auto"/>
                            <w:left w:val="none" w:sz="0" w:space="0" w:color="auto"/>
                            <w:bottom w:val="none" w:sz="0" w:space="0" w:color="auto"/>
                            <w:right w:val="none" w:sz="0" w:space="0" w:color="auto"/>
                          </w:divBdr>
                          <w:divsChild>
                            <w:div w:id="426119947">
                              <w:marLeft w:val="0"/>
                              <w:marRight w:val="0"/>
                              <w:marTop w:val="0"/>
                              <w:marBottom w:val="0"/>
                              <w:divBdr>
                                <w:top w:val="none" w:sz="0" w:space="0" w:color="auto"/>
                                <w:left w:val="none" w:sz="0" w:space="0" w:color="auto"/>
                                <w:bottom w:val="none" w:sz="0" w:space="0" w:color="auto"/>
                                <w:right w:val="none" w:sz="0" w:space="0" w:color="auto"/>
                              </w:divBdr>
                              <w:divsChild>
                                <w:div w:id="1595212510">
                                  <w:marLeft w:val="0"/>
                                  <w:marRight w:val="0"/>
                                  <w:marTop w:val="0"/>
                                  <w:marBottom w:val="0"/>
                                  <w:divBdr>
                                    <w:top w:val="none" w:sz="0" w:space="0" w:color="auto"/>
                                    <w:left w:val="none" w:sz="0" w:space="0" w:color="auto"/>
                                    <w:bottom w:val="none" w:sz="0" w:space="0" w:color="auto"/>
                                    <w:right w:val="none" w:sz="0" w:space="0" w:color="auto"/>
                                  </w:divBdr>
                                  <w:divsChild>
                                    <w:div w:id="485978003">
                                      <w:marLeft w:val="0"/>
                                      <w:marRight w:val="0"/>
                                      <w:marTop w:val="0"/>
                                      <w:marBottom w:val="0"/>
                                      <w:divBdr>
                                        <w:top w:val="none" w:sz="0" w:space="0" w:color="auto"/>
                                        <w:left w:val="none" w:sz="0" w:space="0" w:color="auto"/>
                                        <w:bottom w:val="none" w:sz="0" w:space="0" w:color="auto"/>
                                        <w:right w:val="none" w:sz="0" w:space="0" w:color="auto"/>
                                      </w:divBdr>
                                    </w:div>
                                    <w:div w:id="1603220559">
                                      <w:marLeft w:val="0"/>
                                      <w:marRight w:val="0"/>
                                      <w:marTop w:val="0"/>
                                      <w:marBottom w:val="0"/>
                                      <w:divBdr>
                                        <w:top w:val="none" w:sz="0" w:space="0" w:color="auto"/>
                                        <w:left w:val="none" w:sz="0" w:space="0" w:color="auto"/>
                                        <w:bottom w:val="none" w:sz="0" w:space="0" w:color="auto"/>
                                        <w:right w:val="none" w:sz="0" w:space="0" w:color="auto"/>
                                      </w:divBdr>
                                      <w:divsChild>
                                        <w:div w:id="614211282">
                                          <w:marLeft w:val="165"/>
                                          <w:marRight w:val="0"/>
                                          <w:marTop w:val="150"/>
                                          <w:marBottom w:val="0"/>
                                          <w:divBdr>
                                            <w:top w:val="none" w:sz="0" w:space="0" w:color="auto"/>
                                            <w:left w:val="none" w:sz="0" w:space="0" w:color="auto"/>
                                            <w:bottom w:val="none" w:sz="0" w:space="0" w:color="auto"/>
                                            <w:right w:val="none" w:sz="0" w:space="0" w:color="auto"/>
                                          </w:divBdr>
                                          <w:divsChild>
                                            <w:div w:id="1546524921">
                                              <w:marLeft w:val="0"/>
                                              <w:marRight w:val="0"/>
                                              <w:marTop w:val="0"/>
                                              <w:marBottom w:val="0"/>
                                              <w:divBdr>
                                                <w:top w:val="none" w:sz="0" w:space="0" w:color="auto"/>
                                                <w:left w:val="none" w:sz="0" w:space="0" w:color="auto"/>
                                                <w:bottom w:val="none" w:sz="0" w:space="0" w:color="auto"/>
                                                <w:right w:val="none" w:sz="0" w:space="0" w:color="auto"/>
                                              </w:divBdr>
                                              <w:divsChild>
                                                <w:div w:id="3284809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us-news/2020/jun/09/george-floyd-killing-triggers-wave-of-activism-around-the-world" TargetMode="External"/><Relationship Id="rId3" Type="http://schemas.openxmlformats.org/officeDocument/2006/relationships/hyperlink" Target="https://www.ha-makom.co.il/post-mash-new-arab/" TargetMode="External"/><Relationship Id="rId7" Type="http://schemas.openxmlformats.org/officeDocument/2006/relationships/hyperlink" Target="https://www.economist.com/international/2020/06/08/how-george-floyds-death-reverberates-around-the-world" TargetMode="External"/><Relationship Id="rId2" Type="http://schemas.openxmlformats.org/officeDocument/2006/relationships/hyperlink" Target="https://journals.sagepub.com/doi/abs/10.1177/000271628045200111" TargetMode="External"/><Relationship Id="rId1" Type="http://schemas.openxmlformats.org/officeDocument/2006/relationships/hyperlink" Target="https://doi.org/10.7312/dres92534-051" TargetMode="External"/><Relationship Id="rId6" Type="http://schemas.openxmlformats.org/officeDocument/2006/relationships/hyperlink" Target="https://togetherband.org/blogs/news/black-people-are-over-policed-and-under-protected" TargetMode="External"/><Relationship Id="rId5" Type="http://schemas.openxmlformats.org/officeDocument/2006/relationships/hyperlink" Target="https://lpeblog.org/2020/08/04/carceral-feminism-at-a-crossroad/" TargetMode="External"/><Relationship Id="rId4" Type="http://schemas.openxmlformats.org/officeDocument/2006/relationships/hyperlink" Target="https://www.themarker.com/news/politics/1.8135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325DD-5671-4596-AC40-FE491ED9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2814</Words>
  <Characters>13593</Characters>
  <Application>Microsoft Office Word</Application>
  <DocSecurity>0</DocSecurity>
  <Lines>197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Hajyahia</dc:creator>
  <cp:keywords/>
  <dc:description/>
  <cp:lastModifiedBy>Susan</cp:lastModifiedBy>
  <cp:revision>2</cp:revision>
  <dcterms:created xsi:type="dcterms:W3CDTF">2021-12-08T11:48:00Z</dcterms:created>
  <dcterms:modified xsi:type="dcterms:W3CDTF">2021-12-08T11:48:00Z</dcterms:modified>
</cp:coreProperties>
</file>