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285E" w:rsidRPr="00AD451B" w:rsidRDefault="006E285E" w:rsidP="006E285E">
      <w:pPr>
        <w:pStyle w:val="Heading1"/>
        <w:bidi/>
        <w:rPr>
          <w:rFonts w:ascii="David" w:hAnsi="David" w:cs="David"/>
          <w:color w:val="000000" w:themeColor="text1"/>
          <w:rtl/>
          <w:lang w:bidi="he-IL"/>
        </w:rPr>
      </w:pPr>
      <w:r>
        <w:rPr>
          <w:rFonts w:ascii="David" w:hAnsi="David" w:cs="David" w:hint="cs"/>
          <w:color w:val="000000" w:themeColor="text1"/>
          <w:rtl/>
          <w:lang w:bidi="he-IL"/>
        </w:rPr>
        <w:t>11.</w:t>
      </w:r>
      <w:bookmarkStart w:id="0" w:name="_GoBack"/>
      <w:r w:rsidRPr="00AD451B">
        <w:rPr>
          <w:rFonts w:ascii="David" w:hAnsi="David" w:cs="David" w:hint="cs"/>
          <w:color w:val="000000" w:themeColor="text1"/>
          <w:rtl/>
          <w:lang w:bidi="he-IL"/>
        </w:rPr>
        <w:t>שלוש גישות ליחס שבין משפט ותרבות</w:t>
      </w:r>
    </w:p>
    <w:p w:rsidR="006E285E" w:rsidRPr="00AD451B" w:rsidRDefault="006E285E" w:rsidP="006E285E">
      <w:pPr>
        <w:bidi/>
        <w:rPr>
          <w:lang w:val="en-GB" w:bidi="he-IL"/>
        </w:rPr>
      </w:pPr>
    </w:p>
    <w:bookmarkEnd w:id="0"/>
    <w:p w:rsidR="006E285E" w:rsidRPr="00AD451B" w:rsidRDefault="006E285E" w:rsidP="006E285E">
      <w:pPr>
        <w:pStyle w:val="Heading2"/>
        <w:bidi/>
        <w:spacing w:after="120" w:line="480" w:lineRule="auto"/>
        <w:rPr>
          <w:rFonts w:ascii="David" w:eastAsia="Times New Roman" w:hAnsi="David" w:cs="David"/>
          <w:b/>
          <w:bCs/>
          <w:color w:val="000000" w:themeColor="text1"/>
          <w:sz w:val="28"/>
          <w:szCs w:val="28"/>
          <w:rtl/>
          <w:lang w:bidi="he-IL"/>
        </w:rPr>
      </w:pPr>
      <w:r w:rsidRPr="00AD451B">
        <w:rPr>
          <w:rFonts w:ascii="David" w:eastAsia="Times New Roman" w:hAnsi="David" w:cs="David" w:hint="cs"/>
          <w:b/>
          <w:bCs/>
          <w:color w:val="000000" w:themeColor="text1"/>
          <w:sz w:val="28"/>
          <w:szCs w:val="28"/>
          <w:rtl/>
          <w:lang w:bidi="he-IL"/>
        </w:rPr>
        <w:t>11</w:t>
      </w:r>
      <w:r w:rsidRPr="00AD451B">
        <w:rPr>
          <w:rFonts w:ascii="David" w:eastAsia="Times New Roman" w:hAnsi="David" w:cs="David"/>
          <w:b/>
          <w:bCs/>
          <w:color w:val="000000" w:themeColor="text1"/>
          <w:sz w:val="28"/>
          <w:szCs w:val="28"/>
          <w:rtl/>
          <w:lang w:bidi="he-IL"/>
        </w:rPr>
        <w:t>.1 הקדמה</w:t>
      </w:r>
    </w:p>
    <w:p w:rsidR="006E285E" w:rsidRPr="00AD451B" w:rsidRDefault="006E285E" w:rsidP="006E285E">
      <w:pPr>
        <w:bidi/>
        <w:spacing w:after="120" w:line="240" w:lineRule="auto"/>
        <w:ind w:left="5760" w:right="1080"/>
        <w:jc w:val="both"/>
        <w:rPr>
          <w:rFonts w:ascii="David" w:hAnsi="David" w:cs="David"/>
          <w:color w:val="000000" w:themeColor="text1"/>
          <w:sz w:val="24"/>
          <w:szCs w:val="24"/>
          <w:lang w:bidi="he-IL"/>
        </w:rPr>
      </w:pPr>
      <w:r w:rsidRPr="00AD451B">
        <w:rPr>
          <w:rFonts w:ascii="David" w:hAnsi="David" w:cs="David"/>
          <w:color w:val="000000" w:themeColor="text1"/>
          <w:sz w:val="24"/>
          <w:szCs w:val="24"/>
          <w:rtl/>
        </w:rPr>
        <w:t>"</w:t>
      </w:r>
      <w:r w:rsidRPr="00AD451B">
        <w:rPr>
          <w:rFonts w:ascii="David" w:hAnsi="David" w:cs="David"/>
          <w:color w:val="000000" w:themeColor="text1"/>
          <w:sz w:val="24"/>
          <w:szCs w:val="24"/>
          <w:rtl/>
          <w:lang w:bidi="he-IL"/>
        </w:rPr>
        <w:t>הלא</w:t>
      </w:r>
      <w:r w:rsidRPr="00AD451B">
        <w:rPr>
          <w:rFonts w:ascii="David" w:hAnsi="David" w:cs="David"/>
          <w:color w:val="000000" w:themeColor="text1"/>
          <w:sz w:val="24"/>
          <w:szCs w:val="24"/>
          <w:rtl/>
        </w:rPr>
        <w:t xml:space="preserve"> </w:t>
      </w:r>
      <w:r w:rsidRPr="00AD451B">
        <w:rPr>
          <w:rFonts w:ascii="David" w:hAnsi="David" w:cs="David"/>
          <w:color w:val="000000" w:themeColor="text1"/>
          <w:sz w:val="24"/>
          <w:szCs w:val="24"/>
          <w:rtl/>
          <w:lang w:bidi="he-IL"/>
        </w:rPr>
        <w:t>זו</w:t>
      </w:r>
      <w:r w:rsidRPr="00AD451B">
        <w:rPr>
          <w:rFonts w:ascii="David" w:hAnsi="David" w:cs="David"/>
          <w:color w:val="000000" w:themeColor="text1"/>
          <w:sz w:val="24"/>
          <w:szCs w:val="24"/>
          <w:rtl/>
        </w:rPr>
        <w:t xml:space="preserve"> </w:t>
      </w:r>
      <w:r w:rsidRPr="00AD451B">
        <w:rPr>
          <w:rFonts w:ascii="David" w:hAnsi="David" w:cs="David"/>
          <w:color w:val="000000" w:themeColor="text1"/>
          <w:sz w:val="24"/>
          <w:szCs w:val="24"/>
          <w:rtl/>
          <w:lang w:bidi="he-IL"/>
        </w:rPr>
        <w:t>אקסיומה</w:t>
      </w:r>
      <w:r w:rsidRPr="00AD451B">
        <w:rPr>
          <w:rFonts w:ascii="David" w:hAnsi="David" w:cs="David"/>
          <w:color w:val="000000" w:themeColor="text1"/>
          <w:sz w:val="24"/>
          <w:szCs w:val="24"/>
          <w:rtl/>
        </w:rPr>
        <w:t xml:space="preserve"> </w:t>
      </w:r>
      <w:r w:rsidRPr="00AD451B">
        <w:rPr>
          <w:rFonts w:ascii="David" w:hAnsi="David" w:cs="David"/>
          <w:color w:val="000000" w:themeColor="text1"/>
          <w:sz w:val="24"/>
          <w:szCs w:val="24"/>
          <w:rtl/>
          <w:lang w:bidi="he-IL"/>
        </w:rPr>
        <w:t>ידועה</w:t>
      </w:r>
      <w:r w:rsidRPr="00AD451B">
        <w:rPr>
          <w:rFonts w:ascii="David" w:hAnsi="David" w:cs="David"/>
          <w:color w:val="000000" w:themeColor="text1"/>
          <w:sz w:val="24"/>
          <w:szCs w:val="24"/>
          <w:rtl/>
        </w:rPr>
        <w:t xml:space="preserve">, </w:t>
      </w:r>
      <w:r w:rsidRPr="00AD451B">
        <w:rPr>
          <w:rFonts w:ascii="David" w:hAnsi="David" w:cs="David"/>
          <w:color w:val="000000" w:themeColor="text1"/>
          <w:sz w:val="24"/>
          <w:szCs w:val="24"/>
          <w:rtl/>
          <w:lang w:bidi="he-IL"/>
        </w:rPr>
        <w:t>שאת</w:t>
      </w:r>
      <w:r w:rsidRPr="00AD451B">
        <w:rPr>
          <w:rFonts w:ascii="David" w:hAnsi="David" w:cs="David"/>
          <w:color w:val="000000" w:themeColor="text1"/>
          <w:sz w:val="24"/>
          <w:szCs w:val="24"/>
          <w:rtl/>
        </w:rPr>
        <w:t xml:space="preserve"> </w:t>
      </w:r>
      <w:r w:rsidRPr="00AD451B">
        <w:rPr>
          <w:rFonts w:ascii="David" w:hAnsi="David" w:cs="David"/>
          <w:color w:val="000000" w:themeColor="text1"/>
          <w:sz w:val="24"/>
          <w:szCs w:val="24"/>
          <w:rtl/>
          <w:lang w:bidi="he-IL"/>
        </w:rPr>
        <w:t>המשפט</w:t>
      </w:r>
      <w:r w:rsidRPr="00AD451B">
        <w:rPr>
          <w:rFonts w:ascii="David" w:hAnsi="David" w:cs="David"/>
          <w:color w:val="000000" w:themeColor="text1"/>
          <w:sz w:val="24"/>
          <w:szCs w:val="24"/>
          <w:rtl/>
        </w:rPr>
        <w:t xml:space="preserve"> </w:t>
      </w:r>
      <w:r w:rsidRPr="00AD451B">
        <w:rPr>
          <w:rFonts w:ascii="David" w:hAnsi="David" w:cs="David"/>
          <w:color w:val="000000" w:themeColor="text1"/>
          <w:sz w:val="24"/>
          <w:szCs w:val="24"/>
          <w:rtl/>
          <w:lang w:bidi="he-IL"/>
        </w:rPr>
        <w:t>של</w:t>
      </w:r>
      <w:r w:rsidRPr="00AD451B">
        <w:rPr>
          <w:rFonts w:ascii="David" w:hAnsi="David" w:cs="David"/>
          <w:color w:val="000000" w:themeColor="text1"/>
          <w:sz w:val="24"/>
          <w:szCs w:val="24"/>
          <w:rtl/>
        </w:rPr>
        <w:t xml:space="preserve"> </w:t>
      </w:r>
      <w:r w:rsidRPr="00AD451B">
        <w:rPr>
          <w:rFonts w:ascii="David" w:hAnsi="David" w:cs="David"/>
          <w:color w:val="000000" w:themeColor="text1"/>
          <w:sz w:val="24"/>
          <w:szCs w:val="24"/>
          <w:rtl/>
          <w:lang w:bidi="he-IL"/>
        </w:rPr>
        <w:t>עם</w:t>
      </w:r>
      <w:r w:rsidRPr="00AD451B">
        <w:rPr>
          <w:rFonts w:ascii="David" w:hAnsi="David" w:cs="David"/>
          <w:color w:val="000000" w:themeColor="text1"/>
          <w:sz w:val="24"/>
          <w:szCs w:val="24"/>
          <w:rtl/>
        </w:rPr>
        <w:t xml:space="preserve"> </w:t>
      </w:r>
      <w:r w:rsidRPr="00AD451B">
        <w:rPr>
          <w:rFonts w:ascii="David" w:hAnsi="David" w:cs="David"/>
          <w:color w:val="000000" w:themeColor="text1"/>
          <w:sz w:val="24"/>
          <w:szCs w:val="24"/>
          <w:rtl/>
          <w:lang w:bidi="he-IL"/>
        </w:rPr>
        <w:t>יש ללמוד</w:t>
      </w:r>
      <w:r w:rsidRPr="00AD451B">
        <w:rPr>
          <w:rFonts w:ascii="David" w:hAnsi="David" w:cs="David"/>
          <w:color w:val="000000" w:themeColor="text1"/>
          <w:sz w:val="24"/>
          <w:szCs w:val="24"/>
          <w:rtl/>
        </w:rPr>
        <w:t xml:space="preserve"> </w:t>
      </w:r>
      <w:r w:rsidRPr="00AD451B">
        <w:rPr>
          <w:rFonts w:ascii="David" w:hAnsi="David" w:cs="David"/>
          <w:color w:val="000000" w:themeColor="text1"/>
          <w:sz w:val="24"/>
          <w:szCs w:val="24"/>
          <w:rtl/>
          <w:lang w:bidi="he-IL"/>
        </w:rPr>
        <w:t>באספקלריה</w:t>
      </w:r>
      <w:r w:rsidRPr="00AD451B">
        <w:rPr>
          <w:rFonts w:ascii="David" w:hAnsi="David" w:cs="David"/>
          <w:color w:val="000000" w:themeColor="text1"/>
          <w:sz w:val="24"/>
          <w:szCs w:val="24"/>
          <w:rtl/>
        </w:rPr>
        <w:t xml:space="preserve"> </w:t>
      </w:r>
      <w:r w:rsidRPr="00AD451B">
        <w:rPr>
          <w:rFonts w:ascii="David" w:hAnsi="David" w:cs="David"/>
          <w:color w:val="000000" w:themeColor="text1"/>
          <w:sz w:val="24"/>
          <w:szCs w:val="24"/>
          <w:rtl/>
          <w:lang w:bidi="he-IL"/>
        </w:rPr>
        <w:t>של</w:t>
      </w:r>
      <w:r w:rsidRPr="00AD451B">
        <w:rPr>
          <w:rFonts w:ascii="David" w:hAnsi="David" w:cs="David"/>
          <w:color w:val="000000" w:themeColor="text1"/>
          <w:sz w:val="24"/>
          <w:szCs w:val="24"/>
          <w:rtl/>
        </w:rPr>
        <w:t xml:space="preserve"> </w:t>
      </w:r>
      <w:r w:rsidRPr="00AD451B">
        <w:rPr>
          <w:rFonts w:ascii="David" w:hAnsi="David" w:cs="David"/>
          <w:color w:val="000000" w:themeColor="text1"/>
          <w:sz w:val="24"/>
          <w:szCs w:val="24"/>
          <w:rtl/>
          <w:lang w:bidi="he-IL"/>
        </w:rPr>
        <w:t>מערכת</w:t>
      </w:r>
      <w:r w:rsidRPr="00AD451B">
        <w:rPr>
          <w:rFonts w:ascii="David" w:hAnsi="David" w:cs="David"/>
          <w:color w:val="000000" w:themeColor="text1"/>
          <w:sz w:val="24"/>
          <w:szCs w:val="24"/>
          <w:rtl/>
        </w:rPr>
        <w:t xml:space="preserve"> </w:t>
      </w:r>
      <w:r w:rsidRPr="00AD451B">
        <w:rPr>
          <w:rFonts w:ascii="David" w:hAnsi="David" w:cs="David"/>
          <w:color w:val="000000" w:themeColor="text1"/>
          <w:sz w:val="24"/>
          <w:szCs w:val="24"/>
          <w:rtl/>
          <w:lang w:bidi="he-IL"/>
        </w:rPr>
        <w:t>החיים</w:t>
      </w:r>
      <w:r w:rsidRPr="00AD451B">
        <w:rPr>
          <w:rFonts w:ascii="David" w:hAnsi="David" w:cs="David"/>
          <w:color w:val="000000" w:themeColor="text1"/>
          <w:sz w:val="24"/>
          <w:szCs w:val="24"/>
          <w:rtl/>
        </w:rPr>
        <w:t xml:space="preserve"> </w:t>
      </w:r>
      <w:r w:rsidRPr="00AD451B">
        <w:rPr>
          <w:rFonts w:ascii="David" w:hAnsi="David" w:cs="David"/>
          <w:color w:val="000000" w:themeColor="text1"/>
          <w:sz w:val="24"/>
          <w:szCs w:val="24"/>
          <w:rtl/>
          <w:lang w:bidi="he-IL"/>
        </w:rPr>
        <w:t>הלאומיים</w:t>
      </w:r>
      <w:r w:rsidRPr="00AD451B">
        <w:rPr>
          <w:rFonts w:ascii="David" w:hAnsi="David" w:cs="David"/>
          <w:color w:val="000000" w:themeColor="text1"/>
          <w:sz w:val="24"/>
          <w:szCs w:val="24"/>
          <w:rtl/>
        </w:rPr>
        <w:t xml:space="preserve"> </w:t>
      </w:r>
      <w:r w:rsidRPr="00AD451B">
        <w:rPr>
          <w:rFonts w:ascii="David" w:hAnsi="David" w:cs="David"/>
          <w:color w:val="000000" w:themeColor="text1"/>
          <w:sz w:val="24"/>
          <w:szCs w:val="24"/>
          <w:rtl/>
          <w:lang w:bidi="he-IL"/>
        </w:rPr>
        <w:t>שלו</w:t>
      </w:r>
      <w:r w:rsidRPr="00AD451B">
        <w:rPr>
          <w:rFonts w:ascii="David" w:hAnsi="David" w:cs="David"/>
          <w:color w:val="000000" w:themeColor="text1"/>
          <w:sz w:val="24"/>
          <w:szCs w:val="24"/>
          <w:rtl/>
        </w:rPr>
        <w:t>"</w:t>
      </w:r>
      <w:r w:rsidRPr="00AD451B">
        <w:rPr>
          <w:rFonts w:ascii="David" w:hAnsi="David" w:cs="David"/>
          <w:color w:val="000000" w:themeColor="text1"/>
          <w:sz w:val="24"/>
          <w:szCs w:val="24"/>
          <w:rtl/>
          <w:lang w:bidi="he-IL"/>
        </w:rPr>
        <w:t>.</w:t>
      </w:r>
    </w:p>
    <w:p w:rsidR="006E285E" w:rsidRPr="00AD451B" w:rsidRDefault="006E285E" w:rsidP="006E285E">
      <w:pPr>
        <w:bidi/>
        <w:spacing w:after="120" w:line="480" w:lineRule="auto"/>
        <w:ind w:right="1080"/>
        <w:jc w:val="right"/>
        <w:rPr>
          <w:rFonts w:ascii="David" w:hAnsi="David" w:cs="David"/>
          <w:color w:val="000000" w:themeColor="text1"/>
          <w:rtl/>
        </w:rPr>
      </w:pPr>
      <w:r w:rsidRPr="00AD451B">
        <w:rPr>
          <w:rFonts w:ascii="David" w:hAnsi="David" w:cs="David"/>
          <w:color w:val="000000" w:themeColor="text1"/>
          <w:lang w:bidi="he-IL"/>
        </w:rPr>
        <w:t xml:space="preserve">  </w:t>
      </w:r>
      <w:r w:rsidRPr="00AD451B">
        <w:rPr>
          <w:rFonts w:ascii="David" w:hAnsi="David" w:cs="David"/>
          <w:color w:val="000000" w:themeColor="text1"/>
          <w:rtl/>
          <w:lang w:bidi="he-IL"/>
        </w:rPr>
        <w:t>השופט</w:t>
      </w:r>
      <w:r w:rsidRPr="00AD451B">
        <w:rPr>
          <w:rFonts w:ascii="David" w:hAnsi="David" w:cs="David"/>
          <w:color w:val="000000" w:themeColor="text1"/>
          <w:rtl/>
        </w:rPr>
        <w:t xml:space="preserve"> </w:t>
      </w:r>
      <w:r w:rsidRPr="00AD451B">
        <w:rPr>
          <w:rFonts w:ascii="David" w:hAnsi="David" w:cs="David"/>
          <w:color w:val="000000" w:themeColor="text1"/>
          <w:rtl/>
          <w:lang w:bidi="he-IL"/>
        </w:rPr>
        <w:t>אגרנט</w:t>
      </w:r>
      <w:r w:rsidRPr="00AD451B">
        <w:rPr>
          <w:rFonts w:ascii="David" w:hAnsi="David" w:cs="David"/>
          <w:color w:val="000000" w:themeColor="text1"/>
          <w:rtl/>
        </w:rPr>
        <w:t xml:space="preserve">, </w:t>
      </w:r>
      <w:r w:rsidRPr="00AD451B">
        <w:rPr>
          <w:rFonts w:ascii="David" w:hAnsi="David" w:cs="David"/>
          <w:color w:val="000000" w:themeColor="text1"/>
          <w:rtl/>
          <w:lang w:bidi="he-IL"/>
        </w:rPr>
        <w:t>פסק</w:t>
      </w:r>
      <w:r w:rsidRPr="00AD451B">
        <w:rPr>
          <w:rFonts w:ascii="David" w:hAnsi="David" w:cs="David"/>
          <w:color w:val="000000" w:themeColor="text1"/>
          <w:rtl/>
        </w:rPr>
        <w:t xml:space="preserve"> </w:t>
      </w:r>
      <w:r w:rsidRPr="00AD451B">
        <w:rPr>
          <w:rFonts w:ascii="David" w:hAnsi="David" w:cs="David"/>
          <w:color w:val="000000" w:themeColor="text1"/>
          <w:rtl/>
          <w:lang w:bidi="he-IL"/>
        </w:rPr>
        <w:t>דין</w:t>
      </w:r>
      <w:r w:rsidRPr="00AD451B">
        <w:rPr>
          <w:rFonts w:ascii="David" w:hAnsi="David" w:cs="David"/>
          <w:color w:val="000000" w:themeColor="text1"/>
          <w:rtl/>
        </w:rPr>
        <w:t xml:space="preserve"> </w:t>
      </w:r>
      <w:r w:rsidRPr="00AD451B">
        <w:rPr>
          <w:rFonts w:ascii="David" w:hAnsi="David" w:cs="David"/>
          <w:color w:val="000000" w:themeColor="text1"/>
          <w:rtl/>
          <w:lang w:bidi="he-IL"/>
        </w:rPr>
        <w:t>קול</w:t>
      </w:r>
      <w:r w:rsidRPr="00AD451B">
        <w:rPr>
          <w:rFonts w:ascii="David" w:hAnsi="David" w:cs="David"/>
          <w:color w:val="000000" w:themeColor="text1"/>
          <w:rtl/>
        </w:rPr>
        <w:t xml:space="preserve"> </w:t>
      </w:r>
      <w:r w:rsidRPr="00AD451B">
        <w:rPr>
          <w:rFonts w:ascii="David" w:hAnsi="David" w:cs="David"/>
          <w:color w:val="000000" w:themeColor="text1"/>
          <w:rtl/>
          <w:lang w:bidi="he-IL"/>
        </w:rPr>
        <w:t>העם</w:t>
      </w:r>
    </w:p>
    <w:p w:rsidR="006E285E" w:rsidRPr="00AD451B" w:rsidRDefault="006E285E" w:rsidP="006E285E">
      <w:pPr>
        <w:bidi/>
        <w:spacing w:after="120" w:line="360" w:lineRule="auto"/>
        <w:jc w:val="both"/>
        <w:rPr>
          <w:rFonts w:ascii="David" w:hAnsi="David" w:cs="David"/>
          <w:color w:val="000000" w:themeColor="text1"/>
          <w:sz w:val="24"/>
          <w:szCs w:val="24"/>
          <w:rtl/>
        </w:rPr>
      </w:pPr>
      <w:r w:rsidRPr="00AD451B">
        <w:rPr>
          <w:rFonts w:ascii="David" w:hAnsi="David" w:cs="David"/>
          <w:color w:val="000000" w:themeColor="text1"/>
          <w:sz w:val="24"/>
          <w:szCs w:val="24"/>
          <w:rtl/>
          <w:lang w:bidi="he-IL"/>
        </w:rPr>
        <w:t>בעשורים</w:t>
      </w:r>
      <w:r w:rsidRPr="00AD451B">
        <w:rPr>
          <w:rFonts w:ascii="David" w:hAnsi="David" w:cs="David"/>
          <w:color w:val="000000" w:themeColor="text1"/>
          <w:sz w:val="24"/>
          <w:szCs w:val="24"/>
          <w:rtl/>
        </w:rPr>
        <w:t xml:space="preserve"> </w:t>
      </w:r>
      <w:r w:rsidRPr="00AD451B">
        <w:rPr>
          <w:rFonts w:ascii="David" w:hAnsi="David" w:cs="David"/>
          <w:color w:val="000000" w:themeColor="text1"/>
          <w:sz w:val="24"/>
          <w:szCs w:val="24"/>
          <w:rtl/>
          <w:lang w:bidi="he-IL"/>
        </w:rPr>
        <w:t>האחרונים</w:t>
      </w:r>
      <w:r w:rsidRPr="00AD451B">
        <w:rPr>
          <w:rFonts w:ascii="David" w:hAnsi="David" w:cs="David"/>
          <w:color w:val="000000" w:themeColor="text1"/>
          <w:sz w:val="24"/>
          <w:szCs w:val="24"/>
          <w:rtl/>
        </w:rPr>
        <w:t xml:space="preserve">, </w:t>
      </w:r>
      <w:r w:rsidRPr="00AD451B">
        <w:rPr>
          <w:rFonts w:ascii="David" w:hAnsi="David" w:cs="David"/>
          <w:color w:val="000000" w:themeColor="text1"/>
          <w:sz w:val="24"/>
          <w:szCs w:val="24"/>
          <w:rtl/>
          <w:lang w:bidi="he-IL"/>
        </w:rPr>
        <w:t>ניתן</w:t>
      </w:r>
      <w:r w:rsidRPr="00AD451B">
        <w:rPr>
          <w:rFonts w:ascii="David" w:hAnsi="David" w:cs="David"/>
          <w:color w:val="000000" w:themeColor="text1"/>
          <w:sz w:val="24"/>
          <w:szCs w:val="24"/>
          <w:rtl/>
        </w:rPr>
        <w:t xml:space="preserve"> </w:t>
      </w:r>
      <w:r w:rsidRPr="00AD451B">
        <w:rPr>
          <w:rFonts w:ascii="David" w:hAnsi="David" w:cs="David"/>
          <w:color w:val="000000" w:themeColor="text1"/>
          <w:sz w:val="24"/>
          <w:szCs w:val="24"/>
          <w:rtl/>
          <w:lang w:bidi="he-IL"/>
        </w:rPr>
        <w:t>למצוא</w:t>
      </w:r>
      <w:r w:rsidRPr="00AD451B">
        <w:rPr>
          <w:rFonts w:ascii="David" w:hAnsi="David" w:cs="David"/>
          <w:color w:val="000000" w:themeColor="text1"/>
          <w:sz w:val="24"/>
          <w:szCs w:val="24"/>
          <w:rtl/>
        </w:rPr>
        <w:t xml:space="preserve"> </w:t>
      </w:r>
      <w:r w:rsidRPr="00AD451B">
        <w:rPr>
          <w:rFonts w:ascii="David" w:hAnsi="David" w:cs="David"/>
          <w:color w:val="000000" w:themeColor="text1"/>
          <w:sz w:val="24"/>
          <w:szCs w:val="24"/>
          <w:rtl/>
          <w:lang w:bidi="he-IL"/>
        </w:rPr>
        <w:t>כתיבה</w:t>
      </w:r>
      <w:r w:rsidRPr="00AD451B">
        <w:rPr>
          <w:rFonts w:ascii="David" w:hAnsi="David" w:cs="David"/>
          <w:color w:val="000000" w:themeColor="text1"/>
          <w:sz w:val="24"/>
          <w:szCs w:val="24"/>
          <w:rtl/>
        </w:rPr>
        <w:t xml:space="preserve"> </w:t>
      </w:r>
      <w:r w:rsidRPr="00AD451B">
        <w:rPr>
          <w:rFonts w:ascii="David" w:hAnsi="David" w:cs="David"/>
          <w:color w:val="000000" w:themeColor="text1"/>
          <w:sz w:val="24"/>
          <w:szCs w:val="24"/>
          <w:rtl/>
          <w:lang w:bidi="he-IL"/>
        </w:rPr>
        <w:t>המבקשת</w:t>
      </w:r>
      <w:r w:rsidRPr="00AD451B">
        <w:rPr>
          <w:rFonts w:ascii="David" w:hAnsi="David" w:cs="David"/>
          <w:color w:val="000000" w:themeColor="text1"/>
          <w:sz w:val="24"/>
          <w:szCs w:val="24"/>
          <w:rtl/>
        </w:rPr>
        <w:t xml:space="preserve"> </w:t>
      </w:r>
      <w:r w:rsidRPr="00AD451B">
        <w:rPr>
          <w:rFonts w:ascii="David" w:hAnsi="David" w:cs="David"/>
          <w:color w:val="000000" w:themeColor="text1"/>
          <w:sz w:val="24"/>
          <w:szCs w:val="24"/>
          <w:rtl/>
          <w:lang w:bidi="he-IL"/>
        </w:rPr>
        <w:t>להבין</w:t>
      </w:r>
      <w:r w:rsidRPr="00AD451B">
        <w:rPr>
          <w:rFonts w:ascii="David" w:hAnsi="David" w:cs="David"/>
          <w:color w:val="000000" w:themeColor="text1"/>
          <w:sz w:val="24"/>
          <w:szCs w:val="24"/>
          <w:rtl/>
        </w:rPr>
        <w:t xml:space="preserve"> </w:t>
      </w:r>
      <w:r w:rsidRPr="00AD451B">
        <w:rPr>
          <w:rFonts w:ascii="David" w:hAnsi="David" w:cs="David"/>
          <w:color w:val="000000" w:themeColor="text1"/>
          <w:sz w:val="24"/>
          <w:szCs w:val="24"/>
          <w:rtl/>
          <w:lang w:bidi="he-IL"/>
        </w:rPr>
        <w:t>את</w:t>
      </w:r>
      <w:r w:rsidRPr="00AD451B">
        <w:rPr>
          <w:rFonts w:ascii="David" w:hAnsi="David" w:cs="David"/>
          <w:color w:val="000000" w:themeColor="text1"/>
          <w:sz w:val="24"/>
          <w:szCs w:val="24"/>
          <w:rtl/>
        </w:rPr>
        <w:t xml:space="preserve"> </w:t>
      </w:r>
      <w:r w:rsidRPr="00AD451B">
        <w:rPr>
          <w:rFonts w:ascii="David" w:hAnsi="David" w:cs="David"/>
          <w:color w:val="000000" w:themeColor="text1"/>
          <w:sz w:val="24"/>
          <w:szCs w:val="24"/>
          <w:rtl/>
          <w:lang w:bidi="he-IL"/>
        </w:rPr>
        <w:t>המשפט</w:t>
      </w:r>
      <w:r w:rsidRPr="00AD451B">
        <w:rPr>
          <w:rFonts w:ascii="David" w:hAnsi="David" w:cs="David"/>
          <w:color w:val="000000" w:themeColor="text1"/>
          <w:sz w:val="24"/>
          <w:szCs w:val="24"/>
          <w:rtl/>
        </w:rPr>
        <w:t xml:space="preserve"> </w:t>
      </w:r>
      <w:r w:rsidRPr="00AD451B">
        <w:rPr>
          <w:rFonts w:ascii="David" w:hAnsi="David" w:cs="David"/>
          <w:color w:val="000000" w:themeColor="text1"/>
          <w:sz w:val="24"/>
          <w:szCs w:val="24"/>
          <w:rtl/>
          <w:lang w:bidi="he-IL"/>
        </w:rPr>
        <w:t>תוך</w:t>
      </w:r>
      <w:r w:rsidRPr="00AD451B">
        <w:rPr>
          <w:rFonts w:ascii="David" w:hAnsi="David" w:cs="David"/>
          <w:color w:val="000000" w:themeColor="text1"/>
          <w:sz w:val="24"/>
          <w:szCs w:val="24"/>
          <w:rtl/>
        </w:rPr>
        <w:t xml:space="preserve"> </w:t>
      </w:r>
      <w:r w:rsidRPr="00AD451B">
        <w:rPr>
          <w:rFonts w:ascii="David" w:hAnsi="David" w:cs="David"/>
          <w:color w:val="000000" w:themeColor="text1"/>
          <w:sz w:val="24"/>
          <w:szCs w:val="24"/>
          <w:rtl/>
          <w:lang w:bidi="he-IL"/>
        </w:rPr>
        <w:t>הפעלה</w:t>
      </w:r>
      <w:r w:rsidRPr="00AD451B">
        <w:rPr>
          <w:rFonts w:ascii="David" w:hAnsi="David" w:cs="David"/>
          <w:color w:val="000000" w:themeColor="text1"/>
          <w:sz w:val="24"/>
          <w:szCs w:val="24"/>
          <w:rtl/>
        </w:rPr>
        <w:t xml:space="preserve"> </w:t>
      </w:r>
      <w:r w:rsidRPr="00AD451B">
        <w:rPr>
          <w:rFonts w:ascii="David" w:hAnsi="David" w:cs="David"/>
          <w:color w:val="000000" w:themeColor="text1"/>
          <w:sz w:val="24"/>
          <w:szCs w:val="24"/>
          <w:rtl/>
          <w:lang w:bidi="he-IL"/>
        </w:rPr>
        <w:t>של</w:t>
      </w:r>
      <w:r w:rsidRPr="00AD451B">
        <w:rPr>
          <w:rFonts w:ascii="David" w:hAnsi="David" w:cs="David"/>
          <w:color w:val="000000" w:themeColor="text1"/>
          <w:sz w:val="24"/>
          <w:szCs w:val="24"/>
          <w:rtl/>
        </w:rPr>
        <w:t xml:space="preserve"> </w:t>
      </w:r>
      <w:r w:rsidRPr="00AD451B">
        <w:rPr>
          <w:rFonts w:ascii="David" w:hAnsi="David" w:cs="David"/>
          <w:color w:val="000000" w:themeColor="text1"/>
          <w:sz w:val="24"/>
          <w:szCs w:val="24"/>
          <w:rtl/>
          <w:lang w:bidi="he-IL"/>
        </w:rPr>
        <w:t>מושג</w:t>
      </w:r>
      <w:r w:rsidRPr="00AD451B">
        <w:rPr>
          <w:rFonts w:ascii="David" w:hAnsi="David" w:cs="David"/>
          <w:color w:val="000000" w:themeColor="text1"/>
          <w:sz w:val="24"/>
          <w:szCs w:val="24"/>
          <w:rtl/>
        </w:rPr>
        <w:t xml:space="preserve"> </w:t>
      </w:r>
      <w:r w:rsidRPr="00AD451B">
        <w:rPr>
          <w:rFonts w:ascii="David" w:hAnsi="David" w:cs="David"/>
          <w:color w:val="000000" w:themeColor="text1"/>
          <w:sz w:val="24"/>
          <w:szCs w:val="24"/>
          <w:rtl/>
          <w:lang w:bidi="he-IL"/>
        </w:rPr>
        <w:t>התרבות</w:t>
      </w:r>
      <w:r w:rsidRPr="00AD451B">
        <w:rPr>
          <w:rFonts w:ascii="David" w:hAnsi="David" w:cs="David"/>
          <w:color w:val="000000" w:themeColor="text1"/>
          <w:sz w:val="24"/>
          <w:szCs w:val="24"/>
          <w:rtl/>
        </w:rPr>
        <w:t>.</w:t>
      </w:r>
      <w:r w:rsidRPr="00AD451B">
        <w:rPr>
          <w:rFonts w:ascii="David" w:hAnsi="David" w:cs="David" w:hint="cs"/>
          <w:color w:val="000000" w:themeColor="text1"/>
          <w:sz w:val="24"/>
          <w:szCs w:val="24"/>
          <w:rtl/>
          <w:lang w:bidi="he-IL"/>
        </w:rPr>
        <w:t xml:space="preserve"> </w:t>
      </w:r>
      <w:r w:rsidRPr="00AD451B">
        <w:rPr>
          <w:rFonts w:ascii="David" w:hAnsi="David" w:cs="David"/>
          <w:color w:val="000000" w:themeColor="text1"/>
          <w:sz w:val="24"/>
          <w:szCs w:val="24"/>
          <w:rtl/>
          <w:lang w:bidi="he-IL"/>
        </w:rPr>
        <w:t>כך</w:t>
      </w:r>
      <w:r w:rsidRPr="00AD451B">
        <w:rPr>
          <w:rFonts w:ascii="David" w:hAnsi="David" w:cs="David"/>
          <w:color w:val="000000" w:themeColor="text1"/>
          <w:sz w:val="24"/>
          <w:szCs w:val="24"/>
          <w:rtl/>
        </w:rPr>
        <w:t xml:space="preserve"> </w:t>
      </w:r>
      <w:r w:rsidRPr="00AD451B">
        <w:rPr>
          <w:rFonts w:ascii="David" w:hAnsi="David" w:cs="David"/>
          <w:color w:val="000000" w:themeColor="text1"/>
          <w:sz w:val="24"/>
          <w:szCs w:val="24"/>
          <w:rtl/>
          <w:lang w:bidi="he-IL"/>
        </w:rPr>
        <w:t>למשל</w:t>
      </w:r>
      <w:r w:rsidRPr="00AD451B">
        <w:rPr>
          <w:rFonts w:ascii="David" w:hAnsi="David" w:cs="David"/>
          <w:color w:val="000000" w:themeColor="text1"/>
          <w:sz w:val="24"/>
          <w:szCs w:val="24"/>
          <w:rtl/>
        </w:rPr>
        <w:t xml:space="preserve">, </w:t>
      </w:r>
      <w:r w:rsidRPr="00AD451B">
        <w:rPr>
          <w:rFonts w:ascii="David" w:hAnsi="David" w:cs="David"/>
          <w:color w:val="000000" w:themeColor="text1"/>
          <w:sz w:val="24"/>
          <w:szCs w:val="24"/>
          <w:rtl/>
          <w:lang w:bidi="he-IL"/>
        </w:rPr>
        <w:t>הציע</w:t>
      </w:r>
      <w:r w:rsidRPr="00AD451B">
        <w:rPr>
          <w:rFonts w:ascii="David" w:hAnsi="David" w:cs="David"/>
          <w:color w:val="000000" w:themeColor="text1"/>
          <w:sz w:val="24"/>
          <w:szCs w:val="24"/>
          <w:rtl/>
        </w:rPr>
        <w:t xml:space="preserve"> </w:t>
      </w:r>
      <w:r w:rsidRPr="00AD451B">
        <w:rPr>
          <w:rFonts w:ascii="David" w:hAnsi="David" w:cs="David" w:hint="eastAsia"/>
          <w:color w:val="000000" w:themeColor="text1"/>
          <w:sz w:val="24"/>
          <w:szCs w:val="24"/>
          <w:rtl/>
          <w:lang w:bidi="he-IL"/>
        </w:rPr>
        <w:t>פרופ</w:t>
      </w:r>
      <w:r w:rsidRPr="00AD451B">
        <w:rPr>
          <w:rFonts w:ascii="David" w:hAnsi="David" w:cs="David"/>
          <w:color w:val="000000" w:themeColor="text1"/>
          <w:sz w:val="24"/>
          <w:szCs w:val="24"/>
          <w:rtl/>
          <w:lang w:bidi="he-IL"/>
        </w:rPr>
        <w:t>' פול</w:t>
      </w:r>
      <w:r w:rsidRPr="00AD451B">
        <w:rPr>
          <w:rFonts w:ascii="David" w:hAnsi="David" w:cs="David"/>
          <w:color w:val="000000" w:themeColor="text1"/>
          <w:sz w:val="24"/>
          <w:szCs w:val="24"/>
          <w:rtl/>
        </w:rPr>
        <w:t xml:space="preserve"> </w:t>
      </w:r>
      <w:r w:rsidRPr="00AD451B">
        <w:rPr>
          <w:rFonts w:ascii="David" w:hAnsi="David" w:cs="David"/>
          <w:color w:val="000000" w:themeColor="text1"/>
          <w:sz w:val="24"/>
          <w:szCs w:val="24"/>
          <w:rtl/>
          <w:lang w:bidi="he-IL"/>
        </w:rPr>
        <w:t xml:space="preserve">קאהן, </w:t>
      </w:r>
      <w:r w:rsidRPr="00AD451B">
        <w:rPr>
          <w:rFonts w:ascii="David" w:hAnsi="David" w:cs="David" w:hint="eastAsia"/>
          <w:color w:val="000000" w:themeColor="text1"/>
          <w:sz w:val="24"/>
          <w:szCs w:val="24"/>
          <w:rtl/>
          <w:lang w:bidi="he-IL"/>
        </w:rPr>
        <w:t>משפטן</w:t>
      </w:r>
      <w:r w:rsidRPr="00AD451B">
        <w:rPr>
          <w:rFonts w:ascii="David" w:hAnsi="David" w:cs="David"/>
          <w:color w:val="000000" w:themeColor="text1"/>
          <w:sz w:val="24"/>
          <w:szCs w:val="24"/>
          <w:rtl/>
          <w:lang w:bidi="he-IL"/>
        </w:rPr>
        <w:t xml:space="preserve"> </w:t>
      </w:r>
      <w:r w:rsidRPr="00AD451B">
        <w:rPr>
          <w:rFonts w:ascii="David" w:hAnsi="David" w:cs="David" w:hint="eastAsia"/>
          <w:color w:val="000000" w:themeColor="text1"/>
          <w:sz w:val="24"/>
          <w:szCs w:val="24"/>
          <w:rtl/>
          <w:lang w:bidi="he-IL"/>
        </w:rPr>
        <w:t>אמריקאי</w:t>
      </w:r>
      <w:r w:rsidRPr="00AD451B">
        <w:rPr>
          <w:rFonts w:ascii="David" w:hAnsi="David" w:cs="David"/>
          <w:color w:val="000000" w:themeColor="text1"/>
          <w:sz w:val="24"/>
          <w:szCs w:val="24"/>
          <w:rtl/>
          <w:lang w:bidi="he-IL"/>
        </w:rPr>
        <w:t>,</w:t>
      </w:r>
      <w:r w:rsidRPr="00AD451B">
        <w:rPr>
          <w:rFonts w:ascii="David" w:hAnsi="David" w:cs="David"/>
          <w:color w:val="000000" w:themeColor="text1"/>
          <w:sz w:val="24"/>
          <w:szCs w:val="24"/>
          <w:rtl/>
        </w:rPr>
        <w:t xml:space="preserve"> </w:t>
      </w:r>
      <w:r w:rsidRPr="00AD451B">
        <w:rPr>
          <w:rFonts w:ascii="David" w:hAnsi="David" w:cs="David"/>
          <w:color w:val="000000" w:themeColor="text1"/>
          <w:sz w:val="24"/>
          <w:szCs w:val="24"/>
          <w:rtl/>
          <w:lang w:bidi="he-IL"/>
        </w:rPr>
        <w:t>לחשוב</w:t>
      </w:r>
      <w:r w:rsidRPr="00AD451B">
        <w:rPr>
          <w:rFonts w:ascii="David" w:hAnsi="David" w:cs="David"/>
          <w:color w:val="000000" w:themeColor="text1"/>
          <w:sz w:val="24"/>
          <w:szCs w:val="24"/>
          <w:rtl/>
        </w:rPr>
        <w:t xml:space="preserve"> </w:t>
      </w:r>
      <w:r w:rsidRPr="00AD451B">
        <w:rPr>
          <w:rFonts w:ascii="David" w:hAnsi="David" w:cs="David"/>
          <w:color w:val="000000" w:themeColor="text1"/>
          <w:sz w:val="24"/>
          <w:szCs w:val="24"/>
          <w:rtl/>
          <w:lang w:bidi="he-IL"/>
        </w:rPr>
        <w:t>על</w:t>
      </w:r>
      <w:r w:rsidRPr="00AD451B">
        <w:rPr>
          <w:rFonts w:ascii="David" w:hAnsi="David" w:cs="David"/>
          <w:color w:val="000000" w:themeColor="text1"/>
          <w:sz w:val="24"/>
          <w:szCs w:val="24"/>
          <w:rtl/>
        </w:rPr>
        <w:t xml:space="preserve"> </w:t>
      </w:r>
      <w:r w:rsidRPr="00AD451B">
        <w:rPr>
          <w:rFonts w:ascii="David" w:hAnsi="David" w:cs="David"/>
          <w:color w:val="000000" w:themeColor="text1"/>
          <w:sz w:val="24"/>
          <w:szCs w:val="24"/>
          <w:rtl/>
          <w:lang w:bidi="he-IL"/>
        </w:rPr>
        <w:t>המושג</w:t>
      </w:r>
      <w:r w:rsidRPr="00AD451B">
        <w:rPr>
          <w:rFonts w:ascii="David" w:hAnsi="David" w:cs="David"/>
          <w:color w:val="000000" w:themeColor="text1"/>
          <w:sz w:val="24"/>
          <w:szCs w:val="24"/>
          <w:rtl/>
        </w:rPr>
        <w:t xml:space="preserve"> "</w:t>
      </w:r>
      <w:r w:rsidRPr="00AD451B">
        <w:rPr>
          <w:rFonts w:ascii="David" w:hAnsi="David" w:cs="David"/>
          <w:color w:val="000000" w:themeColor="text1"/>
          <w:sz w:val="24"/>
          <w:szCs w:val="24"/>
          <w:rtl/>
          <w:lang w:bidi="he-IL"/>
        </w:rPr>
        <w:t>שלטון</w:t>
      </w:r>
      <w:r w:rsidRPr="00AD451B">
        <w:rPr>
          <w:rFonts w:ascii="David" w:hAnsi="David" w:cs="David"/>
          <w:color w:val="000000" w:themeColor="text1"/>
          <w:sz w:val="24"/>
          <w:szCs w:val="24"/>
          <w:rtl/>
        </w:rPr>
        <w:t xml:space="preserve"> </w:t>
      </w:r>
      <w:r w:rsidRPr="00AD451B">
        <w:rPr>
          <w:rFonts w:ascii="David" w:hAnsi="David" w:cs="David"/>
          <w:color w:val="000000" w:themeColor="text1"/>
          <w:sz w:val="24"/>
          <w:szCs w:val="24"/>
          <w:rtl/>
          <w:lang w:bidi="he-IL"/>
        </w:rPr>
        <w:t>החוק</w:t>
      </w:r>
      <w:r w:rsidRPr="00AD451B">
        <w:rPr>
          <w:rFonts w:ascii="David" w:hAnsi="David" w:cs="David"/>
          <w:color w:val="000000" w:themeColor="text1"/>
          <w:sz w:val="24"/>
          <w:szCs w:val="24"/>
          <w:rtl/>
        </w:rPr>
        <w:t xml:space="preserve">" </w:t>
      </w:r>
      <w:r w:rsidRPr="00AD451B">
        <w:rPr>
          <w:rFonts w:ascii="David" w:hAnsi="David" w:cs="David"/>
          <w:color w:val="000000" w:themeColor="text1"/>
          <w:sz w:val="24"/>
          <w:szCs w:val="24"/>
          <w:rtl/>
          <w:lang w:bidi="he-IL"/>
        </w:rPr>
        <w:t>ועל</w:t>
      </w:r>
      <w:r w:rsidRPr="00AD451B">
        <w:rPr>
          <w:rFonts w:ascii="David" w:hAnsi="David" w:cs="David"/>
          <w:color w:val="000000" w:themeColor="text1"/>
          <w:sz w:val="24"/>
          <w:szCs w:val="24"/>
          <w:rtl/>
        </w:rPr>
        <w:t xml:space="preserve"> </w:t>
      </w:r>
      <w:r w:rsidRPr="00AD451B">
        <w:rPr>
          <w:rFonts w:ascii="David" w:hAnsi="David" w:cs="David"/>
          <w:color w:val="000000" w:themeColor="text1"/>
          <w:sz w:val="24"/>
          <w:szCs w:val="24"/>
          <w:rtl/>
          <w:lang w:bidi="he-IL"/>
        </w:rPr>
        <w:t>המשפט</w:t>
      </w:r>
      <w:r w:rsidRPr="00AD451B">
        <w:rPr>
          <w:rFonts w:ascii="David" w:hAnsi="David" w:cs="David"/>
          <w:color w:val="000000" w:themeColor="text1"/>
          <w:sz w:val="24"/>
          <w:szCs w:val="24"/>
          <w:rtl/>
        </w:rPr>
        <w:t xml:space="preserve"> </w:t>
      </w:r>
      <w:r w:rsidRPr="00AD451B">
        <w:rPr>
          <w:rFonts w:ascii="David" w:hAnsi="David" w:cs="David"/>
          <w:color w:val="000000" w:themeColor="text1"/>
          <w:sz w:val="24"/>
          <w:szCs w:val="24"/>
          <w:rtl/>
          <w:lang w:bidi="he-IL"/>
        </w:rPr>
        <w:t>כתופעה</w:t>
      </w:r>
      <w:r w:rsidRPr="00AD451B">
        <w:rPr>
          <w:rFonts w:ascii="David" w:hAnsi="David" w:cs="David"/>
          <w:color w:val="000000" w:themeColor="text1"/>
          <w:sz w:val="24"/>
          <w:szCs w:val="24"/>
          <w:rtl/>
        </w:rPr>
        <w:t xml:space="preserve"> </w:t>
      </w:r>
      <w:r w:rsidRPr="00AD451B">
        <w:rPr>
          <w:rFonts w:ascii="David" w:hAnsi="David" w:cs="David"/>
          <w:color w:val="000000" w:themeColor="text1"/>
          <w:sz w:val="24"/>
          <w:szCs w:val="24"/>
          <w:rtl/>
          <w:lang w:bidi="he-IL"/>
        </w:rPr>
        <w:t>תרבותית</w:t>
      </w:r>
      <w:r w:rsidRPr="00AD451B">
        <w:rPr>
          <w:rFonts w:ascii="David" w:hAnsi="David" w:cs="David"/>
          <w:color w:val="000000" w:themeColor="text1"/>
          <w:sz w:val="24"/>
          <w:szCs w:val="24"/>
          <w:rtl/>
        </w:rPr>
        <w:t xml:space="preserve"> </w:t>
      </w:r>
      <w:r w:rsidRPr="00AD451B">
        <w:rPr>
          <w:rFonts w:ascii="David" w:hAnsi="David" w:cs="David"/>
          <w:color w:val="000000" w:themeColor="text1"/>
          <w:sz w:val="24"/>
          <w:szCs w:val="24"/>
          <w:rtl/>
          <w:lang w:bidi="he-IL"/>
        </w:rPr>
        <w:t>שצריכה</w:t>
      </w:r>
      <w:r w:rsidRPr="00AD451B">
        <w:rPr>
          <w:rFonts w:ascii="David" w:hAnsi="David" w:cs="David"/>
          <w:color w:val="000000" w:themeColor="text1"/>
          <w:sz w:val="24"/>
          <w:szCs w:val="24"/>
          <w:rtl/>
        </w:rPr>
        <w:t xml:space="preserve"> </w:t>
      </w:r>
      <w:r w:rsidRPr="00AD451B">
        <w:rPr>
          <w:rFonts w:ascii="David" w:hAnsi="David" w:cs="David"/>
          <w:color w:val="000000" w:themeColor="text1"/>
          <w:sz w:val="24"/>
          <w:szCs w:val="24"/>
          <w:rtl/>
          <w:lang w:bidi="he-IL"/>
        </w:rPr>
        <w:t>להיחקר</w:t>
      </w:r>
      <w:r w:rsidRPr="00AD451B">
        <w:rPr>
          <w:rFonts w:ascii="David" w:hAnsi="David" w:cs="David"/>
          <w:color w:val="000000" w:themeColor="text1"/>
          <w:sz w:val="24"/>
          <w:szCs w:val="24"/>
          <w:rtl/>
        </w:rPr>
        <w:t xml:space="preserve"> "</w:t>
      </w:r>
      <w:r w:rsidRPr="00AD451B">
        <w:rPr>
          <w:rFonts w:ascii="David" w:hAnsi="David" w:cs="David"/>
          <w:color w:val="000000" w:themeColor="text1"/>
          <w:sz w:val="24"/>
          <w:szCs w:val="24"/>
          <w:rtl/>
          <w:lang w:bidi="he-IL"/>
        </w:rPr>
        <w:t>מבחוץ</w:t>
      </w:r>
      <w:r w:rsidRPr="00AD451B">
        <w:rPr>
          <w:rFonts w:ascii="David" w:hAnsi="David" w:cs="David"/>
          <w:color w:val="000000" w:themeColor="text1"/>
          <w:sz w:val="24"/>
          <w:szCs w:val="24"/>
          <w:rtl/>
        </w:rPr>
        <w:t xml:space="preserve">", </w:t>
      </w:r>
      <w:r w:rsidRPr="00AD451B">
        <w:rPr>
          <w:rFonts w:ascii="David" w:hAnsi="David" w:cs="David"/>
          <w:color w:val="000000" w:themeColor="text1"/>
          <w:sz w:val="24"/>
          <w:szCs w:val="24"/>
          <w:rtl/>
          <w:lang w:bidi="he-IL"/>
        </w:rPr>
        <w:t>קרי</w:t>
      </w:r>
      <w:r w:rsidRPr="00AD451B">
        <w:rPr>
          <w:rFonts w:ascii="David" w:hAnsi="David" w:cs="David"/>
          <w:color w:val="000000" w:themeColor="text1"/>
          <w:sz w:val="24"/>
          <w:szCs w:val="24"/>
          <w:rtl/>
        </w:rPr>
        <w:t xml:space="preserve">, </w:t>
      </w:r>
      <w:r w:rsidRPr="00AD451B">
        <w:rPr>
          <w:rFonts w:ascii="David" w:hAnsi="David" w:cs="David"/>
          <w:color w:val="000000" w:themeColor="text1"/>
          <w:sz w:val="24"/>
          <w:szCs w:val="24"/>
          <w:rtl/>
          <w:lang w:bidi="he-IL"/>
        </w:rPr>
        <w:t>באופן</w:t>
      </w:r>
      <w:r w:rsidRPr="00AD451B">
        <w:rPr>
          <w:rFonts w:ascii="David" w:hAnsi="David" w:cs="David"/>
          <w:color w:val="000000" w:themeColor="text1"/>
          <w:sz w:val="24"/>
          <w:szCs w:val="24"/>
          <w:rtl/>
        </w:rPr>
        <w:t xml:space="preserve"> </w:t>
      </w:r>
      <w:r w:rsidRPr="00AD451B">
        <w:rPr>
          <w:rFonts w:ascii="David" w:hAnsi="David" w:cs="David"/>
          <w:color w:val="000000" w:themeColor="text1"/>
          <w:sz w:val="24"/>
          <w:szCs w:val="24"/>
          <w:rtl/>
          <w:lang w:bidi="he-IL"/>
        </w:rPr>
        <w:t>טרנסצנדנטאלי</w:t>
      </w:r>
      <w:r w:rsidRPr="00AD451B">
        <w:rPr>
          <w:rFonts w:ascii="David" w:hAnsi="David" w:cs="David"/>
          <w:color w:val="000000" w:themeColor="text1"/>
          <w:sz w:val="24"/>
          <w:szCs w:val="24"/>
          <w:rtl/>
        </w:rPr>
        <w:t xml:space="preserve"> </w:t>
      </w:r>
      <w:r w:rsidRPr="00AD451B">
        <w:rPr>
          <w:rFonts w:ascii="David" w:hAnsi="David" w:cs="David"/>
          <w:color w:val="000000" w:themeColor="text1"/>
          <w:sz w:val="24"/>
          <w:szCs w:val="24"/>
          <w:rtl/>
          <w:lang w:bidi="he-IL"/>
        </w:rPr>
        <w:t>לשדה</w:t>
      </w:r>
      <w:r w:rsidRPr="00AD451B">
        <w:rPr>
          <w:rFonts w:ascii="David" w:hAnsi="David" w:cs="David"/>
          <w:color w:val="000000" w:themeColor="text1"/>
          <w:sz w:val="24"/>
          <w:szCs w:val="24"/>
          <w:rtl/>
        </w:rPr>
        <w:t xml:space="preserve"> </w:t>
      </w:r>
      <w:r w:rsidRPr="00AD451B">
        <w:rPr>
          <w:rFonts w:ascii="David" w:hAnsi="David" w:cs="David"/>
          <w:color w:val="000000" w:themeColor="text1"/>
          <w:sz w:val="24"/>
          <w:szCs w:val="24"/>
          <w:rtl/>
          <w:lang w:bidi="he-IL"/>
        </w:rPr>
        <w:t>המשפטי</w:t>
      </w:r>
      <w:r w:rsidRPr="00AD451B">
        <w:rPr>
          <w:rFonts w:ascii="David" w:hAnsi="David" w:cs="David"/>
          <w:color w:val="000000" w:themeColor="text1"/>
          <w:sz w:val="24"/>
          <w:szCs w:val="24"/>
          <w:rtl/>
        </w:rPr>
        <w:t xml:space="preserve">. </w:t>
      </w:r>
      <w:r w:rsidRPr="00AD451B">
        <w:rPr>
          <w:rFonts w:ascii="David" w:hAnsi="David" w:cs="David"/>
          <w:color w:val="000000" w:themeColor="text1"/>
          <w:sz w:val="24"/>
          <w:szCs w:val="24"/>
          <w:rtl/>
          <w:lang w:bidi="he-IL"/>
        </w:rPr>
        <w:t>נקודת</w:t>
      </w:r>
      <w:r w:rsidRPr="00AD451B">
        <w:rPr>
          <w:rFonts w:ascii="David" w:hAnsi="David" w:cs="David"/>
          <w:color w:val="000000" w:themeColor="text1"/>
          <w:sz w:val="24"/>
          <w:szCs w:val="24"/>
          <w:rtl/>
        </w:rPr>
        <w:t xml:space="preserve"> </w:t>
      </w:r>
      <w:r w:rsidRPr="00AD451B">
        <w:rPr>
          <w:rFonts w:ascii="David" w:hAnsi="David" w:cs="David"/>
          <w:color w:val="000000" w:themeColor="text1"/>
          <w:sz w:val="24"/>
          <w:szCs w:val="24"/>
          <w:rtl/>
          <w:lang w:bidi="he-IL"/>
        </w:rPr>
        <w:t>מבט</w:t>
      </w:r>
      <w:r w:rsidRPr="00AD451B">
        <w:rPr>
          <w:rFonts w:ascii="David" w:hAnsi="David" w:cs="David"/>
          <w:color w:val="000000" w:themeColor="text1"/>
          <w:sz w:val="24"/>
          <w:szCs w:val="24"/>
          <w:rtl/>
        </w:rPr>
        <w:t xml:space="preserve"> </w:t>
      </w:r>
      <w:r w:rsidRPr="00AD451B">
        <w:rPr>
          <w:rFonts w:ascii="David" w:hAnsi="David" w:cs="David"/>
          <w:color w:val="000000" w:themeColor="text1"/>
          <w:sz w:val="24"/>
          <w:szCs w:val="24"/>
          <w:rtl/>
          <w:lang w:bidi="he-IL"/>
        </w:rPr>
        <w:t>כזו</w:t>
      </w:r>
      <w:r w:rsidRPr="00AD451B">
        <w:rPr>
          <w:rFonts w:ascii="David" w:hAnsi="David" w:cs="David" w:hint="cs"/>
          <w:color w:val="000000" w:themeColor="text1"/>
          <w:sz w:val="24"/>
          <w:szCs w:val="24"/>
          <w:rtl/>
          <w:lang w:bidi="he-IL"/>
        </w:rPr>
        <w:t>, לפי קהאן,</w:t>
      </w:r>
      <w:r w:rsidRPr="00AD451B">
        <w:rPr>
          <w:rFonts w:ascii="David" w:hAnsi="David" w:cs="David"/>
          <w:color w:val="000000" w:themeColor="text1"/>
          <w:sz w:val="24"/>
          <w:szCs w:val="24"/>
          <w:rtl/>
        </w:rPr>
        <w:t xml:space="preserve"> </w:t>
      </w:r>
      <w:r w:rsidRPr="00AD451B">
        <w:rPr>
          <w:rFonts w:ascii="David" w:hAnsi="David" w:cs="David"/>
          <w:color w:val="000000" w:themeColor="text1"/>
          <w:sz w:val="24"/>
          <w:szCs w:val="24"/>
          <w:rtl/>
          <w:lang w:bidi="he-IL"/>
        </w:rPr>
        <w:t>מסייעת</w:t>
      </w:r>
      <w:r w:rsidRPr="00AD451B">
        <w:rPr>
          <w:rFonts w:ascii="David" w:hAnsi="David" w:cs="David"/>
          <w:color w:val="000000" w:themeColor="text1"/>
          <w:sz w:val="24"/>
          <w:szCs w:val="24"/>
          <w:rtl/>
        </w:rPr>
        <w:t xml:space="preserve"> </w:t>
      </w:r>
      <w:r w:rsidRPr="00AD451B">
        <w:rPr>
          <w:rFonts w:ascii="David" w:hAnsi="David" w:cs="David"/>
          <w:color w:val="000000" w:themeColor="text1"/>
          <w:sz w:val="24"/>
          <w:szCs w:val="24"/>
          <w:rtl/>
          <w:lang w:bidi="he-IL"/>
        </w:rPr>
        <w:t>למשפטן</w:t>
      </w:r>
      <w:r w:rsidRPr="00AD451B">
        <w:rPr>
          <w:rFonts w:ascii="David" w:hAnsi="David" w:cs="David"/>
          <w:color w:val="000000" w:themeColor="text1"/>
          <w:sz w:val="24"/>
          <w:szCs w:val="24"/>
          <w:rtl/>
        </w:rPr>
        <w:t xml:space="preserve"> </w:t>
      </w:r>
      <w:r w:rsidRPr="00AD451B">
        <w:rPr>
          <w:rFonts w:ascii="David" w:hAnsi="David" w:cs="David"/>
          <w:color w:val="000000" w:themeColor="text1"/>
          <w:sz w:val="24"/>
          <w:szCs w:val="24"/>
          <w:rtl/>
          <w:lang w:bidi="he-IL"/>
        </w:rPr>
        <w:t>לנהוג</w:t>
      </w:r>
      <w:r w:rsidRPr="00AD451B">
        <w:rPr>
          <w:rFonts w:ascii="David" w:hAnsi="David" w:cs="David"/>
          <w:color w:val="000000" w:themeColor="text1"/>
          <w:sz w:val="24"/>
          <w:szCs w:val="24"/>
          <w:rtl/>
        </w:rPr>
        <w:t xml:space="preserve"> </w:t>
      </w:r>
      <w:r w:rsidRPr="00AD451B">
        <w:rPr>
          <w:rFonts w:ascii="David" w:hAnsi="David" w:cs="David"/>
          <w:color w:val="000000" w:themeColor="text1"/>
          <w:sz w:val="24"/>
          <w:szCs w:val="24"/>
          <w:rtl/>
          <w:lang w:bidi="he-IL"/>
        </w:rPr>
        <w:t>כאנתרופולוג</w:t>
      </w:r>
      <w:r w:rsidRPr="00AD451B">
        <w:rPr>
          <w:rFonts w:ascii="David" w:hAnsi="David" w:cs="David"/>
          <w:color w:val="000000" w:themeColor="text1"/>
          <w:sz w:val="24"/>
          <w:szCs w:val="24"/>
          <w:rtl/>
        </w:rPr>
        <w:t xml:space="preserve"> </w:t>
      </w:r>
      <w:r w:rsidRPr="00AD451B">
        <w:rPr>
          <w:rFonts w:ascii="David" w:hAnsi="David" w:cs="David"/>
          <w:color w:val="000000" w:themeColor="text1"/>
          <w:sz w:val="24"/>
          <w:szCs w:val="24"/>
          <w:rtl/>
          <w:lang w:bidi="he-IL"/>
        </w:rPr>
        <w:t>שאינו</w:t>
      </w:r>
      <w:r w:rsidRPr="00AD451B">
        <w:rPr>
          <w:rFonts w:ascii="David" w:hAnsi="David" w:cs="David"/>
          <w:color w:val="000000" w:themeColor="text1"/>
          <w:sz w:val="24"/>
          <w:szCs w:val="24"/>
          <w:rtl/>
        </w:rPr>
        <w:t xml:space="preserve"> </w:t>
      </w:r>
      <w:r w:rsidRPr="00AD451B">
        <w:rPr>
          <w:rFonts w:ascii="David" w:hAnsi="David" w:cs="David"/>
          <w:color w:val="000000" w:themeColor="text1"/>
          <w:sz w:val="24"/>
          <w:szCs w:val="24"/>
          <w:rtl/>
          <w:lang w:bidi="he-IL"/>
        </w:rPr>
        <w:t>מניח</w:t>
      </w:r>
      <w:r w:rsidRPr="00AD451B">
        <w:rPr>
          <w:rFonts w:ascii="David" w:hAnsi="David" w:cs="David"/>
          <w:color w:val="000000" w:themeColor="text1"/>
          <w:sz w:val="24"/>
          <w:szCs w:val="24"/>
          <w:rtl/>
        </w:rPr>
        <w:t xml:space="preserve"> </w:t>
      </w:r>
      <w:r w:rsidRPr="00AD451B">
        <w:rPr>
          <w:rFonts w:ascii="David" w:hAnsi="David" w:cs="David"/>
          <w:color w:val="000000" w:themeColor="text1"/>
          <w:sz w:val="24"/>
          <w:szCs w:val="24"/>
          <w:rtl/>
          <w:lang w:bidi="he-IL"/>
        </w:rPr>
        <w:t>ששלטון</w:t>
      </w:r>
      <w:r w:rsidRPr="00AD451B">
        <w:rPr>
          <w:rFonts w:ascii="David" w:hAnsi="David" w:cs="David"/>
          <w:color w:val="000000" w:themeColor="text1"/>
          <w:sz w:val="24"/>
          <w:szCs w:val="24"/>
          <w:rtl/>
        </w:rPr>
        <w:t xml:space="preserve"> </w:t>
      </w:r>
      <w:r w:rsidRPr="00AD451B">
        <w:rPr>
          <w:rFonts w:ascii="David" w:hAnsi="David" w:cs="David"/>
          <w:color w:val="000000" w:themeColor="text1"/>
          <w:sz w:val="24"/>
          <w:szCs w:val="24"/>
          <w:rtl/>
          <w:lang w:bidi="he-IL"/>
        </w:rPr>
        <w:t>החוק</w:t>
      </w:r>
      <w:r w:rsidRPr="00AD451B">
        <w:rPr>
          <w:rFonts w:ascii="David" w:hAnsi="David" w:cs="David"/>
          <w:color w:val="000000" w:themeColor="text1"/>
          <w:sz w:val="24"/>
          <w:szCs w:val="24"/>
          <w:rtl/>
        </w:rPr>
        <w:t xml:space="preserve"> </w:t>
      </w:r>
      <w:r w:rsidRPr="00AD451B">
        <w:rPr>
          <w:rFonts w:ascii="David" w:hAnsi="David" w:cs="David"/>
          <w:color w:val="000000" w:themeColor="text1"/>
          <w:sz w:val="24"/>
          <w:szCs w:val="24"/>
          <w:rtl/>
          <w:lang w:bidi="he-IL"/>
        </w:rPr>
        <w:t>הוא</w:t>
      </w:r>
      <w:r w:rsidRPr="00AD451B">
        <w:rPr>
          <w:rFonts w:ascii="David" w:hAnsi="David" w:cs="David"/>
          <w:color w:val="000000" w:themeColor="text1"/>
          <w:sz w:val="24"/>
          <w:szCs w:val="24"/>
          <w:rtl/>
        </w:rPr>
        <w:t xml:space="preserve"> "</w:t>
      </w:r>
      <w:r w:rsidRPr="00AD451B">
        <w:rPr>
          <w:rFonts w:ascii="David" w:hAnsi="David" w:cs="David"/>
          <w:color w:val="000000" w:themeColor="text1"/>
          <w:sz w:val="24"/>
          <w:szCs w:val="24"/>
          <w:rtl/>
          <w:lang w:bidi="he-IL"/>
        </w:rPr>
        <w:t>חוק</w:t>
      </w:r>
      <w:r w:rsidRPr="00AD451B">
        <w:rPr>
          <w:rFonts w:ascii="David" w:hAnsi="David" w:cs="David"/>
          <w:color w:val="000000" w:themeColor="text1"/>
          <w:sz w:val="24"/>
          <w:szCs w:val="24"/>
          <w:rtl/>
        </w:rPr>
        <w:t xml:space="preserve"> </w:t>
      </w:r>
      <w:r w:rsidRPr="00AD451B">
        <w:rPr>
          <w:rFonts w:ascii="David" w:hAnsi="David" w:cs="David"/>
          <w:color w:val="000000" w:themeColor="text1"/>
          <w:sz w:val="24"/>
          <w:szCs w:val="24"/>
          <w:rtl/>
          <w:lang w:bidi="he-IL"/>
        </w:rPr>
        <w:t>טבעי</w:t>
      </w:r>
      <w:r w:rsidRPr="00AD451B">
        <w:rPr>
          <w:rFonts w:ascii="David" w:hAnsi="David" w:cs="David"/>
          <w:color w:val="000000" w:themeColor="text1"/>
          <w:sz w:val="24"/>
          <w:szCs w:val="24"/>
          <w:rtl/>
        </w:rPr>
        <w:t xml:space="preserve">", </w:t>
      </w:r>
      <w:r w:rsidRPr="00AD451B">
        <w:rPr>
          <w:rFonts w:ascii="David" w:hAnsi="David" w:cs="David"/>
          <w:color w:val="000000" w:themeColor="text1"/>
          <w:sz w:val="24"/>
          <w:szCs w:val="24"/>
          <w:rtl/>
          <w:lang w:bidi="he-IL"/>
        </w:rPr>
        <w:t>אלא</w:t>
      </w:r>
      <w:r w:rsidRPr="00AD451B">
        <w:rPr>
          <w:rFonts w:ascii="David" w:hAnsi="David" w:cs="David"/>
          <w:color w:val="000000" w:themeColor="text1"/>
          <w:sz w:val="24"/>
          <w:szCs w:val="24"/>
          <w:rtl/>
        </w:rPr>
        <w:t xml:space="preserve"> </w:t>
      </w:r>
      <w:r w:rsidRPr="00AD451B">
        <w:rPr>
          <w:rFonts w:ascii="David" w:hAnsi="David" w:cs="David"/>
          <w:color w:val="000000" w:themeColor="text1"/>
          <w:sz w:val="24"/>
          <w:szCs w:val="24"/>
          <w:rtl/>
          <w:lang w:bidi="he-IL"/>
        </w:rPr>
        <w:t>תופעה</w:t>
      </w:r>
      <w:r w:rsidRPr="00AD451B">
        <w:rPr>
          <w:rFonts w:ascii="David" w:hAnsi="David" w:cs="David"/>
          <w:color w:val="000000" w:themeColor="text1"/>
          <w:sz w:val="24"/>
          <w:szCs w:val="24"/>
          <w:rtl/>
        </w:rPr>
        <w:t xml:space="preserve"> </w:t>
      </w:r>
      <w:r w:rsidRPr="00AD451B">
        <w:rPr>
          <w:rFonts w:ascii="David" w:hAnsi="David" w:cs="David"/>
          <w:color w:val="000000" w:themeColor="text1"/>
          <w:sz w:val="24"/>
          <w:szCs w:val="24"/>
          <w:rtl/>
          <w:lang w:bidi="he-IL"/>
        </w:rPr>
        <w:t>תרבותית</w:t>
      </w:r>
      <w:r w:rsidRPr="00AD451B">
        <w:rPr>
          <w:rFonts w:ascii="David" w:hAnsi="David" w:cs="David"/>
          <w:color w:val="000000" w:themeColor="text1"/>
          <w:sz w:val="24"/>
          <w:szCs w:val="24"/>
          <w:rtl/>
        </w:rPr>
        <w:t xml:space="preserve"> </w:t>
      </w:r>
      <w:r w:rsidRPr="00AD451B">
        <w:rPr>
          <w:rFonts w:ascii="David" w:hAnsi="David" w:cs="David" w:hint="eastAsia"/>
          <w:color w:val="000000" w:themeColor="text1"/>
          <w:sz w:val="24"/>
          <w:szCs w:val="24"/>
          <w:rtl/>
          <w:lang w:bidi="he-IL"/>
        </w:rPr>
        <w:t>המארגנת</w:t>
      </w:r>
      <w:r w:rsidRPr="00AD451B">
        <w:rPr>
          <w:rFonts w:ascii="David" w:hAnsi="David" w:cs="David"/>
          <w:color w:val="000000" w:themeColor="text1"/>
          <w:sz w:val="24"/>
          <w:szCs w:val="24"/>
          <w:rtl/>
          <w:lang w:bidi="he-IL"/>
        </w:rPr>
        <w:t xml:space="preserve"> את</w:t>
      </w:r>
      <w:r w:rsidRPr="00AD451B">
        <w:rPr>
          <w:rFonts w:ascii="David" w:hAnsi="David" w:cs="David"/>
          <w:color w:val="000000" w:themeColor="text1"/>
          <w:sz w:val="24"/>
          <w:szCs w:val="24"/>
          <w:rtl/>
        </w:rPr>
        <w:t xml:space="preserve"> </w:t>
      </w:r>
      <w:r w:rsidRPr="00AD451B">
        <w:rPr>
          <w:rFonts w:ascii="David" w:hAnsi="David" w:cs="David"/>
          <w:color w:val="000000" w:themeColor="text1"/>
          <w:sz w:val="24"/>
          <w:szCs w:val="24"/>
          <w:rtl/>
          <w:lang w:bidi="he-IL"/>
        </w:rPr>
        <w:t>החברה</w:t>
      </w:r>
      <w:r w:rsidRPr="00AD451B">
        <w:rPr>
          <w:rFonts w:ascii="David" w:hAnsi="David" w:cs="David"/>
          <w:color w:val="000000" w:themeColor="text1"/>
          <w:sz w:val="24"/>
          <w:szCs w:val="24"/>
          <w:rtl/>
        </w:rPr>
        <w:t xml:space="preserve"> </w:t>
      </w:r>
      <w:r w:rsidRPr="00AD451B">
        <w:rPr>
          <w:rFonts w:ascii="David" w:hAnsi="David" w:cs="David"/>
          <w:color w:val="000000" w:themeColor="text1"/>
          <w:sz w:val="24"/>
          <w:szCs w:val="24"/>
          <w:rtl/>
          <w:lang w:bidi="he-IL"/>
        </w:rPr>
        <w:t>בתהליכים</w:t>
      </w:r>
      <w:r w:rsidRPr="00AD451B">
        <w:rPr>
          <w:rFonts w:ascii="David" w:hAnsi="David" w:cs="David"/>
          <w:color w:val="000000" w:themeColor="text1"/>
          <w:sz w:val="24"/>
          <w:szCs w:val="24"/>
          <w:rtl/>
        </w:rPr>
        <w:t xml:space="preserve"> </w:t>
      </w:r>
      <w:r w:rsidRPr="00AD451B">
        <w:rPr>
          <w:rFonts w:ascii="David" w:hAnsi="David" w:cs="David"/>
          <w:color w:val="000000" w:themeColor="text1"/>
          <w:sz w:val="24"/>
          <w:szCs w:val="24"/>
          <w:rtl/>
          <w:lang w:bidi="he-IL"/>
        </w:rPr>
        <w:t>היסטוריים</w:t>
      </w:r>
      <w:r w:rsidRPr="00AD451B">
        <w:rPr>
          <w:rFonts w:ascii="David" w:hAnsi="David" w:cs="David"/>
          <w:color w:val="000000" w:themeColor="text1"/>
          <w:sz w:val="24"/>
          <w:szCs w:val="24"/>
          <w:rtl/>
        </w:rPr>
        <w:t xml:space="preserve"> </w:t>
      </w:r>
      <w:r w:rsidRPr="00AD451B">
        <w:rPr>
          <w:rFonts w:ascii="David" w:hAnsi="David" w:cs="David"/>
          <w:color w:val="000000" w:themeColor="text1"/>
          <w:sz w:val="24"/>
          <w:szCs w:val="24"/>
          <w:rtl/>
          <w:lang w:bidi="he-IL"/>
        </w:rPr>
        <w:t>וממשיכה</w:t>
      </w:r>
      <w:r w:rsidRPr="00AD451B">
        <w:rPr>
          <w:rFonts w:ascii="David" w:hAnsi="David" w:cs="David"/>
          <w:color w:val="000000" w:themeColor="text1"/>
          <w:sz w:val="24"/>
          <w:szCs w:val="24"/>
          <w:rtl/>
        </w:rPr>
        <w:t xml:space="preserve"> </w:t>
      </w:r>
      <w:r w:rsidRPr="00AD451B">
        <w:rPr>
          <w:rFonts w:ascii="David" w:hAnsi="David" w:cs="David"/>
          <w:color w:val="000000" w:themeColor="text1"/>
          <w:sz w:val="24"/>
          <w:szCs w:val="24"/>
          <w:rtl/>
          <w:lang w:bidi="he-IL"/>
        </w:rPr>
        <w:t>לעשות</w:t>
      </w:r>
      <w:r w:rsidRPr="00AD451B">
        <w:rPr>
          <w:rFonts w:ascii="David" w:hAnsi="David" w:cs="David"/>
          <w:color w:val="000000" w:themeColor="text1"/>
          <w:sz w:val="24"/>
          <w:szCs w:val="24"/>
          <w:rtl/>
        </w:rPr>
        <w:t xml:space="preserve"> </w:t>
      </w:r>
      <w:r w:rsidRPr="00AD451B">
        <w:rPr>
          <w:rFonts w:ascii="David" w:hAnsi="David" w:cs="David"/>
          <w:color w:val="000000" w:themeColor="text1"/>
          <w:sz w:val="24"/>
          <w:szCs w:val="24"/>
          <w:rtl/>
          <w:lang w:bidi="he-IL"/>
        </w:rPr>
        <w:t>זאת</w:t>
      </w:r>
      <w:r w:rsidRPr="00AD451B">
        <w:rPr>
          <w:rFonts w:ascii="David" w:hAnsi="David" w:cs="David"/>
          <w:color w:val="000000" w:themeColor="text1"/>
          <w:sz w:val="24"/>
          <w:szCs w:val="24"/>
          <w:rtl/>
        </w:rPr>
        <w:t xml:space="preserve"> </w:t>
      </w:r>
      <w:r w:rsidRPr="00AD451B">
        <w:rPr>
          <w:rFonts w:ascii="David" w:hAnsi="David" w:cs="David"/>
          <w:color w:val="000000" w:themeColor="text1"/>
          <w:sz w:val="24"/>
          <w:szCs w:val="24"/>
          <w:rtl/>
          <w:lang w:bidi="he-IL"/>
        </w:rPr>
        <w:t>כל</w:t>
      </w:r>
      <w:r w:rsidRPr="00AD451B">
        <w:rPr>
          <w:rFonts w:ascii="David" w:hAnsi="David" w:cs="David"/>
          <w:color w:val="000000" w:themeColor="text1"/>
          <w:sz w:val="24"/>
          <w:szCs w:val="24"/>
          <w:rtl/>
        </w:rPr>
        <w:t xml:space="preserve"> </w:t>
      </w:r>
      <w:r w:rsidRPr="00AD451B">
        <w:rPr>
          <w:rFonts w:ascii="David" w:hAnsi="David" w:cs="David"/>
          <w:color w:val="000000" w:themeColor="text1"/>
          <w:sz w:val="24"/>
          <w:szCs w:val="24"/>
          <w:rtl/>
          <w:lang w:bidi="he-IL"/>
        </w:rPr>
        <w:t>העת.</w:t>
      </w:r>
      <w:r w:rsidRPr="00AD451B">
        <w:rPr>
          <w:rStyle w:val="FootnoteReference"/>
          <w:rFonts w:ascii="David" w:hAnsi="David" w:cs="David"/>
          <w:color w:val="000000" w:themeColor="text1"/>
          <w:sz w:val="24"/>
          <w:szCs w:val="24"/>
          <w:rtl/>
        </w:rPr>
        <w:footnoteReference w:id="1"/>
      </w:r>
      <w:r w:rsidRPr="00AD451B">
        <w:rPr>
          <w:rFonts w:ascii="David" w:hAnsi="David" w:cs="David"/>
          <w:color w:val="000000" w:themeColor="text1"/>
          <w:sz w:val="24"/>
          <w:szCs w:val="24"/>
          <w:rtl/>
        </w:rPr>
        <w:t xml:space="preserve"> </w:t>
      </w:r>
    </w:p>
    <w:p w:rsidR="006E285E" w:rsidRPr="00AD451B" w:rsidRDefault="006E285E" w:rsidP="006E285E">
      <w:pPr>
        <w:bidi/>
        <w:spacing w:before="120" w:after="120" w:line="360" w:lineRule="auto"/>
        <w:ind w:firstLine="284"/>
        <w:jc w:val="both"/>
        <w:rPr>
          <w:rFonts w:ascii="David" w:hAnsi="David" w:cs="David"/>
          <w:color w:val="000000" w:themeColor="text1"/>
          <w:sz w:val="24"/>
          <w:szCs w:val="24"/>
          <w:rtl/>
          <w:lang w:val="en-GB" w:bidi="he-IL"/>
        </w:rPr>
      </w:pPr>
      <w:r>
        <w:rPr>
          <w:rFonts w:ascii="David" w:hAnsi="David" w:cs="David" w:hint="cs"/>
          <w:color w:val="000000" w:themeColor="text1"/>
          <w:sz w:val="24"/>
          <w:szCs w:val="24"/>
          <w:rtl/>
          <w:lang w:bidi="he-IL"/>
        </w:rPr>
        <w:t>משפטנים נוספים</w:t>
      </w:r>
      <w:r w:rsidRPr="00AD451B">
        <w:rPr>
          <w:rFonts w:ascii="David" w:hAnsi="David" w:cs="David"/>
          <w:color w:val="000000" w:themeColor="text1"/>
          <w:sz w:val="24"/>
          <w:szCs w:val="24"/>
          <w:rtl/>
        </w:rPr>
        <w:t xml:space="preserve"> </w:t>
      </w:r>
      <w:r w:rsidRPr="00AD451B">
        <w:rPr>
          <w:rFonts w:ascii="David" w:hAnsi="David" w:cs="David"/>
          <w:color w:val="000000" w:themeColor="text1"/>
          <w:sz w:val="24"/>
          <w:szCs w:val="24"/>
          <w:rtl/>
          <w:lang w:bidi="he-IL"/>
        </w:rPr>
        <w:t>הציע</w:t>
      </w:r>
      <w:r>
        <w:rPr>
          <w:rFonts w:ascii="David" w:hAnsi="David" w:cs="David" w:hint="cs"/>
          <w:color w:val="000000" w:themeColor="text1"/>
          <w:sz w:val="24"/>
          <w:szCs w:val="24"/>
          <w:rtl/>
          <w:lang w:bidi="he-IL"/>
        </w:rPr>
        <w:t>ו</w:t>
      </w:r>
      <w:r w:rsidRPr="00AD451B">
        <w:rPr>
          <w:rFonts w:ascii="David" w:hAnsi="David" w:cs="David"/>
          <w:color w:val="000000" w:themeColor="text1"/>
          <w:sz w:val="24"/>
          <w:szCs w:val="24"/>
          <w:rtl/>
        </w:rPr>
        <w:t xml:space="preserve"> </w:t>
      </w:r>
      <w:r w:rsidRPr="00AD451B">
        <w:rPr>
          <w:rFonts w:ascii="David" w:hAnsi="David" w:cs="David"/>
          <w:color w:val="000000" w:themeColor="text1"/>
          <w:sz w:val="24"/>
          <w:szCs w:val="24"/>
          <w:rtl/>
          <w:lang w:bidi="he-IL"/>
        </w:rPr>
        <w:t>סיווג</w:t>
      </w:r>
      <w:r w:rsidRPr="00AD451B">
        <w:rPr>
          <w:rFonts w:ascii="David" w:hAnsi="David" w:cs="David"/>
          <w:color w:val="000000" w:themeColor="text1"/>
          <w:sz w:val="24"/>
          <w:szCs w:val="24"/>
          <w:rtl/>
        </w:rPr>
        <w:t xml:space="preserve"> </w:t>
      </w:r>
      <w:r w:rsidRPr="00AD451B">
        <w:rPr>
          <w:rFonts w:ascii="David" w:hAnsi="David" w:cs="David" w:hint="eastAsia"/>
          <w:color w:val="000000" w:themeColor="text1"/>
          <w:sz w:val="24"/>
          <w:szCs w:val="24"/>
          <w:rtl/>
          <w:lang w:bidi="he-IL"/>
        </w:rPr>
        <w:t>ה</w:t>
      </w:r>
      <w:r w:rsidRPr="00AD451B">
        <w:rPr>
          <w:rFonts w:ascii="David" w:hAnsi="David" w:cs="David"/>
          <w:color w:val="000000" w:themeColor="text1"/>
          <w:sz w:val="24"/>
          <w:szCs w:val="24"/>
          <w:rtl/>
          <w:lang w:bidi="he-IL"/>
        </w:rPr>
        <w:t>ממפה</w:t>
      </w:r>
      <w:r w:rsidRPr="00AD451B">
        <w:rPr>
          <w:rFonts w:ascii="David" w:hAnsi="David" w:cs="David"/>
          <w:color w:val="000000" w:themeColor="text1"/>
          <w:sz w:val="24"/>
          <w:szCs w:val="24"/>
          <w:rtl/>
        </w:rPr>
        <w:t xml:space="preserve"> </w:t>
      </w:r>
      <w:r w:rsidRPr="00AD451B">
        <w:rPr>
          <w:rFonts w:ascii="David" w:hAnsi="David" w:cs="David"/>
          <w:color w:val="000000" w:themeColor="text1"/>
          <w:sz w:val="24"/>
          <w:szCs w:val="24"/>
          <w:rtl/>
          <w:lang w:bidi="he-IL"/>
        </w:rPr>
        <w:t>את</w:t>
      </w:r>
      <w:r w:rsidRPr="00AD451B">
        <w:rPr>
          <w:rFonts w:ascii="David" w:hAnsi="David" w:cs="David"/>
          <w:color w:val="000000" w:themeColor="text1"/>
          <w:sz w:val="24"/>
          <w:szCs w:val="24"/>
          <w:rtl/>
        </w:rPr>
        <w:t xml:space="preserve"> </w:t>
      </w:r>
      <w:r w:rsidRPr="00AD451B">
        <w:rPr>
          <w:rFonts w:ascii="David" w:hAnsi="David" w:cs="David"/>
          <w:color w:val="000000" w:themeColor="text1"/>
          <w:sz w:val="24"/>
          <w:szCs w:val="24"/>
          <w:rtl/>
          <w:lang w:bidi="he-IL"/>
        </w:rPr>
        <w:t>הגישות</w:t>
      </w:r>
      <w:r w:rsidRPr="00AD451B">
        <w:rPr>
          <w:rFonts w:ascii="David" w:hAnsi="David" w:cs="David"/>
          <w:color w:val="000000" w:themeColor="text1"/>
          <w:sz w:val="24"/>
          <w:szCs w:val="24"/>
          <w:rtl/>
        </w:rPr>
        <w:t xml:space="preserve"> </w:t>
      </w:r>
      <w:r w:rsidRPr="00AD451B">
        <w:rPr>
          <w:rFonts w:ascii="David" w:hAnsi="David" w:cs="David"/>
          <w:color w:val="000000" w:themeColor="text1"/>
          <w:sz w:val="24"/>
          <w:szCs w:val="24"/>
          <w:rtl/>
          <w:lang w:bidi="he-IL"/>
        </w:rPr>
        <w:t>שעוסקות</w:t>
      </w:r>
      <w:r w:rsidRPr="00AD451B">
        <w:rPr>
          <w:rFonts w:ascii="David" w:hAnsi="David" w:cs="David"/>
          <w:color w:val="000000" w:themeColor="text1"/>
          <w:sz w:val="24"/>
          <w:szCs w:val="24"/>
          <w:rtl/>
        </w:rPr>
        <w:t xml:space="preserve"> </w:t>
      </w:r>
      <w:r w:rsidRPr="00AD451B">
        <w:rPr>
          <w:rFonts w:ascii="David" w:hAnsi="David" w:cs="David"/>
          <w:color w:val="000000" w:themeColor="text1"/>
          <w:sz w:val="24"/>
          <w:szCs w:val="24"/>
          <w:rtl/>
          <w:lang w:bidi="he-IL"/>
        </w:rPr>
        <w:t>בתחום</w:t>
      </w:r>
      <w:r w:rsidRPr="00AD451B">
        <w:rPr>
          <w:rFonts w:ascii="David" w:hAnsi="David" w:cs="David"/>
          <w:color w:val="000000" w:themeColor="text1"/>
          <w:sz w:val="24"/>
          <w:szCs w:val="24"/>
          <w:rtl/>
        </w:rPr>
        <w:t xml:space="preserve"> </w:t>
      </w:r>
      <w:r w:rsidRPr="00AD451B">
        <w:rPr>
          <w:rFonts w:ascii="David" w:hAnsi="David" w:cs="David"/>
          <w:color w:val="000000" w:themeColor="text1"/>
          <w:sz w:val="24"/>
          <w:szCs w:val="24"/>
          <w:rtl/>
          <w:lang w:bidi="he-IL"/>
        </w:rPr>
        <w:t>המשפט</w:t>
      </w:r>
      <w:r w:rsidRPr="00AD451B">
        <w:rPr>
          <w:rFonts w:ascii="David" w:hAnsi="David" w:cs="David"/>
          <w:color w:val="000000" w:themeColor="text1"/>
          <w:sz w:val="24"/>
          <w:szCs w:val="24"/>
          <w:rtl/>
        </w:rPr>
        <w:t xml:space="preserve"> </w:t>
      </w:r>
      <w:r w:rsidRPr="00AD451B">
        <w:rPr>
          <w:rFonts w:ascii="David" w:hAnsi="David" w:cs="David"/>
          <w:color w:val="000000" w:themeColor="text1"/>
          <w:sz w:val="24"/>
          <w:szCs w:val="24"/>
          <w:rtl/>
          <w:lang w:bidi="he-IL"/>
        </w:rPr>
        <w:t>והתרבות</w:t>
      </w:r>
      <w:r w:rsidRPr="00AD451B">
        <w:rPr>
          <w:rFonts w:ascii="David" w:hAnsi="David" w:cs="David"/>
          <w:color w:val="000000" w:themeColor="text1"/>
          <w:sz w:val="24"/>
          <w:szCs w:val="24"/>
          <w:rtl/>
        </w:rPr>
        <w:t xml:space="preserve"> </w:t>
      </w:r>
      <w:r w:rsidRPr="00AD451B">
        <w:rPr>
          <w:rFonts w:ascii="David" w:hAnsi="David" w:cs="David"/>
          <w:color w:val="000000" w:themeColor="text1"/>
          <w:sz w:val="24"/>
          <w:szCs w:val="24"/>
          <w:rtl/>
          <w:lang w:bidi="he-IL"/>
        </w:rPr>
        <w:t>לשלוש</w:t>
      </w:r>
      <w:r w:rsidRPr="00AD451B">
        <w:rPr>
          <w:rFonts w:ascii="David" w:hAnsi="David" w:cs="David"/>
          <w:color w:val="000000" w:themeColor="text1"/>
          <w:sz w:val="24"/>
          <w:szCs w:val="24"/>
          <w:rtl/>
        </w:rPr>
        <w:t xml:space="preserve"> </w:t>
      </w:r>
      <w:r w:rsidRPr="00AD451B">
        <w:rPr>
          <w:rFonts w:ascii="David" w:hAnsi="David" w:cs="David"/>
          <w:color w:val="000000" w:themeColor="text1"/>
          <w:sz w:val="24"/>
          <w:szCs w:val="24"/>
          <w:rtl/>
          <w:lang w:bidi="he-IL"/>
        </w:rPr>
        <w:t>גישות</w:t>
      </w:r>
      <w:r w:rsidRPr="00AD451B">
        <w:rPr>
          <w:rFonts w:ascii="David" w:hAnsi="David" w:cs="David"/>
          <w:color w:val="000000" w:themeColor="text1"/>
          <w:sz w:val="24"/>
          <w:szCs w:val="24"/>
          <w:rtl/>
        </w:rPr>
        <w:t xml:space="preserve"> </w:t>
      </w:r>
      <w:r w:rsidRPr="00AD451B">
        <w:rPr>
          <w:rFonts w:ascii="David" w:hAnsi="David" w:cs="David"/>
          <w:color w:val="000000" w:themeColor="text1"/>
          <w:sz w:val="24"/>
          <w:szCs w:val="24"/>
          <w:rtl/>
          <w:lang w:bidi="he-IL"/>
        </w:rPr>
        <w:t>עיקריות: ראשית,</w:t>
      </w:r>
      <w:r w:rsidRPr="00AD451B">
        <w:rPr>
          <w:rFonts w:ascii="David" w:hAnsi="David" w:cs="David"/>
          <w:color w:val="000000" w:themeColor="text1"/>
          <w:sz w:val="24"/>
          <w:szCs w:val="24"/>
          <w:rtl/>
        </w:rPr>
        <w:t xml:space="preserve"> </w:t>
      </w:r>
      <w:r w:rsidRPr="00AD451B">
        <w:rPr>
          <w:rFonts w:ascii="David" w:hAnsi="David" w:cs="David"/>
          <w:color w:val="000000" w:themeColor="text1"/>
          <w:sz w:val="24"/>
          <w:szCs w:val="24"/>
          <w:rtl/>
          <w:lang w:bidi="he-IL"/>
        </w:rPr>
        <w:t>התרבות</w:t>
      </w:r>
      <w:r w:rsidRPr="00AD451B">
        <w:rPr>
          <w:rFonts w:ascii="David" w:hAnsi="David" w:cs="David"/>
          <w:color w:val="000000" w:themeColor="text1"/>
          <w:sz w:val="24"/>
          <w:szCs w:val="24"/>
          <w:rtl/>
        </w:rPr>
        <w:t xml:space="preserve"> </w:t>
      </w:r>
      <w:r w:rsidRPr="00AD451B">
        <w:rPr>
          <w:rFonts w:ascii="David" w:hAnsi="David" w:cs="David"/>
          <w:color w:val="000000" w:themeColor="text1"/>
          <w:sz w:val="24"/>
          <w:szCs w:val="24"/>
          <w:rtl/>
          <w:lang w:bidi="he-IL"/>
        </w:rPr>
        <w:t>הלאומית</w:t>
      </w:r>
      <w:r w:rsidRPr="00AD451B">
        <w:rPr>
          <w:rFonts w:ascii="David" w:hAnsi="David" w:cs="David"/>
          <w:color w:val="000000" w:themeColor="text1"/>
          <w:sz w:val="24"/>
          <w:szCs w:val="24"/>
          <w:rtl/>
        </w:rPr>
        <w:t xml:space="preserve"> </w:t>
      </w:r>
      <w:r w:rsidRPr="00AD451B">
        <w:rPr>
          <w:rFonts w:ascii="David" w:hAnsi="David" w:cs="David"/>
          <w:color w:val="000000" w:themeColor="text1"/>
          <w:sz w:val="24"/>
          <w:szCs w:val="24"/>
          <w:rtl/>
          <w:lang w:bidi="he-IL"/>
        </w:rPr>
        <w:t>של</w:t>
      </w:r>
      <w:r w:rsidRPr="00AD451B">
        <w:rPr>
          <w:rFonts w:ascii="David" w:hAnsi="David" w:cs="David"/>
          <w:color w:val="000000" w:themeColor="text1"/>
          <w:sz w:val="24"/>
          <w:szCs w:val="24"/>
          <w:rtl/>
        </w:rPr>
        <w:t xml:space="preserve"> </w:t>
      </w:r>
      <w:r w:rsidRPr="00AD451B">
        <w:rPr>
          <w:rFonts w:ascii="David" w:hAnsi="David" w:cs="David"/>
          <w:color w:val="000000" w:themeColor="text1"/>
          <w:sz w:val="24"/>
          <w:szCs w:val="24"/>
          <w:rtl/>
          <w:lang w:bidi="he-IL"/>
        </w:rPr>
        <w:t>העם</w:t>
      </w:r>
      <w:r w:rsidRPr="00AD451B">
        <w:rPr>
          <w:rFonts w:ascii="David" w:hAnsi="David" w:cs="David"/>
          <w:color w:val="000000" w:themeColor="text1"/>
          <w:sz w:val="24"/>
          <w:szCs w:val="24"/>
          <w:rtl/>
        </w:rPr>
        <w:t xml:space="preserve"> </w:t>
      </w:r>
      <w:r w:rsidRPr="00AD451B">
        <w:rPr>
          <w:rFonts w:ascii="David" w:hAnsi="David" w:cs="David"/>
          <w:color w:val="000000" w:themeColor="text1"/>
          <w:sz w:val="24"/>
          <w:szCs w:val="24"/>
          <w:rtl/>
          <w:lang w:bidi="he-IL"/>
        </w:rPr>
        <w:t>יוצרת</w:t>
      </w:r>
      <w:r w:rsidRPr="00AD451B">
        <w:rPr>
          <w:rFonts w:ascii="David" w:hAnsi="David" w:cs="David"/>
          <w:color w:val="000000" w:themeColor="text1"/>
          <w:sz w:val="24"/>
          <w:szCs w:val="24"/>
          <w:rtl/>
        </w:rPr>
        <w:t xml:space="preserve"> </w:t>
      </w:r>
      <w:r w:rsidRPr="00AD451B">
        <w:rPr>
          <w:rFonts w:ascii="David" w:hAnsi="David" w:cs="David"/>
          <w:color w:val="000000" w:themeColor="text1"/>
          <w:sz w:val="24"/>
          <w:szCs w:val="24"/>
          <w:rtl/>
          <w:lang w:bidi="he-IL"/>
        </w:rPr>
        <w:t>את</w:t>
      </w:r>
      <w:r w:rsidRPr="00AD451B">
        <w:rPr>
          <w:rFonts w:ascii="David" w:hAnsi="David" w:cs="David"/>
          <w:color w:val="000000" w:themeColor="text1"/>
          <w:sz w:val="24"/>
          <w:szCs w:val="24"/>
          <w:rtl/>
        </w:rPr>
        <w:t xml:space="preserve"> </w:t>
      </w:r>
      <w:r w:rsidRPr="00AD451B">
        <w:rPr>
          <w:rFonts w:ascii="David" w:hAnsi="David" w:cs="David"/>
          <w:color w:val="000000" w:themeColor="text1"/>
          <w:sz w:val="24"/>
          <w:szCs w:val="24"/>
          <w:rtl/>
          <w:lang w:bidi="he-IL"/>
        </w:rPr>
        <w:t>משפט</w:t>
      </w:r>
      <w:r w:rsidRPr="00AD451B">
        <w:rPr>
          <w:rFonts w:ascii="David" w:hAnsi="David" w:cs="David"/>
          <w:color w:val="000000" w:themeColor="text1"/>
          <w:sz w:val="24"/>
          <w:szCs w:val="24"/>
          <w:rtl/>
        </w:rPr>
        <w:t xml:space="preserve"> </w:t>
      </w:r>
      <w:r w:rsidRPr="00AD451B">
        <w:rPr>
          <w:rFonts w:ascii="David" w:hAnsi="David" w:cs="David"/>
          <w:color w:val="000000" w:themeColor="text1"/>
          <w:sz w:val="24"/>
          <w:szCs w:val="24"/>
          <w:rtl/>
          <w:lang w:bidi="he-IL"/>
        </w:rPr>
        <w:t>המדינה</w:t>
      </w:r>
      <w:r w:rsidRPr="00AD451B">
        <w:rPr>
          <w:rFonts w:ascii="David" w:hAnsi="David" w:cs="David"/>
          <w:color w:val="000000" w:themeColor="text1"/>
          <w:sz w:val="24"/>
          <w:szCs w:val="24"/>
          <w:rtl/>
        </w:rPr>
        <w:t xml:space="preserve">; </w:t>
      </w:r>
      <w:r w:rsidRPr="00AD451B">
        <w:rPr>
          <w:rFonts w:ascii="David" w:hAnsi="David" w:cs="David"/>
          <w:color w:val="000000" w:themeColor="text1"/>
          <w:sz w:val="24"/>
          <w:szCs w:val="24"/>
          <w:rtl/>
          <w:lang w:bidi="he-IL"/>
        </w:rPr>
        <w:t>שנית,</w:t>
      </w:r>
      <w:r w:rsidRPr="00AD451B">
        <w:rPr>
          <w:rFonts w:ascii="David" w:hAnsi="David" w:cs="David"/>
          <w:color w:val="000000" w:themeColor="text1"/>
          <w:sz w:val="24"/>
          <w:szCs w:val="24"/>
          <w:rtl/>
        </w:rPr>
        <w:t xml:space="preserve"> </w:t>
      </w:r>
      <w:r w:rsidRPr="00AD451B">
        <w:rPr>
          <w:rFonts w:ascii="David" w:hAnsi="David" w:cs="David"/>
          <w:color w:val="000000" w:themeColor="text1"/>
          <w:sz w:val="24"/>
          <w:szCs w:val="24"/>
          <w:rtl/>
          <w:lang w:bidi="he-IL"/>
        </w:rPr>
        <w:t>משפט</w:t>
      </w:r>
      <w:r w:rsidRPr="00AD451B">
        <w:rPr>
          <w:rFonts w:ascii="David" w:hAnsi="David" w:cs="David"/>
          <w:color w:val="000000" w:themeColor="text1"/>
          <w:sz w:val="24"/>
          <w:szCs w:val="24"/>
          <w:rtl/>
        </w:rPr>
        <w:t xml:space="preserve"> </w:t>
      </w:r>
      <w:r w:rsidRPr="00AD451B">
        <w:rPr>
          <w:rFonts w:ascii="David" w:hAnsi="David" w:cs="David"/>
          <w:color w:val="000000" w:themeColor="text1"/>
          <w:sz w:val="24"/>
          <w:szCs w:val="24"/>
          <w:rtl/>
          <w:lang w:bidi="he-IL"/>
        </w:rPr>
        <w:t>המדינה</w:t>
      </w:r>
      <w:r w:rsidRPr="00AD451B">
        <w:rPr>
          <w:rFonts w:ascii="David" w:hAnsi="David" w:cs="David"/>
          <w:color w:val="000000" w:themeColor="text1"/>
          <w:sz w:val="24"/>
          <w:szCs w:val="24"/>
          <w:rtl/>
        </w:rPr>
        <w:t xml:space="preserve"> </w:t>
      </w:r>
      <w:r w:rsidRPr="00AD451B">
        <w:rPr>
          <w:rFonts w:ascii="David" w:hAnsi="David" w:cs="David"/>
          <w:color w:val="000000" w:themeColor="text1"/>
          <w:sz w:val="24"/>
          <w:szCs w:val="24"/>
          <w:rtl/>
          <w:lang w:bidi="he-IL"/>
        </w:rPr>
        <w:t>מכונן</w:t>
      </w:r>
      <w:r w:rsidRPr="00AD451B">
        <w:rPr>
          <w:rFonts w:ascii="David" w:hAnsi="David" w:cs="David"/>
          <w:color w:val="000000" w:themeColor="text1"/>
          <w:sz w:val="24"/>
          <w:szCs w:val="24"/>
          <w:rtl/>
        </w:rPr>
        <w:t xml:space="preserve"> </w:t>
      </w:r>
      <w:r w:rsidRPr="00AD451B">
        <w:rPr>
          <w:rFonts w:ascii="David" w:hAnsi="David" w:cs="David"/>
          <w:color w:val="000000" w:themeColor="text1"/>
          <w:sz w:val="24"/>
          <w:szCs w:val="24"/>
          <w:rtl/>
          <w:lang w:bidi="he-IL"/>
        </w:rPr>
        <w:t>את</w:t>
      </w:r>
      <w:r w:rsidRPr="00AD451B">
        <w:rPr>
          <w:rFonts w:ascii="David" w:hAnsi="David" w:cs="David"/>
          <w:color w:val="000000" w:themeColor="text1"/>
          <w:sz w:val="24"/>
          <w:szCs w:val="24"/>
          <w:rtl/>
        </w:rPr>
        <w:t xml:space="preserve"> </w:t>
      </w:r>
      <w:r w:rsidRPr="00AD451B">
        <w:rPr>
          <w:rFonts w:ascii="David" w:hAnsi="David" w:cs="David"/>
          <w:color w:val="000000" w:themeColor="text1"/>
          <w:sz w:val="24"/>
          <w:szCs w:val="24"/>
          <w:rtl/>
          <w:lang w:bidi="he-IL"/>
        </w:rPr>
        <w:t>התרבות</w:t>
      </w:r>
      <w:r w:rsidRPr="00AD451B">
        <w:rPr>
          <w:rFonts w:ascii="David" w:hAnsi="David" w:cs="David"/>
          <w:color w:val="000000" w:themeColor="text1"/>
          <w:sz w:val="24"/>
          <w:szCs w:val="24"/>
          <w:rtl/>
        </w:rPr>
        <w:t xml:space="preserve">; </w:t>
      </w:r>
      <w:r w:rsidRPr="00AD451B">
        <w:rPr>
          <w:rFonts w:ascii="David" w:hAnsi="David" w:cs="David"/>
          <w:color w:val="000000" w:themeColor="text1"/>
          <w:sz w:val="24"/>
          <w:szCs w:val="24"/>
          <w:rtl/>
          <w:lang w:bidi="he-IL"/>
        </w:rPr>
        <w:t>ושלישית,</w:t>
      </w:r>
      <w:r w:rsidRPr="00AD451B">
        <w:rPr>
          <w:rFonts w:ascii="David" w:hAnsi="David" w:cs="David"/>
          <w:color w:val="000000" w:themeColor="text1"/>
          <w:sz w:val="24"/>
          <w:szCs w:val="24"/>
          <w:rtl/>
        </w:rPr>
        <w:t xml:space="preserve"> </w:t>
      </w:r>
      <w:r w:rsidRPr="00AD451B">
        <w:rPr>
          <w:rFonts w:ascii="David" w:hAnsi="David" w:cs="David"/>
          <w:color w:val="000000" w:themeColor="text1"/>
          <w:sz w:val="24"/>
          <w:szCs w:val="24"/>
          <w:rtl/>
          <w:lang w:bidi="he-IL"/>
        </w:rPr>
        <w:t>המשפט</w:t>
      </w:r>
      <w:r w:rsidRPr="00AD451B">
        <w:rPr>
          <w:rFonts w:ascii="David" w:hAnsi="David" w:cs="David"/>
          <w:color w:val="000000" w:themeColor="text1"/>
          <w:sz w:val="24"/>
          <w:szCs w:val="24"/>
          <w:rtl/>
        </w:rPr>
        <w:t xml:space="preserve"> </w:t>
      </w:r>
      <w:r w:rsidRPr="00AD451B">
        <w:rPr>
          <w:rFonts w:ascii="David" w:hAnsi="David" w:cs="David"/>
          <w:color w:val="000000" w:themeColor="text1"/>
          <w:sz w:val="24"/>
          <w:szCs w:val="24"/>
          <w:rtl/>
          <w:lang w:bidi="he-IL"/>
        </w:rPr>
        <w:t>הנוצר</w:t>
      </w:r>
      <w:r w:rsidRPr="00AD451B">
        <w:rPr>
          <w:rFonts w:ascii="David" w:hAnsi="David" w:cs="David"/>
          <w:color w:val="000000" w:themeColor="text1"/>
          <w:sz w:val="24"/>
          <w:szCs w:val="24"/>
          <w:rtl/>
        </w:rPr>
        <w:t xml:space="preserve"> </w:t>
      </w:r>
      <w:r w:rsidRPr="00AD451B">
        <w:rPr>
          <w:rFonts w:ascii="David" w:hAnsi="David" w:cs="David"/>
          <w:color w:val="000000" w:themeColor="text1"/>
          <w:sz w:val="24"/>
          <w:szCs w:val="24"/>
          <w:rtl/>
          <w:lang w:bidi="he-IL"/>
        </w:rPr>
        <w:t>והמופעל</w:t>
      </w:r>
      <w:r w:rsidRPr="00AD451B">
        <w:rPr>
          <w:rFonts w:ascii="David" w:hAnsi="David" w:cs="David"/>
          <w:color w:val="000000" w:themeColor="text1"/>
          <w:sz w:val="24"/>
          <w:szCs w:val="24"/>
          <w:rtl/>
        </w:rPr>
        <w:t xml:space="preserve"> </w:t>
      </w:r>
      <w:r w:rsidRPr="00AD451B">
        <w:rPr>
          <w:rFonts w:ascii="David" w:hAnsi="David" w:cs="David"/>
          <w:color w:val="000000" w:themeColor="text1"/>
          <w:sz w:val="24"/>
          <w:szCs w:val="24"/>
          <w:rtl/>
          <w:lang w:bidi="he-IL"/>
        </w:rPr>
        <w:t>בבתי</w:t>
      </w:r>
      <w:r w:rsidRPr="00AD451B">
        <w:rPr>
          <w:rFonts w:ascii="David" w:hAnsi="David" w:cs="David"/>
          <w:color w:val="000000" w:themeColor="text1"/>
          <w:sz w:val="24"/>
          <w:szCs w:val="24"/>
          <w:rtl/>
        </w:rPr>
        <w:t xml:space="preserve"> </w:t>
      </w:r>
      <w:r w:rsidRPr="00AD451B">
        <w:rPr>
          <w:rFonts w:ascii="David" w:hAnsi="David" w:cs="David"/>
          <w:color w:val="000000" w:themeColor="text1"/>
          <w:sz w:val="24"/>
          <w:szCs w:val="24"/>
          <w:rtl/>
          <w:lang w:bidi="he-IL"/>
        </w:rPr>
        <w:t>המשפט</w:t>
      </w:r>
      <w:r w:rsidRPr="00AD451B">
        <w:rPr>
          <w:rFonts w:ascii="David" w:hAnsi="David" w:cs="David"/>
          <w:color w:val="000000" w:themeColor="text1"/>
          <w:sz w:val="24"/>
          <w:szCs w:val="24"/>
          <w:rtl/>
        </w:rPr>
        <w:t xml:space="preserve"> </w:t>
      </w:r>
      <w:r w:rsidRPr="00AD451B">
        <w:rPr>
          <w:rFonts w:ascii="David" w:hAnsi="David" w:cs="David"/>
          <w:color w:val="000000" w:themeColor="text1"/>
          <w:sz w:val="24"/>
          <w:szCs w:val="24"/>
          <w:rtl/>
          <w:lang w:bidi="he-IL"/>
        </w:rPr>
        <w:t>הינו</w:t>
      </w:r>
      <w:r w:rsidRPr="00AD451B">
        <w:rPr>
          <w:rFonts w:ascii="David" w:hAnsi="David" w:cs="David"/>
          <w:color w:val="000000" w:themeColor="text1"/>
          <w:sz w:val="24"/>
          <w:szCs w:val="24"/>
          <w:rtl/>
        </w:rPr>
        <w:t xml:space="preserve"> </w:t>
      </w:r>
      <w:r w:rsidRPr="00AD451B">
        <w:rPr>
          <w:rFonts w:ascii="David" w:hAnsi="David" w:cs="David"/>
          <w:color w:val="000000" w:themeColor="text1"/>
          <w:sz w:val="24"/>
          <w:szCs w:val="24"/>
          <w:rtl/>
          <w:lang w:bidi="he-IL"/>
        </w:rPr>
        <w:t>מערכת</w:t>
      </w:r>
      <w:r w:rsidRPr="00AD451B">
        <w:rPr>
          <w:rFonts w:ascii="David" w:hAnsi="David" w:cs="David"/>
          <w:color w:val="000000" w:themeColor="text1"/>
          <w:sz w:val="24"/>
          <w:szCs w:val="24"/>
          <w:rtl/>
        </w:rPr>
        <w:t xml:space="preserve"> </w:t>
      </w:r>
      <w:r w:rsidRPr="00AD451B">
        <w:rPr>
          <w:rFonts w:ascii="David" w:hAnsi="David" w:cs="David"/>
          <w:color w:val="000000" w:themeColor="text1"/>
          <w:sz w:val="24"/>
          <w:szCs w:val="24"/>
          <w:rtl/>
          <w:lang w:bidi="he-IL"/>
        </w:rPr>
        <w:t>תרבותית</w:t>
      </w:r>
      <w:r w:rsidRPr="00AD451B">
        <w:rPr>
          <w:rFonts w:ascii="David" w:hAnsi="David" w:cs="David"/>
          <w:color w:val="000000" w:themeColor="text1"/>
          <w:sz w:val="24"/>
          <w:szCs w:val="24"/>
          <w:rtl/>
        </w:rPr>
        <w:t xml:space="preserve"> </w:t>
      </w:r>
      <w:r w:rsidRPr="00AD451B">
        <w:rPr>
          <w:rFonts w:ascii="David" w:hAnsi="David" w:cs="David"/>
          <w:color w:val="000000" w:themeColor="text1"/>
          <w:sz w:val="24"/>
          <w:szCs w:val="24"/>
          <w:rtl/>
          <w:lang w:bidi="he-IL"/>
        </w:rPr>
        <w:t>נבדלת.</w:t>
      </w:r>
      <w:bookmarkStart w:id="1" w:name="_Ref39332093"/>
      <w:r w:rsidRPr="00AD451B">
        <w:rPr>
          <w:rStyle w:val="FootnoteReference"/>
          <w:rFonts w:ascii="David" w:hAnsi="David" w:cs="David"/>
          <w:color w:val="000000" w:themeColor="text1"/>
          <w:sz w:val="24"/>
          <w:szCs w:val="24"/>
          <w:rtl/>
        </w:rPr>
        <w:footnoteReference w:id="2"/>
      </w:r>
      <w:bookmarkEnd w:id="1"/>
      <w:r w:rsidRPr="00AD451B">
        <w:rPr>
          <w:rFonts w:ascii="David" w:hAnsi="David" w:cs="David"/>
          <w:color w:val="000000" w:themeColor="text1"/>
          <w:sz w:val="24"/>
          <w:szCs w:val="24"/>
          <w:rtl/>
          <w:lang w:bidi="he-IL"/>
        </w:rPr>
        <w:t xml:space="preserve"> </w:t>
      </w:r>
      <w:r>
        <w:rPr>
          <w:rFonts w:ascii="David" w:hAnsi="David" w:cs="David" w:hint="cs"/>
          <w:color w:val="000000" w:themeColor="text1"/>
          <w:sz w:val="24"/>
          <w:szCs w:val="24"/>
          <w:rtl/>
          <w:lang w:bidi="he-IL"/>
        </w:rPr>
        <w:t xml:space="preserve">בהקשר הישראלי, </w:t>
      </w:r>
      <w:r w:rsidRPr="00AD451B">
        <w:rPr>
          <w:rFonts w:ascii="David" w:hAnsi="David" w:cs="David"/>
          <w:color w:val="000000" w:themeColor="text1"/>
          <w:sz w:val="24"/>
          <w:szCs w:val="24"/>
          <w:rtl/>
          <w:lang w:val="en-GB" w:bidi="he-IL"/>
        </w:rPr>
        <w:t xml:space="preserve">מאוטנר טוען כי לא ניתן להבין את התפתחות המשפט </w:t>
      </w:r>
      <w:r>
        <w:rPr>
          <w:rFonts w:ascii="David" w:hAnsi="David" w:cs="David" w:hint="cs"/>
          <w:color w:val="000000" w:themeColor="text1"/>
          <w:sz w:val="24"/>
          <w:szCs w:val="24"/>
          <w:rtl/>
          <w:lang w:val="en-GB" w:bidi="he-IL"/>
        </w:rPr>
        <w:t xml:space="preserve">הישראלי </w:t>
      </w:r>
      <w:r w:rsidRPr="00AD451B">
        <w:rPr>
          <w:rFonts w:ascii="David" w:hAnsi="David" w:cs="David"/>
          <w:color w:val="000000" w:themeColor="text1"/>
          <w:sz w:val="24"/>
          <w:szCs w:val="24"/>
          <w:rtl/>
          <w:lang w:val="en-GB" w:bidi="he-IL"/>
        </w:rPr>
        <w:t>בלי להבין את התנאים החברתיים, התרבותיים והפוליטיים שבהם המשפט נוצר.</w:t>
      </w:r>
      <w:r w:rsidRPr="00AD451B">
        <w:rPr>
          <w:rStyle w:val="FootnoteReference"/>
          <w:rFonts w:ascii="David" w:hAnsi="David" w:cs="David"/>
          <w:color w:val="000000" w:themeColor="text1"/>
          <w:sz w:val="24"/>
          <w:szCs w:val="24"/>
          <w:rtl/>
          <w:lang w:val="en-GB" w:bidi="he-IL"/>
        </w:rPr>
        <w:footnoteReference w:id="3"/>
      </w:r>
      <w:r w:rsidRPr="00AD451B">
        <w:rPr>
          <w:rFonts w:ascii="David" w:hAnsi="David" w:cs="David"/>
          <w:color w:val="000000" w:themeColor="text1"/>
          <w:sz w:val="24"/>
          <w:szCs w:val="24"/>
          <w:rtl/>
          <w:lang w:val="en-GB" w:bidi="he-IL"/>
        </w:rPr>
        <w:t xml:space="preserve"> </w:t>
      </w:r>
      <w:r>
        <w:rPr>
          <w:rFonts w:ascii="David" w:hAnsi="David" w:cs="David" w:hint="cs"/>
          <w:color w:val="000000" w:themeColor="text1"/>
          <w:sz w:val="24"/>
          <w:szCs w:val="24"/>
          <w:rtl/>
          <w:lang w:val="en-GB" w:bidi="he-IL"/>
        </w:rPr>
        <w:t xml:space="preserve">אם כך, </w:t>
      </w:r>
      <w:r w:rsidRPr="00AD451B">
        <w:rPr>
          <w:rFonts w:ascii="David" w:hAnsi="David" w:cs="David" w:hint="cs"/>
          <w:color w:val="000000" w:themeColor="text1"/>
          <w:sz w:val="24"/>
          <w:szCs w:val="24"/>
          <w:rtl/>
          <w:lang w:val="en-GB" w:bidi="he-IL"/>
        </w:rPr>
        <w:t>מאוטנר רואה את</w:t>
      </w:r>
      <w:r w:rsidRPr="00AD451B">
        <w:rPr>
          <w:rFonts w:ascii="David" w:hAnsi="David" w:cs="David"/>
          <w:color w:val="000000" w:themeColor="text1"/>
          <w:sz w:val="24"/>
          <w:szCs w:val="24"/>
          <w:rtl/>
          <w:lang w:val="en-GB" w:bidi="he-IL"/>
        </w:rPr>
        <w:t xml:space="preserve"> המשפט הישראלי כזירה שבה מתנהלים המאבקים התרבותיים המרכזיים המתחוללים בעם היהודי מאז ראשית המודרנה. </w:t>
      </w:r>
    </w:p>
    <w:p w:rsidR="006E285E" w:rsidRPr="00AD451B" w:rsidRDefault="006E285E" w:rsidP="006E285E">
      <w:pPr>
        <w:bidi/>
        <w:spacing w:before="120" w:after="120" w:line="360" w:lineRule="auto"/>
        <w:jc w:val="both"/>
        <w:rPr>
          <w:rStyle w:val="CommentReference"/>
          <w:rFonts w:ascii="David" w:hAnsi="David" w:cs="David"/>
          <w:color w:val="000000" w:themeColor="text1"/>
          <w:sz w:val="24"/>
          <w:szCs w:val="24"/>
          <w:rtl/>
          <w:lang w:bidi="he-IL"/>
        </w:rPr>
      </w:pPr>
      <w:r w:rsidRPr="00AD451B">
        <w:rPr>
          <w:rFonts w:ascii="David" w:hAnsi="David" w:cs="David"/>
          <w:color w:val="000000" w:themeColor="text1"/>
          <w:sz w:val="24"/>
          <w:szCs w:val="24"/>
          <w:rtl/>
          <w:lang w:val="en-GB" w:bidi="he-IL"/>
        </w:rPr>
        <w:t>להלן אמפה בקצרה את שלושת הגישות:</w:t>
      </w:r>
      <w:bookmarkStart w:id="2" w:name="_Toc39942461"/>
      <w:bookmarkStart w:id="3" w:name="_Toc39943268"/>
    </w:p>
    <w:p w:rsidR="006E285E" w:rsidRPr="00AD451B" w:rsidRDefault="006E285E" w:rsidP="006E285E">
      <w:pPr>
        <w:pStyle w:val="Heading2"/>
        <w:bidi/>
        <w:spacing w:after="120" w:line="480" w:lineRule="auto"/>
        <w:rPr>
          <w:rFonts w:ascii="David" w:eastAsia="Times New Roman" w:hAnsi="David" w:cs="David"/>
          <w:b/>
          <w:bCs/>
          <w:color w:val="000000" w:themeColor="text1"/>
          <w:sz w:val="28"/>
          <w:szCs w:val="28"/>
          <w:rtl/>
        </w:rPr>
      </w:pPr>
      <w:r w:rsidRPr="00AD451B">
        <w:rPr>
          <w:rFonts w:ascii="David" w:eastAsia="Times New Roman" w:hAnsi="David" w:cs="David"/>
          <w:b/>
          <w:bCs/>
          <w:color w:val="000000" w:themeColor="text1"/>
          <w:sz w:val="28"/>
          <w:szCs w:val="28"/>
          <w:rtl/>
        </w:rPr>
        <w:t xml:space="preserve">11.2 </w:t>
      </w:r>
      <w:r w:rsidRPr="00AD451B">
        <w:rPr>
          <w:rFonts w:ascii="David" w:eastAsia="Times New Roman" w:hAnsi="David" w:cs="David"/>
          <w:b/>
          <w:bCs/>
          <w:color w:val="000000" w:themeColor="text1"/>
          <w:sz w:val="28"/>
          <w:szCs w:val="28"/>
          <w:rtl/>
          <w:lang w:bidi="he-IL"/>
        </w:rPr>
        <w:t>הגישה הראשונה</w:t>
      </w:r>
      <w:r w:rsidRPr="00AD451B">
        <w:rPr>
          <w:rFonts w:ascii="David" w:eastAsia="Times New Roman" w:hAnsi="David" w:cs="David"/>
          <w:b/>
          <w:bCs/>
          <w:color w:val="000000" w:themeColor="text1"/>
          <w:sz w:val="28"/>
          <w:szCs w:val="28"/>
          <w:rtl/>
        </w:rPr>
        <w:t xml:space="preserve">: </w:t>
      </w:r>
      <w:r w:rsidRPr="00AD451B">
        <w:rPr>
          <w:rFonts w:ascii="David" w:eastAsia="Times New Roman" w:hAnsi="David" w:cs="David"/>
          <w:b/>
          <w:bCs/>
          <w:color w:val="000000" w:themeColor="text1"/>
          <w:sz w:val="28"/>
          <w:szCs w:val="28"/>
          <w:rtl/>
          <w:lang w:bidi="he-IL"/>
        </w:rPr>
        <w:t xml:space="preserve">הגישה ההיסטורית </w:t>
      </w:r>
      <w:r w:rsidRPr="00AD451B">
        <w:rPr>
          <w:rFonts w:ascii="David" w:eastAsia="Times New Roman" w:hAnsi="David" w:cs="David"/>
          <w:b/>
          <w:bCs/>
          <w:color w:val="000000" w:themeColor="text1"/>
          <w:sz w:val="28"/>
          <w:szCs w:val="28"/>
          <w:rtl/>
        </w:rPr>
        <w:t xml:space="preserve">- </w:t>
      </w:r>
      <w:r w:rsidRPr="00AD451B">
        <w:rPr>
          <w:rFonts w:ascii="David" w:eastAsia="Times New Roman" w:hAnsi="David" w:cs="David"/>
          <w:b/>
          <w:bCs/>
          <w:color w:val="000000" w:themeColor="text1"/>
          <w:sz w:val="28"/>
          <w:szCs w:val="28"/>
          <w:rtl/>
          <w:lang w:bidi="he-IL"/>
        </w:rPr>
        <w:t>התרבות הלאומית של העם כיוצרת את משפט המדינה</w:t>
      </w:r>
      <w:bookmarkEnd w:id="2"/>
      <w:bookmarkEnd w:id="3"/>
    </w:p>
    <w:p w:rsidR="006E285E" w:rsidRPr="00AD451B" w:rsidRDefault="006E285E" w:rsidP="006E285E">
      <w:pPr>
        <w:bidi/>
        <w:spacing w:before="120" w:after="120" w:line="360" w:lineRule="auto"/>
        <w:jc w:val="both"/>
        <w:rPr>
          <w:rFonts w:ascii="David" w:hAnsi="David" w:cs="David"/>
          <w:color w:val="000000" w:themeColor="text1"/>
          <w:sz w:val="24"/>
          <w:szCs w:val="24"/>
          <w:rtl/>
        </w:rPr>
      </w:pPr>
      <w:r w:rsidRPr="00AD451B">
        <w:rPr>
          <w:rFonts w:ascii="David" w:hAnsi="David" w:cs="David"/>
          <w:color w:val="000000" w:themeColor="text1"/>
          <w:sz w:val="24"/>
          <w:szCs w:val="24"/>
          <w:rtl/>
          <w:lang w:bidi="he-IL"/>
        </w:rPr>
        <w:t>גישה</w:t>
      </w:r>
      <w:r w:rsidRPr="00AD451B">
        <w:rPr>
          <w:rFonts w:ascii="David" w:hAnsi="David" w:cs="David"/>
          <w:color w:val="000000" w:themeColor="text1"/>
          <w:sz w:val="24"/>
          <w:szCs w:val="24"/>
          <w:rtl/>
        </w:rPr>
        <w:t xml:space="preserve"> </w:t>
      </w:r>
      <w:r w:rsidRPr="00AD451B">
        <w:rPr>
          <w:rFonts w:ascii="David" w:hAnsi="David" w:cs="David"/>
          <w:color w:val="000000" w:themeColor="text1"/>
          <w:sz w:val="24"/>
          <w:szCs w:val="24"/>
          <w:rtl/>
          <w:lang w:bidi="he-IL"/>
        </w:rPr>
        <w:t>ראשונה</w:t>
      </w:r>
      <w:r w:rsidRPr="00AD451B">
        <w:rPr>
          <w:rFonts w:ascii="David" w:hAnsi="David" w:cs="David"/>
          <w:color w:val="000000" w:themeColor="text1"/>
          <w:sz w:val="24"/>
          <w:szCs w:val="24"/>
          <w:rtl/>
        </w:rPr>
        <w:t xml:space="preserve"> </w:t>
      </w:r>
      <w:r w:rsidRPr="00AD451B">
        <w:rPr>
          <w:rFonts w:ascii="David" w:hAnsi="David" w:cs="David"/>
          <w:color w:val="000000" w:themeColor="text1"/>
          <w:sz w:val="24"/>
          <w:szCs w:val="24"/>
          <w:rtl/>
          <w:lang w:bidi="he-IL"/>
        </w:rPr>
        <w:t>שעוסקת</w:t>
      </w:r>
      <w:r w:rsidRPr="00AD451B">
        <w:rPr>
          <w:rFonts w:ascii="David" w:hAnsi="David" w:cs="David"/>
          <w:color w:val="000000" w:themeColor="text1"/>
          <w:sz w:val="24"/>
          <w:szCs w:val="24"/>
          <w:rtl/>
        </w:rPr>
        <w:t xml:space="preserve"> </w:t>
      </w:r>
      <w:r w:rsidRPr="00AD451B">
        <w:rPr>
          <w:rFonts w:ascii="David" w:hAnsi="David" w:cs="David"/>
          <w:color w:val="000000" w:themeColor="text1"/>
          <w:sz w:val="24"/>
          <w:szCs w:val="24"/>
          <w:rtl/>
          <w:lang w:bidi="he-IL"/>
        </w:rPr>
        <w:t>בתחום</w:t>
      </w:r>
      <w:r w:rsidRPr="00AD451B">
        <w:rPr>
          <w:rFonts w:ascii="David" w:hAnsi="David" w:cs="David"/>
          <w:color w:val="000000" w:themeColor="text1"/>
          <w:sz w:val="24"/>
          <w:szCs w:val="24"/>
          <w:rtl/>
        </w:rPr>
        <w:t xml:space="preserve"> </w:t>
      </w:r>
      <w:r w:rsidRPr="00AD451B">
        <w:rPr>
          <w:rFonts w:ascii="David" w:hAnsi="David" w:cs="David"/>
          <w:color w:val="000000" w:themeColor="text1"/>
          <w:sz w:val="24"/>
          <w:szCs w:val="24"/>
          <w:rtl/>
          <w:lang w:bidi="he-IL"/>
        </w:rPr>
        <w:t>המשפט</w:t>
      </w:r>
      <w:r w:rsidRPr="00AD451B">
        <w:rPr>
          <w:rFonts w:ascii="David" w:hAnsi="David" w:cs="David"/>
          <w:color w:val="000000" w:themeColor="text1"/>
          <w:sz w:val="24"/>
          <w:szCs w:val="24"/>
          <w:rtl/>
        </w:rPr>
        <w:t xml:space="preserve"> </w:t>
      </w:r>
      <w:r w:rsidRPr="00AD451B">
        <w:rPr>
          <w:rFonts w:ascii="David" w:hAnsi="David" w:cs="David"/>
          <w:color w:val="000000" w:themeColor="text1"/>
          <w:sz w:val="24"/>
          <w:szCs w:val="24"/>
          <w:rtl/>
          <w:lang w:bidi="he-IL"/>
        </w:rPr>
        <w:t>והתרבות</w:t>
      </w:r>
      <w:r w:rsidRPr="00AD451B">
        <w:rPr>
          <w:rFonts w:ascii="David" w:hAnsi="David" w:cs="David"/>
          <w:color w:val="000000" w:themeColor="text1"/>
          <w:sz w:val="24"/>
          <w:szCs w:val="24"/>
          <w:rtl/>
        </w:rPr>
        <w:t xml:space="preserve"> </w:t>
      </w:r>
      <w:r w:rsidRPr="00AD451B">
        <w:rPr>
          <w:rFonts w:ascii="David" w:hAnsi="David" w:cs="David"/>
          <w:color w:val="000000" w:themeColor="text1"/>
          <w:sz w:val="24"/>
          <w:szCs w:val="24"/>
          <w:rtl/>
          <w:lang w:bidi="he-IL"/>
        </w:rPr>
        <w:t>היא</w:t>
      </w:r>
      <w:r w:rsidRPr="00AD451B">
        <w:rPr>
          <w:rFonts w:ascii="David" w:hAnsi="David" w:cs="David"/>
          <w:color w:val="000000" w:themeColor="text1"/>
          <w:sz w:val="24"/>
          <w:szCs w:val="24"/>
          <w:rtl/>
        </w:rPr>
        <w:t xml:space="preserve"> </w:t>
      </w:r>
      <w:r w:rsidRPr="00AD451B">
        <w:rPr>
          <w:rFonts w:ascii="David" w:hAnsi="David" w:cs="David"/>
          <w:color w:val="000000" w:themeColor="text1"/>
          <w:sz w:val="24"/>
          <w:szCs w:val="24"/>
          <w:rtl/>
          <w:lang w:bidi="he-IL"/>
        </w:rPr>
        <w:t>הגישה</w:t>
      </w:r>
      <w:r w:rsidRPr="00AD451B">
        <w:rPr>
          <w:rFonts w:ascii="David" w:hAnsi="David" w:cs="David"/>
          <w:color w:val="000000" w:themeColor="text1"/>
          <w:sz w:val="24"/>
          <w:szCs w:val="24"/>
          <w:rtl/>
        </w:rPr>
        <w:t xml:space="preserve"> </w:t>
      </w:r>
      <w:r w:rsidRPr="00AD451B">
        <w:rPr>
          <w:rFonts w:ascii="David" w:hAnsi="David" w:cs="David"/>
          <w:color w:val="000000" w:themeColor="text1"/>
          <w:sz w:val="24"/>
          <w:szCs w:val="24"/>
          <w:rtl/>
          <w:lang w:bidi="he-IL"/>
        </w:rPr>
        <w:t>שרואה</w:t>
      </w:r>
      <w:r w:rsidRPr="00AD451B">
        <w:rPr>
          <w:rFonts w:ascii="David" w:hAnsi="David" w:cs="David"/>
          <w:color w:val="000000" w:themeColor="text1"/>
          <w:sz w:val="24"/>
          <w:szCs w:val="24"/>
          <w:rtl/>
        </w:rPr>
        <w:t xml:space="preserve"> </w:t>
      </w:r>
      <w:r w:rsidRPr="00AD451B">
        <w:rPr>
          <w:rFonts w:ascii="David" w:hAnsi="David" w:cs="David"/>
          <w:color w:val="000000" w:themeColor="text1"/>
          <w:sz w:val="24"/>
          <w:szCs w:val="24"/>
          <w:rtl/>
          <w:lang w:bidi="he-IL"/>
        </w:rPr>
        <w:t>את</w:t>
      </w:r>
      <w:r w:rsidRPr="00AD451B">
        <w:rPr>
          <w:rFonts w:ascii="David" w:hAnsi="David" w:cs="David"/>
          <w:color w:val="000000" w:themeColor="text1"/>
          <w:sz w:val="24"/>
          <w:szCs w:val="24"/>
          <w:rtl/>
        </w:rPr>
        <w:t xml:space="preserve"> </w:t>
      </w:r>
      <w:r w:rsidRPr="00AD451B">
        <w:rPr>
          <w:rFonts w:ascii="David" w:hAnsi="David" w:cs="David"/>
          <w:color w:val="000000" w:themeColor="text1"/>
          <w:sz w:val="24"/>
          <w:szCs w:val="24"/>
          <w:rtl/>
          <w:lang w:bidi="he-IL"/>
        </w:rPr>
        <w:t>התרבות</w:t>
      </w:r>
      <w:r w:rsidRPr="00AD451B">
        <w:rPr>
          <w:rFonts w:ascii="David" w:hAnsi="David" w:cs="David"/>
          <w:color w:val="000000" w:themeColor="text1"/>
          <w:sz w:val="24"/>
          <w:szCs w:val="24"/>
          <w:rtl/>
        </w:rPr>
        <w:t xml:space="preserve"> </w:t>
      </w:r>
      <w:r w:rsidRPr="00AD451B">
        <w:rPr>
          <w:rFonts w:ascii="David" w:hAnsi="David" w:cs="David"/>
          <w:color w:val="000000" w:themeColor="text1"/>
          <w:sz w:val="24"/>
          <w:szCs w:val="24"/>
          <w:rtl/>
          <w:lang w:bidi="he-IL"/>
        </w:rPr>
        <w:t>הלאומית</w:t>
      </w:r>
      <w:r w:rsidRPr="00AD451B">
        <w:rPr>
          <w:rFonts w:ascii="David" w:hAnsi="David" w:cs="David"/>
          <w:color w:val="000000" w:themeColor="text1"/>
          <w:sz w:val="24"/>
          <w:szCs w:val="24"/>
          <w:rtl/>
        </w:rPr>
        <w:t xml:space="preserve"> </w:t>
      </w:r>
      <w:r w:rsidRPr="00AD451B">
        <w:rPr>
          <w:rFonts w:ascii="David" w:hAnsi="David" w:cs="David"/>
          <w:color w:val="000000" w:themeColor="text1"/>
          <w:sz w:val="24"/>
          <w:szCs w:val="24"/>
          <w:rtl/>
          <w:lang w:bidi="he-IL"/>
        </w:rPr>
        <w:t>של</w:t>
      </w:r>
      <w:r w:rsidRPr="00AD451B">
        <w:rPr>
          <w:rFonts w:ascii="David" w:hAnsi="David" w:cs="David"/>
          <w:color w:val="000000" w:themeColor="text1"/>
          <w:sz w:val="24"/>
          <w:szCs w:val="24"/>
          <w:rtl/>
        </w:rPr>
        <w:t xml:space="preserve"> </w:t>
      </w:r>
      <w:r w:rsidRPr="00AD451B">
        <w:rPr>
          <w:rFonts w:ascii="David" w:hAnsi="David" w:cs="David"/>
          <w:color w:val="000000" w:themeColor="text1"/>
          <w:sz w:val="24"/>
          <w:szCs w:val="24"/>
          <w:rtl/>
          <w:lang w:bidi="he-IL"/>
        </w:rPr>
        <w:t>העם</w:t>
      </w:r>
      <w:r w:rsidRPr="00AD451B">
        <w:rPr>
          <w:rFonts w:ascii="David" w:hAnsi="David" w:cs="David"/>
          <w:color w:val="000000" w:themeColor="text1"/>
          <w:sz w:val="24"/>
          <w:szCs w:val="24"/>
          <w:rtl/>
        </w:rPr>
        <w:t xml:space="preserve"> </w:t>
      </w:r>
      <w:r w:rsidRPr="00AD451B">
        <w:rPr>
          <w:rFonts w:ascii="David" w:hAnsi="David" w:cs="David"/>
          <w:color w:val="000000" w:themeColor="text1"/>
          <w:sz w:val="24"/>
          <w:szCs w:val="24"/>
          <w:rtl/>
          <w:lang w:bidi="he-IL"/>
        </w:rPr>
        <w:t>כיוצרת</w:t>
      </w:r>
      <w:r w:rsidRPr="00AD451B">
        <w:rPr>
          <w:rFonts w:ascii="David" w:hAnsi="David" w:cs="David"/>
          <w:color w:val="000000" w:themeColor="text1"/>
          <w:sz w:val="24"/>
          <w:szCs w:val="24"/>
          <w:rtl/>
        </w:rPr>
        <w:t xml:space="preserve"> </w:t>
      </w:r>
      <w:r w:rsidRPr="00AD451B">
        <w:rPr>
          <w:rFonts w:ascii="David" w:hAnsi="David" w:cs="David"/>
          <w:color w:val="000000" w:themeColor="text1"/>
          <w:sz w:val="24"/>
          <w:szCs w:val="24"/>
          <w:rtl/>
          <w:lang w:bidi="he-IL"/>
        </w:rPr>
        <w:t>את</w:t>
      </w:r>
      <w:r w:rsidRPr="00AD451B">
        <w:rPr>
          <w:rFonts w:ascii="David" w:hAnsi="David" w:cs="David"/>
          <w:color w:val="000000" w:themeColor="text1"/>
          <w:sz w:val="24"/>
          <w:szCs w:val="24"/>
          <w:rtl/>
        </w:rPr>
        <w:t xml:space="preserve"> </w:t>
      </w:r>
      <w:r w:rsidRPr="00AD451B">
        <w:rPr>
          <w:rFonts w:ascii="David" w:hAnsi="David" w:cs="David"/>
          <w:color w:val="000000" w:themeColor="text1"/>
          <w:sz w:val="24"/>
          <w:szCs w:val="24"/>
          <w:rtl/>
          <w:lang w:bidi="he-IL"/>
        </w:rPr>
        <w:t>משפט</w:t>
      </w:r>
      <w:r w:rsidRPr="00AD451B">
        <w:rPr>
          <w:rFonts w:ascii="David" w:hAnsi="David" w:cs="David"/>
          <w:color w:val="000000" w:themeColor="text1"/>
          <w:sz w:val="24"/>
          <w:szCs w:val="24"/>
          <w:rtl/>
        </w:rPr>
        <w:t xml:space="preserve"> </w:t>
      </w:r>
      <w:r w:rsidRPr="00AD451B">
        <w:rPr>
          <w:rFonts w:ascii="David" w:hAnsi="David" w:cs="David"/>
          <w:color w:val="000000" w:themeColor="text1"/>
          <w:sz w:val="24"/>
          <w:szCs w:val="24"/>
          <w:rtl/>
          <w:lang w:bidi="he-IL"/>
        </w:rPr>
        <w:t>המדינה</w:t>
      </w:r>
      <w:r w:rsidRPr="00AD451B">
        <w:rPr>
          <w:rFonts w:ascii="David" w:hAnsi="David" w:cs="David"/>
          <w:color w:val="000000" w:themeColor="text1"/>
          <w:sz w:val="24"/>
          <w:szCs w:val="24"/>
          <w:rtl/>
        </w:rPr>
        <w:t xml:space="preserve">. </w:t>
      </w:r>
      <w:r w:rsidRPr="00AD451B">
        <w:rPr>
          <w:rFonts w:ascii="David" w:hAnsi="David" w:cs="David"/>
          <w:color w:val="000000" w:themeColor="text1"/>
          <w:sz w:val="24"/>
          <w:szCs w:val="24"/>
          <w:rtl/>
          <w:lang w:bidi="he-IL"/>
        </w:rPr>
        <w:t>לפי</w:t>
      </w:r>
      <w:r w:rsidRPr="00AD451B">
        <w:rPr>
          <w:rFonts w:ascii="David" w:hAnsi="David" w:cs="David"/>
          <w:color w:val="000000" w:themeColor="text1"/>
          <w:sz w:val="24"/>
          <w:szCs w:val="24"/>
          <w:rtl/>
        </w:rPr>
        <w:t xml:space="preserve"> </w:t>
      </w:r>
      <w:r w:rsidRPr="00AD451B">
        <w:rPr>
          <w:rFonts w:ascii="David" w:hAnsi="David" w:cs="David"/>
          <w:color w:val="000000" w:themeColor="text1"/>
          <w:sz w:val="24"/>
          <w:szCs w:val="24"/>
          <w:rtl/>
          <w:lang w:bidi="he-IL"/>
        </w:rPr>
        <w:t>גישה</w:t>
      </w:r>
      <w:r w:rsidRPr="00AD451B">
        <w:rPr>
          <w:rFonts w:ascii="David" w:hAnsi="David" w:cs="David"/>
          <w:color w:val="000000" w:themeColor="text1"/>
          <w:sz w:val="24"/>
          <w:szCs w:val="24"/>
          <w:rtl/>
        </w:rPr>
        <w:t xml:space="preserve"> </w:t>
      </w:r>
      <w:r w:rsidRPr="00AD451B">
        <w:rPr>
          <w:rFonts w:ascii="David" w:hAnsi="David" w:cs="David"/>
          <w:color w:val="000000" w:themeColor="text1"/>
          <w:sz w:val="24"/>
          <w:szCs w:val="24"/>
          <w:rtl/>
          <w:lang w:bidi="he-IL"/>
        </w:rPr>
        <w:t>זו</w:t>
      </w:r>
      <w:r w:rsidRPr="00AD451B">
        <w:rPr>
          <w:rFonts w:ascii="David" w:hAnsi="David" w:cs="David"/>
          <w:color w:val="000000" w:themeColor="text1"/>
          <w:sz w:val="24"/>
          <w:szCs w:val="24"/>
          <w:rtl/>
        </w:rPr>
        <w:t xml:space="preserve">, </w:t>
      </w:r>
      <w:r w:rsidRPr="00AD451B">
        <w:rPr>
          <w:rFonts w:ascii="David" w:hAnsi="David" w:cs="David"/>
          <w:color w:val="000000" w:themeColor="text1"/>
          <w:sz w:val="24"/>
          <w:szCs w:val="24"/>
          <w:rtl/>
          <w:lang w:bidi="he-IL"/>
        </w:rPr>
        <w:t>המשפט</w:t>
      </w:r>
      <w:r w:rsidRPr="00AD451B">
        <w:rPr>
          <w:rFonts w:ascii="David" w:hAnsi="David" w:cs="David"/>
          <w:color w:val="000000" w:themeColor="text1"/>
          <w:sz w:val="24"/>
          <w:szCs w:val="24"/>
          <w:rtl/>
        </w:rPr>
        <w:t xml:space="preserve"> </w:t>
      </w:r>
      <w:r w:rsidRPr="00AD451B">
        <w:rPr>
          <w:rFonts w:ascii="David" w:hAnsi="David" w:cs="David"/>
          <w:color w:val="000000" w:themeColor="text1"/>
          <w:sz w:val="24"/>
          <w:szCs w:val="24"/>
          <w:rtl/>
          <w:lang w:bidi="he-IL"/>
        </w:rPr>
        <w:t>מתחיל</w:t>
      </w:r>
      <w:r w:rsidRPr="00AD451B">
        <w:rPr>
          <w:rFonts w:ascii="David" w:hAnsi="David" w:cs="David"/>
          <w:color w:val="000000" w:themeColor="text1"/>
          <w:sz w:val="24"/>
          <w:szCs w:val="24"/>
          <w:rtl/>
        </w:rPr>
        <w:t xml:space="preserve"> </w:t>
      </w:r>
      <w:r w:rsidRPr="00AD451B">
        <w:rPr>
          <w:rFonts w:ascii="David" w:hAnsi="David" w:cs="David"/>
          <w:color w:val="000000" w:themeColor="text1"/>
          <w:sz w:val="24"/>
          <w:szCs w:val="24"/>
          <w:rtl/>
          <w:lang w:bidi="he-IL"/>
        </w:rPr>
        <w:t>בתרבות</w:t>
      </w:r>
      <w:r w:rsidRPr="00AD451B">
        <w:rPr>
          <w:rFonts w:ascii="David" w:hAnsi="David" w:cs="David"/>
          <w:color w:val="000000" w:themeColor="text1"/>
          <w:sz w:val="24"/>
          <w:szCs w:val="24"/>
          <w:rtl/>
        </w:rPr>
        <w:t xml:space="preserve"> </w:t>
      </w:r>
      <w:r w:rsidRPr="00AD451B">
        <w:rPr>
          <w:rFonts w:ascii="David" w:hAnsi="David" w:cs="David"/>
          <w:color w:val="000000" w:themeColor="text1"/>
          <w:sz w:val="24"/>
          <w:szCs w:val="24"/>
          <w:rtl/>
          <w:lang w:bidi="he-IL"/>
        </w:rPr>
        <w:t>ומסתיים</w:t>
      </w:r>
      <w:r w:rsidRPr="00AD451B">
        <w:rPr>
          <w:rFonts w:ascii="David" w:hAnsi="David" w:cs="David"/>
          <w:color w:val="000000" w:themeColor="text1"/>
          <w:sz w:val="24"/>
          <w:szCs w:val="24"/>
          <w:rtl/>
        </w:rPr>
        <w:t xml:space="preserve"> </w:t>
      </w:r>
      <w:r w:rsidRPr="00AD451B">
        <w:rPr>
          <w:rFonts w:ascii="David" w:hAnsi="David" w:cs="David"/>
          <w:color w:val="000000" w:themeColor="text1"/>
          <w:sz w:val="24"/>
          <w:szCs w:val="24"/>
          <w:rtl/>
          <w:lang w:bidi="he-IL"/>
        </w:rPr>
        <w:t>במשפט</w:t>
      </w:r>
      <w:r w:rsidRPr="00AD451B">
        <w:rPr>
          <w:rFonts w:ascii="David" w:hAnsi="David" w:cs="David"/>
          <w:color w:val="000000" w:themeColor="text1"/>
          <w:sz w:val="24"/>
          <w:szCs w:val="24"/>
          <w:rtl/>
        </w:rPr>
        <w:t xml:space="preserve"> </w:t>
      </w:r>
      <w:r w:rsidRPr="00AD451B">
        <w:rPr>
          <w:rFonts w:ascii="David" w:hAnsi="David" w:cs="David"/>
          <w:color w:val="000000" w:themeColor="text1"/>
          <w:sz w:val="24"/>
          <w:szCs w:val="24"/>
          <w:rtl/>
          <w:lang w:bidi="he-IL"/>
        </w:rPr>
        <w:t>המדינה</w:t>
      </w:r>
      <w:r w:rsidRPr="00AD451B">
        <w:rPr>
          <w:rFonts w:ascii="David" w:hAnsi="David" w:cs="David"/>
          <w:color w:val="000000" w:themeColor="text1"/>
          <w:sz w:val="24"/>
          <w:szCs w:val="24"/>
          <w:rtl/>
        </w:rPr>
        <w:t xml:space="preserve">. </w:t>
      </w:r>
      <w:r w:rsidRPr="00AD451B">
        <w:rPr>
          <w:rFonts w:ascii="David" w:hAnsi="David" w:cs="David"/>
          <w:color w:val="000000" w:themeColor="text1"/>
          <w:sz w:val="24"/>
          <w:szCs w:val="24"/>
          <w:rtl/>
          <w:lang w:bidi="he-IL"/>
        </w:rPr>
        <w:t>הטענה</w:t>
      </w:r>
      <w:r w:rsidRPr="00AD451B">
        <w:rPr>
          <w:rFonts w:ascii="David" w:hAnsi="David" w:cs="David"/>
          <w:color w:val="000000" w:themeColor="text1"/>
          <w:sz w:val="24"/>
          <w:szCs w:val="24"/>
          <w:rtl/>
        </w:rPr>
        <w:t xml:space="preserve"> </w:t>
      </w:r>
      <w:r w:rsidRPr="00AD451B">
        <w:rPr>
          <w:rFonts w:ascii="David" w:hAnsi="David" w:cs="David"/>
          <w:color w:val="000000" w:themeColor="text1"/>
          <w:sz w:val="24"/>
          <w:szCs w:val="24"/>
          <w:rtl/>
          <w:lang w:bidi="he-IL"/>
        </w:rPr>
        <w:t>המרכזית</w:t>
      </w:r>
      <w:r w:rsidRPr="00AD451B">
        <w:rPr>
          <w:rFonts w:ascii="David" w:hAnsi="David" w:cs="David"/>
          <w:color w:val="000000" w:themeColor="text1"/>
          <w:sz w:val="24"/>
          <w:szCs w:val="24"/>
          <w:rtl/>
        </w:rPr>
        <w:t xml:space="preserve"> </w:t>
      </w:r>
      <w:r w:rsidRPr="00AD451B">
        <w:rPr>
          <w:rFonts w:ascii="David" w:hAnsi="David" w:cs="David"/>
          <w:color w:val="000000" w:themeColor="text1"/>
          <w:sz w:val="24"/>
          <w:szCs w:val="24"/>
          <w:rtl/>
          <w:lang w:bidi="he-IL"/>
        </w:rPr>
        <w:t>של</w:t>
      </w:r>
      <w:r w:rsidRPr="00AD451B">
        <w:rPr>
          <w:rFonts w:ascii="David" w:hAnsi="David" w:cs="David"/>
          <w:color w:val="000000" w:themeColor="text1"/>
          <w:sz w:val="24"/>
          <w:szCs w:val="24"/>
          <w:rtl/>
        </w:rPr>
        <w:t xml:space="preserve"> </w:t>
      </w:r>
      <w:r w:rsidRPr="00AD451B">
        <w:rPr>
          <w:rFonts w:ascii="David" w:hAnsi="David" w:cs="David"/>
          <w:color w:val="000000" w:themeColor="text1"/>
          <w:sz w:val="24"/>
          <w:szCs w:val="24"/>
          <w:rtl/>
          <w:lang w:bidi="he-IL"/>
        </w:rPr>
        <w:t>גישה</w:t>
      </w:r>
      <w:r w:rsidRPr="00AD451B">
        <w:rPr>
          <w:rFonts w:ascii="David" w:hAnsi="David" w:cs="David"/>
          <w:color w:val="000000" w:themeColor="text1"/>
          <w:sz w:val="24"/>
          <w:szCs w:val="24"/>
          <w:rtl/>
        </w:rPr>
        <w:t xml:space="preserve"> </w:t>
      </w:r>
      <w:r w:rsidRPr="00AD451B">
        <w:rPr>
          <w:rFonts w:ascii="David" w:hAnsi="David" w:cs="David"/>
          <w:color w:val="000000" w:themeColor="text1"/>
          <w:sz w:val="24"/>
          <w:szCs w:val="24"/>
          <w:rtl/>
          <w:lang w:bidi="he-IL"/>
        </w:rPr>
        <w:t>זו</w:t>
      </w:r>
      <w:r w:rsidRPr="00AD451B">
        <w:rPr>
          <w:rFonts w:ascii="David" w:hAnsi="David" w:cs="David"/>
          <w:color w:val="000000" w:themeColor="text1"/>
          <w:sz w:val="24"/>
          <w:szCs w:val="24"/>
          <w:rtl/>
        </w:rPr>
        <w:t xml:space="preserve"> </w:t>
      </w:r>
      <w:r w:rsidRPr="00AD451B">
        <w:rPr>
          <w:rFonts w:ascii="David" w:hAnsi="David" w:cs="David"/>
          <w:color w:val="000000" w:themeColor="text1"/>
          <w:sz w:val="24"/>
          <w:szCs w:val="24"/>
          <w:rtl/>
          <w:lang w:bidi="he-IL"/>
        </w:rPr>
        <w:t>היא</w:t>
      </w:r>
      <w:r w:rsidRPr="00AD451B">
        <w:rPr>
          <w:rFonts w:ascii="David" w:hAnsi="David" w:cs="David"/>
          <w:color w:val="000000" w:themeColor="text1"/>
          <w:sz w:val="24"/>
          <w:szCs w:val="24"/>
          <w:rtl/>
        </w:rPr>
        <w:t xml:space="preserve"> </w:t>
      </w:r>
      <w:r w:rsidRPr="00AD451B">
        <w:rPr>
          <w:rFonts w:ascii="David" w:hAnsi="David" w:cs="David"/>
          <w:color w:val="000000" w:themeColor="text1"/>
          <w:sz w:val="24"/>
          <w:szCs w:val="24"/>
          <w:rtl/>
          <w:lang w:bidi="he-IL"/>
        </w:rPr>
        <w:t>שהמשפט</w:t>
      </w:r>
      <w:r w:rsidRPr="00AD451B">
        <w:rPr>
          <w:rFonts w:ascii="David" w:hAnsi="David" w:cs="David"/>
          <w:color w:val="000000" w:themeColor="text1"/>
          <w:sz w:val="24"/>
          <w:szCs w:val="24"/>
          <w:rtl/>
        </w:rPr>
        <w:t xml:space="preserve"> </w:t>
      </w:r>
      <w:r w:rsidRPr="00AD451B">
        <w:rPr>
          <w:rFonts w:ascii="David" w:hAnsi="David" w:cs="David"/>
          <w:color w:val="000000" w:themeColor="text1"/>
          <w:sz w:val="24"/>
          <w:szCs w:val="24"/>
          <w:rtl/>
          <w:lang w:bidi="he-IL"/>
        </w:rPr>
        <w:t>נוצר</w:t>
      </w:r>
      <w:r w:rsidRPr="00AD451B">
        <w:rPr>
          <w:rFonts w:ascii="David" w:hAnsi="David" w:cs="David"/>
          <w:color w:val="000000" w:themeColor="text1"/>
          <w:sz w:val="24"/>
          <w:szCs w:val="24"/>
          <w:rtl/>
        </w:rPr>
        <w:t xml:space="preserve"> </w:t>
      </w:r>
      <w:r w:rsidRPr="00AD451B">
        <w:rPr>
          <w:rFonts w:ascii="David" w:hAnsi="David" w:cs="David"/>
          <w:color w:val="000000" w:themeColor="text1"/>
          <w:sz w:val="24"/>
          <w:szCs w:val="24"/>
          <w:rtl/>
          <w:lang w:bidi="he-IL"/>
        </w:rPr>
        <w:t>בחיי</w:t>
      </w:r>
      <w:r w:rsidRPr="00AD451B">
        <w:rPr>
          <w:rFonts w:ascii="David" w:hAnsi="David" w:cs="David"/>
          <w:color w:val="000000" w:themeColor="text1"/>
          <w:sz w:val="24"/>
          <w:szCs w:val="24"/>
          <w:rtl/>
        </w:rPr>
        <w:t xml:space="preserve"> </w:t>
      </w:r>
      <w:r w:rsidRPr="00AD451B">
        <w:rPr>
          <w:rFonts w:ascii="David" w:hAnsi="David" w:cs="David"/>
          <w:color w:val="000000" w:themeColor="text1"/>
          <w:sz w:val="24"/>
          <w:szCs w:val="24"/>
          <w:rtl/>
          <w:lang w:bidi="he-IL"/>
        </w:rPr>
        <w:t>היום</w:t>
      </w:r>
      <w:r w:rsidRPr="00AD451B">
        <w:rPr>
          <w:rFonts w:ascii="David" w:hAnsi="David" w:cs="David" w:hint="eastAsia"/>
          <w:color w:val="000000" w:themeColor="text1"/>
          <w:sz w:val="24"/>
          <w:szCs w:val="24"/>
          <w:rtl/>
          <w:lang w:bidi="he-IL"/>
        </w:rPr>
        <w:t>־</w:t>
      </w:r>
      <w:r w:rsidRPr="00AD451B">
        <w:rPr>
          <w:rFonts w:ascii="David" w:hAnsi="David" w:cs="David"/>
          <w:color w:val="000000" w:themeColor="text1"/>
          <w:sz w:val="24"/>
          <w:szCs w:val="24"/>
          <w:rtl/>
          <w:lang w:bidi="he-IL"/>
        </w:rPr>
        <w:t>יום</w:t>
      </w:r>
      <w:r w:rsidRPr="00AD451B">
        <w:rPr>
          <w:rFonts w:ascii="David" w:hAnsi="David" w:cs="David"/>
          <w:color w:val="000000" w:themeColor="text1"/>
          <w:sz w:val="24"/>
          <w:szCs w:val="24"/>
          <w:rtl/>
        </w:rPr>
        <w:t xml:space="preserve"> </w:t>
      </w:r>
      <w:r w:rsidRPr="00AD451B">
        <w:rPr>
          <w:rFonts w:ascii="David" w:hAnsi="David" w:cs="David"/>
          <w:color w:val="000000" w:themeColor="text1"/>
          <w:sz w:val="24"/>
          <w:szCs w:val="24"/>
          <w:rtl/>
          <w:lang w:bidi="he-IL"/>
        </w:rPr>
        <w:t>של</w:t>
      </w:r>
      <w:r w:rsidRPr="00AD451B">
        <w:rPr>
          <w:rFonts w:ascii="David" w:hAnsi="David" w:cs="David"/>
          <w:color w:val="000000" w:themeColor="text1"/>
          <w:sz w:val="24"/>
          <w:szCs w:val="24"/>
          <w:rtl/>
        </w:rPr>
        <w:t xml:space="preserve"> </w:t>
      </w:r>
      <w:r w:rsidRPr="00AD451B">
        <w:rPr>
          <w:rFonts w:ascii="David" w:hAnsi="David" w:cs="David"/>
          <w:color w:val="000000" w:themeColor="text1"/>
          <w:sz w:val="24"/>
          <w:szCs w:val="24"/>
          <w:rtl/>
          <w:lang w:bidi="he-IL"/>
        </w:rPr>
        <w:t>העם</w:t>
      </w:r>
      <w:r w:rsidRPr="00AD451B">
        <w:rPr>
          <w:rFonts w:ascii="David" w:hAnsi="David" w:cs="David"/>
          <w:color w:val="000000" w:themeColor="text1"/>
          <w:sz w:val="24"/>
          <w:szCs w:val="24"/>
          <w:rtl/>
        </w:rPr>
        <w:t xml:space="preserve">, </w:t>
      </w:r>
      <w:r w:rsidRPr="00AD451B">
        <w:rPr>
          <w:rFonts w:ascii="David" w:hAnsi="David" w:cs="David"/>
          <w:color w:val="000000" w:themeColor="text1"/>
          <w:sz w:val="24"/>
          <w:szCs w:val="24"/>
          <w:rtl/>
          <w:lang w:bidi="he-IL"/>
        </w:rPr>
        <w:t>והוא</w:t>
      </w:r>
      <w:r w:rsidRPr="00AD451B">
        <w:rPr>
          <w:rFonts w:ascii="David" w:hAnsi="David" w:cs="David"/>
          <w:color w:val="000000" w:themeColor="text1"/>
          <w:sz w:val="24"/>
          <w:szCs w:val="24"/>
          <w:rtl/>
        </w:rPr>
        <w:t xml:space="preserve"> </w:t>
      </w:r>
      <w:r w:rsidRPr="00AD451B">
        <w:rPr>
          <w:rFonts w:ascii="David" w:hAnsi="David" w:cs="David"/>
          <w:color w:val="000000" w:themeColor="text1"/>
          <w:sz w:val="24"/>
          <w:szCs w:val="24"/>
          <w:rtl/>
          <w:lang w:bidi="he-IL"/>
        </w:rPr>
        <w:t>ממוקם</w:t>
      </w:r>
      <w:r w:rsidRPr="00AD451B">
        <w:rPr>
          <w:rFonts w:ascii="David" w:hAnsi="David" w:cs="David"/>
          <w:color w:val="000000" w:themeColor="text1"/>
          <w:sz w:val="24"/>
          <w:szCs w:val="24"/>
          <w:rtl/>
        </w:rPr>
        <w:t xml:space="preserve"> </w:t>
      </w:r>
      <w:r w:rsidRPr="00AD451B">
        <w:rPr>
          <w:rFonts w:ascii="David" w:hAnsi="David" w:cs="David"/>
          <w:color w:val="000000" w:themeColor="text1"/>
          <w:sz w:val="24"/>
          <w:szCs w:val="24"/>
          <w:rtl/>
          <w:lang w:bidi="he-IL"/>
        </w:rPr>
        <w:t>בתרבות</w:t>
      </w:r>
      <w:r w:rsidRPr="00AD451B">
        <w:rPr>
          <w:rFonts w:ascii="David" w:hAnsi="David" w:cs="David" w:hint="eastAsia"/>
          <w:color w:val="000000" w:themeColor="text1"/>
          <w:sz w:val="24"/>
          <w:szCs w:val="24"/>
          <w:rtl/>
          <w:lang w:bidi="he-IL"/>
        </w:rPr>
        <w:t>ו</w:t>
      </w:r>
      <w:r w:rsidRPr="00AD451B">
        <w:rPr>
          <w:rFonts w:ascii="David" w:hAnsi="David" w:cs="David"/>
          <w:color w:val="000000" w:themeColor="text1"/>
          <w:sz w:val="24"/>
          <w:szCs w:val="24"/>
          <w:rtl/>
        </w:rPr>
        <w:t xml:space="preserve">.   </w:t>
      </w:r>
    </w:p>
    <w:p w:rsidR="006E285E" w:rsidRPr="00AD451B" w:rsidRDefault="006E285E" w:rsidP="006E285E">
      <w:pPr>
        <w:bidi/>
        <w:spacing w:before="120" w:after="120" w:line="360" w:lineRule="auto"/>
        <w:ind w:firstLine="284"/>
        <w:jc w:val="both"/>
        <w:rPr>
          <w:rFonts w:ascii="David" w:hAnsi="David" w:cs="David"/>
          <w:color w:val="000000" w:themeColor="text1"/>
          <w:szCs w:val="24"/>
          <w:rtl/>
        </w:rPr>
      </w:pPr>
      <w:r w:rsidRPr="00AD451B">
        <w:rPr>
          <w:rFonts w:ascii="David" w:hAnsi="David" w:cs="David"/>
          <w:color w:val="000000" w:themeColor="text1"/>
          <w:sz w:val="24"/>
          <w:szCs w:val="24"/>
          <w:rtl/>
          <w:lang w:bidi="he-IL"/>
        </w:rPr>
        <w:t>תפיסה</w:t>
      </w:r>
      <w:r w:rsidRPr="00AD451B">
        <w:rPr>
          <w:rFonts w:ascii="David" w:hAnsi="David" w:cs="David"/>
          <w:color w:val="000000" w:themeColor="text1"/>
          <w:sz w:val="24"/>
          <w:szCs w:val="24"/>
          <w:rtl/>
        </w:rPr>
        <w:t xml:space="preserve"> </w:t>
      </w:r>
      <w:r w:rsidRPr="00AD451B">
        <w:rPr>
          <w:rFonts w:ascii="David" w:hAnsi="David" w:cs="David"/>
          <w:color w:val="000000" w:themeColor="text1"/>
          <w:sz w:val="24"/>
          <w:szCs w:val="24"/>
          <w:rtl/>
          <w:lang w:bidi="he-IL"/>
        </w:rPr>
        <w:t>זו</w:t>
      </w:r>
      <w:r w:rsidRPr="00AD451B">
        <w:rPr>
          <w:rFonts w:ascii="David" w:hAnsi="David" w:cs="David"/>
          <w:color w:val="000000" w:themeColor="text1"/>
          <w:sz w:val="24"/>
          <w:szCs w:val="24"/>
          <w:rtl/>
        </w:rPr>
        <w:t xml:space="preserve"> </w:t>
      </w:r>
      <w:r w:rsidRPr="00AD451B">
        <w:rPr>
          <w:rFonts w:ascii="David" w:hAnsi="David" w:cs="David"/>
          <w:color w:val="000000" w:themeColor="text1"/>
          <w:sz w:val="24"/>
          <w:szCs w:val="24"/>
          <w:rtl/>
          <w:lang w:bidi="he-IL"/>
        </w:rPr>
        <w:t>של</w:t>
      </w:r>
      <w:r w:rsidRPr="00AD451B">
        <w:rPr>
          <w:rFonts w:ascii="David" w:hAnsi="David" w:cs="David"/>
          <w:color w:val="000000" w:themeColor="text1"/>
          <w:sz w:val="24"/>
          <w:szCs w:val="24"/>
          <w:rtl/>
        </w:rPr>
        <w:t xml:space="preserve"> </w:t>
      </w:r>
      <w:r w:rsidRPr="00AD451B">
        <w:rPr>
          <w:rFonts w:ascii="David" w:hAnsi="David" w:cs="David"/>
          <w:color w:val="000000" w:themeColor="text1"/>
          <w:sz w:val="24"/>
          <w:szCs w:val="24"/>
          <w:rtl/>
          <w:lang w:bidi="he-IL"/>
        </w:rPr>
        <w:t>הקשר</w:t>
      </w:r>
      <w:r w:rsidRPr="00AD451B">
        <w:rPr>
          <w:rFonts w:ascii="David" w:hAnsi="David" w:cs="David"/>
          <w:color w:val="000000" w:themeColor="text1"/>
          <w:sz w:val="24"/>
          <w:szCs w:val="24"/>
          <w:rtl/>
        </w:rPr>
        <w:t xml:space="preserve"> </w:t>
      </w:r>
      <w:r w:rsidRPr="00AD451B">
        <w:rPr>
          <w:rFonts w:ascii="David" w:hAnsi="David" w:cs="David"/>
          <w:color w:val="000000" w:themeColor="text1"/>
          <w:sz w:val="24"/>
          <w:szCs w:val="24"/>
          <w:rtl/>
          <w:lang w:bidi="he-IL"/>
        </w:rPr>
        <w:t>שבין</w:t>
      </w:r>
      <w:r w:rsidRPr="00AD451B">
        <w:rPr>
          <w:rFonts w:ascii="David" w:hAnsi="David" w:cs="David"/>
          <w:color w:val="000000" w:themeColor="text1"/>
          <w:sz w:val="24"/>
          <w:szCs w:val="24"/>
          <w:rtl/>
        </w:rPr>
        <w:t xml:space="preserve"> </w:t>
      </w:r>
      <w:r w:rsidRPr="00AD451B">
        <w:rPr>
          <w:rFonts w:ascii="David" w:hAnsi="David" w:cs="David"/>
          <w:color w:val="000000" w:themeColor="text1"/>
          <w:sz w:val="24"/>
          <w:szCs w:val="24"/>
          <w:rtl/>
          <w:lang w:bidi="he-IL"/>
        </w:rPr>
        <w:t>התרבות</w:t>
      </w:r>
      <w:r w:rsidRPr="00AD451B">
        <w:rPr>
          <w:rFonts w:ascii="David" w:hAnsi="David" w:cs="David"/>
          <w:color w:val="000000" w:themeColor="text1"/>
          <w:sz w:val="24"/>
          <w:szCs w:val="24"/>
          <w:rtl/>
        </w:rPr>
        <w:t xml:space="preserve"> </w:t>
      </w:r>
      <w:r w:rsidRPr="00AD451B">
        <w:rPr>
          <w:rFonts w:ascii="David" w:hAnsi="David" w:cs="David"/>
          <w:color w:val="000000" w:themeColor="text1"/>
          <w:sz w:val="24"/>
          <w:szCs w:val="24"/>
          <w:rtl/>
          <w:lang w:bidi="he-IL"/>
        </w:rPr>
        <w:t>והמשפט</w:t>
      </w:r>
      <w:r w:rsidRPr="00AD451B">
        <w:rPr>
          <w:rFonts w:ascii="David" w:hAnsi="David" w:cs="David"/>
          <w:color w:val="000000" w:themeColor="text1"/>
          <w:sz w:val="24"/>
          <w:szCs w:val="24"/>
          <w:rtl/>
        </w:rPr>
        <w:t xml:space="preserve"> </w:t>
      </w:r>
      <w:r w:rsidRPr="00AD451B">
        <w:rPr>
          <w:rFonts w:ascii="David" w:hAnsi="David" w:cs="David"/>
          <w:color w:val="000000" w:themeColor="text1"/>
          <w:sz w:val="24"/>
          <w:szCs w:val="24"/>
          <w:rtl/>
          <w:lang w:bidi="he-IL"/>
        </w:rPr>
        <w:t>עומדת</w:t>
      </w:r>
      <w:r w:rsidRPr="00AD451B">
        <w:rPr>
          <w:rFonts w:ascii="David" w:hAnsi="David" w:cs="David"/>
          <w:color w:val="000000" w:themeColor="text1"/>
          <w:sz w:val="24"/>
          <w:szCs w:val="24"/>
          <w:rtl/>
        </w:rPr>
        <w:t xml:space="preserve"> </w:t>
      </w:r>
      <w:r w:rsidRPr="00AD451B">
        <w:rPr>
          <w:rFonts w:ascii="David" w:hAnsi="David" w:cs="David"/>
          <w:color w:val="000000" w:themeColor="text1"/>
          <w:sz w:val="24"/>
          <w:szCs w:val="24"/>
          <w:rtl/>
          <w:lang w:bidi="he-IL"/>
        </w:rPr>
        <w:t>ביסוד</w:t>
      </w:r>
      <w:r w:rsidRPr="00AD451B">
        <w:rPr>
          <w:rFonts w:ascii="David" w:hAnsi="David" w:cs="David"/>
          <w:color w:val="000000" w:themeColor="text1"/>
          <w:sz w:val="24"/>
          <w:szCs w:val="24"/>
          <w:rtl/>
        </w:rPr>
        <w:t xml:space="preserve"> </w:t>
      </w:r>
      <w:r w:rsidRPr="00AD451B">
        <w:rPr>
          <w:rFonts w:ascii="David" w:hAnsi="David" w:cs="David"/>
          <w:color w:val="000000" w:themeColor="text1"/>
          <w:sz w:val="24"/>
          <w:szCs w:val="24"/>
          <w:rtl/>
          <w:lang w:bidi="he-IL"/>
        </w:rPr>
        <w:t>פעולתה</w:t>
      </w:r>
      <w:r w:rsidRPr="00AD451B">
        <w:rPr>
          <w:rFonts w:ascii="David" w:hAnsi="David" w:cs="David"/>
          <w:color w:val="000000" w:themeColor="text1"/>
          <w:sz w:val="24"/>
          <w:szCs w:val="24"/>
          <w:rtl/>
        </w:rPr>
        <w:t xml:space="preserve"> </w:t>
      </w:r>
      <w:r w:rsidRPr="00AD451B">
        <w:rPr>
          <w:rFonts w:ascii="David" w:hAnsi="David" w:cs="David"/>
          <w:color w:val="000000" w:themeColor="text1"/>
          <w:sz w:val="24"/>
          <w:szCs w:val="24"/>
          <w:rtl/>
          <w:lang w:bidi="he-IL"/>
        </w:rPr>
        <w:t>של</w:t>
      </w:r>
      <w:r w:rsidRPr="00AD451B">
        <w:rPr>
          <w:rFonts w:ascii="David" w:hAnsi="David" w:cs="David"/>
          <w:color w:val="000000" w:themeColor="text1"/>
          <w:sz w:val="24"/>
          <w:szCs w:val="24"/>
          <w:rtl/>
        </w:rPr>
        <w:t xml:space="preserve"> </w:t>
      </w:r>
      <w:r w:rsidRPr="00AD451B">
        <w:rPr>
          <w:rFonts w:ascii="David" w:hAnsi="David" w:cs="David"/>
          <w:color w:val="000000" w:themeColor="text1"/>
          <w:sz w:val="24"/>
          <w:szCs w:val="24"/>
          <w:rtl/>
          <w:lang w:bidi="he-IL"/>
        </w:rPr>
        <w:t>האסכולה</w:t>
      </w:r>
      <w:r w:rsidRPr="00AD451B">
        <w:rPr>
          <w:rFonts w:ascii="David" w:hAnsi="David" w:cs="David"/>
          <w:color w:val="000000" w:themeColor="text1"/>
          <w:sz w:val="24"/>
          <w:szCs w:val="24"/>
          <w:rtl/>
        </w:rPr>
        <w:t xml:space="preserve"> </w:t>
      </w:r>
      <w:r w:rsidRPr="00AD451B">
        <w:rPr>
          <w:rFonts w:ascii="David" w:hAnsi="David" w:cs="David"/>
          <w:color w:val="000000" w:themeColor="text1"/>
          <w:sz w:val="24"/>
          <w:szCs w:val="24"/>
          <w:rtl/>
          <w:lang w:bidi="he-IL"/>
        </w:rPr>
        <w:t>ההיסטורית</w:t>
      </w:r>
      <w:r w:rsidRPr="00AD451B">
        <w:rPr>
          <w:rFonts w:ascii="David" w:hAnsi="David" w:cs="David"/>
          <w:color w:val="000000" w:themeColor="text1"/>
          <w:sz w:val="24"/>
          <w:szCs w:val="24"/>
          <w:rtl/>
        </w:rPr>
        <w:t xml:space="preserve"> </w:t>
      </w:r>
      <w:r w:rsidRPr="00AD451B">
        <w:rPr>
          <w:rFonts w:ascii="David" w:hAnsi="David" w:cs="David"/>
          <w:color w:val="000000" w:themeColor="text1"/>
          <w:sz w:val="24"/>
          <w:szCs w:val="24"/>
          <w:rtl/>
          <w:lang w:bidi="he-IL"/>
        </w:rPr>
        <w:t>של</w:t>
      </w:r>
      <w:r w:rsidRPr="00AD451B">
        <w:rPr>
          <w:rFonts w:ascii="David" w:hAnsi="David" w:cs="David"/>
          <w:color w:val="000000" w:themeColor="text1"/>
          <w:sz w:val="24"/>
          <w:szCs w:val="24"/>
          <w:rtl/>
        </w:rPr>
        <w:t xml:space="preserve"> </w:t>
      </w:r>
      <w:r w:rsidRPr="00AD451B">
        <w:rPr>
          <w:rFonts w:ascii="David" w:hAnsi="David" w:cs="David"/>
          <w:color w:val="000000" w:themeColor="text1"/>
          <w:sz w:val="24"/>
          <w:szCs w:val="24"/>
          <w:rtl/>
          <w:lang w:bidi="he-IL"/>
        </w:rPr>
        <w:t>המשפט</w:t>
      </w:r>
      <w:r w:rsidRPr="00AD451B">
        <w:rPr>
          <w:rFonts w:ascii="David" w:hAnsi="David" w:cs="David"/>
          <w:color w:val="000000" w:themeColor="text1"/>
          <w:sz w:val="24"/>
          <w:szCs w:val="24"/>
          <w:rtl/>
        </w:rPr>
        <w:t xml:space="preserve">, </w:t>
      </w:r>
      <w:r w:rsidRPr="00AD451B">
        <w:rPr>
          <w:rFonts w:ascii="David" w:hAnsi="David" w:cs="David"/>
          <w:color w:val="000000" w:themeColor="text1"/>
          <w:sz w:val="24"/>
          <w:szCs w:val="24"/>
          <w:rtl/>
          <w:lang w:bidi="he-IL"/>
        </w:rPr>
        <w:t>והיא</w:t>
      </w:r>
      <w:r w:rsidRPr="00AD451B">
        <w:rPr>
          <w:rFonts w:ascii="David" w:hAnsi="David" w:cs="David"/>
          <w:color w:val="000000" w:themeColor="text1"/>
          <w:sz w:val="24"/>
          <w:szCs w:val="24"/>
          <w:rtl/>
        </w:rPr>
        <w:t xml:space="preserve"> </w:t>
      </w:r>
      <w:r w:rsidRPr="00AD451B">
        <w:rPr>
          <w:rFonts w:ascii="David" w:hAnsi="David" w:cs="David"/>
          <w:color w:val="000000" w:themeColor="text1"/>
          <w:sz w:val="24"/>
          <w:szCs w:val="24"/>
          <w:rtl/>
          <w:lang w:bidi="he-IL"/>
        </w:rPr>
        <w:t>מזוהה</w:t>
      </w:r>
      <w:r w:rsidRPr="00AD451B">
        <w:rPr>
          <w:rFonts w:ascii="David" w:hAnsi="David" w:cs="David"/>
          <w:color w:val="000000" w:themeColor="text1"/>
          <w:sz w:val="24"/>
          <w:szCs w:val="24"/>
          <w:rtl/>
        </w:rPr>
        <w:t xml:space="preserve"> </w:t>
      </w:r>
      <w:r w:rsidRPr="00AD451B">
        <w:rPr>
          <w:rFonts w:ascii="David" w:hAnsi="David" w:cs="David"/>
          <w:color w:val="000000" w:themeColor="text1"/>
          <w:sz w:val="24"/>
          <w:szCs w:val="24"/>
          <w:rtl/>
          <w:lang w:bidi="he-IL"/>
        </w:rPr>
        <w:t>עם</w:t>
      </w:r>
      <w:r w:rsidRPr="00AD451B">
        <w:rPr>
          <w:rFonts w:ascii="David" w:hAnsi="David" w:cs="David"/>
          <w:color w:val="000000" w:themeColor="text1"/>
          <w:sz w:val="24"/>
          <w:szCs w:val="24"/>
          <w:rtl/>
        </w:rPr>
        <w:t xml:space="preserve"> </w:t>
      </w:r>
      <w:r w:rsidRPr="00AD451B">
        <w:rPr>
          <w:rFonts w:ascii="David" w:hAnsi="David" w:cs="David"/>
          <w:color w:val="000000" w:themeColor="text1"/>
          <w:sz w:val="24"/>
          <w:szCs w:val="24"/>
          <w:rtl/>
          <w:lang w:bidi="he-IL"/>
        </w:rPr>
        <w:t>כתביו</w:t>
      </w:r>
      <w:r w:rsidRPr="00AD451B">
        <w:rPr>
          <w:rFonts w:ascii="David" w:hAnsi="David" w:cs="David"/>
          <w:color w:val="000000" w:themeColor="text1"/>
          <w:sz w:val="24"/>
          <w:szCs w:val="24"/>
          <w:rtl/>
        </w:rPr>
        <w:t xml:space="preserve"> </w:t>
      </w:r>
      <w:r w:rsidRPr="00AD451B">
        <w:rPr>
          <w:rFonts w:ascii="David" w:hAnsi="David" w:cs="David"/>
          <w:color w:val="000000" w:themeColor="text1"/>
          <w:sz w:val="24"/>
          <w:szCs w:val="24"/>
          <w:rtl/>
          <w:lang w:bidi="he-IL"/>
        </w:rPr>
        <w:t>של</w:t>
      </w:r>
      <w:r w:rsidRPr="00AD451B">
        <w:rPr>
          <w:rFonts w:ascii="David" w:hAnsi="David" w:cs="David"/>
          <w:color w:val="000000" w:themeColor="text1"/>
          <w:sz w:val="24"/>
          <w:szCs w:val="24"/>
          <w:rtl/>
        </w:rPr>
        <w:t xml:space="preserve"> </w:t>
      </w:r>
      <w:r w:rsidRPr="00AD451B">
        <w:rPr>
          <w:rFonts w:ascii="David" w:hAnsi="David" w:cs="David"/>
          <w:color w:val="000000" w:themeColor="text1"/>
          <w:sz w:val="24"/>
          <w:szCs w:val="24"/>
          <w:rtl/>
          <w:lang w:bidi="he-IL"/>
        </w:rPr>
        <w:t>מייסדה</w:t>
      </w:r>
      <w:r w:rsidRPr="00AD451B">
        <w:rPr>
          <w:rFonts w:ascii="David" w:hAnsi="David" w:cs="David"/>
          <w:color w:val="000000" w:themeColor="text1"/>
          <w:sz w:val="24"/>
          <w:szCs w:val="24"/>
          <w:rtl/>
        </w:rPr>
        <w:t xml:space="preserve"> </w:t>
      </w:r>
      <w:r w:rsidRPr="00AD451B">
        <w:rPr>
          <w:rFonts w:ascii="David" w:hAnsi="David" w:cs="David"/>
          <w:color w:val="000000" w:themeColor="text1"/>
          <w:sz w:val="24"/>
          <w:szCs w:val="24"/>
          <w:rtl/>
          <w:lang w:bidi="he-IL"/>
        </w:rPr>
        <w:t>במשפט</w:t>
      </w:r>
      <w:r w:rsidRPr="00AD451B">
        <w:rPr>
          <w:rFonts w:ascii="David" w:hAnsi="David" w:cs="David"/>
          <w:color w:val="000000" w:themeColor="text1"/>
          <w:sz w:val="24"/>
          <w:szCs w:val="24"/>
          <w:rtl/>
        </w:rPr>
        <w:t xml:space="preserve"> </w:t>
      </w:r>
      <w:r w:rsidRPr="00AD451B">
        <w:rPr>
          <w:rFonts w:ascii="David" w:hAnsi="David" w:cs="David"/>
          <w:color w:val="000000" w:themeColor="text1"/>
          <w:sz w:val="24"/>
          <w:szCs w:val="24"/>
          <w:rtl/>
          <w:lang w:bidi="he-IL"/>
        </w:rPr>
        <w:t>הגרמני</w:t>
      </w:r>
      <w:r w:rsidRPr="00AD451B">
        <w:rPr>
          <w:rFonts w:ascii="David" w:hAnsi="David" w:cs="David"/>
          <w:color w:val="000000" w:themeColor="text1"/>
          <w:sz w:val="24"/>
          <w:szCs w:val="24"/>
          <w:rtl/>
        </w:rPr>
        <w:t xml:space="preserve">, </w:t>
      </w:r>
      <w:r w:rsidRPr="00AD451B">
        <w:rPr>
          <w:rFonts w:ascii="David" w:hAnsi="David" w:cs="David"/>
          <w:color w:val="000000" w:themeColor="text1"/>
          <w:sz w:val="24"/>
          <w:szCs w:val="24"/>
          <w:rtl/>
          <w:lang w:bidi="he-IL"/>
        </w:rPr>
        <w:t>פרידריך</w:t>
      </w:r>
      <w:r w:rsidRPr="00AD451B">
        <w:rPr>
          <w:rFonts w:ascii="David" w:hAnsi="David" w:cs="David"/>
          <w:color w:val="000000" w:themeColor="text1"/>
          <w:sz w:val="24"/>
          <w:szCs w:val="24"/>
          <w:rtl/>
        </w:rPr>
        <w:t xml:space="preserve"> </w:t>
      </w:r>
      <w:r w:rsidRPr="00AD451B">
        <w:rPr>
          <w:rFonts w:ascii="David" w:hAnsi="David" w:cs="David"/>
          <w:color w:val="000000" w:themeColor="text1"/>
          <w:sz w:val="24"/>
          <w:szCs w:val="24"/>
          <w:rtl/>
          <w:lang w:bidi="he-IL"/>
        </w:rPr>
        <w:t>קרל</w:t>
      </w:r>
      <w:r w:rsidRPr="00AD451B">
        <w:rPr>
          <w:rFonts w:ascii="David" w:hAnsi="David" w:cs="David"/>
          <w:color w:val="000000" w:themeColor="text1"/>
          <w:sz w:val="24"/>
          <w:szCs w:val="24"/>
          <w:rtl/>
        </w:rPr>
        <w:t xml:space="preserve"> </w:t>
      </w:r>
      <w:r w:rsidRPr="00AD451B">
        <w:rPr>
          <w:rFonts w:ascii="David" w:hAnsi="David" w:cs="David"/>
          <w:color w:val="000000" w:themeColor="text1"/>
          <w:sz w:val="24"/>
          <w:szCs w:val="24"/>
          <w:rtl/>
          <w:lang w:bidi="he-IL"/>
        </w:rPr>
        <w:t>פון</w:t>
      </w:r>
      <w:r w:rsidRPr="00AD451B">
        <w:rPr>
          <w:rFonts w:ascii="David" w:hAnsi="David" w:cs="David"/>
          <w:color w:val="000000" w:themeColor="text1"/>
          <w:sz w:val="24"/>
          <w:szCs w:val="24"/>
          <w:rtl/>
        </w:rPr>
        <w:t xml:space="preserve"> </w:t>
      </w:r>
      <w:proofErr w:type="spellStart"/>
      <w:r w:rsidRPr="00AD451B">
        <w:rPr>
          <w:rFonts w:ascii="David" w:hAnsi="David" w:cs="David"/>
          <w:color w:val="000000" w:themeColor="text1"/>
          <w:sz w:val="24"/>
          <w:szCs w:val="24"/>
          <w:rtl/>
          <w:lang w:bidi="he-IL"/>
        </w:rPr>
        <w:t>סאביני</w:t>
      </w:r>
      <w:proofErr w:type="spellEnd"/>
      <w:r w:rsidRPr="00AD451B">
        <w:rPr>
          <w:rFonts w:ascii="David" w:hAnsi="David" w:cs="David"/>
          <w:color w:val="000000" w:themeColor="text1"/>
          <w:sz w:val="24"/>
          <w:szCs w:val="24"/>
          <w:rtl/>
          <w:lang w:bidi="he-IL"/>
        </w:rPr>
        <w:t xml:space="preserve"> (</w:t>
      </w:r>
      <w:r w:rsidRPr="00AD451B">
        <w:rPr>
          <w:rFonts w:ascii="David" w:hAnsi="David" w:cs="David"/>
          <w:color w:val="000000" w:themeColor="text1"/>
          <w:sz w:val="24"/>
          <w:szCs w:val="24"/>
          <w:lang w:bidi="he-IL"/>
        </w:rPr>
        <w:t>Savigny</w:t>
      </w:r>
      <w:r w:rsidRPr="00AD451B">
        <w:rPr>
          <w:rFonts w:ascii="David" w:hAnsi="David" w:cs="David"/>
          <w:color w:val="000000" w:themeColor="text1"/>
          <w:sz w:val="24"/>
          <w:szCs w:val="24"/>
          <w:rtl/>
          <w:lang w:bidi="he-IL"/>
        </w:rPr>
        <w:t>)</w:t>
      </w:r>
      <w:r w:rsidRPr="00AD451B">
        <w:rPr>
          <w:rFonts w:ascii="David" w:hAnsi="David" w:cs="David"/>
          <w:color w:val="000000" w:themeColor="text1"/>
          <w:sz w:val="24"/>
          <w:szCs w:val="24"/>
          <w:rtl/>
        </w:rPr>
        <w:t xml:space="preserve">. </w:t>
      </w:r>
      <w:r w:rsidRPr="00AD451B">
        <w:rPr>
          <w:rFonts w:ascii="David" w:hAnsi="David" w:cs="David"/>
          <w:color w:val="000000" w:themeColor="text1"/>
          <w:szCs w:val="24"/>
          <w:rtl/>
          <w:lang w:bidi="he-IL"/>
        </w:rPr>
        <w:t>לפי</w:t>
      </w:r>
      <w:r w:rsidRPr="00AD451B">
        <w:rPr>
          <w:rFonts w:ascii="David" w:hAnsi="David" w:cs="David"/>
          <w:color w:val="000000" w:themeColor="text1"/>
          <w:szCs w:val="24"/>
          <w:rtl/>
        </w:rPr>
        <w:t xml:space="preserve"> </w:t>
      </w:r>
      <w:r w:rsidRPr="00AD451B">
        <w:rPr>
          <w:rFonts w:ascii="David" w:hAnsi="David" w:cs="David"/>
          <w:color w:val="000000" w:themeColor="text1"/>
          <w:szCs w:val="24"/>
          <w:rtl/>
          <w:lang w:bidi="he-IL"/>
        </w:rPr>
        <w:t>סאביני</w:t>
      </w:r>
      <w:r w:rsidRPr="00AD451B">
        <w:rPr>
          <w:rFonts w:ascii="David" w:hAnsi="David" w:cs="David"/>
          <w:color w:val="000000" w:themeColor="text1"/>
          <w:szCs w:val="24"/>
          <w:rtl/>
        </w:rPr>
        <w:t xml:space="preserve">, </w:t>
      </w:r>
      <w:r w:rsidRPr="00AD451B">
        <w:rPr>
          <w:rFonts w:ascii="David" w:hAnsi="David" w:cs="David"/>
          <w:color w:val="000000" w:themeColor="text1"/>
          <w:szCs w:val="24"/>
          <w:rtl/>
          <w:lang w:bidi="he-IL"/>
        </w:rPr>
        <w:t>המשפט</w:t>
      </w:r>
      <w:r w:rsidRPr="00AD451B">
        <w:rPr>
          <w:rFonts w:ascii="David" w:hAnsi="David" w:cs="David"/>
          <w:color w:val="000000" w:themeColor="text1"/>
          <w:szCs w:val="24"/>
          <w:rtl/>
        </w:rPr>
        <w:t xml:space="preserve"> </w:t>
      </w:r>
      <w:r w:rsidRPr="00AD451B">
        <w:rPr>
          <w:rFonts w:ascii="David" w:hAnsi="David" w:cs="David"/>
          <w:color w:val="000000" w:themeColor="text1"/>
          <w:szCs w:val="24"/>
          <w:rtl/>
          <w:lang w:bidi="he-IL"/>
        </w:rPr>
        <w:t>אינו</w:t>
      </w:r>
      <w:r w:rsidRPr="00AD451B">
        <w:rPr>
          <w:rFonts w:ascii="David" w:hAnsi="David" w:cs="David"/>
          <w:color w:val="000000" w:themeColor="text1"/>
          <w:szCs w:val="24"/>
          <w:rtl/>
        </w:rPr>
        <w:t xml:space="preserve"> </w:t>
      </w:r>
      <w:r w:rsidRPr="00AD451B">
        <w:rPr>
          <w:rFonts w:ascii="David" w:hAnsi="David" w:cs="David"/>
          <w:color w:val="000000" w:themeColor="text1"/>
          <w:szCs w:val="24"/>
          <w:rtl/>
          <w:lang w:bidi="he-IL"/>
        </w:rPr>
        <w:t>דבר</w:t>
      </w:r>
      <w:r w:rsidRPr="00AD451B">
        <w:rPr>
          <w:rFonts w:ascii="David" w:hAnsi="David" w:cs="David"/>
          <w:color w:val="000000" w:themeColor="text1"/>
          <w:szCs w:val="24"/>
          <w:rtl/>
        </w:rPr>
        <w:t xml:space="preserve"> </w:t>
      </w:r>
      <w:r w:rsidRPr="00AD451B">
        <w:rPr>
          <w:rFonts w:ascii="David" w:hAnsi="David" w:cs="David"/>
          <w:color w:val="000000" w:themeColor="text1"/>
          <w:szCs w:val="24"/>
          <w:rtl/>
          <w:lang w:bidi="he-IL"/>
        </w:rPr>
        <w:t>מה</w:t>
      </w:r>
      <w:r w:rsidRPr="00AD451B">
        <w:rPr>
          <w:rFonts w:ascii="David" w:hAnsi="David" w:cs="David"/>
          <w:color w:val="000000" w:themeColor="text1"/>
          <w:szCs w:val="24"/>
          <w:rtl/>
        </w:rPr>
        <w:t xml:space="preserve"> </w:t>
      </w:r>
      <w:r w:rsidRPr="00AD451B">
        <w:rPr>
          <w:rFonts w:ascii="David" w:hAnsi="David" w:cs="David"/>
          <w:color w:val="000000" w:themeColor="text1"/>
          <w:szCs w:val="24"/>
          <w:rtl/>
          <w:lang w:bidi="he-IL"/>
        </w:rPr>
        <w:t>שנוצר</w:t>
      </w:r>
      <w:r w:rsidRPr="00AD451B">
        <w:rPr>
          <w:rFonts w:ascii="David" w:hAnsi="David" w:cs="David"/>
          <w:color w:val="000000" w:themeColor="text1"/>
          <w:szCs w:val="24"/>
          <w:rtl/>
        </w:rPr>
        <w:t xml:space="preserve"> </w:t>
      </w:r>
      <w:r w:rsidRPr="00AD451B">
        <w:rPr>
          <w:rFonts w:ascii="David" w:hAnsi="David" w:cs="David"/>
          <w:color w:val="000000" w:themeColor="text1"/>
          <w:szCs w:val="24"/>
          <w:rtl/>
          <w:lang w:bidi="he-IL"/>
        </w:rPr>
        <w:t>בתכנון</w:t>
      </w:r>
      <w:r w:rsidRPr="00AD451B">
        <w:rPr>
          <w:rFonts w:ascii="David" w:hAnsi="David" w:cs="David"/>
          <w:color w:val="000000" w:themeColor="text1"/>
          <w:szCs w:val="24"/>
          <w:rtl/>
        </w:rPr>
        <w:t xml:space="preserve"> </w:t>
      </w:r>
      <w:r w:rsidRPr="00AD451B">
        <w:rPr>
          <w:rFonts w:ascii="David" w:hAnsi="David" w:cs="David"/>
          <w:color w:val="000000" w:themeColor="text1"/>
          <w:szCs w:val="24"/>
          <w:rtl/>
          <w:lang w:bidi="he-IL"/>
        </w:rPr>
        <w:t>יזום</w:t>
      </w:r>
      <w:r w:rsidRPr="00AD451B">
        <w:rPr>
          <w:rFonts w:ascii="David" w:hAnsi="David" w:cs="David"/>
          <w:color w:val="000000" w:themeColor="text1"/>
          <w:szCs w:val="24"/>
          <w:rtl/>
        </w:rPr>
        <w:t xml:space="preserve">, </w:t>
      </w:r>
      <w:r w:rsidRPr="00AD451B">
        <w:rPr>
          <w:rFonts w:ascii="David" w:hAnsi="David" w:cs="David"/>
          <w:color w:val="000000" w:themeColor="text1"/>
          <w:szCs w:val="24"/>
          <w:rtl/>
          <w:lang w:bidi="he-IL"/>
        </w:rPr>
        <w:t>מודע</w:t>
      </w:r>
      <w:r w:rsidRPr="00AD451B">
        <w:rPr>
          <w:rFonts w:ascii="David" w:hAnsi="David" w:cs="David"/>
          <w:color w:val="000000" w:themeColor="text1"/>
          <w:szCs w:val="24"/>
          <w:rtl/>
        </w:rPr>
        <w:t xml:space="preserve"> </w:t>
      </w:r>
      <w:r w:rsidRPr="00AD451B">
        <w:rPr>
          <w:rFonts w:ascii="David" w:hAnsi="David" w:cs="David"/>
          <w:color w:val="000000" w:themeColor="text1"/>
          <w:szCs w:val="24"/>
          <w:rtl/>
          <w:lang w:bidi="he-IL"/>
        </w:rPr>
        <w:t>ותבוני</w:t>
      </w:r>
      <w:r w:rsidRPr="00AD451B">
        <w:rPr>
          <w:rFonts w:ascii="David" w:hAnsi="David" w:cs="David"/>
          <w:color w:val="000000" w:themeColor="text1"/>
          <w:szCs w:val="24"/>
          <w:rtl/>
        </w:rPr>
        <w:t xml:space="preserve"> </w:t>
      </w:r>
      <w:r w:rsidRPr="00AD451B">
        <w:rPr>
          <w:rFonts w:ascii="David" w:hAnsi="David" w:cs="David"/>
          <w:color w:val="000000" w:themeColor="text1"/>
          <w:szCs w:val="24"/>
          <w:rtl/>
          <w:lang w:bidi="he-IL"/>
        </w:rPr>
        <w:t>או</w:t>
      </w:r>
      <w:r w:rsidRPr="00AD451B">
        <w:rPr>
          <w:rFonts w:ascii="David" w:hAnsi="David" w:cs="David"/>
          <w:color w:val="000000" w:themeColor="text1"/>
          <w:szCs w:val="24"/>
          <w:rtl/>
        </w:rPr>
        <w:t xml:space="preserve"> </w:t>
      </w:r>
      <w:r w:rsidRPr="00AD451B">
        <w:rPr>
          <w:rFonts w:ascii="David" w:hAnsi="David" w:cs="David"/>
          <w:color w:val="000000" w:themeColor="text1"/>
          <w:szCs w:val="24"/>
          <w:rtl/>
          <w:lang w:bidi="he-IL"/>
        </w:rPr>
        <w:t>בחקיקה</w:t>
      </w:r>
      <w:r w:rsidRPr="00AD451B">
        <w:rPr>
          <w:rFonts w:ascii="David" w:hAnsi="David" w:cs="David"/>
          <w:color w:val="000000" w:themeColor="text1"/>
          <w:szCs w:val="24"/>
          <w:rtl/>
        </w:rPr>
        <w:t xml:space="preserve"> </w:t>
      </w:r>
      <w:r w:rsidRPr="00AD451B">
        <w:rPr>
          <w:rFonts w:ascii="David" w:hAnsi="David" w:cs="David"/>
          <w:color w:val="000000" w:themeColor="text1"/>
          <w:szCs w:val="24"/>
          <w:rtl/>
          <w:lang w:bidi="he-IL"/>
        </w:rPr>
        <w:t>של</w:t>
      </w:r>
      <w:r w:rsidRPr="00AD451B">
        <w:rPr>
          <w:rFonts w:ascii="David" w:hAnsi="David" w:cs="David"/>
          <w:color w:val="000000" w:themeColor="text1"/>
          <w:szCs w:val="24"/>
          <w:rtl/>
        </w:rPr>
        <w:t xml:space="preserve"> </w:t>
      </w:r>
      <w:r w:rsidRPr="00AD451B">
        <w:rPr>
          <w:rFonts w:ascii="David" w:hAnsi="David" w:cs="David"/>
          <w:color w:val="000000" w:themeColor="text1"/>
          <w:szCs w:val="24"/>
          <w:rtl/>
          <w:lang w:bidi="he-IL"/>
        </w:rPr>
        <w:t>בתי</w:t>
      </w:r>
      <w:r w:rsidRPr="00AD451B">
        <w:rPr>
          <w:rFonts w:ascii="David" w:hAnsi="David" w:cs="David"/>
          <w:color w:val="000000" w:themeColor="text1"/>
          <w:szCs w:val="24"/>
          <w:rtl/>
        </w:rPr>
        <w:t xml:space="preserve"> </w:t>
      </w:r>
      <w:r w:rsidRPr="00AD451B">
        <w:rPr>
          <w:rFonts w:ascii="David" w:hAnsi="David" w:cs="David"/>
          <w:color w:val="000000" w:themeColor="text1"/>
          <w:szCs w:val="24"/>
          <w:rtl/>
          <w:lang w:bidi="he-IL"/>
        </w:rPr>
        <w:t>הנבחרים</w:t>
      </w:r>
      <w:r w:rsidRPr="00AD451B">
        <w:rPr>
          <w:rFonts w:ascii="David" w:hAnsi="David" w:cs="David"/>
          <w:color w:val="000000" w:themeColor="text1"/>
          <w:szCs w:val="24"/>
          <w:rtl/>
        </w:rPr>
        <w:t xml:space="preserve">. </w:t>
      </w:r>
      <w:r w:rsidRPr="00AD451B">
        <w:rPr>
          <w:rFonts w:ascii="David" w:hAnsi="David" w:cs="David"/>
          <w:color w:val="000000" w:themeColor="text1"/>
          <w:szCs w:val="24"/>
          <w:rtl/>
          <w:lang w:bidi="he-IL"/>
        </w:rPr>
        <w:t>אלא</w:t>
      </w:r>
      <w:r w:rsidRPr="00AD451B">
        <w:rPr>
          <w:rFonts w:ascii="David" w:hAnsi="David" w:cs="David"/>
          <w:color w:val="000000" w:themeColor="text1"/>
          <w:szCs w:val="24"/>
          <w:rtl/>
        </w:rPr>
        <w:t xml:space="preserve"> </w:t>
      </w:r>
      <w:r w:rsidRPr="00AD451B">
        <w:rPr>
          <w:rFonts w:ascii="David" w:hAnsi="David" w:cs="David"/>
          <w:color w:val="000000" w:themeColor="text1"/>
          <w:szCs w:val="24"/>
          <w:rtl/>
          <w:lang w:bidi="he-IL"/>
        </w:rPr>
        <w:t>המשפט</w:t>
      </w:r>
      <w:r w:rsidRPr="00AD451B">
        <w:rPr>
          <w:rFonts w:ascii="David" w:hAnsi="David" w:cs="David"/>
          <w:color w:val="000000" w:themeColor="text1"/>
          <w:szCs w:val="24"/>
          <w:rtl/>
        </w:rPr>
        <w:t xml:space="preserve"> </w:t>
      </w:r>
      <w:r w:rsidRPr="00AD451B">
        <w:rPr>
          <w:rFonts w:ascii="David" w:hAnsi="David" w:cs="David"/>
          <w:color w:val="000000" w:themeColor="text1"/>
          <w:szCs w:val="24"/>
          <w:rtl/>
          <w:lang w:bidi="he-IL"/>
        </w:rPr>
        <w:t>הוא</w:t>
      </w:r>
      <w:r w:rsidRPr="00AD451B">
        <w:rPr>
          <w:rFonts w:ascii="David" w:hAnsi="David" w:cs="David"/>
          <w:color w:val="000000" w:themeColor="text1"/>
          <w:szCs w:val="24"/>
          <w:rtl/>
        </w:rPr>
        <w:t xml:space="preserve"> </w:t>
      </w:r>
      <w:r w:rsidRPr="00AD451B">
        <w:rPr>
          <w:rFonts w:ascii="David" w:hAnsi="David" w:cs="David"/>
          <w:color w:val="000000" w:themeColor="text1"/>
          <w:szCs w:val="24"/>
          <w:rtl/>
          <w:lang w:bidi="he-IL"/>
        </w:rPr>
        <w:t>תוצר</w:t>
      </w:r>
      <w:r w:rsidRPr="00AD451B">
        <w:rPr>
          <w:rFonts w:ascii="David" w:hAnsi="David" w:cs="David"/>
          <w:color w:val="000000" w:themeColor="text1"/>
          <w:szCs w:val="24"/>
          <w:rtl/>
        </w:rPr>
        <w:t xml:space="preserve"> </w:t>
      </w:r>
      <w:r w:rsidRPr="00AD451B">
        <w:rPr>
          <w:rFonts w:ascii="David" w:hAnsi="David" w:cs="David"/>
          <w:color w:val="000000" w:themeColor="text1"/>
          <w:szCs w:val="24"/>
          <w:rtl/>
          <w:lang w:bidi="he-IL"/>
        </w:rPr>
        <w:t>של</w:t>
      </w:r>
      <w:r w:rsidRPr="00AD451B">
        <w:rPr>
          <w:rFonts w:ascii="David" w:hAnsi="David" w:cs="David"/>
          <w:color w:val="000000" w:themeColor="text1"/>
          <w:szCs w:val="24"/>
          <w:rtl/>
        </w:rPr>
        <w:t xml:space="preserve"> </w:t>
      </w:r>
      <w:r w:rsidRPr="00AD451B">
        <w:rPr>
          <w:rFonts w:ascii="David" w:hAnsi="David" w:cs="David"/>
          <w:color w:val="000000" w:themeColor="text1"/>
          <w:szCs w:val="24"/>
          <w:rtl/>
          <w:lang w:bidi="he-IL"/>
        </w:rPr>
        <w:t>חיי</w:t>
      </w:r>
      <w:r w:rsidRPr="00AD451B">
        <w:rPr>
          <w:rFonts w:ascii="David" w:hAnsi="David" w:cs="David"/>
          <w:color w:val="000000" w:themeColor="text1"/>
          <w:szCs w:val="24"/>
          <w:rtl/>
        </w:rPr>
        <w:t xml:space="preserve"> </w:t>
      </w:r>
      <w:r w:rsidRPr="00AD451B">
        <w:rPr>
          <w:rFonts w:ascii="David" w:hAnsi="David" w:cs="David"/>
          <w:color w:val="000000" w:themeColor="text1"/>
          <w:szCs w:val="24"/>
          <w:rtl/>
          <w:lang w:bidi="he-IL"/>
        </w:rPr>
        <w:lastRenderedPageBreak/>
        <w:t>העם</w:t>
      </w:r>
      <w:r w:rsidRPr="00AD451B">
        <w:rPr>
          <w:rFonts w:ascii="David" w:hAnsi="David" w:cs="David"/>
          <w:color w:val="000000" w:themeColor="text1"/>
          <w:szCs w:val="24"/>
          <w:rtl/>
        </w:rPr>
        <w:t xml:space="preserve">, </w:t>
      </w:r>
      <w:r w:rsidRPr="00AD451B">
        <w:rPr>
          <w:rFonts w:ascii="David" w:hAnsi="David" w:cs="David"/>
          <w:color w:val="000000" w:themeColor="text1"/>
          <w:szCs w:val="24"/>
          <w:rtl/>
          <w:lang w:bidi="he-IL"/>
        </w:rPr>
        <w:t>והוא</w:t>
      </w:r>
      <w:r w:rsidRPr="00AD451B">
        <w:rPr>
          <w:rFonts w:ascii="David" w:hAnsi="David" w:cs="David"/>
          <w:color w:val="000000" w:themeColor="text1"/>
          <w:szCs w:val="24"/>
          <w:rtl/>
        </w:rPr>
        <w:t xml:space="preserve"> </w:t>
      </w:r>
      <w:r w:rsidRPr="00AD451B">
        <w:rPr>
          <w:rFonts w:ascii="David" w:hAnsi="David" w:cs="David"/>
          <w:color w:val="000000" w:themeColor="text1"/>
          <w:szCs w:val="24"/>
          <w:rtl/>
          <w:lang w:bidi="he-IL"/>
        </w:rPr>
        <w:t>מתהווה</w:t>
      </w:r>
      <w:r w:rsidRPr="00AD451B">
        <w:rPr>
          <w:rFonts w:ascii="David" w:hAnsi="David" w:cs="David"/>
          <w:color w:val="000000" w:themeColor="text1"/>
          <w:szCs w:val="24"/>
          <w:rtl/>
        </w:rPr>
        <w:t xml:space="preserve"> </w:t>
      </w:r>
      <w:r w:rsidRPr="00AD451B">
        <w:rPr>
          <w:rFonts w:ascii="David" w:hAnsi="David" w:cs="David"/>
          <w:color w:val="000000" w:themeColor="text1"/>
          <w:szCs w:val="24"/>
          <w:rtl/>
          <w:lang w:bidi="he-IL"/>
        </w:rPr>
        <w:t>באופן</w:t>
      </w:r>
      <w:r w:rsidRPr="00AD451B">
        <w:rPr>
          <w:rFonts w:ascii="David" w:hAnsi="David" w:cs="David"/>
          <w:color w:val="000000" w:themeColor="text1"/>
          <w:szCs w:val="24"/>
          <w:rtl/>
        </w:rPr>
        <w:t xml:space="preserve"> </w:t>
      </w:r>
      <w:r w:rsidRPr="00AD451B">
        <w:rPr>
          <w:rFonts w:ascii="David" w:hAnsi="David" w:cs="David"/>
          <w:color w:val="000000" w:themeColor="text1"/>
          <w:szCs w:val="24"/>
          <w:rtl/>
          <w:lang w:bidi="he-IL"/>
        </w:rPr>
        <w:t>בלתי</w:t>
      </w:r>
      <w:r w:rsidRPr="00AD451B">
        <w:rPr>
          <w:rFonts w:ascii="David" w:hAnsi="David" w:cs="David"/>
          <w:color w:val="000000" w:themeColor="text1"/>
          <w:szCs w:val="24"/>
          <w:rtl/>
        </w:rPr>
        <w:t xml:space="preserve"> </w:t>
      </w:r>
      <w:r w:rsidRPr="00AD451B">
        <w:rPr>
          <w:rFonts w:ascii="David" w:hAnsi="David" w:cs="David"/>
          <w:color w:val="000000" w:themeColor="text1"/>
          <w:szCs w:val="24"/>
          <w:rtl/>
          <w:lang w:bidi="he-IL"/>
        </w:rPr>
        <w:t>מתוכנן</w:t>
      </w:r>
      <w:r w:rsidRPr="00AD451B">
        <w:rPr>
          <w:rFonts w:ascii="David" w:hAnsi="David" w:cs="David"/>
          <w:color w:val="000000" w:themeColor="text1"/>
          <w:szCs w:val="24"/>
          <w:rtl/>
        </w:rPr>
        <w:t xml:space="preserve"> </w:t>
      </w:r>
      <w:r w:rsidRPr="00AD451B">
        <w:rPr>
          <w:rFonts w:ascii="David" w:hAnsi="David" w:cs="David"/>
          <w:color w:val="000000" w:themeColor="text1"/>
          <w:szCs w:val="24"/>
          <w:rtl/>
          <w:lang w:bidi="he-IL"/>
        </w:rPr>
        <w:t>ובלתי</w:t>
      </w:r>
      <w:r w:rsidRPr="00AD451B">
        <w:rPr>
          <w:rFonts w:ascii="David" w:hAnsi="David" w:cs="David"/>
          <w:color w:val="000000" w:themeColor="text1"/>
          <w:szCs w:val="24"/>
          <w:rtl/>
        </w:rPr>
        <w:t xml:space="preserve"> </w:t>
      </w:r>
      <w:r w:rsidRPr="00AD451B">
        <w:rPr>
          <w:rFonts w:ascii="David" w:hAnsi="David" w:cs="David"/>
          <w:color w:val="000000" w:themeColor="text1"/>
          <w:szCs w:val="24"/>
          <w:rtl/>
          <w:lang w:bidi="he-IL"/>
        </w:rPr>
        <w:t>מודע</w:t>
      </w:r>
      <w:r w:rsidRPr="00AD451B">
        <w:rPr>
          <w:rFonts w:ascii="David" w:hAnsi="David" w:cs="David"/>
          <w:color w:val="000000" w:themeColor="text1"/>
          <w:szCs w:val="24"/>
          <w:rtl/>
        </w:rPr>
        <w:t xml:space="preserve"> </w:t>
      </w:r>
      <w:r w:rsidRPr="00AD451B">
        <w:rPr>
          <w:rFonts w:ascii="David" w:hAnsi="David" w:cs="David"/>
          <w:color w:val="000000" w:themeColor="text1"/>
          <w:szCs w:val="24"/>
          <w:rtl/>
          <w:lang w:bidi="he-IL"/>
        </w:rPr>
        <w:t>במהלך</w:t>
      </w:r>
      <w:r w:rsidRPr="00AD451B">
        <w:rPr>
          <w:rFonts w:ascii="David" w:hAnsi="David" w:cs="David"/>
          <w:color w:val="000000" w:themeColor="text1"/>
          <w:szCs w:val="24"/>
          <w:rtl/>
        </w:rPr>
        <w:t xml:space="preserve"> </w:t>
      </w:r>
      <w:r w:rsidRPr="00AD451B">
        <w:rPr>
          <w:rFonts w:ascii="David" w:hAnsi="David" w:cs="David"/>
          <w:color w:val="000000" w:themeColor="text1"/>
          <w:szCs w:val="24"/>
          <w:rtl/>
          <w:lang w:bidi="he-IL"/>
        </w:rPr>
        <w:t>ההיסטוריה</w:t>
      </w:r>
      <w:r w:rsidRPr="00AD451B">
        <w:rPr>
          <w:rFonts w:ascii="David" w:hAnsi="David" w:cs="David"/>
          <w:color w:val="000000" w:themeColor="text1"/>
          <w:szCs w:val="24"/>
          <w:rtl/>
        </w:rPr>
        <w:t xml:space="preserve"> </w:t>
      </w:r>
      <w:r w:rsidRPr="00AD451B">
        <w:rPr>
          <w:rFonts w:ascii="David" w:hAnsi="David" w:cs="David"/>
          <w:color w:val="000000" w:themeColor="text1"/>
          <w:szCs w:val="24"/>
          <w:rtl/>
          <w:lang w:bidi="he-IL"/>
        </w:rPr>
        <w:t>וחיי</w:t>
      </w:r>
      <w:r w:rsidRPr="00AD451B">
        <w:rPr>
          <w:rFonts w:ascii="David" w:hAnsi="David" w:cs="David"/>
          <w:color w:val="000000" w:themeColor="text1"/>
          <w:szCs w:val="24"/>
          <w:rtl/>
        </w:rPr>
        <w:t xml:space="preserve"> </w:t>
      </w:r>
      <w:r w:rsidRPr="00AD451B">
        <w:rPr>
          <w:rFonts w:ascii="David" w:hAnsi="David" w:cs="David"/>
          <w:color w:val="000000" w:themeColor="text1"/>
          <w:szCs w:val="24"/>
          <w:rtl/>
          <w:lang w:bidi="he-IL"/>
        </w:rPr>
        <w:t>היום</w:t>
      </w:r>
      <w:r w:rsidRPr="00AD451B">
        <w:rPr>
          <w:rFonts w:ascii="David" w:hAnsi="David" w:cs="David" w:hint="eastAsia"/>
          <w:color w:val="000000" w:themeColor="text1"/>
          <w:szCs w:val="24"/>
          <w:rtl/>
          <w:lang w:bidi="he-IL"/>
        </w:rPr>
        <w:t>־</w:t>
      </w:r>
      <w:r w:rsidRPr="00AD451B">
        <w:rPr>
          <w:rFonts w:ascii="David" w:hAnsi="David" w:cs="David"/>
          <w:color w:val="000000" w:themeColor="text1"/>
          <w:szCs w:val="24"/>
          <w:rtl/>
          <w:lang w:bidi="he-IL"/>
        </w:rPr>
        <w:t>יום</w:t>
      </w:r>
      <w:r w:rsidRPr="00AD451B">
        <w:rPr>
          <w:rFonts w:ascii="David" w:hAnsi="David" w:cs="David"/>
          <w:color w:val="000000" w:themeColor="text1"/>
          <w:szCs w:val="24"/>
          <w:rtl/>
        </w:rPr>
        <w:t xml:space="preserve">. </w:t>
      </w:r>
      <w:r w:rsidRPr="00AD451B">
        <w:rPr>
          <w:rFonts w:ascii="David" w:hAnsi="David" w:cs="David"/>
          <w:color w:val="000000" w:themeColor="text1"/>
          <w:szCs w:val="24"/>
          <w:rtl/>
          <w:lang w:bidi="he-IL"/>
        </w:rPr>
        <w:t>לפי</w:t>
      </w:r>
      <w:r w:rsidRPr="00AD451B">
        <w:rPr>
          <w:rFonts w:ascii="David" w:hAnsi="David" w:cs="David"/>
          <w:color w:val="000000" w:themeColor="text1"/>
          <w:szCs w:val="24"/>
          <w:rtl/>
        </w:rPr>
        <w:t xml:space="preserve"> </w:t>
      </w:r>
      <w:r w:rsidRPr="00AD451B">
        <w:rPr>
          <w:rFonts w:ascii="David" w:hAnsi="David" w:cs="David"/>
          <w:color w:val="000000" w:themeColor="text1"/>
          <w:szCs w:val="24"/>
          <w:rtl/>
          <w:lang w:bidi="he-IL"/>
        </w:rPr>
        <w:t>סאביני</w:t>
      </w:r>
      <w:r w:rsidRPr="00AD451B">
        <w:rPr>
          <w:rFonts w:ascii="David" w:hAnsi="David" w:cs="David"/>
          <w:color w:val="000000" w:themeColor="text1"/>
          <w:szCs w:val="24"/>
          <w:rtl/>
        </w:rPr>
        <w:t xml:space="preserve">, </w:t>
      </w:r>
      <w:r w:rsidRPr="00AD451B">
        <w:rPr>
          <w:rFonts w:ascii="David" w:hAnsi="David" w:cs="David"/>
          <w:color w:val="000000" w:themeColor="text1"/>
          <w:szCs w:val="24"/>
          <w:rtl/>
          <w:lang w:bidi="he-IL"/>
        </w:rPr>
        <w:t>לא</w:t>
      </w:r>
      <w:r w:rsidRPr="00AD451B">
        <w:rPr>
          <w:rFonts w:ascii="David" w:hAnsi="David" w:cs="David"/>
          <w:color w:val="000000" w:themeColor="text1"/>
          <w:szCs w:val="24"/>
          <w:rtl/>
        </w:rPr>
        <w:t xml:space="preserve"> </w:t>
      </w:r>
      <w:r w:rsidRPr="00AD451B">
        <w:rPr>
          <w:rFonts w:ascii="David" w:hAnsi="David" w:cs="David"/>
          <w:color w:val="000000" w:themeColor="text1"/>
          <w:szCs w:val="24"/>
          <w:rtl/>
          <w:lang w:bidi="he-IL"/>
        </w:rPr>
        <w:t>רק</w:t>
      </w:r>
      <w:r w:rsidRPr="00AD451B">
        <w:rPr>
          <w:rFonts w:ascii="David" w:hAnsi="David" w:cs="David"/>
          <w:color w:val="000000" w:themeColor="text1"/>
          <w:szCs w:val="24"/>
          <w:rtl/>
        </w:rPr>
        <w:t xml:space="preserve"> </w:t>
      </w:r>
      <w:r w:rsidRPr="00AD451B">
        <w:rPr>
          <w:rFonts w:ascii="David" w:hAnsi="David" w:cs="David"/>
          <w:color w:val="000000" w:themeColor="text1"/>
          <w:szCs w:val="24"/>
          <w:rtl/>
          <w:lang w:bidi="he-IL"/>
        </w:rPr>
        <w:t>שלכל</w:t>
      </w:r>
      <w:r w:rsidRPr="00AD451B">
        <w:rPr>
          <w:rFonts w:ascii="David" w:hAnsi="David" w:cs="David"/>
          <w:color w:val="000000" w:themeColor="text1"/>
          <w:szCs w:val="24"/>
          <w:rtl/>
        </w:rPr>
        <w:t xml:space="preserve"> </w:t>
      </w:r>
      <w:r w:rsidRPr="00AD451B">
        <w:rPr>
          <w:rFonts w:ascii="David" w:hAnsi="David" w:cs="David"/>
          <w:color w:val="000000" w:themeColor="text1"/>
          <w:szCs w:val="24"/>
          <w:rtl/>
          <w:lang w:bidi="he-IL"/>
        </w:rPr>
        <w:t>עם</w:t>
      </w:r>
      <w:r w:rsidRPr="00AD451B">
        <w:rPr>
          <w:rFonts w:ascii="David" w:hAnsi="David" w:cs="David"/>
          <w:color w:val="000000" w:themeColor="text1"/>
          <w:szCs w:val="24"/>
          <w:rtl/>
        </w:rPr>
        <w:t xml:space="preserve"> </w:t>
      </w:r>
      <w:r w:rsidRPr="00AD451B">
        <w:rPr>
          <w:rFonts w:ascii="David" w:hAnsi="David" w:cs="David"/>
          <w:color w:val="000000" w:themeColor="text1"/>
          <w:szCs w:val="24"/>
          <w:rtl/>
          <w:lang w:bidi="he-IL"/>
        </w:rPr>
        <w:t>יש</w:t>
      </w:r>
      <w:r w:rsidRPr="00AD451B">
        <w:rPr>
          <w:rFonts w:ascii="David" w:hAnsi="David" w:cs="David"/>
          <w:color w:val="000000" w:themeColor="text1"/>
          <w:szCs w:val="24"/>
          <w:rtl/>
        </w:rPr>
        <w:t xml:space="preserve"> </w:t>
      </w:r>
      <w:r w:rsidRPr="00AD451B">
        <w:rPr>
          <w:rFonts w:ascii="David" w:hAnsi="David" w:cs="David"/>
          <w:color w:val="000000" w:themeColor="text1"/>
          <w:szCs w:val="24"/>
          <w:rtl/>
          <w:lang w:bidi="he-IL"/>
        </w:rPr>
        <w:t>משפט</w:t>
      </w:r>
      <w:r w:rsidRPr="00AD451B">
        <w:rPr>
          <w:rFonts w:ascii="David" w:hAnsi="David" w:cs="David"/>
          <w:color w:val="000000" w:themeColor="text1"/>
          <w:szCs w:val="24"/>
          <w:rtl/>
        </w:rPr>
        <w:t xml:space="preserve"> </w:t>
      </w:r>
      <w:r w:rsidRPr="00AD451B">
        <w:rPr>
          <w:rFonts w:ascii="David" w:hAnsi="David" w:cs="David"/>
          <w:color w:val="000000" w:themeColor="text1"/>
          <w:szCs w:val="24"/>
          <w:rtl/>
          <w:lang w:bidi="he-IL"/>
        </w:rPr>
        <w:t>ייחודי</w:t>
      </w:r>
      <w:r w:rsidRPr="00AD451B">
        <w:rPr>
          <w:rFonts w:ascii="David" w:hAnsi="David" w:cs="David"/>
          <w:color w:val="000000" w:themeColor="text1"/>
          <w:szCs w:val="24"/>
          <w:rtl/>
        </w:rPr>
        <w:t xml:space="preserve"> </w:t>
      </w:r>
      <w:r w:rsidRPr="00AD451B">
        <w:rPr>
          <w:rFonts w:ascii="David" w:hAnsi="David" w:cs="David"/>
          <w:color w:val="000000" w:themeColor="text1"/>
          <w:szCs w:val="24"/>
          <w:rtl/>
          <w:lang w:bidi="he-IL"/>
        </w:rPr>
        <w:t>משלו</w:t>
      </w:r>
      <w:r w:rsidRPr="00AD451B">
        <w:rPr>
          <w:rFonts w:ascii="David" w:hAnsi="David" w:cs="David"/>
          <w:color w:val="000000" w:themeColor="text1"/>
          <w:szCs w:val="24"/>
          <w:rtl/>
        </w:rPr>
        <w:t xml:space="preserve"> </w:t>
      </w:r>
      <w:r w:rsidRPr="00AD451B">
        <w:rPr>
          <w:rFonts w:ascii="David" w:hAnsi="David" w:cs="David"/>
          <w:color w:val="000000" w:themeColor="text1"/>
          <w:szCs w:val="24"/>
          <w:rtl/>
          <w:lang w:bidi="he-IL"/>
        </w:rPr>
        <w:t>שמתאים</w:t>
      </w:r>
      <w:r w:rsidRPr="00AD451B">
        <w:rPr>
          <w:rFonts w:ascii="David" w:hAnsi="David" w:cs="David"/>
          <w:color w:val="000000" w:themeColor="text1"/>
          <w:szCs w:val="24"/>
          <w:rtl/>
        </w:rPr>
        <w:t xml:space="preserve"> </w:t>
      </w:r>
      <w:r w:rsidRPr="00AD451B">
        <w:rPr>
          <w:rFonts w:ascii="David" w:hAnsi="David" w:cs="David"/>
          <w:color w:val="000000" w:themeColor="text1"/>
          <w:szCs w:val="24"/>
          <w:rtl/>
          <w:lang w:bidi="he-IL"/>
        </w:rPr>
        <w:t>לו</w:t>
      </w:r>
      <w:r w:rsidRPr="00AD451B">
        <w:rPr>
          <w:rFonts w:ascii="David" w:hAnsi="David" w:cs="David"/>
          <w:color w:val="000000" w:themeColor="text1"/>
          <w:szCs w:val="24"/>
          <w:rtl/>
        </w:rPr>
        <w:t xml:space="preserve">, </w:t>
      </w:r>
      <w:r w:rsidRPr="00AD451B">
        <w:rPr>
          <w:rFonts w:ascii="David" w:hAnsi="David" w:cs="David"/>
          <w:color w:val="000000" w:themeColor="text1"/>
          <w:szCs w:val="24"/>
          <w:rtl/>
          <w:lang w:bidi="he-IL"/>
        </w:rPr>
        <w:t>אלא</w:t>
      </w:r>
      <w:r w:rsidRPr="00AD451B">
        <w:rPr>
          <w:rFonts w:ascii="David" w:hAnsi="David" w:cs="David"/>
          <w:color w:val="000000" w:themeColor="text1"/>
          <w:szCs w:val="24"/>
          <w:rtl/>
        </w:rPr>
        <w:t xml:space="preserve"> </w:t>
      </w:r>
      <w:r w:rsidRPr="00AD451B">
        <w:rPr>
          <w:rFonts w:ascii="David" w:hAnsi="David" w:cs="David"/>
          <w:color w:val="000000" w:themeColor="text1"/>
          <w:szCs w:val="24"/>
          <w:rtl/>
          <w:lang w:bidi="he-IL"/>
        </w:rPr>
        <w:t>גם</w:t>
      </w:r>
      <w:r w:rsidRPr="00AD451B">
        <w:rPr>
          <w:rFonts w:ascii="David" w:hAnsi="David" w:cs="David"/>
          <w:color w:val="000000" w:themeColor="text1"/>
          <w:szCs w:val="24"/>
          <w:rtl/>
        </w:rPr>
        <w:t xml:space="preserve"> </w:t>
      </w:r>
      <w:r w:rsidRPr="00AD451B">
        <w:rPr>
          <w:rFonts w:ascii="David" w:hAnsi="David" w:cs="David"/>
          <w:color w:val="000000" w:themeColor="text1"/>
          <w:szCs w:val="24"/>
          <w:rtl/>
          <w:lang w:bidi="he-IL"/>
        </w:rPr>
        <w:t>משפטו</w:t>
      </w:r>
      <w:r w:rsidRPr="00AD451B">
        <w:rPr>
          <w:rFonts w:ascii="David" w:hAnsi="David" w:cs="David"/>
          <w:color w:val="000000" w:themeColor="text1"/>
          <w:szCs w:val="24"/>
          <w:rtl/>
        </w:rPr>
        <w:t xml:space="preserve"> </w:t>
      </w:r>
      <w:r w:rsidRPr="00AD451B">
        <w:rPr>
          <w:rFonts w:ascii="David" w:hAnsi="David" w:cs="David"/>
          <w:color w:val="000000" w:themeColor="text1"/>
          <w:szCs w:val="24"/>
          <w:rtl/>
          <w:lang w:bidi="he-IL"/>
        </w:rPr>
        <w:t>של</w:t>
      </w:r>
      <w:r w:rsidRPr="00AD451B">
        <w:rPr>
          <w:rFonts w:ascii="David" w:hAnsi="David" w:cs="David"/>
          <w:color w:val="000000" w:themeColor="text1"/>
          <w:szCs w:val="24"/>
          <w:rtl/>
        </w:rPr>
        <w:t xml:space="preserve"> </w:t>
      </w:r>
      <w:r w:rsidRPr="00AD451B">
        <w:rPr>
          <w:rFonts w:ascii="David" w:hAnsi="David" w:cs="David"/>
          <w:color w:val="000000" w:themeColor="text1"/>
          <w:szCs w:val="24"/>
          <w:rtl/>
          <w:lang w:bidi="he-IL"/>
        </w:rPr>
        <w:t>עם</w:t>
      </w:r>
      <w:r w:rsidRPr="00AD451B">
        <w:rPr>
          <w:rFonts w:ascii="David" w:hAnsi="David" w:cs="David"/>
          <w:color w:val="000000" w:themeColor="text1"/>
          <w:szCs w:val="24"/>
          <w:rtl/>
        </w:rPr>
        <w:t xml:space="preserve"> </w:t>
      </w:r>
      <w:r w:rsidRPr="00AD451B">
        <w:rPr>
          <w:rFonts w:ascii="David" w:hAnsi="David" w:cs="David"/>
          <w:color w:val="000000" w:themeColor="text1"/>
          <w:szCs w:val="24"/>
          <w:rtl/>
          <w:lang w:bidi="he-IL"/>
        </w:rPr>
        <w:t>אחד</w:t>
      </w:r>
      <w:r w:rsidRPr="00AD451B">
        <w:rPr>
          <w:rFonts w:ascii="David" w:hAnsi="David" w:cs="David"/>
          <w:color w:val="000000" w:themeColor="text1"/>
          <w:szCs w:val="24"/>
          <w:rtl/>
        </w:rPr>
        <w:t xml:space="preserve"> </w:t>
      </w:r>
      <w:r w:rsidRPr="00AD451B">
        <w:rPr>
          <w:rFonts w:ascii="David" w:hAnsi="David" w:cs="David"/>
          <w:color w:val="000000" w:themeColor="text1"/>
          <w:szCs w:val="24"/>
          <w:rtl/>
          <w:lang w:bidi="he-IL"/>
        </w:rPr>
        <w:t>לא</w:t>
      </w:r>
      <w:r w:rsidRPr="00AD451B">
        <w:rPr>
          <w:rFonts w:ascii="David" w:hAnsi="David" w:cs="David"/>
          <w:color w:val="000000" w:themeColor="text1"/>
          <w:szCs w:val="24"/>
          <w:rtl/>
        </w:rPr>
        <w:t xml:space="preserve"> </w:t>
      </w:r>
      <w:r w:rsidRPr="00AD451B">
        <w:rPr>
          <w:rFonts w:ascii="David" w:hAnsi="David" w:cs="David"/>
          <w:color w:val="000000" w:themeColor="text1"/>
          <w:szCs w:val="24"/>
          <w:rtl/>
          <w:lang w:bidi="he-IL"/>
        </w:rPr>
        <w:t>יכול</w:t>
      </w:r>
      <w:r w:rsidRPr="00AD451B">
        <w:rPr>
          <w:rFonts w:ascii="David" w:hAnsi="David" w:cs="David"/>
          <w:color w:val="000000" w:themeColor="text1"/>
          <w:szCs w:val="24"/>
          <w:rtl/>
        </w:rPr>
        <w:t xml:space="preserve"> </w:t>
      </w:r>
      <w:r w:rsidRPr="00AD451B">
        <w:rPr>
          <w:rFonts w:ascii="David" w:hAnsi="David" w:cs="David"/>
          <w:color w:val="000000" w:themeColor="text1"/>
          <w:szCs w:val="24"/>
          <w:rtl/>
          <w:lang w:bidi="he-IL"/>
        </w:rPr>
        <w:t>לשמש</w:t>
      </w:r>
      <w:r w:rsidRPr="00AD451B">
        <w:rPr>
          <w:rFonts w:ascii="David" w:hAnsi="David" w:cs="David"/>
          <w:color w:val="000000" w:themeColor="text1"/>
          <w:szCs w:val="24"/>
          <w:rtl/>
        </w:rPr>
        <w:t xml:space="preserve"> </w:t>
      </w:r>
      <w:r w:rsidRPr="00AD451B">
        <w:rPr>
          <w:rFonts w:ascii="David" w:hAnsi="David" w:cs="David"/>
          <w:color w:val="000000" w:themeColor="text1"/>
          <w:szCs w:val="24"/>
          <w:rtl/>
          <w:lang w:bidi="he-IL"/>
        </w:rPr>
        <w:t>משפטו</w:t>
      </w:r>
      <w:r w:rsidRPr="00AD451B">
        <w:rPr>
          <w:rFonts w:ascii="David" w:hAnsi="David" w:cs="David"/>
          <w:color w:val="000000" w:themeColor="text1"/>
          <w:szCs w:val="24"/>
          <w:rtl/>
        </w:rPr>
        <w:t xml:space="preserve"> </w:t>
      </w:r>
      <w:r w:rsidRPr="00AD451B">
        <w:rPr>
          <w:rFonts w:ascii="David" w:hAnsi="David" w:cs="David"/>
          <w:color w:val="000000" w:themeColor="text1"/>
          <w:szCs w:val="24"/>
          <w:rtl/>
          <w:lang w:bidi="he-IL"/>
        </w:rPr>
        <w:t>של</w:t>
      </w:r>
      <w:r w:rsidRPr="00AD451B">
        <w:rPr>
          <w:rFonts w:ascii="David" w:hAnsi="David" w:cs="David"/>
          <w:color w:val="000000" w:themeColor="text1"/>
          <w:szCs w:val="24"/>
          <w:rtl/>
        </w:rPr>
        <w:t xml:space="preserve"> </w:t>
      </w:r>
      <w:r w:rsidRPr="00AD451B">
        <w:rPr>
          <w:rFonts w:ascii="David" w:hAnsi="David" w:cs="David"/>
          <w:color w:val="000000" w:themeColor="text1"/>
          <w:szCs w:val="24"/>
          <w:rtl/>
          <w:lang w:bidi="he-IL"/>
        </w:rPr>
        <w:t>עם</w:t>
      </w:r>
      <w:r w:rsidRPr="00AD451B">
        <w:rPr>
          <w:rFonts w:ascii="David" w:hAnsi="David" w:cs="David"/>
          <w:color w:val="000000" w:themeColor="text1"/>
          <w:szCs w:val="24"/>
          <w:rtl/>
        </w:rPr>
        <w:t xml:space="preserve"> </w:t>
      </w:r>
      <w:r w:rsidRPr="00AD451B">
        <w:rPr>
          <w:rFonts w:ascii="David" w:hAnsi="David" w:cs="David"/>
          <w:color w:val="000000" w:themeColor="text1"/>
          <w:szCs w:val="24"/>
          <w:rtl/>
          <w:lang w:bidi="he-IL"/>
        </w:rPr>
        <w:t>אחר</w:t>
      </w:r>
      <w:r w:rsidRPr="00AD451B">
        <w:rPr>
          <w:rFonts w:ascii="David" w:hAnsi="David" w:cs="David"/>
          <w:color w:val="000000" w:themeColor="text1"/>
          <w:szCs w:val="24"/>
          <w:rtl/>
        </w:rPr>
        <w:t xml:space="preserve">. </w:t>
      </w:r>
    </w:p>
    <w:p w:rsidR="006E285E" w:rsidRPr="00AD451B" w:rsidRDefault="006E285E" w:rsidP="006E285E">
      <w:pPr>
        <w:pStyle w:val="Heading2"/>
        <w:bidi/>
        <w:spacing w:after="120" w:line="480" w:lineRule="auto"/>
        <w:rPr>
          <w:rFonts w:ascii="David" w:eastAsia="Times New Roman" w:hAnsi="David" w:cs="David"/>
          <w:b/>
          <w:bCs/>
          <w:color w:val="000000" w:themeColor="text1"/>
          <w:sz w:val="28"/>
          <w:szCs w:val="28"/>
          <w:rtl/>
          <w:lang w:bidi="he-IL"/>
        </w:rPr>
      </w:pPr>
      <w:bookmarkStart w:id="4" w:name="_Toc39942462"/>
      <w:bookmarkStart w:id="5" w:name="_Toc39943269"/>
      <w:r w:rsidRPr="00AD451B">
        <w:rPr>
          <w:rFonts w:ascii="David" w:eastAsia="Times New Roman" w:hAnsi="David" w:cs="David"/>
          <w:b/>
          <w:bCs/>
          <w:color w:val="000000" w:themeColor="text1"/>
          <w:sz w:val="28"/>
          <w:szCs w:val="28"/>
          <w:rtl/>
        </w:rPr>
        <w:t xml:space="preserve">11.3 </w:t>
      </w:r>
      <w:r w:rsidRPr="00AD451B">
        <w:rPr>
          <w:rFonts w:ascii="David" w:eastAsia="Times New Roman" w:hAnsi="David" w:cs="David"/>
          <w:b/>
          <w:bCs/>
          <w:color w:val="000000" w:themeColor="text1"/>
          <w:sz w:val="28"/>
          <w:szCs w:val="28"/>
          <w:rtl/>
          <w:lang w:bidi="he-IL"/>
        </w:rPr>
        <w:t>הגישה השנייה</w:t>
      </w:r>
      <w:r w:rsidRPr="00AD451B">
        <w:rPr>
          <w:rFonts w:ascii="David" w:eastAsia="Times New Roman" w:hAnsi="David" w:cs="David"/>
          <w:b/>
          <w:bCs/>
          <w:color w:val="000000" w:themeColor="text1"/>
          <w:sz w:val="28"/>
          <w:szCs w:val="28"/>
          <w:rtl/>
        </w:rPr>
        <w:t xml:space="preserve">: </w:t>
      </w:r>
      <w:r w:rsidRPr="00AD451B">
        <w:rPr>
          <w:rFonts w:ascii="David" w:eastAsia="Times New Roman" w:hAnsi="David" w:cs="David"/>
          <w:b/>
          <w:bCs/>
          <w:color w:val="000000" w:themeColor="text1"/>
          <w:sz w:val="28"/>
          <w:szCs w:val="28"/>
          <w:rtl/>
          <w:lang w:bidi="he-IL"/>
        </w:rPr>
        <w:t xml:space="preserve">הגישה המכוננת </w:t>
      </w:r>
      <w:r w:rsidRPr="00AD451B">
        <w:rPr>
          <w:rFonts w:ascii="David" w:eastAsia="Times New Roman" w:hAnsi="David" w:cs="David"/>
          <w:b/>
          <w:bCs/>
          <w:color w:val="000000" w:themeColor="text1"/>
          <w:sz w:val="28"/>
          <w:szCs w:val="28"/>
          <w:rtl/>
        </w:rPr>
        <w:t xml:space="preserve">- </w:t>
      </w:r>
      <w:r w:rsidRPr="00AD451B">
        <w:rPr>
          <w:rFonts w:ascii="David" w:eastAsia="Times New Roman" w:hAnsi="David" w:cs="David"/>
          <w:b/>
          <w:bCs/>
          <w:color w:val="000000" w:themeColor="text1"/>
          <w:sz w:val="28"/>
          <w:szCs w:val="28"/>
          <w:rtl/>
          <w:lang w:bidi="he-IL"/>
        </w:rPr>
        <w:t>משפט המדינה כמעצב את תרבות המדינה</w:t>
      </w:r>
      <w:bookmarkEnd w:id="4"/>
      <w:bookmarkEnd w:id="5"/>
      <w:r w:rsidRPr="00AD451B">
        <w:rPr>
          <w:rFonts w:ascii="David" w:eastAsia="Times New Roman" w:hAnsi="David" w:cs="David"/>
          <w:b/>
          <w:bCs/>
          <w:color w:val="000000" w:themeColor="text1"/>
          <w:sz w:val="28"/>
          <w:szCs w:val="28"/>
          <w:rtl/>
          <w:lang w:bidi="he-IL"/>
        </w:rPr>
        <w:t xml:space="preserve"> </w:t>
      </w:r>
    </w:p>
    <w:p w:rsidR="006E285E" w:rsidRPr="00AD451B" w:rsidRDefault="006E285E" w:rsidP="006E285E">
      <w:pPr>
        <w:bidi/>
        <w:spacing w:before="120" w:after="120" w:line="360" w:lineRule="auto"/>
        <w:jc w:val="both"/>
        <w:rPr>
          <w:rFonts w:ascii="David" w:hAnsi="David" w:cs="David"/>
          <w:color w:val="000000" w:themeColor="text1"/>
          <w:sz w:val="24"/>
          <w:szCs w:val="24"/>
          <w:rtl/>
        </w:rPr>
      </w:pPr>
      <w:r w:rsidRPr="00AD451B">
        <w:rPr>
          <w:rFonts w:ascii="David" w:hAnsi="David" w:cs="David"/>
          <w:color w:val="000000" w:themeColor="text1"/>
          <w:sz w:val="24"/>
          <w:szCs w:val="24"/>
          <w:rtl/>
          <w:lang w:bidi="he-IL"/>
        </w:rPr>
        <w:t>החל</w:t>
      </w:r>
      <w:r w:rsidRPr="00AD451B">
        <w:rPr>
          <w:rFonts w:ascii="David" w:hAnsi="David" w:cs="David"/>
          <w:color w:val="000000" w:themeColor="text1"/>
          <w:sz w:val="24"/>
          <w:szCs w:val="24"/>
          <w:rtl/>
        </w:rPr>
        <w:t xml:space="preserve"> </w:t>
      </w:r>
      <w:r w:rsidRPr="00AD451B">
        <w:rPr>
          <w:rFonts w:ascii="David" w:hAnsi="David" w:cs="David"/>
          <w:color w:val="000000" w:themeColor="text1"/>
          <w:sz w:val="24"/>
          <w:szCs w:val="24"/>
          <w:rtl/>
          <w:lang w:bidi="he-IL"/>
        </w:rPr>
        <w:t>משנות</w:t>
      </w:r>
      <w:r w:rsidRPr="00AD451B">
        <w:rPr>
          <w:rFonts w:ascii="David" w:hAnsi="David" w:cs="David"/>
          <w:color w:val="000000" w:themeColor="text1"/>
          <w:sz w:val="24"/>
          <w:szCs w:val="24"/>
          <w:rtl/>
        </w:rPr>
        <w:t xml:space="preserve"> </w:t>
      </w:r>
      <w:r w:rsidRPr="00AD451B">
        <w:rPr>
          <w:rFonts w:ascii="David" w:hAnsi="David" w:cs="David"/>
          <w:color w:val="000000" w:themeColor="text1"/>
          <w:sz w:val="24"/>
          <w:szCs w:val="24"/>
          <w:rtl/>
          <w:lang w:bidi="he-IL"/>
        </w:rPr>
        <w:t>השמונים</w:t>
      </w:r>
      <w:r w:rsidRPr="00AD451B">
        <w:rPr>
          <w:rFonts w:ascii="David" w:hAnsi="David" w:cs="David"/>
          <w:color w:val="000000" w:themeColor="text1"/>
          <w:sz w:val="24"/>
          <w:szCs w:val="24"/>
          <w:rtl/>
        </w:rPr>
        <w:t xml:space="preserve"> </w:t>
      </w:r>
      <w:r w:rsidRPr="00AD451B">
        <w:rPr>
          <w:rFonts w:ascii="David" w:hAnsi="David" w:cs="David"/>
          <w:color w:val="000000" w:themeColor="text1"/>
          <w:sz w:val="24"/>
          <w:szCs w:val="24"/>
          <w:rtl/>
          <w:lang w:bidi="he-IL"/>
        </w:rPr>
        <w:t>של</w:t>
      </w:r>
      <w:r w:rsidRPr="00AD451B">
        <w:rPr>
          <w:rFonts w:ascii="David" w:hAnsi="David" w:cs="David"/>
          <w:color w:val="000000" w:themeColor="text1"/>
          <w:sz w:val="24"/>
          <w:szCs w:val="24"/>
          <w:rtl/>
        </w:rPr>
        <w:t xml:space="preserve"> </w:t>
      </w:r>
      <w:r w:rsidRPr="00AD451B">
        <w:rPr>
          <w:rFonts w:ascii="David" w:hAnsi="David" w:cs="David"/>
          <w:color w:val="000000" w:themeColor="text1"/>
          <w:sz w:val="24"/>
          <w:szCs w:val="24"/>
          <w:rtl/>
          <w:lang w:bidi="he-IL"/>
        </w:rPr>
        <w:t>המאה</w:t>
      </w:r>
      <w:r w:rsidRPr="00AD451B">
        <w:rPr>
          <w:rFonts w:ascii="David" w:hAnsi="David" w:cs="David"/>
          <w:color w:val="000000" w:themeColor="text1"/>
          <w:sz w:val="24"/>
          <w:szCs w:val="24"/>
          <w:rtl/>
        </w:rPr>
        <w:t xml:space="preserve"> </w:t>
      </w:r>
      <w:r w:rsidRPr="00AD451B">
        <w:rPr>
          <w:rFonts w:ascii="David" w:hAnsi="David" w:cs="David"/>
          <w:color w:val="000000" w:themeColor="text1"/>
          <w:sz w:val="24"/>
          <w:szCs w:val="24"/>
          <w:rtl/>
          <w:lang w:bidi="he-IL"/>
        </w:rPr>
        <w:t>העשרים</w:t>
      </w:r>
      <w:r w:rsidRPr="00AD451B">
        <w:rPr>
          <w:rFonts w:ascii="David" w:hAnsi="David" w:cs="David"/>
          <w:color w:val="000000" w:themeColor="text1"/>
          <w:sz w:val="24"/>
          <w:szCs w:val="24"/>
          <w:rtl/>
        </w:rPr>
        <w:t xml:space="preserve"> </w:t>
      </w:r>
      <w:r w:rsidRPr="00AD451B">
        <w:rPr>
          <w:rFonts w:ascii="David" w:hAnsi="David" w:cs="David"/>
          <w:color w:val="000000" w:themeColor="text1"/>
          <w:sz w:val="24"/>
          <w:szCs w:val="24"/>
          <w:rtl/>
          <w:lang w:bidi="he-IL"/>
        </w:rPr>
        <w:t>התפתחה</w:t>
      </w:r>
      <w:r w:rsidRPr="00AD451B">
        <w:rPr>
          <w:rFonts w:ascii="David" w:hAnsi="David" w:cs="David"/>
          <w:color w:val="000000" w:themeColor="text1"/>
          <w:sz w:val="24"/>
          <w:szCs w:val="24"/>
          <w:rtl/>
        </w:rPr>
        <w:t xml:space="preserve"> </w:t>
      </w:r>
      <w:r w:rsidRPr="00AD451B">
        <w:rPr>
          <w:rFonts w:ascii="David" w:hAnsi="David" w:cs="David"/>
          <w:color w:val="000000" w:themeColor="text1"/>
          <w:sz w:val="24"/>
          <w:szCs w:val="24"/>
          <w:rtl/>
          <w:lang w:bidi="he-IL"/>
        </w:rPr>
        <w:t>בארצות הברית</w:t>
      </w:r>
      <w:r w:rsidRPr="00AD451B">
        <w:rPr>
          <w:rFonts w:ascii="David" w:hAnsi="David" w:cs="David"/>
          <w:color w:val="000000" w:themeColor="text1"/>
          <w:sz w:val="24"/>
          <w:szCs w:val="24"/>
          <w:rtl/>
        </w:rPr>
        <w:t xml:space="preserve"> </w:t>
      </w:r>
      <w:r w:rsidRPr="00AD451B">
        <w:rPr>
          <w:rFonts w:ascii="David" w:hAnsi="David" w:cs="David"/>
          <w:color w:val="000000" w:themeColor="text1"/>
          <w:sz w:val="24"/>
          <w:szCs w:val="24"/>
          <w:rtl/>
          <w:lang w:bidi="he-IL"/>
        </w:rPr>
        <w:t>כתיבה</w:t>
      </w:r>
      <w:r w:rsidRPr="00AD451B">
        <w:rPr>
          <w:rFonts w:ascii="David" w:hAnsi="David" w:cs="David"/>
          <w:color w:val="000000" w:themeColor="text1"/>
          <w:sz w:val="24"/>
          <w:szCs w:val="24"/>
          <w:rtl/>
        </w:rPr>
        <w:t xml:space="preserve"> </w:t>
      </w:r>
      <w:r w:rsidRPr="00AD451B">
        <w:rPr>
          <w:rFonts w:ascii="David" w:hAnsi="David" w:cs="David"/>
          <w:color w:val="000000" w:themeColor="text1"/>
          <w:sz w:val="24"/>
          <w:szCs w:val="24"/>
          <w:rtl/>
          <w:lang w:bidi="he-IL"/>
        </w:rPr>
        <w:t>ענפה</w:t>
      </w:r>
      <w:r w:rsidRPr="00AD451B">
        <w:rPr>
          <w:rFonts w:ascii="David" w:hAnsi="David" w:cs="David"/>
          <w:color w:val="000000" w:themeColor="text1"/>
          <w:sz w:val="24"/>
          <w:szCs w:val="24"/>
          <w:rtl/>
        </w:rPr>
        <w:t xml:space="preserve"> </w:t>
      </w:r>
      <w:r w:rsidRPr="00AD451B">
        <w:rPr>
          <w:rFonts w:ascii="David" w:hAnsi="David" w:cs="David"/>
          <w:color w:val="000000" w:themeColor="text1"/>
          <w:sz w:val="24"/>
          <w:szCs w:val="24"/>
          <w:rtl/>
          <w:lang w:bidi="he-IL"/>
        </w:rPr>
        <w:t>התופסת</w:t>
      </w:r>
      <w:r w:rsidRPr="00AD451B">
        <w:rPr>
          <w:rFonts w:ascii="David" w:hAnsi="David" w:cs="David"/>
          <w:color w:val="000000" w:themeColor="text1"/>
          <w:sz w:val="24"/>
          <w:szCs w:val="24"/>
          <w:rtl/>
        </w:rPr>
        <w:t xml:space="preserve"> </w:t>
      </w:r>
      <w:r w:rsidRPr="00AD451B">
        <w:rPr>
          <w:rFonts w:ascii="David" w:hAnsi="David" w:cs="David"/>
          <w:color w:val="000000" w:themeColor="text1"/>
          <w:sz w:val="24"/>
          <w:szCs w:val="24"/>
          <w:rtl/>
          <w:lang w:bidi="he-IL"/>
        </w:rPr>
        <w:t>את</w:t>
      </w:r>
      <w:r w:rsidRPr="00AD451B">
        <w:rPr>
          <w:rFonts w:ascii="David" w:hAnsi="David" w:cs="David"/>
          <w:color w:val="000000" w:themeColor="text1"/>
          <w:sz w:val="24"/>
          <w:szCs w:val="24"/>
          <w:rtl/>
        </w:rPr>
        <w:t xml:space="preserve"> </w:t>
      </w:r>
      <w:r w:rsidRPr="00AD451B">
        <w:rPr>
          <w:rFonts w:ascii="David" w:hAnsi="David" w:cs="David"/>
          <w:color w:val="000000" w:themeColor="text1"/>
          <w:sz w:val="24"/>
          <w:szCs w:val="24"/>
          <w:rtl/>
          <w:lang w:bidi="he-IL"/>
        </w:rPr>
        <w:t>המשפט</w:t>
      </w:r>
      <w:r w:rsidRPr="00AD451B">
        <w:rPr>
          <w:rFonts w:ascii="David" w:hAnsi="David" w:cs="David"/>
          <w:color w:val="000000" w:themeColor="text1"/>
          <w:sz w:val="24"/>
          <w:szCs w:val="24"/>
          <w:rtl/>
        </w:rPr>
        <w:t xml:space="preserve"> </w:t>
      </w:r>
      <w:r w:rsidRPr="00AD451B">
        <w:rPr>
          <w:rFonts w:ascii="David" w:hAnsi="David" w:cs="David"/>
          <w:color w:val="000000" w:themeColor="text1"/>
          <w:sz w:val="24"/>
          <w:szCs w:val="24"/>
          <w:rtl/>
          <w:lang w:bidi="he-IL"/>
        </w:rPr>
        <w:t>כממלא</w:t>
      </w:r>
      <w:r w:rsidRPr="00AD451B">
        <w:rPr>
          <w:rFonts w:ascii="David" w:hAnsi="David" w:cs="David"/>
          <w:color w:val="000000" w:themeColor="text1"/>
          <w:sz w:val="24"/>
          <w:szCs w:val="24"/>
          <w:rtl/>
        </w:rPr>
        <w:t xml:space="preserve"> </w:t>
      </w:r>
      <w:r w:rsidRPr="00AD451B">
        <w:rPr>
          <w:rFonts w:ascii="David" w:hAnsi="David" w:cs="David"/>
          <w:color w:val="000000" w:themeColor="text1"/>
          <w:sz w:val="24"/>
          <w:szCs w:val="24"/>
          <w:rtl/>
          <w:lang w:bidi="he-IL"/>
        </w:rPr>
        <w:t>תפקיד</w:t>
      </w:r>
      <w:r w:rsidRPr="00AD451B">
        <w:rPr>
          <w:rFonts w:ascii="David" w:hAnsi="David" w:cs="David"/>
          <w:color w:val="000000" w:themeColor="text1"/>
          <w:sz w:val="24"/>
          <w:szCs w:val="24"/>
          <w:rtl/>
        </w:rPr>
        <w:t xml:space="preserve"> </w:t>
      </w:r>
      <w:r w:rsidRPr="00AD451B">
        <w:rPr>
          <w:rFonts w:ascii="David" w:hAnsi="David" w:cs="David"/>
          <w:color w:val="000000" w:themeColor="text1"/>
          <w:sz w:val="24"/>
          <w:szCs w:val="24"/>
          <w:rtl/>
          <w:lang w:bidi="he-IL"/>
        </w:rPr>
        <w:t>חשוב</w:t>
      </w:r>
      <w:r w:rsidRPr="00AD451B">
        <w:rPr>
          <w:rFonts w:ascii="David" w:hAnsi="David" w:cs="David"/>
          <w:color w:val="000000" w:themeColor="text1"/>
          <w:sz w:val="24"/>
          <w:szCs w:val="24"/>
          <w:rtl/>
        </w:rPr>
        <w:t xml:space="preserve"> </w:t>
      </w:r>
      <w:r w:rsidRPr="00AD451B">
        <w:rPr>
          <w:rFonts w:ascii="David" w:hAnsi="David" w:cs="David"/>
          <w:color w:val="000000" w:themeColor="text1"/>
          <w:sz w:val="24"/>
          <w:szCs w:val="24"/>
          <w:rtl/>
          <w:lang w:bidi="he-IL"/>
        </w:rPr>
        <w:t>בכינון</w:t>
      </w:r>
      <w:r w:rsidRPr="00AD451B">
        <w:rPr>
          <w:rFonts w:ascii="David" w:hAnsi="David" w:cs="David"/>
          <w:color w:val="000000" w:themeColor="text1"/>
          <w:sz w:val="24"/>
          <w:szCs w:val="24"/>
          <w:rtl/>
        </w:rPr>
        <w:t xml:space="preserve"> </w:t>
      </w:r>
      <w:r w:rsidRPr="00AD451B">
        <w:rPr>
          <w:rFonts w:ascii="David" w:hAnsi="David" w:cs="David"/>
          <w:color w:val="000000" w:themeColor="text1"/>
          <w:sz w:val="24"/>
          <w:szCs w:val="24"/>
          <w:rtl/>
          <w:lang w:bidi="he-IL"/>
        </w:rPr>
        <w:t>המשמעות</w:t>
      </w:r>
      <w:r w:rsidRPr="00AD451B">
        <w:rPr>
          <w:rFonts w:ascii="David" w:hAnsi="David" w:cs="David"/>
          <w:color w:val="000000" w:themeColor="text1"/>
          <w:sz w:val="24"/>
          <w:szCs w:val="24"/>
          <w:rtl/>
        </w:rPr>
        <w:t xml:space="preserve"> </w:t>
      </w:r>
      <w:r w:rsidRPr="00AD451B">
        <w:rPr>
          <w:rFonts w:ascii="David" w:hAnsi="David" w:cs="David"/>
          <w:color w:val="000000" w:themeColor="text1"/>
          <w:sz w:val="24"/>
          <w:szCs w:val="24"/>
          <w:rtl/>
          <w:lang w:bidi="he-IL"/>
        </w:rPr>
        <w:t>בחייהם</w:t>
      </w:r>
      <w:r w:rsidRPr="00AD451B">
        <w:rPr>
          <w:rFonts w:ascii="David" w:hAnsi="David" w:cs="David"/>
          <w:color w:val="000000" w:themeColor="text1"/>
          <w:sz w:val="24"/>
          <w:szCs w:val="24"/>
          <w:rtl/>
        </w:rPr>
        <w:t xml:space="preserve"> </w:t>
      </w:r>
      <w:r w:rsidRPr="00AD451B">
        <w:rPr>
          <w:rFonts w:ascii="David" w:hAnsi="David" w:cs="David"/>
          <w:color w:val="000000" w:themeColor="text1"/>
          <w:sz w:val="24"/>
          <w:szCs w:val="24"/>
          <w:rtl/>
          <w:lang w:bidi="he-IL"/>
        </w:rPr>
        <w:t>של</w:t>
      </w:r>
      <w:r w:rsidRPr="00AD451B">
        <w:rPr>
          <w:rFonts w:ascii="David" w:hAnsi="David" w:cs="David"/>
          <w:color w:val="000000" w:themeColor="text1"/>
          <w:sz w:val="24"/>
          <w:szCs w:val="24"/>
          <w:rtl/>
        </w:rPr>
        <w:t xml:space="preserve"> </w:t>
      </w:r>
      <w:r w:rsidRPr="00AD451B">
        <w:rPr>
          <w:rFonts w:ascii="David" w:hAnsi="David" w:cs="David"/>
          <w:color w:val="000000" w:themeColor="text1"/>
          <w:sz w:val="24"/>
          <w:szCs w:val="24"/>
          <w:rtl/>
          <w:lang w:bidi="he-IL"/>
        </w:rPr>
        <w:t>בני</w:t>
      </w:r>
      <w:r w:rsidRPr="00AD451B">
        <w:rPr>
          <w:rFonts w:ascii="David" w:hAnsi="David" w:cs="David"/>
          <w:color w:val="000000" w:themeColor="text1"/>
          <w:sz w:val="24"/>
          <w:szCs w:val="24"/>
          <w:rtl/>
        </w:rPr>
        <w:t xml:space="preserve"> </w:t>
      </w:r>
      <w:r w:rsidRPr="00AD451B">
        <w:rPr>
          <w:rFonts w:ascii="David" w:hAnsi="David" w:cs="David"/>
          <w:color w:val="000000" w:themeColor="text1"/>
          <w:sz w:val="24"/>
          <w:szCs w:val="24"/>
          <w:rtl/>
          <w:lang w:bidi="he-IL"/>
        </w:rPr>
        <w:t>האדם</w:t>
      </w:r>
      <w:r w:rsidRPr="00AD451B">
        <w:rPr>
          <w:rFonts w:ascii="David" w:hAnsi="David" w:cs="David"/>
          <w:color w:val="000000" w:themeColor="text1"/>
          <w:sz w:val="24"/>
          <w:szCs w:val="24"/>
          <w:rtl/>
        </w:rPr>
        <w:t xml:space="preserve">. </w:t>
      </w:r>
      <w:r w:rsidRPr="00AD451B">
        <w:rPr>
          <w:rFonts w:ascii="David" w:hAnsi="David" w:cs="David"/>
          <w:color w:val="000000" w:themeColor="text1"/>
          <w:sz w:val="24"/>
          <w:szCs w:val="24"/>
          <w:rtl/>
          <w:lang w:bidi="he-IL"/>
        </w:rPr>
        <w:t>נקודת</w:t>
      </w:r>
      <w:r w:rsidRPr="00AD451B">
        <w:rPr>
          <w:rFonts w:ascii="David" w:hAnsi="David" w:cs="David"/>
          <w:color w:val="000000" w:themeColor="text1"/>
          <w:sz w:val="24"/>
          <w:szCs w:val="24"/>
          <w:rtl/>
        </w:rPr>
        <w:t xml:space="preserve"> </w:t>
      </w:r>
      <w:r w:rsidRPr="00AD451B">
        <w:rPr>
          <w:rFonts w:ascii="David" w:hAnsi="David" w:cs="David"/>
          <w:color w:val="000000" w:themeColor="text1"/>
          <w:sz w:val="24"/>
          <w:szCs w:val="24"/>
          <w:rtl/>
          <w:lang w:bidi="he-IL"/>
        </w:rPr>
        <w:t>המוצא</w:t>
      </w:r>
      <w:r w:rsidRPr="00AD451B">
        <w:rPr>
          <w:rFonts w:ascii="David" w:hAnsi="David" w:cs="David"/>
          <w:color w:val="000000" w:themeColor="text1"/>
          <w:sz w:val="24"/>
          <w:szCs w:val="24"/>
          <w:rtl/>
        </w:rPr>
        <w:t xml:space="preserve"> </w:t>
      </w:r>
      <w:r w:rsidRPr="00AD451B">
        <w:rPr>
          <w:rFonts w:ascii="David" w:hAnsi="David" w:cs="David"/>
          <w:color w:val="000000" w:themeColor="text1"/>
          <w:sz w:val="24"/>
          <w:szCs w:val="24"/>
          <w:rtl/>
          <w:lang w:bidi="he-IL"/>
        </w:rPr>
        <w:t>של</w:t>
      </w:r>
      <w:r w:rsidRPr="00AD451B">
        <w:rPr>
          <w:rFonts w:ascii="David" w:hAnsi="David" w:cs="David"/>
          <w:color w:val="000000" w:themeColor="text1"/>
          <w:sz w:val="24"/>
          <w:szCs w:val="24"/>
          <w:rtl/>
        </w:rPr>
        <w:t xml:space="preserve"> </w:t>
      </w:r>
      <w:r w:rsidRPr="00AD451B">
        <w:rPr>
          <w:rFonts w:ascii="David" w:hAnsi="David" w:cs="David"/>
          <w:color w:val="000000" w:themeColor="text1"/>
          <w:sz w:val="24"/>
          <w:szCs w:val="24"/>
          <w:rtl/>
          <w:lang w:bidi="he-IL"/>
        </w:rPr>
        <w:t>גישה</w:t>
      </w:r>
      <w:r w:rsidRPr="00AD451B">
        <w:rPr>
          <w:rFonts w:ascii="David" w:hAnsi="David" w:cs="David"/>
          <w:color w:val="000000" w:themeColor="text1"/>
          <w:sz w:val="24"/>
          <w:szCs w:val="24"/>
          <w:rtl/>
        </w:rPr>
        <w:t xml:space="preserve"> </w:t>
      </w:r>
      <w:r w:rsidRPr="00AD451B">
        <w:rPr>
          <w:rFonts w:ascii="David" w:hAnsi="David" w:cs="David"/>
          <w:color w:val="000000" w:themeColor="text1"/>
          <w:sz w:val="24"/>
          <w:szCs w:val="24"/>
          <w:rtl/>
          <w:lang w:bidi="he-IL"/>
        </w:rPr>
        <w:t>זו</w:t>
      </w:r>
      <w:r w:rsidRPr="00AD451B">
        <w:rPr>
          <w:rFonts w:ascii="David" w:hAnsi="David" w:cs="David"/>
          <w:color w:val="000000" w:themeColor="text1"/>
          <w:sz w:val="24"/>
          <w:szCs w:val="24"/>
          <w:rtl/>
        </w:rPr>
        <w:t xml:space="preserve"> </w:t>
      </w:r>
      <w:r w:rsidRPr="00AD451B">
        <w:rPr>
          <w:rFonts w:ascii="David" w:hAnsi="David" w:cs="David"/>
          <w:color w:val="000000" w:themeColor="text1"/>
          <w:sz w:val="24"/>
          <w:szCs w:val="24"/>
          <w:rtl/>
          <w:lang w:bidi="he-IL"/>
        </w:rPr>
        <w:t>היא</w:t>
      </w:r>
      <w:r w:rsidRPr="00AD451B">
        <w:rPr>
          <w:rFonts w:ascii="David" w:hAnsi="David" w:cs="David"/>
          <w:color w:val="000000" w:themeColor="text1"/>
          <w:sz w:val="24"/>
          <w:szCs w:val="24"/>
          <w:rtl/>
        </w:rPr>
        <w:t xml:space="preserve"> </w:t>
      </w:r>
      <w:r w:rsidRPr="00AD451B">
        <w:rPr>
          <w:rFonts w:ascii="David" w:hAnsi="David" w:cs="David"/>
          <w:color w:val="000000" w:themeColor="text1"/>
          <w:sz w:val="24"/>
          <w:szCs w:val="24"/>
          <w:rtl/>
          <w:lang w:bidi="he-IL"/>
        </w:rPr>
        <w:t>בדבריו</w:t>
      </w:r>
      <w:r w:rsidRPr="00AD451B">
        <w:rPr>
          <w:rFonts w:ascii="David" w:hAnsi="David" w:cs="David"/>
          <w:color w:val="000000" w:themeColor="text1"/>
          <w:sz w:val="24"/>
          <w:szCs w:val="24"/>
          <w:rtl/>
        </w:rPr>
        <w:t xml:space="preserve"> </w:t>
      </w:r>
      <w:r w:rsidRPr="00AD451B">
        <w:rPr>
          <w:rFonts w:ascii="David" w:hAnsi="David" w:cs="David"/>
          <w:color w:val="000000" w:themeColor="text1"/>
          <w:sz w:val="24"/>
          <w:szCs w:val="24"/>
          <w:rtl/>
          <w:lang w:bidi="he-IL"/>
        </w:rPr>
        <w:t>של</w:t>
      </w:r>
      <w:r w:rsidRPr="00AD451B">
        <w:rPr>
          <w:rFonts w:ascii="David" w:hAnsi="David" w:cs="David"/>
          <w:color w:val="000000" w:themeColor="text1"/>
          <w:sz w:val="24"/>
          <w:szCs w:val="24"/>
          <w:rtl/>
        </w:rPr>
        <w:t xml:space="preserve"> </w:t>
      </w:r>
      <w:r w:rsidRPr="00AD451B">
        <w:rPr>
          <w:rFonts w:ascii="David" w:hAnsi="David" w:cs="David"/>
          <w:color w:val="000000" w:themeColor="text1"/>
          <w:sz w:val="24"/>
          <w:szCs w:val="24"/>
          <w:rtl/>
          <w:lang w:bidi="he-IL"/>
        </w:rPr>
        <w:t>גירץ</w:t>
      </w:r>
      <w:r w:rsidRPr="00AD451B">
        <w:rPr>
          <w:rFonts w:ascii="David" w:hAnsi="David" w:cs="David"/>
          <w:color w:val="000000" w:themeColor="text1"/>
          <w:sz w:val="24"/>
          <w:szCs w:val="24"/>
          <w:rtl/>
        </w:rPr>
        <w:t xml:space="preserve"> </w:t>
      </w:r>
      <w:r w:rsidRPr="00AD451B">
        <w:rPr>
          <w:rFonts w:ascii="David" w:hAnsi="David" w:cs="David"/>
          <w:color w:val="000000" w:themeColor="text1"/>
          <w:sz w:val="24"/>
          <w:szCs w:val="24"/>
          <w:rtl/>
          <w:lang w:bidi="he-IL"/>
        </w:rPr>
        <w:t>משנות</w:t>
      </w:r>
      <w:r w:rsidRPr="00AD451B">
        <w:rPr>
          <w:rFonts w:ascii="David" w:hAnsi="David" w:cs="David"/>
          <w:color w:val="000000" w:themeColor="text1"/>
          <w:sz w:val="24"/>
          <w:szCs w:val="24"/>
          <w:rtl/>
        </w:rPr>
        <w:t xml:space="preserve"> </w:t>
      </w:r>
      <w:r w:rsidRPr="00AD451B">
        <w:rPr>
          <w:rFonts w:ascii="David" w:hAnsi="David" w:cs="David"/>
          <w:color w:val="000000" w:themeColor="text1"/>
          <w:sz w:val="24"/>
          <w:szCs w:val="24"/>
          <w:rtl/>
          <w:lang w:bidi="he-IL"/>
        </w:rPr>
        <w:t>השמונים</w:t>
      </w:r>
      <w:r w:rsidRPr="00AD451B">
        <w:rPr>
          <w:rFonts w:ascii="David" w:hAnsi="David" w:cs="David"/>
          <w:color w:val="000000" w:themeColor="text1"/>
          <w:sz w:val="24"/>
          <w:szCs w:val="24"/>
          <w:rtl/>
        </w:rPr>
        <w:t xml:space="preserve">, </w:t>
      </w:r>
      <w:r w:rsidRPr="00AD451B">
        <w:rPr>
          <w:rFonts w:ascii="David" w:hAnsi="David" w:cs="David"/>
          <w:color w:val="000000" w:themeColor="text1"/>
          <w:sz w:val="24"/>
          <w:szCs w:val="24"/>
          <w:rtl/>
          <w:lang w:bidi="he-IL"/>
        </w:rPr>
        <w:t>שדחה</w:t>
      </w:r>
      <w:r w:rsidRPr="00AD451B">
        <w:rPr>
          <w:rFonts w:ascii="David" w:hAnsi="David" w:cs="David"/>
          <w:color w:val="000000" w:themeColor="text1"/>
          <w:sz w:val="24"/>
          <w:szCs w:val="24"/>
          <w:rtl/>
        </w:rPr>
        <w:t xml:space="preserve"> </w:t>
      </w:r>
      <w:r w:rsidRPr="00AD451B">
        <w:rPr>
          <w:rFonts w:ascii="David" w:hAnsi="David" w:cs="David"/>
          <w:color w:val="000000" w:themeColor="text1"/>
          <w:sz w:val="24"/>
          <w:szCs w:val="24"/>
          <w:rtl/>
          <w:lang w:bidi="he-IL"/>
        </w:rPr>
        <w:t>תפיסות</w:t>
      </w:r>
      <w:r w:rsidRPr="00AD451B">
        <w:rPr>
          <w:rFonts w:ascii="David" w:hAnsi="David" w:cs="David"/>
          <w:color w:val="000000" w:themeColor="text1"/>
          <w:sz w:val="24"/>
          <w:szCs w:val="24"/>
          <w:rtl/>
        </w:rPr>
        <w:t xml:space="preserve"> </w:t>
      </w:r>
      <w:r w:rsidRPr="00AD451B">
        <w:rPr>
          <w:rFonts w:ascii="David" w:hAnsi="David" w:cs="David"/>
          <w:color w:val="000000" w:themeColor="text1"/>
          <w:sz w:val="24"/>
          <w:szCs w:val="24"/>
          <w:rtl/>
          <w:lang w:bidi="he-IL"/>
        </w:rPr>
        <w:t>הרואות</w:t>
      </w:r>
      <w:r w:rsidRPr="00AD451B">
        <w:rPr>
          <w:rFonts w:ascii="David" w:hAnsi="David" w:cs="David"/>
          <w:color w:val="000000" w:themeColor="text1"/>
          <w:sz w:val="24"/>
          <w:szCs w:val="24"/>
          <w:rtl/>
        </w:rPr>
        <w:t xml:space="preserve"> </w:t>
      </w:r>
      <w:r w:rsidRPr="00AD451B">
        <w:rPr>
          <w:rFonts w:ascii="David" w:hAnsi="David" w:cs="David"/>
          <w:color w:val="000000" w:themeColor="text1"/>
          <w:sz w:val="24"/>
          <w:szCs w:val="24"/>
          <w:rtl/>
          <w:lang w:bidi="he-IL"/>
        </w:rPr>
        <w:t>את</w:t>
      </w:r>
      <w:r w:rsidRPr="00AD451B">
        <w:rPr>
          <w:rFonts w:ascii="David" w:hAnsi="David" w:cs="David"/>
          <w:color w:val="000000" w:themeColor="text1"/>
          <w:sz w:val="24"/>
          <w:szCs w:val="24"/>
          <w:rtl/>
        </w:rPr>
        <w:t xml:space="preserve"> </w:t>
      </w:r>
      <w:r w:rsidRPr="00AD451B">
        <w:rPr>
          <w:rFonts w:ascii="David" w:hAnsi="David" w:cs="David"/>
          <w:color w:val="000000" w:themeColor="text1"/>
          <w:sz w:val="24"/>
          <w:szCs w:val="24"/>
          <w:rtl/>
          <w:lang w:bidi="he-IL"/>
        </w:rPr>
        <w:t>המשפט</w:t>
      </w:r>
      <w:r w:rsidRPr="00AD451B">
        <w:rPr>
          <w:rFonts w:ascii="David" w:hAnsi="David" w:cs="David"/>
          <w:color w:val="000000" w:themeColor="text1"/>
          <w:sz w:val="24"/>
          <w:szCs w:val="24"/>
          <w:rtl/>
        </w:rPr>
        <w:t xml:space="preserve"> </w:t>
      </w:r>
      <w:r w:rsidRPr="00AD451B">
        <w:rPr>
          <w:rFonts w:ascii="David" w:hAnsi="David" w:cs="David"/>
          <w:color w:val="000000" w:themeColor="text1"/>
          <w:sz w:val="24"/>
          <w:szCs w:val="24"/>
          <w:rtl/>
          <w:lang w:bidi="he-IL"/>
        </w:rPr>
        <w:t>כמנגנון</w:t>
      </w:r>
      <w:r w:rsidRPr="00AD451B">
        <w:rPr>
          <w:rFonts w:ascii="David" w:hAnsi="David" w:cs="David"/>
          <w:color w:val="000000" w:themeColor="text1"/>
          <w:sz w:val="24"/>
          <w:szCs w:val="24"/>
          <w:rtl/>
        </w:rPr>
        <w:t xml:space="preserve"> </w:t>
      </w:r>
      <w:r w:rsidRPr="00AD451B">
        <w:rPr>
          <w:rFonts w:ascii="David" w:hAnsi="David" w:cs="David"/>
          <w:color w:val="000000" w:themeColor="text1"/>
          <w:sz w:val="24"/>
          <w:szCs w:val="24"/>
          <w:rtl/>
          <w:lang w:bidi="he-IL"/>
        </w:rPr>
        <w:t>ליישוב</w:t>
      </w:r>
      <w:r w:rsidRPr="00AD451B">
        <w:rPr>
          <w:rFonts w:ascii="David" w:hAnsi="David" w:cs="David"/>
          <w:color w:val="000000" w:themeColor="text1"/>
          <w:sz w:val="24"/>
          <w:szCs w:val="24"/>
          <w:rtl/>
        </w:rPr>
        <w:t xml:space="preserve"> </w:t>
      </w:r>
      <w:r w:rsidRPr="00AD451B">
        <w:rPr>
          <w:rFonts w:ascii="David" w:hAnsi="David" w:cs="David"/>
          <w:color w:val="000000" w:themeColor="text1"/>
          <w:sz w:val="24"/>
          <w:szCs w:val="24"/>
          <w:rtl/>
          <w:lang w:bidi="he-IL"/>
        </w:rPr>
        <w:t>סכסוכים</w:t>
      </w:r>
      <w:r w:rsidRPr="00AD451B">
        <w:rPr>
          <w:rFonts w:ascii="David" w:hAnsi="David" w:cs="David"/>
          <w:color w:val="000000" w:themeColor="text1"/>
          <w:sz w:val="24"/>
          <w:szCs w:val="24"/>
          <w:rtl/>
        </w:rPr>
        <w:t xml:space="preserve">. </w:t>
      </w:r>
      <w:r w:rsidRPr="00AD451B">
        <w:rPr>
          <w:rFonts w:ascii="David" w:hAnsi="David" w:cs="David"/>
          <w:color w:val="000000" w:themeColor="text1"/>
          <w:sz w:val="24"/>
          <w:szCs w:val="24"/>
          <w:rtl/>
          <w:lang w:bidi="he-IL"/>
        </w:rPr>
        <w:t>גירץ</w:t>
      </w:r>
      <w:r w:rsidRPr="00AD451B">
        <w:rPr>
          <w:rFonts w:ascii="David" w:hAnsi="David" w:cs="David"/>
          <w:color w:val="000000" w:themeColor="text1"/>
          <w:sz w:val="24"/>
          <w:szCs w:val="24"/>
          <w:rtl/>
        </w:rPr>
        <w:t xml:space="preserve"> </w:t>
      </w:r>
      <w:r w:rsidRPr="00AD451B">
        <w:rPr>
          <w:rFonts w:ascii="David" w:hAnsi="David" w:cs="David"/>
          <w:color w:val="000000" w:themeColor="text1"/>
          <w:sz w:val="24"/>
          <w:szCs w:val="24"/>
          <w:rtl/>
          <w:lang w:bidi="he-IL"/>
        </w:rPr>
        <w:t>גם</w:t>
      </w:r>
      <w:r w:rsidRPr="00AD451B">
        <w:rPr>
          <w:rFonts w:ascii="David" w:hAnsi="David" w:cs="David"/>
          <w:color w:val="000000" w:themeColor="text1"/>
          <w:sz w:val="24"/>
          <w:szCs w:val="24"/>
          <w:rtl/>
        </w:rPr>
        <w:t xml:space="preserve"> </w:t>
      </w:r>
      <w:r w:rsidRPr="00AD451B">
        <w:rPr>
          <w:rFonts w:ascii="David" w:hAnsi="David" w:cs="David"/>
          <w:color w:val="000000" w:themeColor="text1"/>
          <w:sz w:val="24"/>
          <w:szCs w:val="24"/>
          <w:rtl/>
          <w:lang w:bidi="he-IL"/>
        </w:rPr>
        <w:t>דחה</w:t>
      </w:r>
      <w:r w:rsidRPr="00AD451B">
        <w:rPr>
          <w:rFonts w:ascii="David" w:hAnsi="David" w:cs="David"/>
          <w:color w:val="000000" w:themeColor="text1"/>
          <w:sz w:val="24"/>
          <w:szCs w:val="24"/>
          <w:rtl/>
        </w:rPr>
        <w:t xml:space="preserve"> </w:t>
      </w:r>
      <w:r w:rsidRPr="00AD451B">
        <w:rPr>
          <w:rFonts w:ascii="David" w:hAnsi="David" w:cs="David"/>
          <w:color w:val="000000" w:themeColor="text1"/>
          <w:sz w:val="24"/>
          <w:szCs w:val="24"/>
          <w:rtl/>
          <w:lang w:bidi="he-IL"/>
        </w:rPr>
        <w:t>את</w:t>
      </w:r>
      <w:r w:rsidRPr="00AD451B">
        <w:rPr>
          <w:rFonts w:ascii="David" w:hAnsi="David" w:cs="David"/>
          <w:color w:val="000000" w:themeColor="text1"/>
          <w:sz w:val="24"/>
          <w:szCs w:val="24"/>
          <w:rtl/>
        </w:rPr>
        <w:t xml:space="preserve"> </w:t>
      </w:r>
      <w:r w:rsidRPr="00AD451B">
        <w:rPr>
          <w:rFonts w:ascii="David" w:hAnsi="David" w:cs="David"/>
          <w:color w:val="000000" w:themeColor="text1"/>
          <w:sz w:val="24"/>
          <w:szCs w:val="24"/>
          <w:rtl/>
          <w:lang w:bidi="he-IL"/>
        </w:rPr>
        <w:t>התפיסה</w:t>
      </w:r>
      <w:r w:rsidRPr="00AD451B">
        <w:rPr>
          <w:rFonts w:ascii="David" w:hAnsi="David" w:cs="David"/>
          <w:color w:val="000000" w:themeColor="text1"/>
          <w:sz w:val="24"/>
          <w:szCs w:val="24"/>
          <w:rtl/>
        </w:rPr>
        <w:t xml:space="preserve"> </w:t>
      </w:r>
      <w:r w:rsidRPr="00AD451B">
        <w:rPr>
          <w:rFonts w:ascii="David" w:hAnsi="David" w:cs="David"/>
          <w:color w:val="000000" w:themeColor="text1"/>
          <w:sz w:val="24"/>
          <w:szCs w:val="24"/>
          <w:rtl/>
          <w:lang w:bidi="he-IL"/>
        </w:rPr>
        <w:t>הפונקציונלית</w:t>
      </w:r>
      <w:r w:rsidRPr="00AD451B">
        <w:rPr>
          <w:rFonts w:ascii="David" w:hAnsi="David" w:cs="David"/>
          <w:color w:val="000000" w:themeColor="text1"/>
          <w:sz w:val="24"/>
          <w:szCs w:val="24"/>
          <w:rtl/>
        </w:rPr>
        <w:t xml:space="preserve"> </w:t>
      </w:r>
      <w:r w:rsidRPr="00AD451B">
        <w:rPr>
          <w:rFonts w:ascii="David" w:hAnsi="David" w:cs="David"/>
          <w:color w:val="000000" w:themeColor="text1"/>
          <w:sz w:val="24"/>
          <w:szCs w:val="24"/>
          <w:rtl/>
          <w:lang w:bidi="he-IL"/>
        </w:rPr>
        <w:t>של</w:t>
      </w:r>
      <w:r w:rsidRPr="00AD451B">
        <w:rPr>
          <w:rFonts w:ascii="David" w:hAnsi="David" w:cs="David"/>
          <w:color w:val="000000" w:themeColor="text1"/>
          <w:sz w:val="24"/>
          <w:szCs w:val="24"/>
          <w:rtl/>
        </w:rPr>
        <w:t xml:space="preserve"> </w:t>
      </w:r>
      <w:r w:rsidRPr="00AD451B">
        <w:rPr>
          <w:rFonts w:ascii="David" w:hAnsi="David" w:cs="David"/>
          <w:color w:val="000000" w:themeColor="text1"/>
          <w:sz w:val="24"/>
          <w:szCs w:val="24"/>
          <w:rtl/>
          <w:lang w:bidi="he-IL"/>
        </w:rPr>
        <w:t>דורקהיים</w:t>
      </w:r>
      <w:r w:rsidRPr="00AD451B">
        <w:rPr>
          <w:rFonts w:ascii="David" w:hAnsi="David" w:cs="David"/>
          <w:color w:val="000000" w:themeColor="text1"/>
          <w:sz w:val="24"/>
          <w:szCs w:val="24"/>
          <w:rtl/>
        </w:rPr>
        <w:t xml:space="preserve">, </w:t>
      </w:r>
      <w:r w:rsidRPr="00AD451B">
        <w:rPr>
          <w:rFonts w:ascii="David" w:hAnsi="David" w:cs="David"/>
          <w:color w:val="000000" w:themeColor="text1"/>
          <w:sz w:val="24"/>
          <w:szCs w:val="24"/>
          <w:rtl/>
          <w:lang w:bidi="he-IL"/>
        </w:rPr>
        <w:t>שלפיה</w:t>
      </w:r>
      <w:r w:rsidRPr="00AD451B">
        <w:rPr>
          <w:rFonts w:ascii="David" w:hAnsi="David" w:cs="David"/>
          <w:color w:val="000000" w:themeColor="text1"/>
          <w:sz w:val="24"/>
          <w:szCs w:val="24"/>
          <w:rtl/>
        </w:rPr>
        <w:t xml:space="preserve"> </w:t>
      </w:r>
      <w:r w:rsidRPr="00AD451B">
        <w:rPr>
          <w:rFonts w:ascii="David" w:hAnsi="David" w:cs="David"/>
          <w:color w:val="000000" w:themeColor="text1"/>
          <w:sz w:val="24"/>
          <w:szCs w:val="24"/>
          <w:rtl/>
          <w:lang w:bidi="he-IL"/>
        </w:rPr>
        <w:t>המשפט</w:t>
      </w:r>
      <w:r w:rsidRPr="00AD451B">
        <w:rPr>
          <w:rFonts w:ascii="David" w:hAnsi="David" w:cs="David"/>
          <w:color w:val="000000" w:themeColor="text1"/>
          <w:sz w:val="24"/>
          <w:szCs w:val="24"/>
          <w:rtl/>
        </w:rPr>
        <w:t xml:space="preserve"> </w:t>
      </w:r>
      <w:r w:rsidRPr="00AD451B">
        <w:rPr>
          <w:rFonts w:ascii="David" w:hAnsi="David" w:cs="David"/>
          <w:color w:val="000000" w:themeColor="text1"/>
          <w:sz w:val="24"/>
          <w:szCs w:val="24"/>
          <w:rtl/>
          <w:lang w:bidi="he-IL"/>
        </w:rPr>
        <w:t>נבדל</w:t>
      </w:r>
      <w:r w:rsidRPr="00AD451B">
        <w:rPr>
          <w:rFonts w:ascii="David" w:hAnsi="David" w:cs="David"/>
          <w:color w:val="000000" w:themeColor="text1"/>
          <w:sz w:val="24"/>
          <w:szCs w:val="24"/>
          <w:rtl/>
        </w:rPr>
        <w:t xml:space="preserve"> </w:t>
      </w:r>
      <w:r w:rsidRPr="00AD451B">
        <w:rPr>
          <w:rFonts w:ascii="David" w:hAnsi="David" w:cs="David"/>
          <w:color w:val="000000" w:themeColor="text1"/>
          <w:sz w:val="24"/>
          <w:szCs w:val="24"/>
          <w:rtl/>
          <w:lang w:bidi="he-IL"/>
        </w:rPr>
        <w:t>מהחברה</w:t>
      </w:r>
      <w:r w:rsidRPr="00AD451B">
        <w:rPr>
          <w:rFonts w:ascii="David" w:hAnsi="David" w:cs="David"/>
          <w:color w:val="000000" w:themeColor="text1"/>
          <w:sz w:val="24"/>
          <w:szCs w:val="24"/>
          <w:rtl/>
        </w:rPr>
        <w:t xml:space="preserve">, </w:t>
      </w:r>
      <w:r w:rsidRPr="00AD451B">
        <w:rPr>
          <w:rFonts w:ascii="David" w:hAnsi="David" w:cs="David"/>
          <w:color w:val="000000" w:themeColor="text1"/>
          <w:sz w:val="24"/>
          <w:szCs w:val="24"/>
          <w:rtl/>
          <w:lang w:bidi="he-IL"/>
        </w:rPr>
        <w:t>וככזה</w:t>
      </w:r>
      <w:r w:rsidRPr="00AD451B">
        <w:rPr>
          <w:rFonts w:ascii="David" w:hAnsi="David" w:cs="David"/>
          <w:color w:val="000000" w:themeColor="text1"/>
          <w:sz w:val="24"/>
          <w:szCs w:val="24"/>
          <w:rtl/>
        </w:rPr>
        <w:t xml:space="preserve"> </w:t>
      </w:r>
      <w:r w:rsidRPr="00AD451B">
        <w:rPr>
          <w:rFonts w:ascii="David" w:hAnsi="David" w:cs="David"/>
          <w:color w:val="000000" w:themeColor="text1"/>
          <w:sz w:val="24"/>
          <w:szCs w:val="24"/>
          <w:rtl/>
          <w:lang w:bidi="he-IL"/>
        </w:rPr>
        <w:t>הוא</w:t>
      </w:r>
      <w:r w:rsidRPr="00AD451B">
        <w:rPr>
          <w:rFonts w:ascii="David" w:hAnsi="David" w:cs="David"/>
          <w:color w:val="000000" w:themeColor="text1"/>
          <w:sz w:val="24"/>
          <w:szCs w:val="24"/>
          <w:rtl/>
        </w:rPr>
        <w:t xml:space="preserve"> </w:t>
      </w:r>
      <w:r w:rsidRPr="00AD451B">
        <w:rPr>
          <w:rFonts w:ascii="David" w:hAnsi="David" w:cs="David"/>
          <w:color w:val="000000" w:themeColor="text1"/>
          <w:sz w:val="24"/>
          <w:szCs w:val="24"/>
          <w:rtl/>
          <w:lang w:bidi="he-IL"/>
        </w:rPr>
        <w:t>פועל</w:t>
      </w:r>
      <w:r w:rsidRPr="00AD451B">
        <w:rPr>
          <w:rFonts w:ascii="David" w:hAnsi="David" w:cs="David"/>
          <w:color w:val="000000" w:themeColor="text1"/>
          <w:sz w:val="24"/>
          <w:szCs w:val="24"/>
          <w:rtl/>
        </w:rPr>
        <w:t xml:space="preserve"> </w:t>
      </w:r>
      <w:r w:rsidRPr="00AD451B">
        <w:rPr>
          <w:rFonts w:ascii="David" w:hAnsi="David" w:cs="David"/>
          <w:color w:val="000000" w:themeColor="text1"/>
          <w:sz w:val="24"/>
          <w:szCs w:val="24"/>
          <w:rtl/>
          <w:lang w:bidi="he-IL"/>
        </w:rPr>
        <w:t>על</w:t>
      </w:r>
      <w:r w:rsidRPr="00AD451B">
        <w:rPr>
          <w:rFonts w:ascii="David" w:hAnsi="David" w:cs="David"/>
          <w:color w:val="000000" w:themeColor="text1"/>
          <w:sz w:val="24"/>
          <w:szCs w:val="24"/>
          <w:rtl/>
        </w:rPr>
        <w:t xml:space="preserve"> </w:t>
      </w:r>
      <w:r w:rsidRPr="00AD451B">
        <w:rPr>
          <w:rFonts w:ascii="David" w:hAnsi="David" w:cs="David"/>
          <w:color w:val="000000" w:themeColor="text1"/>
          <w:sz w:val="24"/>
          <w:szCs w:val="24"/>
          <w:rtl/>
          <w:lang w:bidi="he-IL"/>
        </w:rPr>
        <w:t>החברה</w:t>
      </w:r>
      <w:r w:rsidRPr="00AD451B">
        <w:rPr>
          <w:rFonts w:ascii="David" w:hAnsi="David" w:cs="David"/>
          <w:color w:val="000000" w:themeColor="text1"/>
          <w:sz w:val="24"/>
          <w:szCs w:val="24"/>
          <w:rtl/>
        </w:rPr>
        <w:t xml:space="preserve"> "</w:t>
      </w:r>
      <w:r w:rsidRPr="00AD451B">
        <w:rPr>
          <w:rFonts w:ascii="David" w:hAnsi="David" w:cs="David"/>
          <w:color w:val="000000" w:themeColor="text1"/>
          <w:sz w:val="24"/>
          <w:szCs w:val="24"/>
          <w:rtl/>
          <w:lang w:bidi="he-IL"/>
        </w:rPr>
        <w:t>מבחוץ</w:t>
      </w:r>
      <w:r w:rsidRPr="00AD451B">
        <w:rPr>
          <w:rFonts w:ascii="David" w:hAnsi="David" w:cs="David"/>
          <w:color w:val="000000" w:themeColor="text1"/>
          <w:sz w:val="24"/>
          <w:szCs w:val="24"/>
          <w:rtl/>
        </w:rPr>
        <w:t xml:space="preserve">" </w:t>
      </w:r>
      <w:r w:rsidRPr="00AD451B">
        <w:rPr>
          <w:rFonts w:ascii="David" w:hAnsi="David" w:cs="David"/>
          <w:color w:val="000000" w:themeColor="text1"/>
          <w:sz w:val="24"/>
          <w:szCs w:val="24"/>
          <w:rtl/>
          <w:lang w:bidi="he-IL"/>
        </w:rPr>
        <w:t>כדי</w:t>
      </w:r>
      <w:r w:rsidRPr="00AD451B">
        <w:rPr>
          <w:rFonts w:ascii="David" w:hAnsi="David" w:cs="David"/>
          <w:color w:val="000000" w:themeColor="text1"/>
          <w:sz w:val="24"/>
          <w:szCs w:val="24"/>
          <w:rtl/>
        </w:rPr>
        <w:t xml:space="preserve"> </w:t>
      </w:r>
      <w:r w:rsidRPr="00AD451B">
        <w:rPr>
          <w:rFonts w:ascii="David" w:hAnsi="David" w:cs="David"/>
          <w:color w:val="000000" w:themeColor="text1"/>
          <w:sz w:val="24"/>
          <w:szCs w:val="24"/>
          <w:rtl/>
          <w:lang w:bidi="he-IL"/>
        </w:rPr>
        <w:t>לתת</w:t>
      </w:r>
      <w:r w:rsidRPr="00AD451B">
        <w:rPr>
          <w:rFonts w:ascii="David" w:hAnsi="David" w:cs="David"/>
          <w:color w:val="000000" w:themeColor="text1"/>
          <w:sz w:val="24"/>
          <w:szCs w:val="24"/>
          <w:rtl/>
        </w:rPr>
        <w:t xml:space="preserve"> </w:t>
      </w:r>
      <w:r w:rsidRPr="00AD451B">
        <w:rPr>
          <w:rFonts w:ascii="David" w:hAnsi="David" w:cs="David"/>
          <w:color w:val="000000" w:themeColor="text1"/>
          <w:sz w:val="24"/>
          <w:szCs w:val="24"/>
          <w:rtl/>
          <w:lang w:bidi="he-IL"/>
        </w:rPr>
        <w:t>מענה</w:t>
      </w:r>
      <w:r w:rsidRPr="00AD451B">
        <w:rPr>
          <w:rFonts w:ascii="David" w:hAnsi="David" w:cs="David"/>
          <w:color w:val="000000" w:themeColor="text1"/>
          <w:sz w:val="24"/>
          <w:szCs w:val="24"/>
          <w:rtl/>
        </w:rPr>
        <w:t xml:space="preserve"> </w:t>
      </w:r>
      <w:r w:rsidRPr="00AD451B">
        <w:rPr>
          <w:rFonts w:ascii="David" w:hAnsi="David" w:cs="David"/>
          <w:color w:val="000000" w:themeColor="text1"/>
          <w:sz w:val="24"/>
          <w:szCs w:val="24"/>
          <w:rtl/>
          <w:lang w:bidi="he-IL"/>
        </w:rPr>
        <w:t>לצרכיה</w:t>
      </w:r>
      <w:r w:rsidRPr="00AD451B">
        <w:rPr>
          <w:rFonts w:ascii="David" w:hAnsi="David" w:cs="David"/>
          <w:color w:val="000000" w:themeColor="text1"/>
          <w:sz w:val="24"/>
          <w:szCs w:val="24"/>
          <w:rtl/>
        </w:rPr>
        <w:t xml:space="preserve">. </w:t>
      </w:r>
      <w:r w:rsidRPr="00AD451B">
        <w:rPr>
          <w:rFonts w:ascii="David" w:hAnsi="David" w:cs="David"/>
          <w:color w:val="000000" w:themeColor="text1"/>
          <w:sz w:val="24"/>
          <w:szCs w:val="24"/>
          <w:rtl/>
          <w:lang w:bidi="he-IL"/>
        </w:rPr>
        <w:t>במקום</w:t>
      </w:r>
      <w:r w:rsidRPr="00AD451B">
        <w:rPr>
          <w:rFonts w:ascii="David" w:hAnsi="David" w:cs="David"/>
          <w:color w:val="000000" w:themeColor="text1"/>
          <w:sz w:val="24"/>
          <w:szCs w:val="24"/>
          <w:rtl/>
        </w:rPr>
        <w:t xml:space="preserve"> </w:t>
      </w:r>
      <w:r w:rsidRPr="00AD451B">
        <w:rPr>
          <w:rFonts w:ascii="David" w:hAnsi="David" w:cs="David"/>
          <w:color w:val="000000" w:themeColor="text1"/>
          <w:sz w:val="24"/>
          <w:szCs w:val="24"/>
          <w:rtl/>
          <w:lang w:bidi="he-IL"/>
        </w:rPr>
        <w:t>זאת</w:t>
      </w:r>
      <w:r w:rsidRPr="00AD451B">
        <w:rPr>
          <w:rFonts w:ascii="David" w:hAnsi="David" w:cs="David"/>
          <w:color w:val="000000" w:themeColor="text1"/>
          <w:sz w:val="24"/>
          <w:szCs w:val="24"/>
          <w:rtl/>
        </w:rPr>
        <w:t xml:space="preserve">, </w:t>
      </w:r>
      <w:r w:rsidRPr="00AD451B">
        <w:rPr>
          <w:rFonts w:ascii="David" w:hAnsi="David" w:cs="David"/>
          <w:color w:val="000000" w:themeColor="text1"/>
          <w:sz w:val="24"/>
          <w:szCs w:val="24"/>
          <w:rtl/>
          <w:lang w:bidi="he-IL"/>
        </w:rPr>
        <w:t>גירץ</w:t>
      </w:r>
      <w:r w:rsidRPr="00AD451B">
        <w:rPr>
          <w:rFonts w:ascii="David" w:hAnsi="David" w:cs="David"/>
          <w:color w:val="000000" w:themeColor="text1"/>
          <w:sz w:val="24"/>
          <w:szCs w:val="24"/>
          <w:rtl/>
        </w:rPr>
        <w:t xml:space="preserve"> </w:t>
      </w:r>
      <w:r w:rsidRPr="00AD451B">
        <w:rPr>
          <w:rFonts w:ascii="David" w:hAnsi="David" w:cs="David"/>
          <w:color w:val="000000" w:themeColor="text1"/>
          <w:sz w:val="24"/>
          <w:szCs w:val="24"/>
          <w:rtl/>
          <w:lang w:bidi="he-IL"/>
        </w:rPr>
        <w:t>הציע</w:t>
      </w:r>
      <w:r w:rsidRPr="00AD451B">
        <w:rPr>
          <w:rFonts w:ascii="David" w:hAnsi="David" w:cs="David"/>
          <w:color w:val="000000" w:themeColor="text1"/>
          <w:sz w:val="24"/>
          <w:szCs w:val="24"/>
          <w:rtl/>
        </w:rPr>
        <w:t xml:space="preserve"> </w:t>
      </w:r>
      <w:r w:rsidRPr="00AD451B">
        <w:rPr>
          <w:rFonts w:ascii="David" w:hAnsi="David" w:cs="David"/>
          <w:color w:val="000000" w:themeColor="text1"/>
          <w:sz w:val="24"/>
          <w:szCs w:val="24"/>
          <w:rtl/>
          <w:lang w:bidi="he-IL"/>
        </w:rPr>
        <w:t>לראות</w:t>
      </w:r>
      <w:r w:rsidRPr="00AD451B">
        <w:rPr>
          <w:rFonts w:ascii="David" w:hAnsi="David" w:cs="David"/>
          <w:color w:val="000000" w:themeColor="text1"/>
          <w:sz w:val="24"/>
          <w:szCs w:val="24"/>
          <w:rtl/>
        </w:rPr>
        <w:t xml:space="preserve"> </w:t>
      </w:r>
      <w:r w:rsidRPr="00AD451B">
        <w:rPr>
          <w:rFonts w:ascii="David" w:hAnsi="David" w:cs="David"/>
          <w:color w:val="000000" w:themeColor="text1"/>
          <w:sz w:val="24"/>
          <w:szCs w:val="24"/>
          <w:rtl/>
          <w:lang w:bidi="he-IL"/>
        </w:rPr>
        <w:t>את</w:t>
      </w:r>
      <w:r w:rsidRPr="00AD451B">
        <w:rPr>
          <w:rFonts w:ascii="David" w:hAnsi="David" w:cs="David"/>
          <w:color w:val="000000" w:themeColor="text1"/>
          <w:sz w:val="24"/>
          <w:szCs w:val="24"/>
          <w:rtl/>
        </w:rPr>
        <w:t xml:space="preserve"> </w:t>
      </w:r>
      <w:r w:rsidRPr="00AD451B">
        <w:rPr>
          <w:rFonts w:ascii="David" w:hAnsi="David" w:cs="David"/>
          <w:color w:val="000000" w:themeColor="text1"/>
          <w:sz w:val="24"/>
          <w:szCs w:val="24"/>
          <w:rtl/>
          <w:lang w:bidi="he-IL"/>
        </w:rPr>
        <w:t>המשפט</w:t>
      </w:r>
      <w:r w:rsidRPr="00AD451B">
        <w:rPr>
          <w:rFonts w:ascii="David" w:hAnsi="David" w:cs="David"/>
          <w:color w:val="000000" w:themeColor="text1"/>
          <w:sz w:val="24"/>
          <w:szCs w:val="24"/>
          <w:rtl/>
        </w:rPr>
        <w:t xml:space="preserve"> </w:t>
      </w:r>
      <w:r w:rsidRPr="00AD451B">
        <w:rPr>
          <w:rFonts w:ascii="David" w:hAnsi="David" w:cs="David"/>
          <w:color w:val="000000" w:themeColor="text1"/>
          <w:sz w:val="24"/>
          <w:szCs w:val="24"/>
          <w:rtl/>
          <w:lang w:bidi="he-IL"/>
        </w:rPr>
        <w:t>כ</w:t>
      </w:r>
      <w:r w:rsidRPr="00AD451B">
        <w:rPr>
          <w:rFonts w:ascii="David" w:hAnsi="David" w:cs="David"/>
          <w:color w:val="000000" w:themeColor="text1"/>
          <w:sz w:val="24"/>
          <w:szCs w:val="24"/>
          <w:rtl/>
        </w:rPr>
        <w:t>"</w:t>
      </w:r>
      <w:r w:rsidRPr="00AD451B">
        <w:rPr>
          <w:rFonts w:ascii="David" w:hAnsi="David" w:cs="David"/>
          <w:color w:val="000000" w:themeColor="text1"/>
          <w:sz w:val="24"/>
          <w:szCs w:val="24"/>
          <w:rtl/>
          <w:lang w:bidi="he-IL"/>
        </w:rPr>
        <w:t>מבנים</w:t>
      </w:r>
      <w:r w:rsidRPr="00AD451B">
        <w:rPr>
          <w:rFonts w:ascii="David" w:hAnsi="David" w:cs="David"/>
          <w:color w:val="000000" w:themeColor="text1"/>
          <w:sz w:val="24"/>
          <w:szCs w:val="24"/>
          <w:rtl/>
        </w:rPr>
        <w:t xml:space="preserve"> </w:t>
      </w:r>
      <w:r w:rsidRPr="00AD451B">
        <w:rPr>
          <w:rFonts w:ascii="David" w:hAnsi="David" w:cs="David"/>
          <w:color w:val="000000" w:themeColor="text1"/>
          <w:sz w:val="24"/>
          <w:szCs w:val="24"/>
          <w:rtl/>
          <w:lang w:bidi="he-IL"/>
        </w:rPr>
        <w:t>של</w:t>
      </w:r>
      <w:r w:rsidRPr="00AD451B">
        <w:rPr>
          <w:rFonts w:ascii="David" w:hAnsi="David" w:cs="David"/>
          <w:color w:val="000000" w:themeColor="text1"/>
          <w:sz w:val="24"/>
          <w:szCs w:val="24"/>
          <w:rtl/>
        </w:rPr>
        <w:t xml:space="preserve"> </w:t>
      </w:r>
      <w:r w:rsidRPr="00AD451B">
        <w:rPr>
          <w:rFonts w:ascii="David" w:hAnsi="David" w:cs="David"/>
          <w:color w:val="000000" w:themeColor="text1"/>
          <w:sz w:val="24"/>
          <w:szCs w:val="24"/>
          <w:rtl/>
          <w:lang w:bidi="he-IL"/>
        </w:rPr>
        <w:t>משמעות</w:t>
      </w:r>
      <w:r w:rsidRPr="00AD451B">
        <w:rPr>
          <w:rFonts w:ascii="David" w:hAnsi="David" w:cs="David"/>
          <w:color w:val="000000" w:themeColor="text1"/>
          <w:sz w:val="24"/>
          <w:szCs w:val="24"/>
          <w:rtl/>
        </w:rPr>
        <w:t xml:space="preserve">", </w:t>
      </w:r>
      <w:r w:rsidRPr="00AD451B">
        <w:rPr>
          <w:rFonts w:ascii="David" w:hAnsi="David" w:cs="David"/>
          <w:color w:val="000000" w:themeColor="text1"/>
          <w:sz w:val="24"/>
          <w:szCs w:val="24"/>
          <w:rtl/>
          <w:lang w:bidi="he-IL"/>
        </w:rPr>
        <w:t>היוצרים</w:t>
      </w:r>
      <w:r w:rsidRPr="00AD451B">
        <w:rPr>
          <w:rFonts w:ascii="David" w:hAnsi="David" w:cs="David"/>
          <w:color w:val="000000" w:themeColor="text1"/>
          <w:sz w:val="24"/>
          <w:szCs w:val="24"/>
          <w:rtl/>
        </w:rPr>
        <w:t xml:space="preserve"> </w:t>
      </w:r>
      <w:r w:rsidRPr="00AD451B">
        <w:rPr>
          <w:rFonts w:ascii="David" w:hAnsi="David" w:cs="David"/>
          <w:color w:val="000000" w:themeColor="text1"/>
          <w:sz w:val="24"/>
          <w:szCs w:val="24"/>
          <w:rtl/>
          <w:lang w:bidi="he-IL"/>
        </w:rPr>
        <w:t>דרך</w:t>
      </w:r>
      <w:r w:rsidRPr="00AD451B">
        <w:rPr>
          <w:rFonts w:ascii="David" w:hAnsi="David" w:cs="David"/>
          <w:color w:val="000000" w:themeColor="text1"/>
          <w:sz w:val="24"/>
          <w:szCs w:val="24"/>
          <w:rtl/>
        </w:rPr>
        <w:t xml:space="preserve"> </w:t>
      </w:r>
      <w:r w:rsidRPr="00AD451B">
        <w:rPr>
          <w:rFonts w:ascii="David" w:hAnsi="David" w:cs="David"/>
          <w:color w:val="000000" w:themeColor="text1"/>
          <w:sz w:val="24"/>
          <w:szCs w:val="24"/>
          <w:rtl/>
          <w:lang w:bidi="he-IL"/>
        </w:rPr>
        <w:t>ייחודית</w:t>
      </w:r>
      <w:r w:rsidRPr="00AD451B">
        <w:rPr>
          <w:rFonts w:ascii="David" w:hAnsi="David" w:cs="David"/>
          <w:color w:val="000000" w:themeColor="text1"/>
          <w:sz w:val="24"/>
          <w:szCs w:val="24"/>
          <w:rtl/>
        </w:rPr>
        <w:t xml:space="preserve"> </w:t>
      </w:r>
      <w:r w:rsidRPr="00AD451B">
        <w:rPr>
          <w:rFonts w:ascii="David" w:hAnsi="David" w:cs="David"/>
          <w:color w:val="000000" w:themeColor="text1"/>
          <w:sz w:val="24"/>
          <w:szCs w:val="24"/>
          <w:rtl/>
          <w:lang w:bidi="he-IL"/>
        </w:rPr>
        <w:t>לדמיין</w:t>
      </w:r>
      <w:r w:rsidRPr="00AD451B">
        <w:rPr>
          <w:rFonts w:ascii="David" w:hAnsi="David" w:cs="David"/>
          <w:color w:val="000000" w:themeColor="text1"/>
          <w:sz w:val="24"/>
          <w:szCs w:val="24"/>
          <w:rtl/>
        </w:rPr>
        <w:t xml:space="preserve"> </w:t>
      </w:r>
      <w:r w:rsidRPr="00AD451B">
        <w:rPr>
          <w:rFonts w:ascii="David" w:hAnsi="David" w:cs="David"/>
          <w:color w:val="000000" w:themeColor="text1"/>
          <w:sz w:val="24"/>
          <w:szCs w:val="24"/>
          <w:rtl/>
          <w:lang w:bidi="he-IL"/>
        </w:rPr>
        <w:t>את</w:t>
      </w:r>
      <w:r w:rsidRPr="00AD451B">
        <w:rPr>
          <w:rFonts w:ascii="David" w:hAnsi="David" w:cs="David"/>
          <w:color w:val="000000" w:themeColor="text1"/>
          <w:sz w:val="24"/>
          <w:szCs w:val="24"/>
          <w:rtl/>
        </w:rPr>
        <w:t xml:space="preserve"> </w:t>
      </w:r>
      <w:r w:rsidRPr="00AD451B">
        <w:rPr>
          <w:rFonts w:ascii="David" w:hAnsi="David" w:cs="David"/>
          <w:color w:val="000000" w:themeColor="text1"/>
          <w:sz w:val="24"/>
          <w:szCs w:val="24"/>
          <w:rtl/>
          <w:lang w:bidi="he-IL"/>
        </w:rPr>
        <w:t>המציאות</w:t>
      </w:r>
      <w:r w:rsidRPr="00AD451B">
        <w:rPr>
          <w:rFonts w:ascii="David" w:hAnsi="David" w:cs="David"/>
          <w:color w:val="000000" w:themeColor="text1"/>
          <w:sz w:val="24"/>
          <w:szCs w:val="24"/>
          <w:rtl/>
        </w:rPr>
        <w:t xml:space="preserve">, </w:t>
      </w:r>
      <w:r w:rsidRPr="00AD451B">
        <w:rPr>
          <w:rFonts w:ascii="David" w:hAnsi="David" w:cs="David" w:hint="cs"/>
          <w:color w:val="000000" w:themeColor="text1"/>
          <w:sz w:val="24"/>
          <w:szCs w:val="24"/>
          <w:rtl/>
          <w:lang w:bidi="he-IL"/>
        </w:rPr>
        <w:t>כלומר</w:t>
      </w:r>
      <w:r w:rsidRPr="00AD451B">
        <w:rPr>
          <w:rFonts w:ascii="David" w:hAnsi="David" w:cs="David"/>
          <w:color w:val="000000" w:themeColor="text1"/>
          <w:sz w:val="24"/>
          <w:szCs w:val="24"/>
          <w:rtl/>
        </w:rPr>
        <w:t xml:space="preserve"> </w:t>
      </w:r>
      <w:r w:rsidRPr="00AD451B">
        <w:rPr>
          <w:rFonts w:ascii="David" w:hAnsi="David" w:cs="David"/>
          <w:color w:val="000000" w:themeColor="text1"/>
          <w:sz w:val="24"/>
          <w:szCs w:val="24"/>
          <w:rtl/>
          <w:lang w:bidi="he-IL"/>
        </w:rPr>
        <w:t>ראייה</w:t>
      </w:r>
      <w:r w:rsidRPr="00AD451B">
        <w:rPr>
          <w:rFonts w:ascii="David" w:hAnsi="David" w:cs="David"/>
          <w:color w:val="000000" w:themeColor="text1"/>
          <w:sz w:val="24"/>
          <w:szCs w:val="24"/>
          <w:rtl/>
        </w:rPr>
        <w:t xml:space="preserve"> </w:t>
      </w:r>
      <w:r w:rsidRPr="00AD451B">
        <w:rPr>
          <w:rFonts w:ascii="David" w:hAnsi="David" w:cs="David"/>
          <w:color w:val="000000" w:themeColor="text1"/>
          <w:sz w:val="24"/>
          <w:szCs w:val="24"/>
          <w:rtl/>
          <w:lang w:bidi="he-IL"/>
        </w:rPr>
        <w:t>של</w:t>
      </w:r>
      <w:r w:rsidRPr="00AD451B">
        <w:rPr>
          <w:rFonts w:ascii="David" w:hAnsi="David" w:cs="David"/>
          <w:color w:val="000000" w:themeColor="text1"/>
          <w:sz w:val="24"/>
          <w:szCs w:val="24"/>
          <w:rtl/>
        </w:rPr>
        <w:t xml:space="preserve"> </w:t>
      </w:r>
      <w:r w:rsidRPr="00AD451B">
        <w:rPr>
          <w:rFonts w:ascii="David" w:hAnsi="David" w:cs="David"/>
          <w:color w:val="000000" w:themeColor="text1"/>
          <w:sz w:val="24"/>
          <w:szCs w:val="24"/>
          <w:rtl/>
          <w:lang w:bidi="he-IL"/>
        </w:rPr>
        <w:t>המשפט</w:t>
      </w:r>
      <w:r w:rsidRPr="00AD451B">
        <w:rPr>
          <w:rFonts w:ascii="David" w:hAnsi="David" w:cs="David"/>
          <w:color w:val="000000" w:themeColor="text1"/>
          <w:sz w:val="24"/>
          <w:szCs w:val="24"/>
          <w:rtl/>
        </w:rPr>
        <w:t xml:space="preserve"> </w:t>
      </w:r>
      <w:r w:rsidRPr="00AD451B">
        <w:rPr>
          <w:rFonts w:ascii="David" w:hAnsi="David" w:cs="David"/>
          <w:color w:val="000000" w:themeColor="text1"/>
          <w:sz w:val="24"/>
          <w:szCs w:val="24"/>
          <w:rtl/>
          <w:lang w:bidi="he-IL"/>
        </w:rPr>
        <w:t>כמשתתף</w:t>
      </w:r>
      <w:r w:rsidRPr="00AD451B">
        <w:rPr>
          <w:rFonts w:ascii="David" w:hAnsi="David" w:cs="David"/>
          <w:color w:val="000000" w:themeColor="text1"/>
          <w:sz w:val="24"/>
          <w:szCs w:val="24"/>
          <w:rtl/>
        </w:rPr>
        <w:t xml:space="preserve"> </w:t>
      </w:r>
      <w:r w:rsidRPr="00AD451B">
        <w:rPr>
          <w:rFonts w:ascii="David" w:hAnsi="David" w:cs="David"/>
          <w:color w:val="000000" w:themeColor="text1"/>
          <w:sz w:val="24"/>
          <w:szCs w:val="24"/>
          <w:rtl/>
          <w:lang w:bidi="he-IL"/>
        </w:rPr>
        <w:t>ביצירת</w:t>
      </w:r>
      <w:r w:rsidRPr="00AD451B">
        <w:rPr>
          <w:rFonts w:ascii="David" w:hAnsi="David" w:cs="David"/>
          <w:color w:val="000000" w:themeColor="text1"/>
          <w:sz w:val="24"/>
          <w:szCs w:val="24"/>
          <w:rtl/>
        </w:rPr>
        <w:t xml:space="preserve"> </w:t>
      </w:r>
      <w:r w:rsidRPr="00AD451B">
        <w:rPr>
          <w:rFonts w:ascii="David" w:hAnsi="David" w:cs="David"/>
          <w:color w:val="000000" w:themeColor="text1"/>
          <w:sz w:val="24"/>
          <w:szCs w:val="24"/>
          <w:rtl/>
          <w:lang w:bidi="he-IL"/>
        </w:rPr>
        <w:t>עולם</w:t>
      </w:r>
      <w:r w:rsidRPr="00AD451B">
        <w:rPr>
          <w:rFonts w:ascii="David" w:hAnsi="David" w:cs="David"/>
          <w:color w:val="000000" w:themeColor="text1"/>
          <w:sz w:val="24"/>
          <w:szCs w:val="24"/>
          <w:rtl/>
        </w:rPr>
        <w:t xml:space="preserve"> </w:t>
      </w:r>
      <w:r w:rsidRPr="00AD451B">
        <w:rPr>
          <w:rFonts w:ascii="David" w:hAnsi="David" w:cs="David"/>
          <w:color w:val="000000" w:themeColor="text1"/>
          <w:sz w:val="24"/>
          <w:szCs w:val="24"/>
          <w:rtl/>
          <w:lang w:bidi="he-IL"/>
        </w:rPr>
        <w:t>המשמעויות</w:t>
      </w:r>
      <w:r w:rsidRPr="00AD451B">
        <w:rPr>
          <w:rFonts w:ascii="David" w:hAnsi="David" w:cs="David"/>
          <w:color w:val="000000" w:themeColor="text1"/>
          <w:sz w:val="24"/>
          <w:szCs w:val="24"/>
          <w:rtl/>
        </w:rPr>
        <w:t xml:space="preserve"> </w:t>
      </w:r>
      <w:r w:rsidRPr="00AD451B">
        <w:rPr>
          <w:rFonts w:ascii="David" w:hAnsi="David" w:cs="David"/>
          <w:color w:val="000000" w:themeColor="text1"/>
          <w:sz w:val="24"/>
          <w:szCs w:val="24"/>
          <w:rtl/>
          <w:lang w:bidi="he-IL"/>
        </w:rPr>
        <w:t>התרבותי</w:t>
      </w:r>
      <w:r w:rsidRPr="00AD451B">
        <w:rPr>
          <w:rFonts w:ascii="David" w:hAnsi="David" w:cs="David"/>
          <w:color w:val="000000" w:themeColor="text1"/>
          <w:sz w:val="24"/>
          <w:szCs w:val="24"/>
          <w:rtl/>
        </w:rPr>
        <w:t>.</w:t>
      </w:r>
      <w:r w:rsidRPr="00AD451B">
        <w:rPr>
          <w:rStyle w:val="FootnoteReference"/>
          <w:rFonts w:ascii="David" w:hAnsi="David" w:cs="David"/>
          <w:color w:val="000000" w:themeColor="text1"/>
          <w:sz w:val="24"/>
          <w:szCs w:val="24"/>
          <w:rtl/>
        </w:rPr>
        <w:footnoteReference w:id="4"/>
      </w:r>
      <w:r w:rsidRPr="00AD451B">
        <w:rPr>
          <w:rFonts w:ascii="David" w:hAnsi="David" w:cs="David"/>
          <w:color w:val="000000" w:themeColor="text1"/>
          <w:sz w:val="24"/>
          <w:szCs w:val="24"/>
          <w:rtl/>
        </w:rPr>
        <w:t xml:space="preserve"> </w:t>
      </w:r>
      <w:r w:rsidRPr="00AD451B">
        <w:rPr>
          <w:rFonts w:ascii="David" w:hAnsi="David" w:cs="David"/>
          <w:color w:val="000000" w:themeColor="text1"/>
          <w:sz w:val="24"/>
          <w:szCs w:val="24"/>
          <w:rtl/>
          <w:lang w:bidi="he-IL"/>
        </w:rPr>
        <w:t>גם</w:t>
      </w:r>
      <w:r w:rsidRPr="00AD451B">
        <w:rPr>
          <w:rFonts w:ascii="David" w:hAnsi="David" w:cs="David"/>
          <w:color w:val="000000" w:themeColor="text1"/>
          <w:sz w:val="24"/>
          <w:szCs w:val="24"/>
          <w:rtl/>
        </w:rPr>
        <w:t xml:space="preserve"> </w:t>
      </w:r>
      <w:r w:rsidRPr="00AD451B">
        <w:rPr>
          <w:rFonts w:ascii="David" w:hAnsi="David" w:cs="David"/>
          <w:color w:val="000000" w:themeColor="text1"/>
          <w:sz w:val="24"/>
          <w:szCs w:val="24"/>
          <w:rtl/>
          <w:lang w:bidi="he-IL"/>
        </w:rPr>
        <w:t>בורדייה</w:t>
      </w:r>
      <w:r w:rsidRPr="00AD451B">
        <w:rPr>
          <w:rFonts w:ascii="David" w:hAnsi="David" w:cs="David"/>
          <w:color w:val="000000" w:themeColor="text1"/>
          <w:sz w:val="24"/>
          <w:szCs w:val="24"/>
          <w:rtl/>
        </w:rPr>
        <w:t xml:space="preserve"> </w:t>
      </w:r>
      <w:r w:rsidRPr="00AD451B">
        <w:rPr>
          <w:rFonts w:ascii="David" w:hAnsi="David" w:cs="David"/>
          <w:color w:val="000000" w:themeColor="text1"/>
          <w:sz w:val="24"/>
          <w:szCs w:val="24"/>
          <w:rtl/>
          <w:lang w:bidi="he-IL"/>
        </w:rPr>
        <w:t>נתן</w:t>
      </w:r>
      <w:r w:rsidRPr="00AD451B">
        <w:rPr>
          <w:rFonts w:ascii="David" w:hAnsi="David" w:cs="David"/>
          <w:color w:val="000000" w:themeColor="text1"/>
          <w:sz w:val="24"/>
          <w:szCs w:val="24"/>
          <w:rtl/>
        </w:rPr>
        <w:t xml:space="preserve"> </w:t>
      </w:r>
      <w:r w:rsidRPr="00AD451B">
        <w:rPr>
          <w:rFonts w:ascii="David" w:hAnsi="David" w:cs="David"/>
          <w:color w:val="000000" w:themeColor="text1"/>
          <w:sz w:val="24"/>
          <w:szCs w:val="24"/>
          <w:rtl/>
          <w:lang w:bidi="he-IL"/>
        </w:rPr>
        <w:t>ביטוי</w:t>
      </w:r>
      <w:r w:rsidRPr="00AD451B">
        <w:rPr>
          <w:rFonts w:ascii="David" w:hAnsi="David" w:cs="David"/>
          <w:color w:val="000000" w:themeColor="text1"/>
          <w:sz w:val="24"/>
          <w:szCs w:val="24"/>
          <w:rtl/>
        </w:rPr>
        <w:t xml:space="preserve"> </w:t>
      </w:r>
      <w:r w:rsidRPr="00AD451B">
        <w:rPr>
          <w:rFonts w:ascii="David" w:hAnsi="David" w:cs="David"/>
          <w:color w:val="000000" w:themeColor="text1"/>
          <w:sz w:val="24"/>
          <w:szCs w:val="24"/>
          <w:rtl/>
          <w:lang w:bidi="he-IL"/>
        </w:rPr>
        <w:t>לתפיסה</w:t>
      </w:r>
      <w:r w:rsidRPr="00AD451B">
        <w:rPr>
          <w:rFonts w:ascii="David" w:hAnsi="David" w:cs="David"/>
          <w:color w:val="000000" w:themeColor="text1"/>
          <w:sz w:val="24"/>
          <w:szCs w:val="24"/>
          <w:rtl/>
        </w:rPr>
        <w:t xml:space="preserve"> </w:t>
      </w:r>
      <w:r w:rsidRPr="00AD451B">
        <w:rPr>
          <w:rFonts w:ascii="David" w:hAnsi="David" w:cs="David"/>
          <w:color w:val="000000" w:themeColor="text1"/>
          <w:sz w:val="24"/>
          <w:szCs w:val="24"/>
          <w:rtl/>
          <w:lang w:bidi="he-IL"/>
        </w:rPr>
        <w:t>זו</w:t>
      </w:r>
      <w:r w:rsidRPr="00AD451B">
        <w:rPr>
          <w:rFonts w:ascii="David" w:hAnsi="David" w:cs="David"/>
          <w:color w:val="000000" w:themeColor="text1"/>
          <w:sz w:val="24"/>
          <w:szCs w:val="24"/>
          <w:rtl/>
        </w:rPr>
        <w:t xml:space="preserve"> </w:t>
      </w:r>
      <w:r w:rsidRPr="00AD451B">
        <w:rPr>
          <w:rFonts w:ascii="David" w:hAnsi="David" w:cs="David"/>
          <w:color w:val="000000" w:themeColor="text1"/>
          <w:sz w:val="24"/>
          <w:szCs w:val="24"/>
          <w:rtl/>
          <w:lang w:bidi="he-IL"/>
        </w:rPr>
        <w:t>בטענתו,</w:t>
      </w:r>
      <w:r w:rsidRPr="00AD451B">
        <w:rPr>
          <w:rFonts w:ascii="David" w:hAnsi="David" w:cs="David"/>
          <w:color w:val="000000" w:themeColor="text1"/>
          <w:sz w:val="24"/>
          <w:szCs w:val="24"/>
          <w:rtl/>
        </w:rPr>
        <w:t xml:space="preserve"> </w:t>
      </w:r>
      <w:r w:rsidRPr="00AD451B">
        <w:rPr>
          <w:rFonts w:ascii="David" w:hAnsi="David" w:cs="David"/>
          <w:color w:val="000000" w:themeColor="text1"/>
          <w:sz w:val="24"/>
          <w:szCs w:val="24"/>
          <w:rtl/>
          <w:lang w:bidi="he-IL"/>
        </w:rPr>
        <w:t>שבאמצעות</w:t>
      </w:r>
      <w:r w:rsidRPr="00AD451B">
        <w:rPr>
          <w:rFonts w:ascii="David" w:hAnsi="David" w:cs="David"/>
          <w:color w:val="000000" w:themeColor="text1"/>
          <w:sz w:val="24"/>
          <w:szCs w:val="24"/>
          <w:rtl/>
        </w:rPr>
        <w:t xml:space="preserve"> </w:t>
      </w:r>
      <w:r w:rsidRPr="00AD451B">
        <w:rPr>
          <w:rFonts w:ascii="David" w:hAnsi="David" w:cs="David"/>
          <w:color w:val="000000" w:themeColor="text1"/>
          <w:sz w:val="24"/>
          <w:szCs w:val="24"/>
          <w:rtl/>
          <w:lang w:bidi="he-IL"/>
        </w:rPr>
        <w:t>קטגוריות</w:t>
      </w:r>
      <w:r w:rsidRPr="00AD451B">
        <w:rPr>
          <w:rFonts w:ascii="David" w:hAnsi="David" w:cs="David"/>
          <w:color w:val="000000" w:themeColor="text1"/>
          <w:sz w:val="24"/>
          <w:szCs w:val="24"/>
          <w:rtl/>
        </w:rPr>
        <w:t xml:space="preserve"> </w:t>
      </w:r>
      <w:r w:rsidRPr="00AD451B">
        <w:rPr>
          <w:rFonts w:ascii="David" w:hAnsi="David" w:cs="David"/>
          <w:color w:val="000000" w:themeColor="text1"/>
          <w:sz w:val="24"/>
          <w:szCs w:val="24"/>
          <w:rtl/>
          <w:lang w:bidi="he-IL"/>
        </w:rPr>
        <w:t>התודעה</w:t>
      </w:r>
      <w:r w:rsidRPr="00AD451B">
        <w:rPr>
          <w:rFonts w:ascii="David" w:hAnsi="David" w:cs="David"/>
          <w:color w:val="000000" w:themeColor="text1"/>
          <w:sz w:val="24"/>
          <w:szCs w:val="24"/>
          <w:rtl/>
        </w:rPr>
        <w:t xml:space="preserve"> </w:t>
      </w:r>
      <w:r w:rsidRPr="00AD451B">
        <w:rPr>
          <w:rFonts w:ascii="David" w:hAnsi="David" w:cs="David"/>
          <w:color w:val="000000" w:themeColor="text1"/>
          <w:sz w:val="24"/>
          <w:szCs w:val="24"/>
          <w:rtl/>
          <w:lang w:bidi="he-IL"/>
        </w:rPr>
        <w:t>שהמשפט</w:t>
      </w:r>
      <w:r w:rsidRPr="00AD451B">
        <w:rPr>
          <w:rFonts w:ascii="David" w:hAnsi="David" w:cs="David"/>
          <w:color w:val="000000" w:themeColor="text1"/>
          <w:sz w:val="24"/>
          <w:szCs w:val="24"/>
          <w:rtl/>
        </w:rPr>
        <w:t xml:space="preserve"> </w:t>
      </w:r>
      <w:r w:rsidRPr="00AD451B">
        <w:rPr>
          <w:rFonts w:ascii="David" w:hAnsi="David" w:cs="David"/>
          <w:color w:val="000000" w:themeColor="text1"/>
          <w:sz w:val="24"/>
          <w:szCs w:val="24"/>
          <w:rtl/>
          <w:lang w:bidi="he-IL"/>
        </w:rPr>
        <w:t>מנחיל</w:t>
      </w:r>
      <w:r w:rsidRPr="00AD451B">
        <w:rPr>
          <w:rFonts w:ascii="David" w:hAnsi="David" w:cs="David"/>
          <w:color w:val="000000" w:themeColor="text1"/>
          <w:sz w:val="24"/>
          <w:szCs w:val="24"/>
          <w:rtl/>
        </w:rPr>
        <w:t xml:space="preserve"> </w:t>
      </w:r>
      <w:r w:rsidRPr="00AD451B">
        <w:rPr>
          <w:rFonts w:ascii="David" w:hAnsi="David" w:cs="David"/>
          <w:color w:val="000000" w:themeColor="text1"/>
          <w:sz w:val="24"/>
          <w:szCs w:val="24"/>
          <w:rtl/>
          <w:lang w:bidi="he-IL"/>
        </w:rPr>
        <w:t>לבני</w:t>
      </w:r>
      <w:r w:rsidRPr="00AD451B">
        <w:rPr>
          <w:rFonts w:ascii="David" w:hAnsi="David" w:cs="David"/>
          <w:color w:val="000000" w:themeColor="text1"/>
          <w:sz w:val="24"/>
          <w:szCs w:val="24"/>
          <w:rtl/>
        </w:rPr>
        <w:t xml:space="preserve"> </w:t>
      </w:r>
      <w:r w:rsidRPr="00AD451B">
        <w:rPr>
          <w:rFonts w:ascii="David" w:hAnsi="David" w:cs="David"/>
          <w:color w:val="000000" w:themeColor="text1"/>
          <w:sz w:val="24"/>
          <w:szCs w:val="24"/>
          <w:rtl/>
          <w:lang w:bidi="he-IL"/>
        </w:rPr>
        <w:t>האדם</w:t>
      </w:r>
      <w:r w:rsidRPr="00AD451B">
        <w:rPr>
          <w:rFonts w:ascii="David" w:hAnsi="David" w:cs="David"/>
          <w:color w:val="000000" w:themeColor="text1"/>
          <w:sz w:val="24"/>
          <w:szCs w:val="24"/>
          <w:rtl/>
        </w:rPr>
        <w:t xml:space="preserve">, </w:t>
      </w:r>
      <w:r w:rsidRPr="00AD451B">
        <w:rPr>
          <w:rFonts w:ascii="David" w:hAnsi="David" w:cs="David"/>
          <w:color w:val="000000" w:themeColor="text1"/>
          <w:sz w:val="24"/>
          <w:szCs w:val="24"/>
          <w:rtl/>
          <w:lang w:bidi="he-IL"/>
        </w:rPr>
        <w:t>הוא</w:t>
      </w:r>
      <w:r w:rsidRPr="00AD451B">
        <w:rPr>
          <w:rFonts w:ascii="David" w:hAnsi="David" w:cs="David"/>
          <w:color w:val="000000" w:themeColor="text1"/>
          <w:sz w:val="24"/>
          <w:szCs w:val="24"/>
          <w:rtl/>
        </w:rPr>
        <w:t xml:space="preserve"> </w:t>
      </w:r>
      <w:r w:rsidRPr="00AD451B">
        <w:rPr>
          <w:rFonts w:ascii="David" w:hAnsi="David" w:cs="David"/>
          <w:color w:val="000000" w:themeColor="text1"/>
          <w:sz w:val="24"/>
          <w:szCs w:val="24"/>
          <w:rtl/>
          <w:lang w:bidi="he-IL"/>
        </w:rPr>
        <w:t>מצליח</w:t>
      </w:r>
      <w:r w:rsidRPr="00AD451B">
        <w:rPr>
          <w:rFonts w:ascii="David" w:hAnsi="David" w:cs="David"/>
          <w:color w:val="000000" w:themeColor="text1"/>
          <w:sz w:val="24"/>
          <w:szCs w:val="24"/>
          <w:rtl/>
        </w:rPr>
        <w:t xml:space="preserve"> </w:t>
      </w:r>
      <w:r w:rsidRPr="00AD451B">
        <w:rPr>
          <w:rFonts w:ascii="David" w:hAnsi="David" w:cs="David"/>
          <w:color w:val="000000" w:themeColor="text1"/>
          <w:sz w:val="24"/>
          <w:szCs w:val="24"/>
          <w:rtl/>
          <w:lang w:bidi="he-IL"/>
        </w:rPr>
        <w:t>ליצור</w:t>
      </w:r>
      <w:r w:rsidRPr="00AD451B">
        <w:rPr>
          <w:rFonts w:ascii="David" w:hAnsi="David" w:cs="David"/>
          <w:color w:val="000000" w:themeColor="text1"/>
          <w:sz w:val="24"/>
          <w:szCs w:val="24"/>
          <w:rtl/>
        </w:rPr>
        <w:t xml:space="preserve"> </w:t>
      </w:r>
      <w:r w:rsidRPr="00AD451B">
        <w:rPr>
          <w:rFonts w:ascii="David" w:hAnsi="David" w:cs="David"/>
          <w:color w:val="000000" w:themeColor="text1"/>
          <w:sz w:val="24"/>
          <w:szCs w:val="24"/>
          <w:rtl/>
          <w:lang w:bidi="he-IL"/>
        </w:rPr>
        <w:t>יחסים</w:t>
      </w:r>
      <w:r w:rsidRPr="00AD451B">
        <w:rPr>
          <w:rFonts w:ascii="David" w:hAnsi="David" w:cs="David"/>
          <w:color w:val="000000" w:themeColor="text1"/>
          <w:sz w:val="24"/>
          <w:szCs w:val="24"/>
          <w:rtl/>
        </w:rPr>
        <w:t xml:space="preserve"> </w:t>
      </w:r>
      <w:r w:rsidRPr="00AD451B">
        <w:rPr>
          <w:rFonts w:ascii="David" w:hAnsi="David" w:cs="David"/>
          <w:color w:val="000000" w:themeColor="text1"/>
          <w:sz w:val="24"/>
          <w:szCs w:val="24"/>
          <w:rtl/>
          <w:lang w:bidi="he-IL"/>
        </w:rPr>
        <w:t>חברתיים</w:t>
      </w:r>
      <w:r w:rsidRPr="00AD451B">
        <w:rPr>
          <w:rFonts w:ascii="David" w:hAnsi="David" w:cs="David"/>
          <w:color w:val="000000" w:themeColor="text1"/>
          <w:sz w:val="24"/>
          <w:szCs w:val="24"/>
          <w:rtl/>
        </w:rPr>
        <w:t xml:space="preserve"> </w:t>
      </w:r>
      <w:r w:rsidRPr="00AD451B">
        <w:rPr>
          <w:rFonts w:ascii="David" w:hAnsi="David" w:cs="David"/>
          <w:color w:val="000000" w:themeColor="text1"/>
          <w:sz w:val="24"/>
          <w:szCs w:val="24"/>
          <w:rtl/>
          <w:lang w:bidi="he-IL"/>
        </w:rPr>
        <w:t>וזהויות</w:t>
      </w:r>
      <w:r w:rsidRPr="00AD451B">
        <w:rPr>
          <w:rFonts w:ascii="David" w:hAnsi="David" w:cs="David"/>
          <w:color w:val="000000" w:themeColor="text1"/>
          <w:sz w:val="24"/>
          <w:szCs w:val="24"/>
          <w:rtl/>
        </w:rPr>
        <w:t xml:space="preserve">, </w:t>
      </w:r>
      <w:r w:rsidRPr="00AD451B">
        <w:rPr>
          <w:rFonts w:ascii="David" w:hAnsi="David" w:cs="David"/>
          <w:color w:val="000000" w:themeColor="text1"/>
          <w:sz w:val="24"/>
          <w:szCs w:val="24"/>
          <w:rtl/>
          <w:lang w:bidi="he-IL"/>
        </w:rPr>
        <w:t>שהם</w:t>
      </w:r>
      <w:r w:rsidRPr="00AD451B">
        <w:rPr>
          <w:rFonts w:ascii="David" w:hAnsi="David" w:cs="David"/>
          <w:color w:val="000000" w:themeColor="text1"/>
          <w:sz w:val="24"/>
          <w:szCs w:val="24"/>
          <w:rtl/>
        </w:rPr>
        <w:t xml:space="preserve"> </w:t>
      </w:r>
      <w:r w:rsidRPr="00AD451B">
        <w:rPr>
          <w:rFonts w:ascii="David" w:hAnsi="David" w:cs="David"/>
          <w:color w:val="000000" w:themeColor="text1"/>
          <w:sz w:val="24"/>
          <w:szCs w:val="24"/>
          <w:rtl/>
          <w:lang w:bidi="he-IL"/>
        </w:rPr>
        <w:t>בעלי</w:t>
      </w:r>
      <w:r w:rsidRPr="00AD451B">
        <w:rPr>
          <w:rFonts w:ascii="David" w:hAnsi="David" w:cs="David"/>
          <w:color w:val="000000" w:themeColor="text1"/>
          <w:sz w:val="24"/>
          <w:szCs w:val="24"/>
          <w:rtl/>
        </w:rPr>
        <w:t xml:space="preserve"> </w:t>
      </w:r>
      <w:r w:rsidRPr="00AD451B">
        <w:rPr>
          <w:rFonts w:ascii="David" w:hAnsi="David" w:cs="David"/>
          <w:color w:val="000000" w:themeColor="text1"/>
          <w:sz w:val="24"/>
          <w:szCs w:val="24"/>
          <w:rtl/>
          <w:lang w:bidi="he-IL"/>
        </w:rPr>
        <w:t>קביעות</w:t>
      </w:r>
      <w:r w:rsidRPr="00AD451B">
        <w:rPr>
          <w:rFonts w:ascii="David" w:hAnsi="David" w:cs="David"/>
          <w:color w:val="000000" w:themeColor="text1"/>
          <w:sz w:val="24"/>
          <w:szCs w:val="24"/>
          <w:rtl/>
        </w:rPr>
        <w:t xml:space="preserve"> </w:t>
      </w:r>
      <w:r w:rsidRPr="00AD451B">
        <w:rPr>
          <w:rFonts w:ascii="David" w:hAnsi="David" w:cs="David"/>
          <w:color w:val="000000" w:themeColor="text1"/>
          <w:sz w:val="24"/>
          <w:szCs w:val="24"/>
          <w:rtl/>
          <w:lang w:bidi="he-IL"/>
        </w:rPr>
        <w:t>ויציבות</w:t>
      </w:r>
      <w:r w:rsidRPr="00AD451B">
        <w:rPr>
          <w:rFonts w:ascii="David" w:hAnsi="David" w:cs="David"/>
          <w:color w:val="000000" w:themeColor="text1"/>
          <w:sz w:val="24"/>
          <w:szCs w:val="24"/>
          <w:rtl/>
        </w:rPr>
        <w:t xml:space="preserve"> </w:t>
      </w:r>
      <w:r w:rsidRPr="00AD451B">
        <w:rPr>
          <w:rFonts w:ascii="David" w:hAnsi="David" w:cs="David"/>
          <w:color w:val="000000" w:themeColor="text1"/>
          <w:sz w:val="24"/>
          <w:szCs w:val="24"/>
          <w:rtl/>
          <w:lang w:bidi="he-IL"/>
        </w:rPr>
        <w:t>לא</w:t>
      </w:r>
      <w:r w:rsidRPr="00AD451B">
        <w:rPr>
          <w:rFonts w:ascii="David" w:hAnsi="David" w:cs="David"/>
          <w:color w:val="000000" w:themeColor="text1"/>
          <w:sz w:val="24"/>
          <w:szCs w:val="24"/>
          <w:rtl/>
        </w:rPr>
        <w:t xml:space="preserve"> </w:t>
      </w:r>
      <w:r w:rsidRPr="00AD451B">
        <w:rPr>
          <w:rFonts w:ascii="David" w:hAnsi="David" w:cs="David"/>
          <w:color w:val="000000" w:themeColor="text1"/>
          <w:sz w:val="24"/>
          <w:szCs w:val="24"/>
          <w:rtl/>
          <w:lang w:bidi="he-IL"/>
        </w:rPr>
        <w:t>פחות</w:t>
      </w:r>
      <w:r w:rsidRPr="00AD451B">
        <w:rPr>
          <w:rFonts w:ascii="David" w:hAnsi="David" w:cs="David"/>
          <w:color w:val="000000" w:themeColor="text1"/>
          <w:sz w:val="24"/>
          <w:szCs w:val="24"/>
          <w:rtl/>
        </w:rPr>
        <w:t xml:space="preserve"> </w:t>
      </w:r>
      <w:r w:rsidRPr="00AD451B">
        <w:rPr>
          <w:rFonts w:ascii="David" w:hAnsi="David" w:cs="David"/>
          <w:color w:val="000000" w:themeColor="text1"/>
          <w:sz w:val="24"/>
          <w:szCs w:val="24"/>
          <w:rtl/>
          <w:lang w:bidi="he-IL"/>
        </w:rPr>
        <w:t>מקביעותם</w:t>
      </w:r>
      <w:r w:rsidRPr="00AD451B">
        <w:rPr>
          <w:rFonts w:ascii="David" w:hAnsi="David" w:cs="David"/>
          <w:color w:val="000000" w:themeColor="text1"/>
          <w:sz w:val="24"/>
          <w:szCs w:val="24"/>
          <w:rtl/>
        </w:rPr>
        <w:t xml:space="preserve"> </w:t>
      </w:r>
      <w:r w:rsidRPr="00AD451B">
        <w:rPr>
          <w:rFonts w:ascii="David" w:hAnsi="David" w:cs="David"/>
          <w:color w:val="000000" w:themeColor="text1"/>
          <w:sz w:val="24"/>
          <w:szCs w:val="24"/>
          <w:rtl/>
          <w:lang w:bidi="he-IL"/>
        </w:rPr>
        <w:t>של</w:t>
      </w:r>
      <w:r w:rsidRPr="00AD451B">
        <w:rPr>
          <w:rFonts w:ascii="David" w:hAnsi="David" w:cs="David"/>
          <w:color w:val="000000" w:themeColor="text1"/>
          <w:sz w:val="24"/>
          <w:szCs w:val="24"/>
          <w:rtl/>
        </w:rPr>
        <w:t xml:space="preserve"> </w:t>
      </w:r>
      <w:r w:rsidRPr="00AD451B">
        <w:rPr>
          <w:rFonts w:ascii="David" w:hAnsi="David" w:cs="David"/>
          <w:color w:val="000000" w:themeColor="text1"/>
          <w:sz w:val="24"/>
          <w:szCs w:val="24"/>
          <w:rtl/>
          <w:lang w:bidi="he-IL"/>
        </w:rPr>
        <w:t>עצמים</w:t>
      </w:r>
      <w:r w:rsidRPr="00AD451B">
        <w:rPr>
          <w:rFonts w:ascii="David" w:hAnsi="David" w:cs="David"/>
          <w:color w:val="000000" w:themeColor="text1"/>
          <w:sz w:val="24"/>
          <w:szCs w:val="24"/>
          <w:rtl/>
        </w:rPr>
        <w:t xml:space="preserve"> </w:t>
      </w:r>
      <w:r w:rsidRPr="00AD451B">
        <w:rPr>
          <w:rFonts w:ascii="David" w:hAnsi="David" w:cs="David"/>
          <w:color w:val="000000" w:themeColor="text1"/>
          <w:sz w:val="24"/>
          <w:szCs w:val="24"/>
          <w:rtl/>
          <w:lang w:bidi="he-IL"/>
        </w:rPr>
        <w:t>פיזיים</w:t>
      </w:r>
      <w:r w:rsidRPr="00AD451B">
        <w:rPr>
          <w:rFonts w:ascii="David" w:hAnsi="David" w:cs="David"/>
          <w:color w:val="000000" w:themeColor="text1"/>
          <w:sz w:val="24"/>
          <w:szCs w:val="24"/>
          <w:rtl/>
        </w:rPr>
        <w:t>.</w:t>
      </w:r>
      <w:r w:rsidRPr="00AD451B">
        <w:rPr>
          <w:rFonts w:ascii="David" w:hAnsi="David" w:cs="David"/>
          <w:color w:val="000000" w:themeColor="text1"/>
          <w:sz w:val="24"/>
          <w:szCs w:val="24"/>
          <w:rtl/>
          <w:lang w:bidi="he-IL"/>
        </w:rPr>
        <w:t xml:space="preserve"> בורדייה אף </w:t>
      </w:r>
      <w:r w:rsidRPr="00AD451B">
        <w:rPr>
          <w:rFonts w:ascii="David" w:hAnsi="David" w:cs="David" w:hint="eastAsia"/>
          <w:color w:val="000000" w:themeColor="text1"/>
          <w:sz w:val="24"/>
          <w:szCs w:val="24"/>
          <w:rtl/>
          <w:lang w:bidi="he-IL"/>
        </w:rPr>
        <w:t>ה</w:t>
      </w:r>
      <w:r w:rsidRPr="00AD451B">
        <w:rPr>
          <w:rFonts w:ascii="David" w:hAnsi="David" w:cs="David"/>
          <w:color w:val="000000" w:themeColor="text1"/>
          <w:sz w:val="24"/>
          <w:szCs w:val="24"/>
          <w:rtl/>
          <w:lang w:bidi="he-IL"/>
        </w:rPr>
        <w:t>וסיף</w:t>
      </w:r>
      <w:r w:rsidRPr="00AD451B">
        <w:rPr>
          <w:rFonts w:ascii="David" w:hAnsi="David" w:cs="David"/>
          <w:color w:val="000000" w:themeColor="text1"/>
          <w:sz w:val="24"/>
          <w:szCs w:val="24"/>
          <w:rtl/>
        </w:rPr>
        <w:t xml:space="preserve"> </w:t>
      </w:r>
      <w:r w:rsidRPr="00AD451B">
        <w:rPr>
          <w:rFonts w:ascii="David" w:hAnsi="David" w:cs="David"/>
          <w:color w:val="000000" w:themeColor="text1"/>
          <w:sz w:val="24"/>
          <w:szCs w:val="24"/>
          <w:rtl/>
          <w:lang w:bidi="he-IL"/>
        </w:rPr>
        <w:t>שלא</w:t>
      </w:r>
      <w:r w:rsidRPr="00AD451B">
        <w:rPr>
          <w:rFonts w:ascii="David" w:hAnsi="David" w:cs="David"/>
          <w:color w:val="000000" w:themeColor="text1"/>
          <w:sz w:val="24"/>
          <w:szCs w:val="24"/>
          <w:rtl/>
        </w:rPr>
        <w:t xml:space="preserve"> </w:t>
      </w:r>
      <w:r w:rsidRPr="00AD451B">
        <w:rPr>
          <w:rFonts w:ascii="David" w:hAnsi="David" w:cs="David"/>
          <w:color w:val="000000" w:themeColor="text1"/>
          <w:sz w:val="24"/>
          <w:szCs w:val="24"/>
          <w:rtl/>
          <w:lang w:bidi="he-IL"/>
        </w:rPr>
        <w:t>יהא</w:t>
      </w:r>
      <w:r w:rsidRPr="00AD451B">
        <w:rPr>
          <w:rFonts w:ascii="David" w:hAnsi="David" w:cs="David"/>
          <w:color w:val="000000" w:themeColor="text1"/>
          <w:sz w:val="24"/>
          <w:szCs w:val="24"/>
          <w:rtl/>
        </w:rPr>
        <w:t xml:space="preserve"> </w:t>
      </w:r>
      <w:r w:rsidRPr="00AD451B">
        <w:rPr>
          <w:rFonts w:ascii="David" w:hAnsi="David" w:cs="David"/>
          <w:color w:val="000000" w:themeColor="text1"/>
          <w:sz w:val="24"/>
          <w:szCs w:val="24"/>
          <w:rtl/>
          <w:lang w:bidi="he-IL"/>
        </w:rPr>
        <w:t>מוגזם</w:t>
      </w:r>
      <w:r w:rsidRPr="00AD451B">
        <w:rPr>
          <w:rFonts w:ascii="David" w:hAnsi="David" w:cs="David"/>
          <w:color w:val="000000" w:themeColor="text1"/>
          <w:sz w:val="24"/>
          <w:szCs w:val="24"/>
          <w:rtl/>
        </w:rPr>
        <w:t xml:space="preserve"> </w:t>
      </w:r>
      <w:r w:rsidRPr="00AD451B">
        <w:rPr>
          <w:rFonts w:ascii="David" w:hAnsi="David" w:cs="David"/>
          <w:color w:val="000000" w:themeColor="text1"/>
          <w:sz w:val="24"/>
          <w:szCs w:val="24"/>
          <w:rtl/>
          <w:lang w:bidi="he-IL"/>
        </w:rPr>
        <w:t>לומר</w:t>
      </w:r>
      <w:r w:rsidRPr="00AD451B">
        <w:rPr>
          <w:rFonts w:ascii="David" w:hAnsi="David" w:cs="David"/>
          <w:color w:val="000000" w:themeColor="text1"/>
          <w:sz w:val="24"/>
          <w:szCs w:val="24"/>
          <w:rtl/>
        </w:rPr>
        <w:t xml:space="preserve"> </w:t>
      </w:r>
      <w:r w:rsidRPr="00AD451B">
        <w:rPr>
          <w:rFonts w:ascii="David" w:hAnsi="David" w:cs="David"/>
          <w:color w:val="000000" w:themeColor="text1"/>
          <w:sz w:val="24"/>
          <w:szCs w:val="24"/>
          <w:rtl/>
          <w:lang w:bidi="he-IL"/>
        </w:rPr>
        <w:t>שהמשפט</w:t>
      </w:r>
      <w:r w:rsidRPr="00AD451B">
        <w:rPr>
          <w:rFonts w:ascii="David" w:hAnsi="David" w:cs="David"/>
          <w:color w:val="000000" w:themeColor="text1"/>
          <w:sz w:val="24"/>
          <w:szCs w:val="24"/>
          <w:rtl/>
        </w:rPr>
        <w:t xml:space="preserve"> </w:t>
      </w:r>
      <w:r w:rsidRPr="00AD451B">
        <w:rPr>
          <w:rFonts w:ascii="David" w:hAnsi="David" w:cs="David"/>
          <w:color w:val="000000" w:themeColor="text1"/>
          <w:sz w:val="24"/>
          <w:szCs w:val="24"/>
          <w:rtl/>
          <w:lang w:bidi="he-IL"/>
        </w:rPr>
        <w:t>יוצר</w:t>
      </w:r>
      <w:r w:rsidRPr="00AD451B">
        <w:rPr>
          <w:rFonts w:ascii="David" w:hAnsi="David" w:cs="David"/>
          <w:color w:val="000000" w:themeColor="text1"/>
          <w:sz w:val="24"/>
          <w:szCs w:val="24"/>
          <w:rtl/>
        </w:rPr>
        <w:t xml:space="preserve"> </w:t>
      </w:r>
      <w:r w:rsidRPr="00AD451B">
        <w:rPr>
          <w:rFonts w:ascii="David" w:hAnsi="David" w:cs="David"/>
          <w:color w:val="000000" w:themeColor="text1"/>
          <w:sz w:val="24"/>
          <w:szCs w:val="24"/>
          <w:rtl/>
          <w:lang w:bidi="he-IL"/>
        </w:rPr>
        <w:t>את</w:t>
      </w:r>
      <w:r w:rsidRPr="00AD451B">
        <w:rPr>
          <w:rFonts w:ascii="David" w:hAnsi="David" w:cs="David"/>
          <w:color w:val="000000" w:themeColor="text1"/>
          <w:sz w:val="24"/>
          <w:szCs w:val="24"/>
          <w:rtl/>
        </w:rPr>
        <w:t xml:space="preserve"> </w:t>
      </w:r>
      <w:r w:rsidRPr="00AD451B">
        <w:rPr>
          <w:rFonts w:ascii="David" w:hAnsi="David" w:cs="David"/>
          <w:color w:val="000000" w:themeColor="text1"/>
          <w:sz w:val="24"/>
          <w:szCs w:val="24"/>
          <w:rtl/>
          <w:lang w:bidi="he-IL"/>
        </w:rPr>
        <w:t>העולם</w:t>
      </w:r>
      <w:r w:rsidRPr="00AD451B">
        <w:rPr>
          <w:rFonts w:ascii="David" w:hAnsi="David" w:cs="David"/>
          <w:color w:val="000000" w:themeColor="text1"/>
          <w:sz w:val="24"/>
          <w:szCs w:val="24"/>
          <w:rtl/>
        </w:rPr>
        <w:t xml:space="preserve"> </w:t>
      </w:r>
      <w:r w:rsidRPr="00AD451B">
        <w:rPr>
          <w:rFonts w:ascii="David" w:hAnsi="David" w:cs="David"/>
          <w:color w:val="000000" w:themeColor="text1"/>
          <w:sz w:val="24"/>
          <w:szCs w:val="24"/>
          <w:rtl/>
          <w:lang w:bidi="he-IL"/>
        </w:rPr>
        <w:t>החברתי</w:t>
      </w:r>
      <w:r w:rsidRPr="00AD451B">
        <w:rPr>
          <w:rFonts w:ascii="David" w:hAnsi="David" w:cs="David"/>
          <w:color w:val="000000" w:themeColor="text1"/>
          <w:sz w:val="24"/>
          <w:szCs w:val="24"/>
          <w:rtl/>
        </w:rPr>
        <w:t xml:space="preserve">, </w:t>
      </w:r>
      <w:r w:rsidRPr="00AD451B">
        <w:rPr>
          <w:rFonts w:ascii="David" w:hAnsi="David" w:cs="David"/>
          <w:color w:val="000000" w:themeColor="text1"/>
          <w:sz w:val="24"/>
          <w:szCs w:val="24"/>
          <w:rtl/>
          <w:lang w:bidi="he-IL"/>
        </w:rPr>
        <w:t>אם</w:t>
      </w:r>
      <w:r w:rsidRPr="00AD451B">
        <w:rPr>
          <w:rFonts w:ascii="David" w:hAnsi="David" w:cs="David"/>
          <w:color w:val="000000" w:themeColor="text1"/>
          <w:sz w:val="24"/>
          <w:szCs w:val="24"/>
          <w:rtl/>
        </w:rPr>
        <w:t xml:space="preserve"> </w:t>
      </w:r>
      <w:r w:rsidRPr="00AD451B">
        <w:rPr>
          <w:rFonts w:ascii="David" w:hAnsi="David" w:cs="David"/>
          <w:color w:val="000000" w:themeColor="text1"/>
          <w:sz w:val="24"/>
          <w:szCs w:val="24"/>
          <w:rtl/>
          <w:lang w:bidi="he-IL"/>
        </w:rPr>
        <w:t>רק</w:t>
      </w:r>
      <w:r w:rsidRPr="00AD451B">
        <w:rPr>
          <w:rFonts w:ascii="David" w:hAnsi="David" w:cs="David"/>
          <w:color w:val="000000" w:themeColor="text1"/>
          <w:sz w:val="24"/>
          <w:szCs w:val="24"/>
          <w:rtl/>
        </w:rPr>
        <w:t xml:space="preserve"> </w:t>
      </w:r>
      <w:r w:rsidRPr="00AD451B">
        <w:rPr>
          <w:rFonts w:ascii="David" w:hAnsi="David" w:cs="David"/>
          <w:color w:val="000000" w:themeColor="text1"/>
          <w:sz w:val="24"/>
          <w:szCs w:val="24"/>
          <w:rtl/>
          <w:lang w:bidi="he-IL"/>
        </w:rPr>
        <w:t>נזכור</w:t>
      </w:r>
      <w:r w:rsidRPr="00AD451B">
        <w:rPr>
          <w:rFonts w:ascii="David" w:hAnsi="David" w:cs="David"/>
          <w:color w:val="000000" w:themeColor="text1"/>
          <w:sz w:val="24"/>
          <w:szCs w:val="24"/>
          <w:rtl/>
        </w:rPr>
        <w:t xml:space="preserve"> </w:t>
      </w:r>
      <w:r w:rsidRPr="00AD451B">
        <w:rPr>
          <w:rFonts w:ascii="David" w:hAnsi="David" w:cs="David"/>
          <w:color w:val="000000" w:themeColor="text1"/>
          <w:sz w:val="24"/>
          <w:szCs w:val="24"/>
          <w:rtl/>
          <w:lang w:bidi="he-IL"/>
        </w:rPr>
        <w:t>שהעולם</w:t>
      </w:r>
      <w:r w:rsidRPr="00AD451B">
        <w:rPr>
          <w:rFonts w:ascii="David" w:hAnsi="David" w:cs="David"/>
          <w:color w:val="000000" w:themeColor="text1"/>
          <w:sz w:val="24"/>
          <w:szCs w:val="24"/>
          <w:rtl/>
        </w:rPr>
        <w:t xml:space="preserve"> </w:t>
      </w:r>
      <w:r w:rsidRPr="00AD451B">
        <w:rPr>
          <w:rFonts w:ascii="David" w:hAnsi="David" w:cs="David"/>
          <w:color w:val="000000" w:themeColor="text1"/>
          <w:sz w:val="24"/>
          <w:szCs w:val="24"/>
          <w:rtl/>
          <w:lang w:bidi="he-IL"/>
        </w:rPr>
        <w:t>החברתי</w:t>
      </w:r>
      <w:r w:rsidRPr="00AD451B">
        <w:rPr>
          <w:rFonts w:ascii="David" w:hAnsi="David" w:cs="David"/>
          <w:color w:val="000000" w:themeColor="text1"/>
          <w:sz w:val="24"/>
          <w:szCs w:val="24"/>
          <w:rtl/>
        </w:rPr>
        <w:t xml:space="preserve"> </w:t>
      </w:r>
      <w:r w:rsidRPr="00AD451B">
        <w:rPr>
          <w:rFonts w:ascii="David" w:hAnsi="David" w:cs="David"/>
          <w:color w:val="000000" w:themeColor="text1"/>
          <w:sz w:val="24"/>
          <w:szCs w:val="24"/>
          <w:rtl/>
          <w:lang w:bidi="he-IL"/>
        </w:rPr>
        <w:t>הוא</w:t>
      </w:r>
      <w:r w:rsidRPr="00AD451B">
        <w:rPr>
          <w:rFonts w:ascii="David" w:hAnsi="David" w:cs="David"/>
          <w:color w:val="000000" w:themeColor="text1"/>
          <w:sz w:val="24"/>
          <w:szCs w:val="24"/>
          <w:rtl/>
        </w:rPr>
        <w:t xml:space="preserve"> </w:t>
      </w:r>
      <w:r w:rsidRPr="00AD451B">
        <w:rPr>
          <w:rFonts w:ascii="David" w:hAnsi="David" w:cs="David"/>
          <w:color w:val="000000" w:themeColor="text1"/>
          <w:sz w:val="24"/>
          <w:szCs w:val="24"/>
          <w:rtl/>
          <w:lang w:bidi="he-IL"/>
        </w:rPr>
        <w:t>זה</w:t>
      </w:r>
      <w:r w:rsidRPr="00AD451B">
        <w:rPr>
          <w:rFonts w:ascii="David" w:hAnsi="David" w:cs="David"/>
          <w:color w:val="000000" w:themeColor="text1"/>
          <w:sz w:val="24"/>
          <w:szCs w:val="24"/>
          <w:rtl/>
        </w:rPr>
        <w:t xml:space="preserve"> </w:t>
      </w:r>
      <w:r w:rsidRPr="00AD451B">
        <w:rPr>
          <w:rFonts w:ascii="David" w:hAnsi="David" w:cs="David"/>
          <w:color w:val="000000" w:themeColor="text1"/>
          <w:sz w:val="24"/>
          <w:szCs w:val="24"/>
          <w:rtl/>
          <w:lang w:bidi="he-IL"/>
        </w:rPr>
        <w:t>שיוצר</w:t>
      </w:r>
      <w:r w:rsidRPr="00AD451B">
        <w:rPr>
          <w:rFonts w:ascii="David" w:hAnsi="David" w:cs="David"/>
          <w:color w:val="000000" w:themeColor="text1"/>
          <w:sz w:val="24"/>
          <w:szCs w:val="24"/>
          <w:rtl/>
        </w:rPr>
        <w:t xml:space="preserve"> </w:t>
      </w:r>
      <w:r w:rsidRPr="00AD451B">
        <w:rPr>
          <w:rFonts w:ascii="David" w:hAnsi="David" w:cs="David"/>
          <w:color w:val="000000" w:themeColor="text1"/>
          <w:sz w:val="24"/>
          <w:szCs w:val="24"/>
          <w:rtl/>
          <w:lang w:bidi="he-IL"/>
        </w:rPr>
        <w:t>את</w:t>
      </w:r>
      <w:r w:rsidRPr="00AD451B">
        <w:rPr>
          <w:rFonts w:ascii="David" w:hAnsi="David" w:cs="David"/>
          <w:color w:val="000000" w:themeColor="text1"/>
          <w:sz w:val="24"/>
          <w:szCs w:val="24"/>
          <w:rtl/>
        </w:rPr>
        <w:t xml:space="preserve"> </w:t>
      </w:r>
      <w:r w:rsidRPr="00AD451B">
        <w:rPr>
          <w:rFonts w:ascii="David" w:hAnsi="David" w:cs="David"/>
          <w:color w:val="000000" w:themeColor="text1"/>
          <w:sz w:val="24"/>
          <w:szCs w:val="24"/>
          <w:rtl/>
          <w:lang w:bidi="he-IL"/>
        </w:rPr>
        <w:t>המשפט</w:t>
      </w:r>
      <w:r w:rsidRPr="00AD451B">
        <w:rPr>
          <w:rFonts w:ascii="David" w:hAnsi="David" w:cs="David"/>
          <w:color w:val="000000" w:themeColor="text1"/>
          <w:sz w:val="24"/>
          <w:szCs w:val="24"/>
          <w:rtl/>
        </w:rPr>
        <w:t xml:space="preserve"> </w:t>
      </w:r>
      <w:r w:rsidRPr="00AD451B">
        <w:rPr>
          <w:rFonts w:ascii="David" w:hAnsi="David" w:cs="David"/>
          <w:color w:val="000000" w:themeColor="text1"/>
          <w:sz w:val="24"/>
          <w:szCs w:val="24"/>
          <w:rtl/>
          <w:lang w:bidi="he-IL"/>
        </w:rPr>
        <w:t>מלכתחילה</w:t>
      </w:r>
      <w:r w:rsidRPr="00AD451B">
        <w:rPr>
          <w:rFonts w:ascii="David" w:hAnsi="David" w:cs="David"/>
          <w:color w:val="000000" w:themeColor="text1"/>
          <w:sz w:val="24"/>
          <w:szCs w:val="24"/>
          <w:rtl/>
        </w:rPr>
        <w:t>.</w:t>
      </w:r>
      <w:r w:rsidRPr="00AD451B">
        <w:rPr>
          <w:rStyle w:val="FootnoteReference"/>
          <w:rFonts w:ascii="David" w:hAnsi="David" w:cs="David"/>
          <w:color w:val="000000" w:themeColor="text1"/>
          <w:sz w:val="24"/>
          <w:szCs w:val="24"/>
          <w:rtl/>
        </w:rPr>
        <w:footnoteReference w:id="5"/>
      </w:r>
      <w:r w:rsidRPr="00AD451B">
        <w:rPr>
          <w:rFonts w:ascii="David" w:hAnsi="David" w:cs="David"/>
          <w:color w:val="000000" w:themeColor="text1"/>
          <w:sz w:val="24"/>
          <w:szCs w:val="24"/>
          <w:rtl/>
          <w:lang w:bidi="he-IL"/>
        </w:rPr>
        <w:t xml:space="preserve"> </w:t>
      </w:r>
      <w:r w:rsidRPr="00AD451B">
        <w:rPr>
          <w:rFonts w:ascii="David" w:hAnsi="David" w:cs="David" w:hint="eastAsia"/>
          <w:color w:val="000000" w:themeColor="text1"/>
          <w:sz w:val="24"/>
          <w:szCs w:val="24"/>
          <w:rtl/>
          <w:lang w:bidi="he-IL"/>
        </w:rPr>
        <w:t>גישתו</w:t>
      </w:r>
      <w:r w:rsidRPr="00AD451B">
        <w:rPr>
          <w:rFonts w:ascii="David" w:hAnsi="David" w:cs="David"/>
          <w:color w:val="000000" w:themeColor="text1"/>
          <w:sz w:val="24"/>
          <w:szCs w:val="24"/>
          <w:rtl/>
          <w:lang w:bidi="he-IL"/>
        </w:rPr>
        <w:t xml:space="preserve"> של בורדייה</w:t>
      </w:r>
      <w:r w:rsidRPr="00AD451B">
        <w:rPr>
          <w:rFonts w:ascii="David" w:hAnsi="David" w:cs="David" w:hint="cs"/>
          <w:color w:val="000000" w:themeColor="text1"/>
          <w:sz w:val="24"/>
          <w:szCs w:val="24"/>
          <w:rtl/>
          <w:lang w:bidi="he-IL"/>
        </w:rPr>
        <w:t>, אם כך,</w:t>
      </w:r>
      <w:r w:rsidRPr="00AD451B">
        <w:rPr>
          <w:rFonts w:ascii="David" w:hAnsi="David" w:cs="David"/>
          <w:color w:val="000000" w:themeColor="text1"/>
          <w:sz w:val="24"/>
          <w:szCs w:val="24"/>
          <w:rtl/>
        </w:rPr>
        <w:t xml:space="preserve"> </w:t>
      </w:r>
      <w:r w:rsidRPr="00AD451B">
        <w:rPr>
          <w:rFonts w:ascii="David" w:hAnsi="David" w:cs="David"/>
          <w:color w:val="000000" w:themeColor="text1"/>
          <w:sz w:val="24"/>
          <w:szCs w:val="24"/>
          <w:rtl/>
          <w:lang w:bidi="he-IL"/>
        </w:rPr>
        <w:t>ממחישה</w:t>
      </w:r>
      <w:r w:rsidRPr="00AD451B">
        <w:rPr>
          <w:rFonts w:ascii="David" w:hAnsi="David" w:cs="David"/>
          <w:color w:val="000000" w:themeColor="text1"/>
          <w:sz w:val="24"/>
          <w:szCs w:val="24"/>
          <w:rtl/>
        </w:rPr>
        <w:t xml:space="preserve"> </w:t>
      </w:r>
      <w:r w:rsidRPr="00AD451B">
        <w:rPr>
          <w:rFonts w:ascii="David" w:hAnsi="David" w:cs="David"/>
          <w:color w:val="000000" w:themeColor="text1"/>
          <w:sz w:val="24"/>
          <w:szCs w:val="24"/>
          <w:rtl/>
          <w:lang w:bidi="he-IL"/>
        </w:rPr>
        <w:t>את</w:t>
      </w:r>
      <w:r w:rsidRPr="00AD451B">
        <w:rPr>
          <w:rFonts w:ascii="David" w:hAnsi="David" w:cs="David"/>
          <w:color w:val="000000" w:themeColor="text1"/>
          <w:sz w:val="24"/>
          <w:szCs w:val="24"/>
          <w:rtl/>
        </w:rPr>
        <w:t xml:space="preserve"> </w:t>
      </w:r>
      <w:r w:rsidRPr="00AD451B">
        <w:rPr>
          <w:rFonts w:ascii="David" w:hAnsi="David" w:cs="David"/>
          <w:color w:val="000000" w:themeColor="text1"/>
          <w:sz w:val="24"/>
          <w:szCs w:val="24"/>
          <w:rtl/>
          <w:lang w:bidi="he-IL"/>
        </w:rPr>
        <w:t>הזיקה</w:t>
      </w:r>
      <w:r w:rsidRPr="00AD451B">
        <w:rPr>
          <w:rFonts w:ascii="David" w:hAnsi="David" w:cs="David"/>
          <w:color w:val="000000" w:themeColor="text1"/>
          <w:sz w:val="24"/>
          <w:szCs w:val="24"/>
          <w:rtl/>
        </w:rPr>
        <w:t xml:space="preserve"> </w:t>
      </w:r>
      <w:r w:rsidRPr="00AD451B">
        <w:rPr>
          <w:rFonts w:ascii="David" w:hAnsi="David" w:cs="David"/>
          <w:color w:val="000000" w:themeColor="text1"/>
          <w:sz w:val="24"/>
          <w:szCs w:val="24"/>
          <w:rtl/>
          <w:lang w:bidi="he-IL"/>
        </w:rPr>
        <w:t>שבין</w:t>
      </w:r>
      <w:r w:rsidRPr="00AD451B">
        <w:rPr>
          <w:rFonts w:ascii="David" w:hAnsi="David" w:cs="David"/>
          <w:color w:val="000000" w:themeColor="text1"/>
          <w:sz w:val="24"/>
          <w:szCs w:val="24"/>
          <w:rtl/>
        </w:rPr>
        <w:t xml:space="preserve"> </w:t>
      </w:r>
      <w:r w:rsidRPr="00AD451B">
        <w:rPr>
          <w:rFonts w:ascii="David" w:hAnsi="David" w:cs="David"/>
          <w:color w:val="000000" w:themeColor="text1"/>
          <w:sz w:val="24"/>
          <w:szCs w:val="24"/>
          <w:rtl/>
          <w:lang w:bidi="he-IL"/>
        </w:rPr>
        <w:t>הגישה</w:t>
      </w:r>
      <w:r w:rsidRPr="00AD451B">
        <w:rPr>
          <w:rFonts w:ascii="David" w:hAnsi="David" w:cs="David"/>
          <w:color w:val="000000" w:themeColor="text1"/>
          <w:sz w:val="24"/>
          <w:szCs w:val="24"/>
          <w:rtl/>
        </w:rPr>
        <w:t xml:space="preserve"> </w:t>
      </w:r>
      <w:r w:rsidRPr="00AD451B">
        <w:rPr>
          <w:rFonts w:ascii="David" w:hAnsi="David" w:cs="David"/>
          <w:color w:val="000000" w:themeColor="text1"/>
          <w:sz w:val="24"/>
          <w:szCs w:val="24"/>
          <w:rtl/>
          <w:lang w:bidi="he-IL"/>
        </w:rPr>
        <w:t>ההיסטורית</w:t>
      </w:r>
      <w:r w:rsidRPr="00AD451B">
        <w:rPr>
          <w:rFonts w:ascii="David" w:hAnsi="David" w:cs="David"/>
          <w:color w:val="000000" w:themeColor="text1"/>
          <w:sz w:val="24"/>
          <w:szCs w:val="24"/>
          <w:rtl/>
        </w:rPr>
        <w:t xml:space="preserve"> </w:t>
      </w:r>
      <w:r w:rsidRPr="00AD451B">
        <w:rPr>
          <w:rFonts w:ascii="David" w:hAnsi="David" w:cs="David"/>
          <w:color w:val="000000" w:themeColor="text1"/>
          <w:sz w:val="24"/>
          <w:szCs w:val="24"/>
          <w:rtl/>
          <w:lang w:bidi="he-IL"/>
        </w:rPr>
        <w:t>במשפט,</w:t>
      </w:r>
      <w:r w:rsidRPr="00AD451B">
        <w:rPr>
          <w:rFonts w:ascii="David" w:hAnsi="David" w:cs="David" w:hint="cs"/>
          <w:color w:val="000000" w:themeColor="text1"/>
          <w:sz w:val="24"/>
          <w:szCs w:val="24"/>
          <w:rtl/>
          <w:lang w:bidi="he-IL"/>
        </w:rPr>
        <w:t xml:space="preserve"> שאותה הצגתי מקודם,</w:t>
      </w:r>
      <w:r w:rsidRPr="00AD451B">
        <w:rPr>
          <w:rFonts w:ascii="David" w:hAnsi="David" w:cs="David"/>
          <w:color w:val="000000" w:themeColor="text1"/>
          <w:sz w:val="24"/>
          <w:szCs w:val="24"/>
          <w:rtl/>
        </w:rPr>
        <w:t xml:space="preserve"> </w:t>
      </w:r>
      <w:r w:rsidRPr="00AD451B">
        <w:rPr>
          <w:rFonts w:ascii="David" w:hAnsi="David" w:cs="David"/>
          <w:color w:val="000000" w:themeColor="text1"/>
          <w:sz w:val="24"/>
          <w:szCs w:val="24"/>
          <w:rtl/>
          <w:lang w:bidi="he-IL"/>
        </w:rPr>
        <w:t>לבין</w:t>
      </w:r>
      <w:r w:rsidRPr="00AD451B">
        <w:rPr>
          <w:rFonts w:ascii="David" w:hAnsi="David" w:cs="David"/>
          <w:color w:val="000000" w:themeColor="text1"/>
          <w:sz w:val="24"/>
          <w:szCs w:val="24"/>
          <w:rtl/>
        </w:rPr>
        <w:t xml:space="preserve"> </w:t>
      </w:r>
      <w:r w:rsidRPr="00AD451B">
        <w:rPr>
          <w:rFonts w:ascii="David" w:hAnsi="David" w:cs="David"/>
          <w:color w:val="000000" w:themeColor="text1"/>
          <w:sz w:val="24"/>
          <w:szCs w:val="24"/>
          <w:rtl/>
          <w:lang w:bidi="he-IL"/>
        </w:rPr>
        <w:t>הגישה</w:t>
      </w:r>
      <w:r w:rsidRPr="00AD451B">
        <w:rPr>
          <w:rFonts w:ascii="David" w:hAnsi="David" w:cs="David"/>
          <w:color w:val="000000" w:themeColor="text1"/>
          <w:sz w:val="24"/>
          <w:szCs w:val="24"/>
          <w:rtl/>
        </w:rPr>
        <w:t xml:space="preserve"> </w:t>
      </w:r>
      <w:r w:rsidRPr="00AD451B">
        <w:rPr>
          <w:rFonts w:ascii="David" w:hAnsi="David" w:cs="David"/>
          <w:color w:val="000000" w:themeColor="text1"/>
          <w:sz w:val="24"/>
          <w:szCs w:val="24"/>
          <w:rtl/>
          <w:lang w:bidi="he-IL"/>
        </w:rPr>
        <w:t>המכוננת</w:t>
      </w:r>
      <w:r w:rsidRPr="00AD451B">
        <w:rPr>
          <w:rFonts w:ascii="David" w:hAnsi="David" w:cs="David"/>
          <w:color w:val="000000" w:themeColor="text1"/>
          <w:sz w:val="24"/>
          <w:szCs w:val="24"/>
          <w:rtl/>
        </w:rPr>
        <w:t xml:space="preserve"> </w:t>
      </w:r>
      <w:r w:rsidRPr="00AD451B">
        <w:rPr>
          <w:rFonts w:ascii="David" w:hAnsi="David" w:cs="David"/>
          <w:color w:val="000000" w:themeColor="text1"/>
          <w:sz w:val="24"/>
          <w:szCs w:val="24"/>
          <w:rtl/>
          <w:lang w:bidi="he-IL"/>
        </w:rPr>
        <w:t>במשפט</w:t>
      </w:r>
      <w:r w:rsidRPr="00AD451B">
        <w:rPr>
          <w:rFonts w:ascii="David" w:hAnsi="David" w:cs="David"/>
          <w:color w:val="000000" w:themeColor="text1"/>
          <w:sz w:val="24"/>
          <w:szCs w:val="24"/>
          <w:rtl/>
        </w:rPr>
        <w:t xml:space="preserve">. </w:t>
      </w:r>
      <w:r w:rsidRPr="00AD451B">
        <w:rPr>
          <w:rFonts w:ascii="David" w:hAnsi="David" w:cs="David"/>
          <w:color w:val="000000" w:themeColor="text1"/>
          <w:sz w:val="24"/>
          <w:szCs w:val="24"/>
          <w:rtl/>
          <w:lang w:bidi="he-IL"/>
        </w:rPr>
        <w:t>שתי</w:t>
      </w:r>
      <w:r w:rsidRPr="00AD451B">
        <w:rPr>
          <w:rFonts w:ascii="David" w:hAnsi="David" w:cs="David"/>
          <w:color w:val="000000" w:themeColor="text1"/>
          <w:sz w:val="24"/>
          <w:szCs w:val="24"/>
          <w:rtl/>
        </w:rPr>
        <w:t xml:space="preserve"> </w:t>
      </w:r>
      <w:r w:rsidRPr="00AD451B">
        <w:rPr>
          <w:rFonts w:ascii="David" w:hAnsi="David" w:cs="David"/>
          <w:color w:val="000000" w:themeColor="text1"/>
          <w:sz w:val="24"/>
          <w:szCs w:val="24"/>
          <w:rtl/>
          <w:lang w:bidi="he-IL"/>
        </w:rPr>
        <w:t>הגישות</w:t>
      </w:r>
      <w:r w:rsidRPr="00AD451B">
        <w:rPr>
          <w:rFonts w:ascii="David" w:hAnsi="David" w:cs="David"/>
          <w:color w:val="000000" w:themeColor="text1"/>
          <w:sz w:val="24"/>
          <w:szCs w:val="24"/>
          <w:rtl/>
        </w:rPr>
        <w:t xml:space="preserve"> </w:t>
      </w:r>
      <w:r w:rsidRPr="00AD451B">
        <w:rPr>
          <w:rFonts w:ascii="David" w:hAnsi="David" w:cs="David"/>
          <w:color w:val="000000" w:themeColor="text1"/>
          <w:sz w:val="24"/>
          <w:szCs w:val="24"/>
          <w:rtl/>
          <w:lang w:bidi="he-IL"/>
        </w:rPr>
        <w:t>תופסות</w:t>
      </w:r>
      <w:r w:rsidRPr="00AD451B">
        <w:rPr>
          <w:rFonts w:ascii="David" w:hAnsi="David" w:cs="David"/>
          <w:color w:val="000000" w:themeColor="text1"/>
          <w:sz w:val="24"/>
          <w:szCs w:val="24"/>
          <w:rtl/>
        </w:rPr>
        <w:t xml:space="preserve"> </w:t>
      </w:r>
      <w:r w:rsidRPr="00AD451B">
        <w:rPr>
          <w:rFonts w:ascii="David" w:hAnsi="David" w:cs="David"/>
          <w:color w:val="000000" w:themeColor="text1"/>
          <w:sz w:val="24"/>
          <w:szCs w:val="24"/>
          <w:rtl/>
          <w:lang w:bidi="he-IL"/>
        </w:rPr>
        <w:t>את</w:t>
      </w:r>
      <w:r w:rsidRPr="00AD451B">
        <w:rPr>
          <w:rFonts w:ascii="David" w:hAnsi="David" w:cs="David"/>
          <w:color w:val="000000" w:themeColor="text1"/>
          <w:sz w:val="24"/>
          <w:szCs w:val="24"/>
          <w:rtl/>
        </w:rPr>
        <w:t xml:space="preserve"> </w:t>
      </w:r>
      <w:r w:rsidRPr="00AD451B">
        <w:rPr>
          <w:rFonts w:ascii="David" w:hAnsi="David" w:cs="David"/>
          <w:color w:val="000000" w:themeColor="text1"/>
          <w:sz w:val="24"/>
          <w:szCs w:val="24"/>
          <w:rtl/>
          <w:lang w:bidi="he-IL"/>
        </w:rPr>
        <w:t>המשפט</w:t>
      </w:r>
      <w:r w:rsidRPr="00AD451B">
        <w:rPr>
          <w:rFonts w:ascii="David" w:hAnsi="David" w:cs="David"/>
          <w:color w:val="000000" w:themeColor="text1"/>
          <w:sz w:val="24"/>
          <w:szCs w:val="24"/>
          <w:rtl/>
        </w:rPr>
        <w:t xml:space="preserve"> </w:t>
      </w:r>
      <w:r w:rsidRPr="00AD451B">
        <w:rPr>
          <w:rFonts w:ascii="David" w:hAnsi="David" w:cs="David"/>
          <w:color w:val="000000" w:themeColor="text1"/>
          <w:sz w:val="24"/>
          <w:szCs w:val="24"/>
          <w:rtl/>
          <w:lang w:bidi="he-IL"/>
        </w:rPr>
        <w:t>כמשוקע</w:t>
      </w:r>
      <w:r w:rsidRPr="00AD451B">
        <w:rPr>
          <w:rFonts w:ascii="David" w:hAnsi="David" w:cs="David"/>
          <w:color w:val="000000" w:themeColor="text1"/>
          <w:sz w:val="24"/>
          <w:szCs w:val="24"/>
          <w:rtl/>
        </w:rPr>
        <w:t xml:space="preserve"> </w:t>
      </w:r>
      <w:r w:rsidRPr="00AD451B">
        <w:rPr>
          <w:rFonts w:ascii="David" w:hAnsi="David" w:cs="David"/>
          <w:color w:val="000000" w:themeColor="text1"/>
          <w:sz w:val="24"/>
          <w:szCs w:val="24"/>
          <w:rtl/>
          <w:lang w:bidi="he-IL"/>
        </w:rPr>
        <w:t>בחיי</w:t>
      </w:r>
      <w:r w:rsidRPr="00AD451B">
        <w:rPr>
          <w:rFonts w:ascii="David" w:hAnsi="David" w:cs="David"/>
          <w:color w:val="000000" w:themeColor="text1"/>
          <w:sz w:val="24"/>
          <w:szCs w:val="24"/>
          <w:rtl/>
        </w:rPr>
        <w:t xml:space="preserve"> </w:t>
      </w:r>
      <w:r w:rsidRPr="00AD451B">
        <w:rPr>
          <w:rFonts w:ascii="David" w:hAnsi="David" w:cs="David"/>
          <w:color w:val="000000" w:themeColor="text1"/>
          <w:sz w:val="24"/>
          <w:szCs w:val="24"/>
          <w:rtl/>
          <w:lang w:bidi="he-IL"/>
        </w:rPr>
        <w:t>היום</w:t>
      </w:r>
      <w:r w:rsidRPr="00AD451B">
        <w:rPr>
          <w:rFonts w:ascii="David" w:hAnsi="David" w:cs="David" w:hint="eastAsia"/>
          <w:color w:val="000000" w:themeColor="text1"/>
          <w:sz w:val="24"/>
          <w:szCs w:val="24"/>
          <w:rtl/>
          <w:lang w:bidi="he-IL"/>
        </w:rPr>
        <w:t>־</w:t>
      </w:r>
      <w:r w:rsidRPr="00AD451B">
        <w:rPr>
          <w:rFonts w:ascii="David" w:hAnsi="David" w:cs="David"/>
          <w:color w:val="000000" w:themeColor="text1"/>
          <w:sz w:val="24"/>
          <w:szCs w:val="24"/>
          <w:rtl/>
          <w:lang w:bidi="he-IL"/>
        </w:rPr>
        <w:t>יום</w:t>
      </w:r>
      <w:r w:rsidRPr="00AD451B">
        <w:rPr>
          <w:rFonts w:ascii="David" w:hAnsi="David" w:cs="David"/>
          <w:color w:val="000000" w:themeColor="text1"/>
          <w:sz w:val="24"/>
          <w:szCs w:val="24"/>
          <w:rtl/>
        </w:rPr>
        <w:t xml:space="preserve"> </w:t>
      </w:r>
      <w:r w:rsidRPr="00AD451B">
        <w:rPr>
          <w:rFonts w:ascii="David" w:hAnsi="David" w:cs="David"/>
          <w:color w:val="000000" w:themeColor="text1"/>
          <w:sz w:val="24"/>
          <w:szCs w:val="24"/>
          <w:rtl/>
          <w:lang w:bidi="he-IL"/>
        </w:rPr>
        <w:t>של</w:t>
      </w:r>
      <w:r w:rsidRPr="00AD451B">
        <w:rPr>
          <w:rFonts w:ascii="David" w:hAnsi="David" w:cs="David"/>
          <w:color w:val="000000" w:themeColor="text1"/>
          <w:sz w:val="24"/>
          <w:szCs w:val="24"/>
          <w:rtl/>
        </w:rPr>
        <w:t xml:space="preserve"> </w:t>
      </w:r>
      <w:r w:rsidRPr="00AD451B">
        <w:rPr>
          <w:rFonts w:ascii="David" w:hAnsi="David" w:cs="David"/>
          <w:color w:val="000000" w:themeColor="text1"/>
          <w:sz w:val="24"/>
          <w:szCs w:val="24"/>
          <w:rtl/>
          <w:lang w:bidi="he-IL"/>
        </w:rPr>
        <w:t>בני</w:t>
      </w:r>
      <w:r w:rsidRPr="00AD451B">
        <w:rPr>
          <w:rFonts w:ascii="David" w:hAnsi="David" w:cs="David"/>
          <w:color w:val="000000" w:themeColor="text1"/>
          <w:sz w:val="24"/>
          <w:szCs w:val="24"/>
          <w:rtl/>
        </w:rPr>
        <w:t xml:space="preserve"> </w:t>
      </w:r>
      <w:r w:rsidRPr="00AD451B">
        <w:rPr>
          <w:rFonts w:ascii="David" w:hAnsi="David" w:cs="David"/>
          <w:color w:val="000000" w:themeColor="text1"/>
          <w:sz w:val="24"/>
          <w:szCs w:val="24"/>
          <w:rtl/>
          <w:lang w:bidi="he-IL"/>
        </w:rPr>
        <w:t>האדם</w:t>
      </w:r>
      <w:r w:rsidRPr="00AD451B">
        <w:rPr>
          <w:rFonts w:ascii="David" w:hAnsi="David" w:cs="David"/>
          <w:color w:val="000000" w:themeColor="text1"/>
          <w:sz w:val="24"/>
          <w:szCs w:val="24"/>
          <w:rtl/>
        </w:rPr>
        <w:t xml:space="preserve">. </w:t>
      </w:r>
    </w:p>
    <w:p w:rsidR="006E285E" w:rsidRPr="00AD451B" w:rsidRDefault="006E285E" w:rsidP="006E285E">
      <w:pPr>
        <w:bidi/>
        <w:spacing w:before="120" w:after="120" w:line="360" w:lineRule="auto"/>
        <w:ind w:firstLine="284"/>
        <w:jc w:val="both"/>
        <w:rPr>
          <w:rFonts w:ascii="David" w:hAnsi="David" w:cs="David"/>
          <w:color w:val="000000" w:themeColor="text1"/>
          <w:sz w:val="24"/>
          <w:szCs w:val="24"/>
          <w:rtl/>
          <w:lang w:bidi="he-IL"/>
        </w:rPr>
      </w:pPr>
      <w:r w:rsidRPr="00AD451B">
        <w:rPr>
          <w:rFonts w:ascii="David" w:hAnsi="David" w:cs="David" w:hint="cs"/>
          <w:color w:val="000000" w:themeColor="text1"/>
          <w:sz w:val="24"/>
          <w:szCs w:val="24"/>
          <w:rtl/>
          <w:lang w:bidi="he-IL"/>
        </w:rPr>
        <w:t xml:space="preserve">לבסוף, </w:t>
      </w:r>
      <w:r w:rsidRPr="00AD451B">
        <w:rPr>
          <w:rFonts w:ascii="David" w:hAnsi="David" w:cs="David"/>
          <w:color w:val="000000" w:themeColor="text1"/>
          <w:sz w:val="24"/>
          <w:szCs w:val="24"/>
          <w:rtl/>
          <w:lang w:bidi="he-IL"/>
        </w:rPr>
        <w:t xml:space="preserve">הגישה הביקורתית למשפט </w:t>
      </w:r>
      <w:r w:rsidRPr="00AD451B">
        <w:rPr>
          <w:rFonts w:ascii="David" w:hAnsi="David" w:cs="David"/>
          <w:color w:val="000000" w:themeColor="text1"/>
          <w:sz w:val="24"/>
          <w:szCs w:val="24"/>
          <w:lang w:bidi="ar-DZ"/>
        </w:rPr>
        <w:t>Critical Legal Studies</w:t>
      </w:r>
      <w:r w:rsidRPr="00AD451B">
        <w:rPr>
          <w:rFonts w:ascii="David" w:hAnsi="David" w:cs="David"/>
          <w:color w:val="000000" w:themeColor="text1"/>
          <w:sz w:val="24"/>
          <w:szCs w:val="24"/>
          <w:rtl/>
          <w:lang w:bidi="he-IL"/>
        </w:rPr>
        <w:t xml:space="preserve"> שצמחה ושגשגה בארצות הברית בשנות השבעים והשמונים של המאה </w:t>
      </w:r>
      <w:r w:rsidRPr="00AD451B">
        <w:rPr>
          <w:rFonts w:ascii="David" w:hAnsi="David" w:cs="David" w:hint="eastAsia"/>
          <w:color w:val="000000" w:themeColor="text1"/>
          <w:sz w:val="24"/>
          <w:szCs w:val="24"/>
          <w:rtl/>
          <w:lang w:bidi="he-IL"/>
        </w:rPr>
        <w:t>העשרים</w:t>
      </w:r>
      <w:r w:rsidRPr="00AD451B">
        <w:rPr>
          <w:rFonts w:ascii="David" w:hAnsi="David" w:cs="David"/>
          <w:color w:val="000000" w:themeColor="text1"/>
          <w:sz w:val="24"/>
          <w:szCs w:val="24"/>
          <w:rtl/>
          <w:lang w:bidi="he-IL"/>
        </w:rPr>
        <w:t xml:space="preserve">, </w:t>
      </w:r>
      <w:r w:rsidRPr="00AD451B">
        <w:rPr>
          <w:rFonts w:ascii="David" w:hAnsi="David" w:cs="David" w:hint="eastAsia"/>
          <w:color w:val="000000" w:themeColor="text1"/>
          <w:sz w:val="24"/>
          <w:szCs w:val="24"/>
          <w:rtl/>
          <w:lang w:bidi="he-IL"/>
        </w:rPr>
        <w:t>לקחה</w:t>
      </w:r>
      <w:r w:rsidRPr="00AD451B">
        <w:rPr>
          <w:rFonts w:ascii="David" w:hAnsi="David" w:cs="David"/>
          <w:color w:val="000000" w:themeColor="text1"/>
          <w:sz w:val="24"/>
          <w:szCs w:val="24"/>
          <w:rtl/>
          <w:lang w:bidi="he-IL"/>
        </w:rPr>
        <w:t xml:space="preserve"> את יחסי הזיקה בין חברתי</w:t>
      </w:r>
      <w:r w:rsidRPr="00AD451B">
        <w:rPr>
          <w:rFonts w:ascii="David" w:hAnsi="David" w:cs="David" w:hint="cs"/>
          <w:color w:val="000000" w:themeColor="text1"/>
          <w:sz w:val="24"/>
          <w:szCs w:val="24"/>
          <w:rtl/>
          <w:lang w:bidi="he-IL"/>
        </w:rPr>
        <w:t>-תרבותי</w:t>
      </w:r>
      <w:r w:rsidRPr="00AD451B">
        <w:rPr>
          <w:rFonts w:ascii="David" w:hAnsi="David" w:cs="David"/>
          <w:color w:val="000000" w:themeColor="text1"/>
          <w:sz w:val="24"/>
          <w:szCs w:val="24"/>
          <w:rtl/>
          <w:lang w:bidi="he-IL"/>
        </w:rPr>
        <w:t xml:space="preserve"> למשפטי כמה צעדים </w:t>
      </w:r>
      <w:r w:rsidRPr="00AD451B">
        <w:rPr>
          <w:rFonts w:ascii="David" w:hAnsi="David" w:cs="David" w:hint="eastAsia"/>
          <w:color w:val="000000" w:themeColor="text1"/>
          <w:sz w:val="24"/>
          <w:szCs w:val="24"/>
          <w:rtl/>
          <w:lang w:bidi="he-IL"/>
        </w:rPr>
        <w:t>נוספים</w:t>
      </w:r>
      <w:r w:rsidRPr="00AD451B">
        <w:rPr>
          <w:rFonts w:ascii="David" w:hAnsi="David" w:cs="David"/>
          <w:color w:val="000000" w:themeColor="text1"/>
          <w:sz w:val="24"/>
          <w:szCs w:val="24"/>
          <w:rtl/>
          <w:lang w:bidi="he-IL"/>
        </w:rPr>
        <w:t xml:space="preserve">, </w:t>
      </w:r>
      <w:r w:rsidRPr="00AD451B">
        <w:rPr>
          <w:rFonts w:ascii="David" w:hAnsi="David" w:cs="David" w:hint="eastAsia"/>
          <w:color w:val="000000" w:themeColor="text1"/>
          <w:sz w:val="24"/>
          <w:szCs w:val="24"/>
          <w:rtl/>
          <w:lang w:bidi="he-IL"/>
        </w:rPr>
        <w:t>כשהתנגדה</w:t>
      </w:r>
      <w:r w:rsidRPr="00AD451B">
        <w:rPr>
          <w:rFonts w:ascii="David" w:hAnsi="David" w:cs="David"/>
          <w:color w:val="000000" w:themeColor="text1"/>
          <w:sz w:val="24"/>
          <w:szCs w:val="24"/>
          <w:rtl/>
          <w:lang w:bidi="he-IL"/>
        </w:rPr>
        <w:t xml:space="preserve"> </w:t>
      </w:r>
      <w:r w:rsidRPr="00AD451B">
        <w:rPr>
          <w:rFonts w:ascii="David" w:hAnsi="David" w:cs="David" w:hint="eastAsia"/>
          <w:color w:val="000000" w:themeColor="text1"/>
          <w:sz w:val="24"/>
          <w:szCs w:val="24"/>
          <w:rtl/>
          <w:lang w:bidi="he-IL"/>
        </w:rPr>
        <w:t>להנחה</w:t>
      </w:r>
      <w:r w:rsidRPr="00AD451B">
        <w:rPr>
          <w:rFonts w:ascii="David" w:hAnsi="David" w:cs="David"/>
          <w:color w:val="000000" w:themeColor="text1"/>
          <w:sz w:val="24"/>
          <w:szCs w:val="24"/>
          <w:rtl/>
          <w:lang w:bidi="he-IL"/>
        </w:rPr>
        <w:t xml:space="preserve"> שהחברה והמשפט הן </w:t>
      </w:r>
      <w:r w:rsidRPr="00AD451B">
        <w:rPr>
          <w:rFonts w:ascii="David" w:hAnsi="David" w:cs="David" w:hint="eastAsia"/>
          <w:color w:val="000000" w:themeColor="text1"/>
          <w:sz w:val="24"/>
          <w:szCs w:val="24"/>
          <w:rtl/>
          <w:lang w:bidi="he-IL"/>
        </w:rPr>
        <w:t>ישויות</w:t>
      </w:r>
      <w:r w:rsidRPr="00AD451B">
        <w:rPr>
          <w:rFonts w:ascii="David" w:hAnsi="David" w:cs="David"/>
          <w:color w:val="000000" w:themeColor="text1"/>
          <w:sz w:val="24"/>
          <w:szCs w:val="24"/>
          <w:rtl/>
          <w:lang w:bidi="he-IL"/>
        </w:rPr>
        <w:t xml:space="preserve"> </w:t>
      </w:r>
      <w:r w:rsidRPr="00AD451B">
        <w:rPr>
          <w:rFonts w:ascii="David" w:hAnsi="David" w:cs="David" w:hint="eastAsia"/>
          <w:color w:val="000000" w:themeColor="text1"/>
          <w:sz w:val="24"/>
          <w:szCs w:val="24"/>
          <w:rtl/>
          <w:lang w:bidi="he-IL"/>
        </w:rPr>
        <w:t>נפרדות</w:t>
      </w:r>
      <w:r w:rsidRPr="00AD451B">
        <w:rPr>
          <w:rFonts w:ascii="David" w:hAnsi="David" w:cs="David"/>
          <w:color w:val="000000" w:themeColor="text1"/>
          <w:sz w:val="24"/>
          <w:szCs w:val="24"/>
          <w:rtl/>
          <w:lang w:bidi="he-IL"/>
        </w:rPr>
        <w:t xml:space="preserve"> </w:t>
      </w:r>
      <w:r w:rsidRPr="00AD451B">
        <w:rPr>
          <w:rFonts w:ascii="David" w:hAnsi="David" w:cs="David" w:hint="eastAsia"/>
          <w:color w:val="000000" w:themeColor="text1"/>
          <w:sz w:val="24"/>
          <w:szCs w:val="24"/>
          <w:rtl/>
          <w:lang w:bidi="he-IL"/>
        </w:rPr>
        <w:t>ומובחנות</w:t>
      </w:r>
      <w:r w:rsidRPr="00AD451B">
        <w:rPr>
          <w:rFonts w:ascii="David" w:hAnsi="David" w:cs="David"/>
          <w:color w:val="000000" w:themeColor="text1"/>
          <w:sz w:val="24"/>
          <w:szCs w:val="24"/>
          <w:rtl/>
          <w:lang w:bidi="he-IL"/>
        </w:rPr>
        <w:t xml:space="preserve">, </w:t>
      </w:r>
      <w:r w:rsidRPr="00AD451B">
        <w:rPr>
          <w:rFonts w:ascii="David" w:hAnsi="David" w:cs="David" w:hint="eastAsia"/>
          <w:color w:val="000000" w:themeColor="text1"/>
          <w:sz w:val="24"/>
          <w:szCs w:val="24"/>
          <w:rtl/>
          <w:lang w:bidi="he-IL"/>
        </w:rPr>
        <w:t>ה</w:t>
      </w:r>
      <w:r w:rsidRPr="00AD451B">
        <w:rPr>
          <w:rFonts w:ascii="David" w:hAnsi="David" w:cs="David"/>
          <w:color w:val="000000" w:themeColor="text1"/>
          <w:sz w:val="24"/>
          <w:szCs w:val="24"/>
          <w:rtl/>
          <w:lang w:bidi="he-IL"/>
        </w:rPr>
        <w:t xml:space="preserve">מקיימות ביניהן יחסי גומלים סיבתיים. </w:t>
      </w:r>
      <w:r w:rsidRPr="00AD451B">
        <w:rPr>
          <w:rFonts w:ascii="David" w:hAnsi="David" w:cs="David" w:hint="eastAsia"/>
          <w:color w:val="000000" w:themeColor="text1"/>
          <w:sz w:val="24"/>
          <w:szCs w:val="24"/>
          <w:rtl/>
          <w:lang w:bidi="he-IL"/>
        </w:rPr>
        <w:t>הם</w:t>
      </w:r>
      <w:r w:rsidRPr="00AD451B">
        <w:rPr>
          <w:rFonts w:ascii="David" w:hAnsi="David" w:cs="David"/>
          <w:color w:val="000000" w:themeColor="text1"/>
          <w:sz w:val="24"/>
          <w:szCs w:val="24"/>
          <w:rtl/>
          <w:lang w:bidi="he-IL"/>
        </w:rPr>
        <w:t xml:space="preserve"> </w:t>
      </w:r>
      <w:r w:rsidRPr="00AD451B">
        <w:rPr>
          <w:rFonts w:ascii="David" w:hAnsi="David" w:cs="David" w:hint="eastAsia"/>
          <w:color w:val="000000" w:themeColor="text1"/>
          <w:sz w:val="24"/>
          <w:szCs w:val="24"/>
          <w:rtl/>
          <w:lang w:bidi="he-IL"/>
        </w:rPr>
        <w:t>ביקרו</w:t>
      </w:r>
      <w:r w:rsidRPr="00AD451B">
        <w:rPr>
          <w:rFonts w:ascii="David" w:hAnsi="David" w:cs="David"/>
          <w:color w:val="000000" w:themeColor="text1"/>
          <w:sz w:val="24"/>
          <w:szCs w:val="24"/>
          <w:rtl/>
          <w:lang w:bidi="he-IL"/>
        </w:rPr>
        <w:t xml:space="preserve"> </w:t>
      </w:r>
      <w:r w:rsidRPr="00AD451B">
        <w:rPr>
          <w:rFonts w:ascii="David" w:hAnsi="David" w:cs="David" w:hint="eastAsia"/>
          <w:color w:val="000000" w:themeColor="text1"/>
          <w:sz w:val="24"/>
          <w:szCs w:val="24"/>
          <w:rtl/>
          <w:lang w:bidi="he-IL"/>
        </w:rPr>
        <w:t>את</w:t>
      </w:r>
      <w:r w:rsidRPr="00AD451B">
        <w:rPr>
          <w:rFonts w:ascii="David" w:hAnsi="David" w:cs="David"/>
          <w:color w:val="000000" w:themeColor="text1"/>
          <w:sz w:val="24"/>
          <w:szCs w:val="24"/>
          <w:rtl/>
          <w:lang w:bidi="he-IL"/>
        </w:rPr>
        <w:t xml:space="preserve"> התיאוריה המשפטית המקובלת באותה עת, </w:t>
      </w:r>
      <w:r w:rsidRPr="00AD451B">
        <w:rPr>
          <w:rFonts w:ascii="David" w:hAnsi="David" w:cs="David" w:hint="eastAsia"/>
          <w:color w:val="000000" w:themeColor="text1"/>
          <w:sz w:val="24"/>
          <w:szCs w:val="24"/>
          <w:rtl/>
          <w:lang w:bidi="he-IL"/>
        </w:rPr>
        <w:t>את</w:t>
      </w:r>
      <w:r w:rsidRPr="00AD451B">
        <w:rPr>
          <w:rFonts w:ascii="David" w:hAnsi="David" w:cs="David"/>
          <w:color w:val="000000" w:themeColor="text1"/>
          <w:sz w:val="24"/>
          <w:szCs w:val="24"/>
          <w:rtl/>
          <w:lang w:bidi="he-IL"/>
        </w:rPr>
        <w:t xml:space="preserve"> אופן עשייתה של עבודה אקדמית </w:t>
      </w:r>
      <w:r w:rsidRPr="00AD451B">
        <w:rPr>
          <w:rFonts w:ascii="David" w:hAnsi="David" w:cs="David" w:hint="eastAsia"/>
          <w:color w:val="000000" w:themeColor="text1"/>
          <w:sz w:val="24"/>
          <w:szCs w:val="24"/>
          <w:rtl/>
          <w:lang w:bidi="he-IL"/>
        </w:rPr>
        <w:t>ב</w:t>
      </w:r>
      <w:r w:rsidRPr="00AD451B">
        <w:rPr>
          <w:rFonts w:ascii="David" w:hAnsi="David" w:cs="David"/>
          <w:color w:val="000000" w:themeColor="text1"/>
          <w:sz w:val="24"/>
          <w:szCs w:val="24"/>
          <w:rtl/>
          <w:lang w:bidi="he-IL"/>
        </w:rPr>
        <w:t>משפטים ו</w:t>
      </w:r>
      <w:r w:rsidRPr="00AD451B">
        <w:rPr>
          <w:rFonts w:ascii="David" w:hAnsi="David" w:cs="David" w:hint="eastAsia"/>
          <w:color w:val="000000" w:themeColor="text1"/>
          <w:sz w:val="24"/>
          <w:szCs w:val="24"/>
          <w:rtl/>
          <w:lang w:bidi="he-IL"/>
        </w:rPr>
        <w:t>את</w:t>
      </w:r>
      <w:r w:rsidRPr="00AD451B">
        <w:rPr>
          <w:rFonts w:ascii="David" w:hAnsi="David" w:cs="David"/>
          <w:color w:val="000000" w:themeColor="text1"/>
          <w:sz w:val="24"/>
          <w:szCs w:val="24"/>
          <w:rtl/>
          <w:lang w:bidi="he-IL"/>
        </w:rPr>
        <w:t xml:space="preserve"> המופעים התרבותי</w:t>
      </w:r>
      <w:r w:rsidRPr="00AD451B">
        <w:rPr>
          <w:rFonts w:ascii="David" w:hAnsi="David" w:cs="David" w:hint="eastAsia"/>
          <w:color w:val="000000" w:themeColor="text1"/>
          <w:sz w:val="24"/>
          <w:szCs w:val="24"/>
          <w:rtl/>
          <w:lang w:bidi="he-IL"/>
        </w:rPr>
        <w:t>י</w:t>
      </w:r>
      <w:r w:rsidRPr="00AD451B">
        <w:rPr>
          <w:rFonts w:ascii="David" w:hAnsi="David" w:cs="David"/>
          <w:color w:val="000000" w:themeColor="text1"/>
          <w:sz w:val="24"/>
          <w:szCs w:val="24"/>
          <w:rtl/>
          <w:lang w:bidi="he-IL"/>
        </w:rPr>
        <w:t xml:space="preserve">ם </w:t>
      </w:r>
      <w:r w:rsidRPr="00AD451B">
        <w:rPr>
          <w:rFonts w:ascii="David" w:hAnsi="David" w:cs="David" w:hint="cs"/>
          <w:color w:val="000000" w:themeColor="text1"/>
          <w:sz w:val="24"/>
          <w:szCs w:val="24"/>
          <w:rtl/>
          <w:lang w:bidi="he-IL"/>
        </w:rPr>
        <w:t>ההגמונים</w:t>
      </w:r>
      <w:r w:rsidRPr="00AD451B">
        <w:rPr>
          <w:rFonts w:ascii="David" w:hAnsi="David" w:cs="David"/>
          <w:color w:val="000000" w:themeColor="text1"/>
          <w:sz w:val="24"/>
          <w:szCs w:val="24"/>
          <w:rtl/>
          <w:lang w:bidi="he-IL"/>
        </w:rPr>
        <w:t xml:space="preserve"> של החוגים החברתיים שבתוכם פעלה. </w:t>
      </w:r>
      <w:r w:rsidRPr="00AD451B">
        <w:rPr>
          <w:rFonts w:ascii="David" w:hAnsi="David" w:cs="David" w:hint="eastAsia"/>
          <w:color w:val="000000" w:themeColor="text1"/>
          <w:sz w:val="24"/>
          <w:szCs w:val="24"/>
          <w:rtl/>
          <w:lang w:bidi="he-IL"/>
        </w:rPr>
        <w:t>לטענתם</w:t>
      </w:r>
      <w:r w:rsidRPr="00AD451B">
        <w:rPr>
          <w:rFonts w:ascii="David" w:hAnsi="David" w:cs="David"/>
          <w:color w:val="000000" w:themeColor="text1"/>
          <w:sz w:val="24"/>
          <w:szCs w:val="24"/>
          <w:rtl/>
          <w:lang w:bidi="he-IL"/>
        </w:rPr>
        <w:t xml:space="preserve">, </w:t>
      </w:r>
      <w:r w:rsidRPr="00AD451B">
        <w:rPr>
          <w:rFonts w:ascii="David" w:hAnsi="David" w:cs="David" w:hint="eastAsia"/>
          <w:color w:val="000000" w:themeColor="text1"/>
          <w:sz w:val="24"/>
          <w:szCs w:val="24"/>
          <w:rtl/>
          <w:lang w:bidi="he-IL"/>
        </w:rPr>
        <w:t>אין</w:t>
      </w:r>
      <w:r w:rsidRPr="00AD451B">
        <w:rPr>
          <w:rFonts w:ascii="David" w:hAnsi="David" w:cs="David"/>
          <w:color w:val="000000" w:themeColor="text1"/>
          <w:sz w:val="24"/>
          <w:szCs w:val="24"/>
          <w:rtl/>
          <w:lang w:bidi="he-IL"/>
        </w:rPr>
        <w:t xml:space="preserve"> לחברה קדימות </w:t>
      </w:r>
      <w:r w:rsidRPr="00AD451B">
        <w:rPr>
          <w:rFonts w:ascii="David" w:hAnsi="David" w:cs="David" w:hint="eastAsia"/>
          <w:color w:val="000000" w:themeColor="text1"/>
          <w:sz w:val="24"/>
          <w:szCs w:val="24"/>
          <w:rtl/>
          <w:lang w:bidi="he-IL"/>
        </w:rPr>
        <w:t>על</w:t>
      </w:r>
      <w:r w:rsidRPr="00AD451B">
        <w:rPr>
          <w:rFonts w:ascii="David" w:hAnsi="David" w:cs="David"/>
          <w:color w:val="000000" w:themeColor="text1"/>
          <w:sz w:val="24"/>
          <w:szCs w:val="24"/>
          <w:rtl/>
          <w:lang w:bidi="he-IL"/>
        </w:rPr>
        <w:t xml:space="preserve"> </w:t>
      </w:r>
      <w:r w:rsidRPr="00AD451B">
        <w:rPr>
          <w:rFonts w:ascii="David" w:hAnsi="David" w:cs="David" w:hint="eastAsia"/>
          <w:color w:val="000000" w:themeColor="text1"/>
          <w:sz w:val="24"/>
          <w:szCs w:val="24"/>
          <w:rtl/>
          <w:lang w:bidi="he-IL"/>
        </w:rPr>
        <w:t>ה</w:t>
      </w:r>
      <w:r w:rsidRPr="00AD451B">
        <w:rPr>
          <w:rFonts w:ascii="David" w:hAnsi="David" w:cs="David"/>
          <w:color w:val="000000" w:themeColor="text1"/>
          <w:sz w:val="24"/>
          <w:szCs w:val="24"/>
          <w:rtl/>
          <w:lang w:bidi="he-IL"/>
        </w:rPr>
        <w:t xml:space="preserve">משפט, </w:t>
      </w:r>
      <w:r w:rsidRPr="00AD451B">
        <w:rPr>
          <w:rFonts w:ascii="David" w:hAnsi="David" w:cs="David" w:hint="eastAsia"/>
          <w:color w:val="000000" w:themeColor="text1"/>
          <w:sz w:val="24"/>
          <w:szCs w:val="24"/>
          <w:rtl/>
          <w:lang w:bidi="he-IL"/>
        </w:rPr>
        <w:t>היא</w:t>
      </w:r>
      <w:r w:rsidRPr="00AD451B">
        <w:rPr>
          <w:rFonts w:ascii="David" w:hAnsi="David" w:cs="David"/>
          <w:color w:val="000000" w:themeColor="text1"/>
          <w:sz w:val="24"/>
          <w:szCs w:val="24"/>
          <w:rtl/>
          <w:lang w:bidi="he-IL"/>
        </w:rPr>
        <w:t xml:space="preserve"> לא פרה-משפטית, </w:t>
      </w:r>
      <w:r w:rsidRPr="00AD451B">
        <w:rPr>
          <w:rFonts w:ascii="David" w:hAnsi="David" w:cs="David" w:hint="eastAsia"/>
          <w:color w:val="000000" w:themeColor="text1"/>
          <w:sz w:val="24"/>
          <w:szCs w:val="24"/>
          <w:rtl/>
          <w:lang w:bidi="he-IL"/>
        </w:rPr>
        <w:t>והתנגדו</w:t>
      </w:r>
      <w:r w:rsidRPr="00AD451B">
        <w:rPr>
          <w:rFonts w:ascii="David" w:hAnsi="David" w:cs="David"/>
          <w:color w:val="000000" w:themeColor="text1"/>
          <w:sz w:val="24"/>
          <w:szCs w:val="24"/>
          <w:rtl/>
          <w:lang w:bidi="he-IL"/>
        </w:rPr>
        <w:t xml:space="preserve"> </w:t>
      </w:r>
      <w:r w:rsidRPr="00AD451B">
        <w:rPr>
          <w:rFonts w:ascii="David" w:hAnsi="David" w:cs="David" w:hint="eastAsia"/>
          <w:color w:val="000000" w:themeColor="text1"/>
          <w:sz w:val="24"/>
          <w:szCs w:val="24"/>
          <w:rtl/>
          <w:lang w:bidi="he-IL"/>
        </w:rPr>
        <w:t>בתוקף</w:t>
      </w:r>
      <w:r w:rsidRPr="00AD451B">
        <w:rPr>
          <w:rFonts w:ascii="David" w:hAnsi="David" w:cs="David"/>
          <w:color w:val="000000" w:themeColor="text1"/>
          <w:sz w:val="24"/>
          <w:szCs w:val="24"/>
          <w:rtl/>
          <w:lang w:bidi="he-IL"/>
        </w:rPr>
        <w:t xml:space="preserve"> לתזה שלפיה יש להבין את המשפט בתוך הקשרו החברתי, אולם את החברה ניתן להבין ללא הכרת המשפט. </w:t>
      </w:r>
      <w:r w:rsidRPr="00AD451B">
        <w:rPr>
          <w:rFonts w:ascii="David" w:hAnsi="David" w:cs="David" w:hint="eastAsia"/>
          <w:color w:val="000000" w:themeColor="text1"/>
          <w:sz w:val="24"/>
          <w:szCs w:val="24"/>
          <w:rtl/>
          <w:lang w:bidi="he-IL"/>
        </w:rPr>
        <w:t>לשיטתם</w:t>
      </w:r>
      <w:r w:rsidRPr="00AD451B">
        <w:rPr>
          <w:rFonts w:ascii="David" w:hAnsi="David" w:cs="David"/>
          <w:color w:val="000000" w:themeColor="text1"/>
          <w:sz w:val="24"/>
          <w:szCs w:val="24"/>
          <w:rtl/>
          <w:lang w:bidi="he-IL"/>
        </w:rPr>
        <w:t xml:space="preserve">, </w:t>
      </w:r>
      <w:r w:rsidRPr="00AD451B">
        <w:rPr>
          <w:rFonts w:ascii="David" w:hAnsi="David" w:cs="David" w:hint="eastAsia"/>
          <w:color w:val="000000" w:themeColor="text1"/>
          <w:sz w:val="24"/>
          <w:szCs w:val="24"/>
          <w:rtl/>
          <w:lang w:bidi="he-IL"/>
        </w:rPr>
        <w:t>לא</w:t>
      </w:r>
      <w:r w:rsidRPr="00AD451B">
        <w:rPr>
          <w:rFonts w:ascii="David" w:hAnsi="David" w:cs="David"/>
          <w:color w:val="000000" w:themeColor="text1"/>
          <w:sz w:val="24"/>
          <w:szCs w:val="24"/>
          <w:rtl/>
          <w:lang w:bidi="he-IL"/>
        </w:rPr>
        <w:t xml:space="preserve"> ניתן להבחין בין משפט לחברה, </w:t>
      </w:r>
      <w:r w:rsidRPr="00AD451B">
        <w:rPr>
          <w:rFonts w:ascii="David" w:hAnsi="David" w:cs="David" w:hint="cs"/>
          <w:color w:val="000000" w:themeColor="text1"/>
          <w:sz w:val="24"/>
          <w:szCs w:val="24"/>
          <w:rtl/>
          <w:lang w:bidi="he-IL"/>
        </w:rPr>
        <w:t>משום שאין</w:t>
      </w:r>
      <w:r w:rsidRPr="00AD451B">
        <w:rPr>
          <w:rFonts w:ascii="David" w:hAnsi="David" w:cs="David"/>
          <w:color w:val="000000" w:themeColor="text1"/>
          <w:sz w:val="24"/>
          <w:szCs w:val="24"/>
          <w:rtl/>
          <w:lang w:bidi="he-IL"/>
        </w:rPr>
        <w:t xml:space="preserve"> אפשרות לשרטט גבולות </w:t>
      </w:r>
      <w:r w:rsidRPr="00AD451B">
        <w:rPr>
          <w:rFonts w:ascii="David" w:hAnsi="David" w:cs="David" w:hint="eastAsia"/>
          <w:color w:val="000000" w:themeColor="text1"/>
          <w:sz w:val="24"/>
          <w:szCs w:val="24"/>
          <w:rtl/>
          <w:lang w:bidi="he-IL"/>
        </w:rPr>
        <w:t>דיסציפלינריים</w:t>
      </w:r>
      <w:r w:rsidRPr="00AD451B">
        <w:rPr>
          <w:rFonts w:ascii="David" w:hAnsi="David" w:cs="David"/>
          <w:color w:val="000000" w:themeColor="text1"/>
          <w:sz w:val="24"/>
          <w:szCs w:val="24"/>
          <w:rtl/>
          <w:lang w:bidi="he-IL"/>
        </w:rPr>
        <w:t xml:space="preserve"> או מתודולוגיים ברורים</w:t>
      </w:r>
      <w:r w:rsidRPr="00AD451B">
        <w:rPr>
          <w:rFonts w:ascii="David" w:hAnsi="David" w:cs="David" w:hint="cs"/>
          <w:color w:val="000000" w:themeColor="text1"/>
          <w:sz w:val="24"/>
          <w:szCs w:val="24"/>
          <w:rtl/>
          <w:lang w:bidi="he-IL"/>
        </w:rPr>
        <w:t xml:space="preserve"> בין המשפט, התרבות והחברה,</w:t>
      </w:r>
      <w:r w:rsidRPr="00AD451B">
        <w:rPr>
          <w:rFonts w:ascii="David" w:hAnsi="David" w:cs="David"/>
          <w:color w:val="000000" w:themeColor="text1"/>
          <w:sz w:val="24"/>
          <w:szCs w:val="24"/>
          <w:rtl/>
          <w:lang w:bidi="he-IL"/>
        </w:rPr>
        <w:t xml:space="preserve"> </w:t>
      </w:r>
      <w:r w:rsidRPr="00AD451B">
        <w:rPr>
          <w:rFonts w:ascii="David" w:hAnsi="David" w:cs="David" w:hint="eastAsia"/>
          <w:color w:val="000000" w:themeColor="text1"/>
          <w:sz w:val="24"/>
          <w:szCs w:val="24"/>
          <w:rtl/>
          <w:lang w:bidi="he-IL"/>
        </w:rPr>
        <w:t>ולכן</w:t>
      </w:r>
      <w:r w:rsidRPr="00AD451B">
        <w:rPr>
          <w:rFonts w:ascii="David" w:hAnsi="David" w:cs="David"/>
          <w:color w:val="000000" w:themeColor="text1"/>
          <w:sz w:val="24"/>
          <w:szCs w:val="24"/>
          <w:rtl/>
          <w:lang w:bidi="he-IL"/>
        </w:rPr>
        <w:t xml:space="preserve"> </w:t>
      </w:r>
      <w:r w:rsidRPr="00AD451B">
        <w:rPr>
          <w:rFonts w:ascii="David" w:hAnsi="David" w:cs="David" w:hint="eastAsia"/>
          <w:color w:val="000000" w:themeColor="text1"/>
          <w:sz w:val="24"/>
          <w:szCs w:val="24"/>
          <w:rtl/>
          <w:lang w:bidi="he-IL"/>
        </w:rPr>
        <w:t>אין</w:t>
      </w:r>
      <w:r w:rsidRPr="00AD451B">
        <w:rPr>
          <w:rFonts w:ascii="David" w:hAnsi="David" w:cs="David"/>
          <w:color w:val="000000" w:themeColor="text1"/>
          <w:sz w:val="24"/>
          <w:szCs w:val="24"/>
          <w:rtl/>
          <w:lang w:bidi="he-IL"/>
        </w:rPr>
        <w:t xml:space="preserve"> </w:t>
      </w:r>
      <w:r w:rsidRPr="00AD451B">
        <w:rPr>
          <w:rFonts w:ascii="David" w:hAnsi="David" w:cs="David" w:hint="eastAsia"/>
          <w:color w:val="000000" w:themeColor="text1"/>
          <w:sz w:val="24"/>
          <w:szCs w:val="24"/>
          <w:rtl/>
          <w:lang w:bidi="he-IL"/>
        </w:rPr>
        <w:t>אלה</w:t>
      </w:r>
      <w:r w:rsidRPr="00AD451B">
        <w:rPr>
          <w:rFonts w:ascii="David" w:hAnsi="David" w:cs="David"/>
          <w:color w:val="000000" w:themeColor="text1"/>
          <w:sz w:val="24"/>
          <w:szCs w:val="24"/>
          <w:rtl/>
          <w:lang w:bidi="he-IL"/>
        </w:rPr>
        <w:t xml:space="preserve"> </w:t>
      </w:r>
      <w:r w:rsidRPr="00AD451B">
        <w:rPr>
          <w:rFonts w:ascii="David" w:hAnsi="David" w:cs="David" w:hint="eastAsia"/>
          <w:color w:val="000000" w:themeColor="text1"/>
          <w:sz w:val="24"/>
          <w:szCs w:val="24"/>
          <w:rtl/>
          <w:lang w:bidi="he-IL"/>
        </w:rPr>
        <w:t>יחסים</w:t>
      </w:r>
      <w:r w:rsidRPr="00AD451B">
        <w:rPr>
          <w:rFonts w:ascii="David" w:hAnsi="David" w:cs="David"/>
          <w:color w:val="000000" w:themeColor="text1"/>
          <w:sz w:val="24"/>
          <w:szCs w:val="24"/>
          <w:rtl/>
          <w:lang w:bidi="he-IL"/>
        </w:rPr>
        <w:t xml:space="preserve"> </w:t>
      </w:r>
      <w:r w:rsidRPr="00AD451B">
        <w:rPr>
          <w:rFonts w:ascii="David" w:hAnsi="David" w:cs="David" w:hint="eastAsia"/>
          <w:color w:val="000000" w:themeColor="text1"/>
          <w:sz w:val="24"/>
          <w:szCs w:val="24"/>
          <w:rtl/>
          <w:lang w:bidi="he-IL"/>
        </w:rPr>
        <w:t>סיבתיים</w:t>
      </w:r>
      <w:r w:rsidRPr="00AD451B">
        <w:rPr>
          <w:rFonts w:ascii="David" w:hAnsi="David" w:cs="David"/>
          <w:color w:val="000000" w:themeColor="text1"/>
          <w:sz w:val="24"/>
          <w:szCs w:val="24"/>
          <w:rtl/>
          <w:lang w:bidi="he-IL"/>
        </w:rPr>
        <w:t xml:space="preserve">, </w:t>
      </w:r>
      <w:r w:rsidRPr="00AD451B">
        <w:rPr>
          <w:rFonts w:ascii="David" w:hAnsi="David" w:cs="David" w:hint="eastAsia"/>
          <w:color w:val="000000" w:themeColor="text1"/>
          <w:sz w:val="24"/>
          <w:szCs w:val="24"/>
          <w:rtl/>
          <w:lang w:bidi="he-IL"/>
        </w:rPr>
        <w:t>ואין</w:t>
      </w:r>
      <w:r w:rsidRPr="00AD451B">
        <w:rPr>
          <w:rFonts w:ascii="David" w:hAnsi="David" w:cs="David"/>
          <w:color w:val="000000" w:themeColor="text1"/>
          <w:sz w:val="24"/>
          <w:szCs w:val="24"/>
          <w:rtl/>
          <w:lang w:bidi="he-IL"/>
        </w:rPr>
        <w:t xml:space="preserve"> </w:t>
      </w:r>
      <w:r w:rsidRPr="00AD451B">
        <w:rPr>
          <w:rFonts w:ascii="David" w:hAnsi="David" w:cs="David" w:hint="eastAsia"/>
          <w:color w:val="000000" w:themeColor="text1"/>
          <w:sz w:val="24"/>
          <w:szCs w:val="24"/>
          <w:rtl/>
          <w:lang w:bidi="he-IL"/>
        </w:rPr>
        <w:t>השפעה</w:t>
      </w:r>
      <w:r w:rsidRPr="00AD451B">
        <w:rPr>
          <w:rFonts w:ascii="David" w:hAnsi="David" w:cs="David"/>
          <w:color w:val="000000" w:themeColor="text1"/>
          <w:sz w:val="24"/>
          <w:szCs w:val="24"/>
          <w:rtl/>
          <w:lang w:bidi="he-IL"/>
        </w:rPr>
        <w:t xml:space="preserve"> </w:t>
      </w:r>
      <w:r w:rsidRPr="00AD451B">
        <w:rPr>
          <w:rFonts w:ascii="David" w:hAnsi="David" w:cs="David" w:hint="eastAsia"/>
          <w:color w:val="000000" w:themeColor="text1"/>
          <w:sz w:val="24"/>
          <w:szCs w:val="24"/>
          <w:rtl/>
          <w:lang w:bidi="he-IL"/>
        </w:rPr>
        <w:t>הדדית</w:t>
      </w:r>
      <w:r w:rsidRPr="00AD451B">
        <w:rPr>
          <w:rFonts w:ascii="David" w:hAnsi="David" w:cs="David"/>
          <w:color w:val="000000" w:themeColor="text1"/>
          <w:sz w:val="24"/>
          <w:szCs w:val="24"/>
          <w:rtl/>
          <w:lang w:bidi="he-IL"/>
        </w:rPr>
        <w:t xml:space="preserve"> </w:t>
      </w:r>
      <w:r w:rsidRPr="00AD451B">
        <w:rPr>
          <w:rFonts w:ascii="David" w:hAnsi="David" w:cs="David" w:hint="eastAsia"/>
          <w:color w:val="000000" w:themeColor="text1"/>
          <w:sz w:val="24"/>
          <w:szCs w:val="24"/>
          <w:rtl/>
          <w:lang w:bidi="he-IL"/>
        </w:rPr>
        <w:t>במובן</w:t>
      </w:r>
      <w:r w:rsidRPr="00AD451B">
        <w:rPr>
          <w:rFonts w:ascii="David" w:hAnsi="David" w:cs="David"/>
          <w:color w:val="000000" w:themeColor="text1"/>
          <w:sz w:val="24"/>
          <w:szCs w:val="24"/>
          <w:rtl/>
          <w:lang w:bidi="he-IL"/>
        </w:rPr>
        <w:t xml:space="preserve"> </w:t>
      </w:r>
      <w:r w:rsidRPr="00AD451B">
        <w:rPr>
          <w:rFonts w:ascii="David" w:hAnsi="David" w:cs="David" w:hint="eastAsia"/>
          <w:color w:val="000000" w:themeColor="text1"/>
          <w:sz w:val="24"/>
          <w:szCs w:val="24"/>
          <w:rtl/>
          <w:lang w:bidi="he-IL"/>
        </w:rPr>
        <w:t>הפשטני</w:t>
      </w:r>
      <w:r w:rsidRPr="00AD451B">
        <w:rPr>
          <w:rFonts w:ascii="David" w:hAnsi="David" w:cs="David"/>
          <w:color w:val="000000" w:themeColor="text1"/>
          <w:sz w:val="24"/>
          <w:szCs w:val="24"/>
          <w:rtl/>
          <w:lang w:bidi="he-IL"/>
        </w:rPr>
        <w:t>.</w:t>
      </w:r>
      <w:r w:rsidRPr="00AD451B">
        <w:rPr>
          <w:rStyle w:val="FootnoteReference"/>
          <w:rFonts w:ascii="David" w:hAnsi="David" w:cs="David"/>
          <w:color w:val="000000" w:themeColor="text1"/>
          <w:sz w:val="24"/>
          <w:szCs w:val="24"/>
          <w:rtl/>
          <w:lang w:bidi="he-IL"/>
        </w:rPr>
        <w:footnoteReference w:id="6"/>
      </w:r>
      <w:r w:rsidRPr="00AD451B">
        <w:rPr>
          <w:rFonts w:ascii="David" w:hAnsi="David" w:cs="David"/>
          <w:color w:val="000000" w:themeColor="text1"/>
          <w:sz w:val="24"/>
          <w:szCs w:val="24"/>
          <w:rtl/>
          <w:lang w:bidi="he-IL"/>
        </w:rPr>
        <w:t xml:space="preserve"> </w:t>
      </w:r>
      <w:r w:rsidRPr="00AD451B">
        <w:rPr>
          <w:rFonts w:ascii="David" w:hAnsi="David" w:cs="David" w:hint="eastAsia"/>
          <w:color w:val="000000" w:themeColor="text1"/>
          <w:sz w:val="24"/>
          <w:szCs w:val="24"/>
          <w:rtl/>
          <w:lang w:bidi="he-IL"/>
        </w:rPr>
        <w:t>לטענתם</w:t>
      </w:r>
      <w:r w:rsidRPr="00AD451B">
        <w:rPr>
          <w:rFonts w:ascii="David" w:hAnsi="David" w:cs="David"/>
          <w:color w:val="000000" w:themeColor="text1"/>
          <w:sz w:val="24"/>
          <w:szCs w:val="24"/>
          <w:rtl/>
          <w:lang w:bidi="he-IL"/>
        </w:rPr>
        <w:t xml:space="preserve">, </w:t>
      </w:r>
      <w:r w:rsidRPr="00AD451B">
        <w:rPr>
          <w:rFonts w:ascii="David" w:hAnsi="David" w:cs="David" w:hint="eastAsia"/>
          <w:color w:val="000000" w:themeColor="text1"/>
          <w:sz w:val="24"/>
          <w:szCs w:val="24"/>
          <w:rtl/>
          <w:lang w:bidi="he-IL"/>
        </w:rPr>
        <w:t>אלה</w:t>
      </w:r>
      <w:r w:rsidRPr="00AD451B">
        <w:rPr>
          <w:rFonts w:ascii="David" w:hAnsi="David" w:cs="David"/>
          <w:color w:val="000000" w:themeColor="text1"/>
          <w:sz w:val="24"/>
          <w:szCs w:val="24"/>
          <w:rtl/>
          <w:lang w:bidi="he-IL"/>
        </w:rPr>
        <w:t xml:space="preserve"> </w:t>
      </w:r>
      <w:r w:rsidRPr="00AD451B">
        <w:rPr>
          <w:rFonts w:ascii="David" w:hAnsi="David" w:cs="David" w:hint="eastAsia"/>
          <w:color w:val="000000" w:themeColor="text1"/>
          <w:sz w:val="24"/>
          <w:szCs w:val="24"/>
          <w:rtl/>
          <w:lang w:bidi="he-IL"/>
        </w:rPr>
        <w:t>הם</w:t>
      </w:r>
      <w:r w:rsidRPr="00AD451B">
        <w:rPr>
          <w:rFonts w:ascii="David" w:hAnsi="David" w:cs="David"/>
          <w:color w:val="000000" w:themeColor="text1"/>
          <w:sz w:val="24"/>
          <w:szCs w:val="24"/>
          <w:rtl/>
          <w:lang w:bidi="he-IL"/>
        </w:rPr>
        <w:t xml:space="preserve"> </w:t>
      </w:r>
      <w:r w:rsidRPr="00AD451B">
        <w:rPr>
          <w:rFonts w:ascii="David" w:hAnsi="David" w:cs="David" w:hint="eastAsia"/>
          <w:color w:val="000000" w:themeColor="text1"/>
          <w:sz w:val="24"/>
          <w:szCs w:val="24"/>
          <w:rtl/>
          <w:lang w:bidi="he-IL"/>
        </w:rPr>
        <w:t>יחסי</w:t>
      </w:r>
      <w:r w:rsidRPr="00AD451B">
        <w:rPr>
          <w:rFonts w:ascii="David" w:hAnsi="David" w:cs="David"/>
          <w:color w:val="000000" w:themeColor="text1"/>
          <w:sz w:val="24"/>
          <w:szCs w:val="24"/>
          <w:rtl/>
          <w:lang w:bidi="he-IL"/>
        </w:rPr>
        <w:t xml:space="preserve"> </w:t>
      </w:r>
      <w:r w:rsidRPr="00AD451B">
        <w:rPr>
          <w:rFonts w:ascii="David" w:hAnsi="David" w:cs="David" w:hint="eastAsia"/>
          <w:color w:val="000000" w:themeColor="text1"/>
          <w:sz w:val="24"/>
          <w:szCs w:val="24"/>
          <w:rtl/>
          <w:lang w:bidi="he-IL"/>
        </w:rPr>
        <w:t>כינון</w:t>
      </w:r>
      <w:r w:rsidRPr="00AD451B">
        <w:rPr>
          <w:rFonts w:ascii="David" w:hAnsi="David" w:cs="David"/>
          <w:color w:val="000000" w:themeColor="text1"/>
          <w:sz w:val="24"/>
          <w:szCs w:val="24"/>
          <w:rtl/>
          <w:lang w:bidi="he-IL"/>
        </w:rPr>
        <w:t xml:space="preserve"> – החברה והמשפט מכוננים ומגדירים </w:t>
      </w:r>
      <w:r w:rsidRPr="00AD451B">
        <w:rPr>
          <w:rFonts w:ascii="David" w:hAnsi="David" w:cs="David" w:hint="eastAsia"/>
          <w:color w:val="000000" w:themeColor="text1"/>
          <w:sz w:val="24"/>
          <w:szCs w:val="24"/>
          <w:rtl/>
          <w:lang w:bidi="he-IL"/>
        </w:rPr>
        <w:t>אחד</w:t>
      </w:r>
      <w:r w:rsidRPr="00AD451B">
        <w:rPr>
          <w:rFonts w:ascii="David" w:hAnsi="David" w:cs="David"/>
          <w:color w:val="000000" w:themeColor="text1"/>
          <w:sz w:val="24"/>
          <w:szCs w:val="24"/>
          <w:rtl/>
          <w:lang w:bidi="he-IL"/>
        </w:rPr>
        <w:t xml:space="preserve"> את השני, </w:t>
      </w:r>
      <w:r w:rsidRPr="00AD451B">
        <w:rPr>
          <w:rFonts w:ascii="David" w:hAnsi="David" w:cs="David" w:hint="eastAsia"/>
          <w:color w:val="000000" w:themeColor="text1"/>
          <w:sz w:val="24"/>
          <w:szCs w:val="24"/>
          <w:rtl/>
          <w:lang w:bidi="he-IL"/>
        </w:rPr>
        <w:t>בה</w:t>
      </w:r>
      <w:r w:rsidRPr="00AD451B">
        <w:rPr>
          <w:rFonts w:ascii="David" w:hAnsi="David" w:cs="David"/>
          <w:color w:val="000000" w:themeColor="text1"/>
          <w:sz w:val="24"/>
          <w:szCs w:val="24"/>
          <w:rtl/>
          <w:lang w:bidi="he-IL"/>
        </w:rPr>
        <w:t xml:space="preserve"> בעת. כך למשל, מושגים משפטיים </w:t>
      </w:r>
      <w:r w:rsidRPr="00AD451B">
        <w:rPr>
          <w:rFonts w:ascii="David" w:hAnsi="David" w:cs="David" w:hint="eastAsia"/>
          <w:color w:val="000000" w:themeColor="text1"/>
          <w:sz w:val="24"/>
          <w:szCs w:val="24"/>
          <w:rtl/>
          <w:lang w:bidi="he-IL"/>
        </w:rPr>
        <w:t>הם</w:t>
      </w:r>
      <w:r w:rsidRPr="00AD451B">
        <w:rPr>
          <w:rFonts w:ascii="David" w:hAnsi="David" w:cs="David"/>
          <w:color w:val="000000" w:themeColor="text1"/>
          <w:sz w:val="24"/>
          <w:szCs w:val="24"/>
          <w:rtl/>
          <w:lang w:bidi="he-IL"/>
        </w:rPr>
        <w:t xml:space="preserve"> </w:t>
      </w:r>
      <w:r w:rsidRPr="00AD451B">
        <w:rPr>
          <w:rFonts w:ascii="David" w:hAnsi="David" w:cs="David" w:hint="eastAsia"/>
          <w:color w:val="000000" w:themeColor="text1"/>
          <w:sz w:val="24"/>
          <w:szCs w:val="24"/>
          <w:rtl/>
          <w:lang w:bidi="he-IL"/>
        </w:rPr>
        <w:t>ה</w:t>
      </w:r>
      <w:r w:rsidRPr="00AD451B">
        <w:rPr>
          <w:rFonts w:ascii="David" w:hAnsi="David" w:cs="David"/>
          <w:color w:val="000000" w:themeColor="text1"/>
          <w:sz w:val="24"/>
          <w:szCs w:val="24"/>
          <w:rtl/>
          <w:lang w:bidi="he-IL"/>
        </w:rPr>
        <w:t xml:space="preserve">בסיס למרבית הקטגוריות </w:t>
      </w:r>
      <w:r w:rsidRPr="00AD451B">
        <w:rPr>
          <w:rFonts w:ascii="David" w:hAnsi="David" w:cs="David" w:hint="eastAsia"/>
          <w:color w:val="000000" w:themeColor="text1"/>
          <w:sz w:val="24"/>
          <w:szCs w:val="24"/>
          <w:rtl/>
          <w:lang w:bidi="he-IL"/>
        </w:rPr>
        <w:t>שהן</w:t>
      </w:r>
      <w:r w:rsidRPr="00AD451B">
        <w:rPr>
          <w:rFonts w:ascii="David" w:hAnsi="David" w:cs="David"/>
          <w:color w:val="000000" w:themeColor="text1"/>
          <w:sz w:val="24"/>
          <w:szCs w:val="24"/>
          <w:rtl/>
          <w:lang w:bidi="he-IL"/>
        </w:rPr>
        <w:t xml:space="preserve"> לכאורה "חברתיות", ולהיפך: את המשפט לא ניתן לתאר או להבין, </w:t>
      </w:r>
      <w:r w:rsidRPr="00AD451B">
        <w:rPr>
          <w:rFonts w:ascii="David" w:hAnsi="David" w:cs="David" w:hint="eastAsia"/>
          <w:color w:val="000000" w:themeColor="text1"/>
          <w:sz w:val="24"/>
          <w:szCs w:val="24"/>
          <w:rtl/>
          <w:lang w:bidi="he-IL"/>
        </w:rPr>
        <w:t>מ</w:t>
      </w:r>
      <w:r w:rsidRPr="00AD451B">
        <w:rPr>
          <w:rFonts w:ascii="David" w:hAnsi="David" w:cs="David"/>
          <w:color w:val="000000" w:themeColor="text1"/>
          <w:sz w:val="24"/>
          <w:szCs w:val="24"/>
          <w:rtl/>
          <w:lang w:bidi="he-IL"/>
        </w:rPr>
        <w:t>בלי להבין</w:t>
      </w:r>
      <w:bookmarkStart w:id="6" w:name="_Toc39942463"/>
      <w:bookmarkStart w:id="7" w:name="_Toc39943270"/>
      <w:r w:rsidRPr="00AD451B">
        <w:rPr>
          <w:rFonts w:ascii="David" w:hAnsi="David" w:cs="David"/>
          <w:color w:val="000000" w:themeColor="text1"/>
          <w:sz w:val="24"/>
          <w:szCs w:val="24"/>
          <w:rtl/>
          <w:lang w:bidi="he-IL"/>
        </w:rPr>
        <w:t xml:space="preserve"> את הקטגוריות החברתיות הבסיסיות</w:t>
      </w:r>
      <w:r w:rsidRPr="00AD451B">
        <w:rPr>
          <w:rFonts w:ascii="David" w:hAnsi="David" w:cs="David" w:hint="cs"/>
          <w:color w:val="000000" w:themeColor="text1"/>
          <w:sz w:val="24"/>
          <w:szCs w:val="24"/>
          <w:rtl/>
          <w:lang w:bidi="he-IL"/>
        </w:rPr>
        <w:t>.</w:t>
      </w:r>
    </w:p>
    <w:p w:rsidR="006E285E" w:rsidRPr="00AD451B" w:rsidRDefault="006E285E" w:rsidP="006E285E">
      <w:pPr>
        <w:pStyle w:val="Heading2"/>
        <w:bidi/>
        <w:spacing w:after="120" w:line="480" w:lineRule="auto"/>
        <w:rPr>
          <w:rFonts w:ascii="David" w:eastAsia="Times New Roman" w:hAnsi="David" w:cs="David"/>
          <w:b/>
          <w:bCs/>
          <w:color w:val="000000" w:themeColor="text1"/>
          <w:sz w:val="28"/>
          <w:szCs w:val="28"/>
          <w:rtl/>
        </w:rPr>
      </w:pPr>
      <w:r w:rsidRPr="00AD451B">
        <w:rPr>
          <w:rFonts w:ascii="David" w:eastAsia="Times New Roman" w:hAnsi="David" w:cs="David"/>
          <w:b/>
          <w:bCs/>
          <w:color w:val="000000" w:themeColor="text1"/>
          <w:sz w:val="28"/>
          <w:szCs w:val="28"/>
          <w:rtl/>
        </w:rPr>
        <w:lastRenderedPageBreak/>
        <w:t xml:space="preserve">11.4 </w:t>
      </w:r>
      <w:r w:rsidRPr="00AD451B">
        <w:rPr>
          <w:rFonts w:ascii="David" w:eastAsia="Times New Roman" w:hAnsi="David" w:cs="David"/>
          <w:b/>
          <w:bCs/>
          <w:color w:val="000000" w:themeColor="text1"/>
          <w:sz w:val="28"/>
          <w:szCs w:val="28"/>
          <w:rtl/>
          <w:lang w:bidi="he-IL"/>
        </w:rPr>
        <w:t>הגישה השלישית</w:t>
      </w:r>
      <w:r w:rsidRPr="00AD451B">
        <w:rPr>
          <w:rFonts w:ascii="David" w:eastAsia="Times New Roman" w:hAnsi="David" w:cs="David"/>
          <w:b/>
          <w:bCs/>
          <w:color w:val="000000" w:themeColor="text1"/>
          <w:sz w:val="28"/>
          <w:szCs w:val="28"/>
          <w:rtl/>
        </w:rPr>
        <w:t xml:space="preserve">: </w:t>
      </w:r>
      <w:r w:rsidRPr="00AD451B">
        <w:rPr>
          <w:rFonts w:ascii="David" w:eastAsia="Times New Roman" w:hAnsi="David" w:cs="David"/>
          <w:b/>
          <w:bCs/>
          <w:color w:val="000000" w:themeColor="text1"/>
          <w:sz w:val="28"/>
          <w:szCs w:val="28"/>
          <w:rtl/>
          <w:lang w:bidi="he-IL"/>
        </w:rPr>
        <w:t>המשפט הנוצר ומופעל בבתי המשפט כמערכת תרבותית נבדלת</w:t>
      </w:r>
      <w:bookmarkEnd w:id="6"/>
      <w:bookmarkEnd w:id="7"/>
    </w:p>
    <w:p w:rsidR="006E285E" w:rsidRPr="00AD451B" w:rsidRDefault="006E285E" w:rsidP="006E285E">
      <w:pPr>
        <w:bidi/>
        <w:spacing w:before="120" w:after="120" w:line="360" w:lineRule="auto"/>
        <w:jc w:val="both"/>
        <w:rPr>
          <w:rFonts w:ascii="David" w:hAnsi="David" w:cs="David"/>
          <w:color w:val="000000" w:themeColor="text1"/>
          <w:sz w:val="24"/>
          <w:szCs w:val="24"/>
          <w:shd w:val="clear" w:color="auto" w:fill="FFFFFF"/>
          <w:rtl/>
        </w:rPr>
      </w:pPr>
      <w:r w:rsidRPr="00AD451B">
        <w:rPr>
          <w:rFonts w:ascii="David" w:hAnsi="David" w:cs="David"/>
          <w:color w:val="000000" w:themeColor="text1"/>
          <w:sz w:val="24"/>
          <w:szCs w:val="24"/>
          <w:shd w:val="clear" w:color="auto" w:fill="FFFFFF"/>
          <w:rtl/>
          <w:lang w:bidi="he-IL"/>
        </w:rPr>
        <w:t>הגישה</w:t>
      </w:r>
      <w:r w:rsidRPr="00AD451B">
        <w:rPr>
          <w:rFonts w:ascii="David" w:hAnsi="David" w:cs="David"/>
          <w:color w:val="000000" w:themeColor="text1"/>
          <w:sz w:val="24"/>
          <w:szCs w:val="24"/>
          <w:shd w:val="clear" w:color="auto" w:fill="FFFFFF"/>
          <w:rtl/>
        </w:rPr>
        <w:t xml:space="preserve"> </w:t>
      </w:r>
      <w:r w:rsidRPr="00AD451B">
        <w:rPr>
          <w:rFonts w:ascii="David" w:hAnsi="David" w:cs="David"/>
          <w:color w:val="000000" w:themeColor="text1"/>
          <w:sz w:val="24"/>
          <w:szCs w:val="24"/>
          <w:shd w:val="clear" w:color="auto" w:fill="FFFFFF"/>
          <w:rtl/>
          <w:lang w:bidi="he-IL"/>
        </w:rPr>
        <w:t>השלישית</w:t>
      </w:r>
      <w:r w:rsidRPr="00AD451B">
        <w:rPr>
          <w:rFonts w:ascii="David" w:hAnsi="David" w:cs="David"/>
          <w:color w:val="000000" w:themeColor="text1"/>
          <w:sz w:val="24"/>
          <w:szCs w:val="24"/>
          <w:shd w:val="clear" w:color="auto" w:fill="FFFFFF"/>
          <w:rtl/>
        </w:rPr>
        <w:t xml:space="preserve"> </w:t>
      </w:r>
      <w:r w:rsidRPr="00AD451B">
        <w:rPr>
          <w:rFonts w:ascii="David" w:hAnsi="David" w:cs="David"/>
          <w:color w:val="000000" w:themeColor="text1"/>
          <w:sz w:val="24"/>
          <w:szCs w:val="24"/>
          <w:shd w:val="clear" w:color="auto" w:fill="FFFFFF"/>
          <w:rtl/>
          <w:lang w:bidi="he-IL"/>
        </w:rPr>
        <w:t>בתיאוריה</w:t>
      </w:r>
      <w:r w:rsidRPr="00AD451B">
        <w:rPr>
          <w:rFonts w:ascii="David" w:hAnsi="David" w:cs="David"/>
          <w:color w:val="000000" w:themeColor="text1"/>
          <w:sz w:val="24"/>
          <w:szCs w:val="24"/>
          <w:shd w:val="clear" w:color="auto" w:fill="FFFFFF"/>
          <w:rtl/>
        </w:rPr>
        <w:t xml:space="preserve"> </w:t>
      </w:r>
      <w:r w:rsidRPr="00AD451B">
        <w:rPr>
          <w:rFonts w:ascii="David" w:hAnsi="David" w:cs="David"/>
          <w:color w:val="000000" w:themeColor="text1"/>
          <w:sz w:val="24"/>
          <w:szCs w:val="24"/>
          <w:shd w:val="clear" w:color="auto" w:fill="FFFFFF"/>
          <w:rtl/>
          <w:lang w:bidi="he-IL"/>
        </w:rPr>
        <w:t>המשפטית</w:t>
      </w:r>
      <w:r w:rsidRPr="00AD451B">
        <w:rPr>
          <w:rFonts w:ascii="David" w:hAnsi="David" w:cs="David"/>
          <w:color w:val="000000" w:themeColor="text1"/>
          <w:sz w:val="24"/>
          <w:szCs w:val="24"/>
          <w:shd w:val="clear" w:color="auto" w:fill="FFFFFF"/>
          <w:rtl/>
        </w:rPr>
        <w:t xml:space="preserve"> </w:t>
      </w:r>
      <w:r w:rsidRPr="00AD451B">
        <w:rPr>
          <w:rFonts w:ascii="David" w:hAnsi="David" w:cs="David"/>
          <w:color w:val="000000" w:themeColor="text1"/>
          <w:sz w:val="24"/>
          <w:szCs w:val="24"/>
          <w:shd w:val="clear" w:color="auto" w:fill="FFFFFF"/>
          <w:rtl/>
          <w:lang w:bidi="he-IL"/>
        </w:rPr>
        <w:t>העוסקת</w:t>
      </w:r>
      <w:r w:rsidRPr="00AD451B">
        <w:rPr>
          <w:rFonts w:ascii="David" w:hAnsi="David" w:cs="David"/>
          <w:color w:val="000000" w:themeColor="text1"/>
          <w:sz w:val="24"/>
          <w:szCs w:val="24"/>
          <w:shd w:val="clear" w:color="auto" w:fill="FFFFFF"/>
          <w:rtl/>
        </w:rPr>
        <w:t xml:space="preserve"> </w:t>
      </w:r>
      <w:r w:rsidRPr="00AD451B">
        <w:rPr>
          <w:rFonts w:ascii="David" w:hAnsi="David" w:cs="David"/>
          <w:color w:val="000000" w:themeColor="text1"/>
          <w:sz w:val="24"/>
          <w:szCs w:val="24"/>
          <w:shd w:val="clear" w:color="auto" w:fill="FFFFFF"/>
          <w:rtl/>
          <w:lang w:bidi="he-IL"/>
        </w:rPr>
        <w:t>בקשר</w:t>
      </w:r>
      <w:r w:rsidRPr="00AD451B">
        <w:rPr>
          <w:rFonts w:ascii="David" w:hAnsi="David" w:cs="David"/>
          <w:color w:val="000000" w:themeColor="text1"/>
          <w:sz w:val="24"/>
          <w:szCs w:val="24"/>
          <w:shd w:val="clear" w:color="auto" w:fill="FFFFFF"/>
          <w:rtl/>
        </w:rPr>
        <w:t xml:space="preserve"> </w:t>
      </w:r>
      <w:r w:rsidRPr="00AD451B">
        <w:rPr>
          <w:rFonts w:ascii="David" w:hAnsi="David" w:cs="David"/>
          <w:color w:val="000000" w:themeColor="text1"/>
          <w:sz w:val="24"/>
          <w:szCs w:val="24"/>
          <w:shd w:val="clear" w:color="auto" w:fill="FFFFFF"/>
          <w:rtl/>
          <w:lang w:bidi="he-IL"/>
        </w:rPr>
        <w:t>שבין</w:t>
      </w:r>
      <w:r w:rsidRPr="00AD451B">
        <w:rPr>
          <w:rFonts w:ascii="David" w:hAnsi="David" w:cs="David"/>
          <w:color w:val="000000" w:themeColor="text1"/>
          <w:sz w:val="24"/>
          <w:szCs w:val="24"/>
          <w:shd w:val="clear" w:color="auto" w:fill="FFFFFF"/>
          <w:rtl/>
        </w:rPr>
        <w:t xml:space="preserve"> </w:t>
      </w:r>
      <w:r w:rsidRPr="00AD451B">
        <w:rPr>
          <w:rFonts w:ascii="David" w:hAnsi="David" w:cs="David"/>
          <w:color w:val="000000" w:themeColor="text1"/>
          <w:sz w:val="24"/>
          <w:szCs w:val="24"/>
          <w:shd w:val="clear" w:color="auto" w:fill="FFFFFF"/>
          <w:rtl/>
          <w:lang w:bidi="he-IL"/>
        </w:rPr>
        <w:t>המשפט</w:t>
      </w:r>
      <w:r w:rsidRPr="00AD451B">
        <w:rPr>
          <w:rFonts w:ascii="David" w:hAnsi="David" w:cs="David"/>
          <w:color w:val="000000" w:themeColor="text1"/>
          <w:sz w:val="24"/>
          <w:szCs w:val="24"/>
          <w:shd w:val="clear" w:color="auto" w:fill="FFFFFF"/>
          <w:rtl/>
        </w:rPr>
        <w:t xml:space="preserve"> </w:t>
      </w:r>
      <w:r w:rsidRPr="00AD451B">
        <w:rPr>
          <w:rFonts w:ascii="David" w:hAnsi="David" w:cs="David"/>
          <w:color w:val="000000" w:themeColor="text1"/>
          <w:sz w:val="24"/>
          <w:szCs w:val="24"/>
          <w:shd w:val="clear" w:color="auto" w:fill="FFFFFF"/>
          <w:rtl/>
          <w:lang w:bidi="he-IL"/>
        </w:rPr>
        <w:t>ו</w:t>
      </w:r>
      <w:r w:rsidRPr="00AD451B">
        <w:rPr>
          <w:rFonts w:ascii="David" w:hAnsi="David" w:cs="David" w:hint="cs"/>
          <w:color w:val="000000" w:themeColor="text1"/>
          <w:sz w:val="24"/>
          <w:szCs w:val="24"/>
          <w:shd w:val="clear" w:color="auto" w:fill="FFFFFF"/>
          <w:rtl/>
          <w:lang w:bidi="he-IL"/>
        </w:rPr>
        <w:t xml:space="preserve">מושג </w:t>
      </w:r>
      <w:r w:rsidRPr="00AD451B">
        <w:rPr>
          <w:rFonts w:ascii="David" w:hAnsi="David" w:cs="David"/>
          <w:color w:val="000000" w:themeColor="text1"/>
          <w:sz w:val="24"/>
          <w:szCs w:val="24"/>
          <w:shd w:val="clear" w:color="auto" w:fill="FFFFFF"/>
          <w:rtl/>
          <w:lang w:bidi="he-IL"/>
        </w:rPr>
        <w:t>התרבות,</w:t>
      </w:r>
      <w:r w:rsidRPr="00AD451B">
        <w:rPr>
          <w:rFonts w:ascii="David" w:hAnsi="David" w:cs="David"/>
          <w:color w:val="000000" w:themeColor="text1"/>
          <w:sz w:val="24"/>
          <w:szCs w:val="24"/>
          <w:shd w:val="clear" w:color="auto" w:fill="FFFFFF"/>
          <w:rtl/>
        </w:rPr>
        <w:t xml:space="preserve"> </w:t>
      </w:r>
      <w:r w:rsidRPr="00AD451B">
        <w:rPr>
          <w:rFonts w:ascii="David" w:hAnsi="David" w:cs="David" w:hint="eastAsia"/>
          <w:color w:val="000000" w:themeColor="text1"/>
          <w:sz w:val="24"/>
          <w:szCs w:val="24"/>
          <w:shd w:val="clear" w:color="auto" w:fill="FFFFFF"/>
          <w:rtl/>
          <w:lang w:bidi="he-IL"/>
        </w:rPr>
        <w:t>רואה</w:t>
      </w:r>
      <w:r w:rsidRPr="00AD451B">
        <w:rPr>
          <w:rFonts w:ascii="David" w:hAnsi="David" w:cs="David"/>
          <w:color w:val="000000" w:themeColor="text1"/>
          <w:sz w:val="24"/>
          <w:szCs w:val="24"/>
          <w:shd w:val="clear" w:color="auto" w:fill="FFFFFF"/>
          <w:rtl/>
          <w:lang w:bidi="he-IL"/>
        </w:rPr>
        <w:t xml:space="preserve"> </w:t>
      </w:r>
      <w:r w:rsidRPr="00AD451B">
        <w:rPr>
          <w:rFonts w:ascii="David" w:hAnsi="David" w:cs="David" w:hint="eastAsia"/>
          <w:color w:val="000000" w:themeColor="text1"/>
          <w:sz w:val="24"/>
          <w:szCs w:val="24"/>
          <w:shd w:val="clear" w:color="auto" w:fill="FFFFFF"/>
          <w:rtl/>
          <w:lang w:bidi="he-IL"/>
        </w:rPr>
        <w:t>בבתי</w:t>
      </w:r>
      <w:r w:rsidRPr="00AD451B">
        <w:rPr>
          <w:rFonts w:ascii="David" w:hAnsi="David" w:cs="David"/>
          <w:color w:val="000000" w:themeColor="text1"/>
          <w:sz w:val="24"/>
          <w:szCs w:val="24"/>
          <w:shd w:val="clear" w:color="auto" w:fill="FFFFFF"/>
          <w:rtl/>
          <w:lang w:bidi="he-IL"/>
        </w:rPr>
        <w:t xml:space="preserve"> </w:t>
      </w:r>
      <w:r w:rsidRPr="00AD451B">
        <w:rPr>
          <w:rFonts w:ascii="David" w:hAnsi="David" w:cs="David" w:hint="eastAsia"/>
          <w:color w:val="000000" w:themeColor="text1"/>
          <w:sz w:val="24"/>
          <w:szCs w:val="24"/>
          <w:shd w:val="clear" w:color="auto" w:fill="FFFFFF"/>
          <w:rtl/>
          <w:lang w:bidi="he-IL"/>
        </w:rPr>
        <w:t>המשפט</w:t>
      </w:r>
      <w:r w:rsidRPr="00AD451B">
        <w:rPr>
          <w:rFonts w:ascii="David" w:hAnsi="David" w:cs="David"/>
          <w:color w:val="000000" w:themeColor="text1"/>
          <w:sz w:val="24"/>
          <w:szCs w:val="24"/>
          <w:shd w:val="clear" w:color="auto" w:fill="FFFFFF"/>
          <w:rtl/>
          <w:lang w:bidi="he-IL"/>
        </w:rPr>
        <w:t xml:space="preserve"> מערכת תרבותית נבדלת, ולכן היא מתמקדת</w:t>
      </w:r>
      <w:r w:rsidRPr="00AD451B">
        <w:rPr>
          <w:rFonts w:ascii="David" w:hAnsi="David" w:cs="David"/>
          <w:color w:val="000000" w:themeColor="text1"/>
          <w:sz w:val="24"/>
          <w:szCs w:val="24"/>
          <w:shd w:val="clear" w:color="auto" w:fill="FFFFFF"/>
          <w:rtl/>
        </w:rPr>
        <w:t xml:space="preserve"> </w:t>
      </w:r>
      <w:r w:rsidRPr="00AD451B">
        <w:rPr>
          <w:rFonts w:ascii="David" w:hAnsi="David" w:cs="David"/>
          <w:color w:val="000000" w:themeColor="text1"/>
          <w:sz w:val="24"/>
          <w:szCs w:val="24"/>
          <w:shd w:val="clear" w:color="auto" w:fill="FFFFFF"/>
          <w:rtl/>
          <w:lang w:bidi="he-IL"/>
        </w:rPr>
        <w:t>במשפט</w:t>
      </w:r>
      <w:r w:rsidRPr="00AD451B">
        <w:rPr>
          <w:rFonts w:ascii="David" w:hAnsi="David" w:cs="David"/>
          <w:color w:val="000000" w:themeColor="text1"/>
          <w:sz w:val="24"/>
          <w:szCs w:val="24"/>
          <w:shd w:val="clear" w:color="auto" w:fill="FFFFFF"/>
          <w:rtl/>
        </w:rPr>
        <w:t xml:space="preserve"> </w:t>
      </w:r>
      <w:r w:rsidRPr="00AD451B">
        <w:rPr>
          <w:rFonts w:ascii="David" w:hAnsi="David" w:cs="David"/>
          <w:color w:val="000000" w:themeColor="text1"/>
          <w:sz w:val="24"/>
          <w:szCs w:val="24"/>
          <w:shd w:val="clear" w:color="auto" w:fill="FFFFFF"/>
          <w:rtl/>
          <w:lang w:bidi="he-IL"/>
        </w:rPr>
        <w:t>הנוצר</w:t>
      </w:r>
      <w:r w:rsidRPr="00AD451B">
        <w:rPr>
          <w:rFonts w:ascii="David" w:hAnsi="David" w:cs="David"/>
          <w:color w:val="000000" w:themeColor="text1"/>
          <w:sz w:val="24"/>
          <w:szCs w:val="24"/>
          <w:shd w:val="clear" w:color="auto" w:fill="FFFFFF"/>
          <w:rtl/>
        </w:rPr>
        <w:t xml:space="preserve"> </w:t>
      </w:r>
      <w:r w:rsidRPr="00AD451B">
        <w:rPr>
          <w:rFonts w:ascii="David" w:hAnsi="David" w:cs="David"/>
          <w:color w:val="000000" w:themeColor="text1"/>
          <w:sz w:val="24"/>
          <w:szCs w:val="24"/>
          <w:shd w:val="clear" w:color="auto" w:fill="FFFFFF"/>
          <w:rtl/>
          <w:lang w:bidi="he-IL"/>
        </w:rPr>
        <w:t>ומופעל</w:t>
      </w:r>
      <w:r w:rsidRPr="00AD451B">
        <w:rPr>
          <w:rFonts w:ascii="David" w:hAnsi="David" w:cs="David"/>
          <w:color w:val="000000" w:themeColor="text1"/>
          <w:sz w:val="24"/>
          <w:szCs w:val="24"/>
          <w:shd w:val="clear" w:color="auto" w:fill="FFFFFF"/>
          <w:rtl/>
        </w:rPr>
        <w:t xml:space="preserve"> </w:t>
      </w:r>
      <w:r w:rsidRPr="00AD451B">
        <w:rPr>
          <w:rFonts w:ascii="David" w:hAnsi="David" w:cs="David"/>
          <w:color w:val="000000" w:themeColor="text1"/>
          <w:sz w:val="24"/>
          <w:szCs w:val="24"/>
          <w:shd w:val="clear" w:color="auto" w:fill="FFFFFF"/>
          <w:rtl/>
          <w:lang w:bidi="he-IL"/>
        </w:rPr>
        <w:t>ב</w:t>
      </w:r>
      <w:r w:rsidRPr="00AD451B">
        <w:rPr>
          <w:rFonts w:ascii="David" w:hAnsi="David" w:cs="David" w:hint="cs"/>
          <w:color w:val="000000" w:themeColor="text1"/>
          <w:sz w:val="24"/>
          <w:szCs w:val="24"/>
          <w:shd w:val="clear" w:color="auto" w:fill="FFFFFF"/>
          <w:rtl/>
          <w:lang w:bidi="he-IL"/>
        </w:rPr>
        <w:t>ה</w:t>
      </w:r>
      <w:r w:rsidRPr="00AD451B">
        <w:rPr>
          <w:rFonts w:ascii="David" w:hAnsi="David" w:cs="David"/>
          <w:color w:val="000000" w:themeColor="text1"/>
          <w:sz w:val="24"/>
          <w:szCs w:val="24"/>
          <w:shd w:val="clear" w:color="auto" w:fill="FFFFFF"/>
          <w:rtl/>
        </w:rPr>
        <w:t xml:space="preserve">. </w:t>
      </w:r>
      <w:r w:rsidRPr="00AD451B">
        <w:rPr>
          <w:rFonts w:ascii="David" w:hAnsi="David" w:cs="David" w:hint="eastAsia"/>
          <w:color w:val="000000" w:themeColor="text1"/>
          <w:sz w:val="24"/>
          <w:szCs w:val="24"/>
          <w:shd w:val="clear" w:color="auto" w:fill="FFFFFF"/>
          <w:rtl/>
          <w:lang w:bidi="he-IL"/>
        </w:rPr>
        <w:t>לפי</w:t>
      </w:r>
      <w:r w:rsidRPr="00AD451B">
        <w:rPr>
          <w:rFonts w:ascii="David" w:hAnsi="David" w:cs="David" w:hint="cs"/>
          <w:color w:val="000000" w:themeColor="text1"/>
          <w:sz w:val="24"/>
          <w:szCs w:val="24"/>
          <w:shd w:val="clear" w:color="auto" w:fill="FFFFFF"/>
          <w:rtl/>
          <w:lang w:bidi="he-IL"/>
        </w:rPr>
        <w:t xml:space="preserve"> גישה זו</w:t>
      </w:r>
      <w:r w:rsidRPr="00AD451B">
        <w:rPr>
          <w:rFonts w:ascii="David" w:hAnsi="David" w:cs="David"/>
          <w:color w:val="000000" w:themeColor="text1"/>
          <w:sz w:val="24"/>
          <w:szCs w:val="24"/>
          <w:shd w:val="clear" w:color="auto" w:fill="FFFFFF"/>
          <w:rtl/>
          <w:lang w:bidi="he-IL"/>
        </w:rPr>
        <w:t>, תכני</w:t>
      </w:r>
      <w:r w:rsidRPr="00AD451B">
        <w:rPr>
          <w:rFonts w:ascii="David" w:hAnsi="David" w:cs="David"/>
          <w:color w:val="000000" w:themeColor="text1"/>
          <w:sz w:val="24"/>
          <w:szCs w:val="24"/>
          <w:shd w:val="clear" w:color="auto" w:fill="FFFFFF"/>
          <w:rtl/>
        </w:rPr>
        <w:t xml:space="preserve"> </w:t>
      </w:r>
      <w:r w:rsidRPr="00AD451B">
        <w:rPr>
          <w:rFonts w:ascii="David" w:hAnsi="David" w:cs="David"/>
          <w:color w:val="000000" w:themeColor="text1"/>
          <w:sz w:val="24"/>
          <w:szCs w:val="24"/>
          <w:shd w:val="clear" w:color="auto" w:fill="FFFFFF"/>
          <w:rtl/>
          <w:lang w:bidi="he-IL"/>
        </w:rPr>
        <w:t>המשפט</w:t>
      </w:r>
      <w:r w:rsidRPr="00AD451B">
        <w:rPr>
          <w:rFonts w:ascii="David" w:hAnsi="David" w:cs="David"/>
          <w:color w:val="000000" w:themeColor="text1"/>
          <w:sz w:val="24"/>
          <w:szCs w:val="24"/>
          <w:shd w:val="clear" w:color="auto" w:fill="FFFFFF"/>
          <w:rtl/>
        </w:rPr>
        <w:t xml:space="preserve"> </w:t>
      </w:r>
      <w:r w:rsidRPr="00AD451B">
        <w:rPr>
          <w:rFonts w:ascii="David" w:hAnsi="David" w:cs="David"/>
          <w:color w:val="000000" w:themeColor="text1"/>
          <w:sz w:val="24"/>
          <w:szCs w:val="24"/>
          <w:shd w:val="clear" w:color="auto" w:fill="FFFFFF"/>
          <w:rtl/>
          <w:lang w:bidi="he-IL"/>
        </w:rPr>
        <w:t>מאורגנים</w:t>
      </w:r>
      <w:r w:rsidRPr="00AD451B">
        <w:rPr>
          <w:rFonts w:ascii="David" w:hAnsi="David" w:cs="David"/>
          <w:color w:val="000000" w:themeColor="text1"/>
          <w:sz w:val="24"/>
          <w:szCs w:val="24"/>
          <w:shd w:val="clear" w:color="auto" w:fill="FFFFFF"/>
          <w:rtl/>
        </w:rPr>
        <w:t xml:space="preserve"> </w:t>
      </w:r>
      <w:r w:rsidRPr="00AD451B">
        <w:rPr>
          <w:rFonts w:ascii="David" w:hAnsi="David" w:cs="David"/>
          <w:color w:val="000000" w:themeColor="text1"/>
          <w:sz w:val="24"/>
          <w:szCs w:val="24"/>
          <w:shd w:val="clear" w:color="auto" w:fill="FFFFFF"/>
          <w:rtl/>
          <w:lang w:bidi="he-IL"/>
        </w:rPr>
        <w:t>בקטגוריות</w:t>
      </w:r>
      <w:r w:rsidRPr="00AD451B">
        <w:rPr>
          <w:rFonts w:ascii="David" w:hAnsi="David" w:cs="David"/>
          <w:color w:val="000000" w:themeColor="text1"/>
          <w:sz w:val="24"/>
          <w:szCs w:val="24"/>
          <w:shd w:val="clear" w:color="auto" w:fill="FFFFFF"/>
          <w:rtl/>
        </w:rPr>
        <w:t xml:space="preserve"> </w:t>
      </w:r>
      <w:r w:rsidRPr="00AD451B">
        <w:rPr>
          <w:rFonts w:ascii="David" w:hAnsi="David" w:cs="David"/>
          <w:color w:val="000000" w:themeColor="text1"/>
          <w:sz w:val="24"/>
          <w:szCs w:val="24"/>
          <w:shd w:val="clear" w:color="auto" w:fill="FFFFFF"/>
          <w:rtl/>
          <w:lang w:bidi="he-IL"/>
        </w:rPr>
        <w:t>משפטיות</w:t>
      </w:r>
      <w:r w:rsidRPr="00AD451B">
        <w:rPr>
          <w:rFonts w:ascii="David" w:hAnsi="David" w:cs="David"/>
          <w:color w:val="000000" w:themeColor="text1"/>
          <w:sz w:val="24"/>
          <w:szCs w:val="24"/>
          <w:shd w:val="clear" w:color="auto" w:fill="FFFFFF"/>
          <w:rtl/>
        </w:rPr>
        <w:t xml:space="preserve">, </w:t>
      </w:r>
      <w:r w:rsidRPr="00AD451B">
        <w:rPr>
          <w:rFonts w:ascii="David" w:hAnsi="David" w:cs="David"/>
          <w:color w:val="000000" w:themeColor="text1"/>
          <w:sz w:val="24"/>
          <w:szCs w:val="24"/>
          <w:shd w:val="clear" w:color="auto" w:fill="FFFFFF"/>
          <w:rtl/>
          <w:lang w:bidi="he-IL"/>
        </w:rPr>
        <w:t>ובמשפט</w:t>
      </w:r>
      <w:r w:rsidRPr="00AD451B">
        <w:rPr>
          <w:rFonts w:ascii="David" w:hAnsi="David" w:cs="David"/>
          <w:color w:val="000000" w:themeColor="text1"/>
          <w:sz w:val="24"/>
          <w:szCs w:val="24"/>
          <w:shd w:val="clear" w:color="auto" w:fill="FFFFFF"/>
          <w:rtl/>
        </w:rPr>
        <w:t xml:space="preserve"> </w:t>
      </w:r>
      <w:r w:rsidRPr="00AD451B">
        <w:rPr>
          <w:rFonts w:ascii="David" w:hAnsi="David" w:cs="David"/>
          <w:color w:val="000000" w:themeColor="text1"/>
          <w:sz w:val="24"/>
          <w:szCs w:val="24"/>
          <w:shd w:val="clear" w:color="auto" w:fill="FFFFFF"/>
          <w:rtl/>
          <w:lang w:bidi="he-IL"/>
        </w:rPr>
        <w:t>יש</w:t>
      </w:r>
      <w:r w:rsidRPr="00AD451B">
        <w:rPr>
          <w:rFonts w:ascii="David" w:hAnsi="David" w:cs="David"/>
          <w:color w:val="000000" w:themeColor="text1"/>
          <w:sz w:val="24"/>
          <w:szCs w:val="24"/>
          <w:shd w:val="clear" w:color="auto" w:fill="FFFFFF"/>
          <w:rtl/>
        </w:rPr>
        <w:t xml:space="preserve"> </w:t>
      </w:r>
      <w:r w:rsidRPr="00AD451B">
        <w:rPr>
          <w:rFonts w:ascii="David" w:hAnsi="David" w:cs="David"/>
          <w:color w:val="000000" w:themeColor="text1"/>
          <w:sz w:val="24"/>
          <w:szCs w:val="24"/>
          <w:shd w:val="clear" w:color="auto" w:fill="FFFFFF"/>
          <w:rtl/>
          <w:lang w:bidi="he-IL"/>
        </w:rPr>
        <w:t>קונבנציות</w:t>
      </w:r>
      <w:r w:rsidRPr="00AD451B">
        <w:rPr>
          <w:rFonts w:ascii="David" w:hAnsi="David" w:cs="David"/>
          <w:color w:val="000000" w:themeColor="text1"/>
          <w:sz w:val="24"/>
          <w:szCs w:val="24"/>
          <w:shd w:val="clear" w:color="auto" w:fill="FFFFFF"/>
          <w:rtl/>
        </w:rPr>
        <w:t xml:space="preserve"> </w:t>
      </w:r>
      <w:r w:rsidRPr="00AD451B">
        <w:rPr>
          <w:rFonts w:ascii="David" w:hAnsi="David" w:cs="David"/>
          <w:color w:val="000000" w:themeColor="text1"/>
          <w:sz w:val="24"/>
          <w:szCs w:val="24"/>
          <w:shd w:val="clear" w:color="auto" w:fill="FFFFFF"/>
          <w:rtl/>
          <w:lang w:bidi="he-IL"/>
        </w:rPr>
        <w:t>חשיבה</w:t>
      </w:r>
      <w:r w:rsidRPr="00AD451B">
        <w:rPr>
          <w:rFonts w:ascii="David" w:hAnsi="David" w:cs="David"/>
          <w:color w:val="000000" w:themeColor="text1"/>
          <w:sz w:val="24"/>
          <w:szCs w:val="24"/>
          <w:shd w:val="clear" w:color="auto" w:fill="FFFFFF"/>
          <w:rtl/>
        </w:rPr>
        <w:t xml:space="preserve"> </w:t>
      </w:r>
      <w:r w:rsidRPr="00AD451B">
        <w:rPr>
          <w:rFonts w:ascii="David" w:hAnsi="David" w:cs="David"/>
          <w:color w:val="000000" w:themeColor="text1"/>
          <w:sz w:val="24"/>
          <w:szCs w:val="24"/>
          <w:shd w:val="clear" w:color="auto" w:fill="FFFFFF"/>
          <w:rtl/>
          <w:lang w:bidi="he-IL"/>
        </w:rPr>
        <w:t>ופעולה</w:t>
      </w:r>
      <w:r w:rsidRPr="00AD451B">
        <w:rPr>
          <w:rFonts w:ascii="David" w:hAnsi="David" w:cs="David"/>
          <w:color w:val="000000" w:themeColor="text1"/>
          <w:sz w:val="24"/>
          <w:szCs w:val="24"/>
          <w:shd w:val="clear" w:color="auto" w:fill="FFFFFF"/>
          <w:rtl/>
        </w:rPr>
        <w:t xml:space="preserve"> </w:t>
      </w:r>
      <w:r w:rsidRPr="00AD451B">
        <w:rPr>
          <w:rFonts w:ascii="David" w:hAnsi="David" w:cs="David"/>
          <w:color w:val="000000" w:themeColor="text1"/>
          <w:sz w:val="24"/>
          <w:szCs w:val="24"/>
          <w:shd w:val="clear" w:color="auto" w:fill="FFFFFF"/>
          <w:rtl/>
          <w:lang w:bidi="he-IL"/>
        </w:rPr>
        <w:t>ייחודיות</w:t>
      </w:r>
      <w:r w:rsidRPr="00AD451B">
        <w:rPr>
          <w:rFonts w:ascii="David" w:hAnsi="David" w:cs="David"/>
          <w:color w:val="000000" w:themeColor="text1"/>
          <w:sz w:val="24"/>
          <w:szCs w:val="24"/>
          <w:shd w:val="clear" w:color="auto" w:fill="FFFFFF"/>
          <w:rtl/>
        </w:rPr>
        <w:t xml:space="preserve"> (</w:t>
      </w:r>
      <w:r w:rsidRPr="00AD451B">
        <w:rPr>
          <w:rFonts w:ascii="David" w:hAnsi="David" w:cs="David"/>
          <w:color w:val="000000" w:themeColor="text1"/>
          <w:sz w:val="24"/>
          <w:szCs w:val="24"/>
          <w:shd w:val="clear" w:color="auto" w:fill="FFFFFF"/>
          <w:rtl/>
          <w:lang w:bidi="he-IL"/>
        </w:rPr>
        <w:t>למשל</w:t>
      </w:r>
      <w:r w:rsidRPr="00AD451B">
        <w:rPr>
          <w:rFonts w:ascii="David" w:hAnsi="David" w:cs="David"/>
          <w:color w:val="000000" w:themeColor="text1"/>
          <w:sz w:val="24"/>
          <w:szCs w:val="24"/>
          <w:shd w:val="clear" w:color="auto" w:fill="FFFFFF"/>
          <w:rtl/>
        </w:rPr>
        <w:t xml:space="preserve"> </w:t>
      </w:r>
      <w:r w:rsidRPr="00AD451B">
        <w:rPr>
          <w:rFonts w:ascii="David" w:hAnsi="David" w:cs="David"/>
          <w:color w:val="000000" w:themeColor="text1"/>
          <w:sz w:val="24"/>
          <w:szCs w:val="24"/>
          <w:shd w:val="clear" w:color="auto" w:fill="FFFFFF"/>
          <w:rtl/>
          <w:lang w:bidi="he-IL"/>
        </w:rPr>
        <w:t>כללים</w:t>
      </w:r>
      <w:r w:rsidRPr="00AD451B">
        <w:rPr>
          <w:rFonts w:ascii="David" w:hAnsi="David" w:cs="David"/>
          <w:color w:val="000000" w:themeColor="text1"/>
          <w:sz w:val="24"/>
          <w:szCs w:val="24"/>
          <w:shd w:val="clear" w:color="auto" w:fill="FFFFFF"/>
          <w:rtl/>
        </w:rPr>
        <w:t xml:space="preserve"> </w:t>
      </w:r>
      <w:r w:rsidRPr="00AD451B">
        <w:rPr>
          <w:rFonts w:ascii="David" w:hAnsi="David" w:cs="David"/>
          <w:color w:val="000000" w:themeColor="text1"/>
          <w:sz w:val="24"/>
          <w:szCs w:val="24"/>
          <w:shd w:val="clear" w:color="auto" w:fill="FFFFFF"/>
          <w:rtl/>
          <w:lang w:bidi="he-IL"/>
        </w:rPr>
        <w:t>לא</w:t>
      </w:r>
      <w:r w:rsidRPr="00AD451B">
        <w:rPr>
          <w:rFonts w:ascii="David" w:hAnsi="David" w:cs="David" w:hint="eastAsia"/>
          <w:color w:val="000000" w:themeColor="text1"/>
          <w:sz w:val="24"/>
          <w:szCs w:val="24"/>
          <w:shd w:val="clear" w:color="auto" w:fill="FFFFFF"/>
          <w:rtl/>
          <w:lang w:bidi="he-IL"/>
        </w:rPr>
        <w:t>־</w:t>
      </w:r>
      <w:r w:rsidRPr="00AD451B">
        <w:rPr>
          <w:rFonts w:ascii="David" w:hAnsi="David" w:cs="David"/>
          <w:color w:val="000000" w:themeColor="text1"/>
          <w:sz w:val="24"/>
          <w:szCs w:val="24"/>
          <w:shd w:val="clear" w:color="auto" w:fill="FFFFFF"/>
          <w:rtl/>
          <w:lang w:bidi="he-IL"/>
        </w:rPr>
        <w:t>מודעים</w:t>
      </w:r>
      <w:r w:rsidRPr="00AD451B">
        <w:rPr>
          <w:rFonts w:ascii="David" w:hAnsi="David" w:cs="David"/>
          <w:color w:val="000000" w:themeColor="text1"/>
          <w:sz w:val="24"/>
          <w:szCs w:val="24"/>
          <w:shd w:val="clear" w:color="auto" w:fill="FFFFFF"/>
          <w:rtl/>
        </w:rPr>
        <w:t xml:space="preserve"> </w:t>
      </w:r>
      <w:r w:rsidRPr="00AD451B">
        <w:rPr>
          <w:rFonts w:ascii="David" w:hAnsi="David" w:cs="David"/>
          <w:color w:val="000000" w:themeColor="text1"/>
          <w:sz w:val="24"/>
          <w:szCs w:val="24"/>
          <w:shd w:val="clear" w:color="auto" w:fill="FFFFFF"/>
          <w:rtl/>
          <w:lang w:bidi="he-IL"/>
        </w:rPr>
        <w:t>של</w:t>
      </w:r>
      <w:r w:rsidRPr="00AD451B">
        <w:rPr>
          <w:rFonts w:ascii="David" w:hAnsi="David" w:cs="David"/>
          <w:color w:val="000000" w:themeColor="text1"/>
          <w:sz w:val="24"/>
          <w:szCs w:val="24"/>
          <w:shd w:val="clear" w:color="auto" w:fill="FFFFFF"/>
          <w:rtl/>
        </w:rPr>
        <w:t xml:space="preserve"> </w:t>
      </w:r>
      <w:r w:rsidRPr="00AD451B">
        <w:rPr>
          <w:rFonts w:ascii="David" w:hAnsi="David" w:cs="David"/>
          <w:color w:val="000000" w:themeColor="text1"/>
          <w:sz w:val="24"/>
          <w:szCs w:val="24"/>
          <w:shd w:val="clear" w:color="auto" w:fill="FFFFFF"/>
          <w:rtl/>
          <w:lang w:bidi="he-IL"/>
        </w:rPr>
        <w:t>רלוונטיות</w:t>
      </w:r>
      <w:r w:rsidRPr="00AD451B">
        <w:rPr>
          <w:rFonts w:ascii="David" w:hAnsi="David" w:cs="David"/>
          <w:color w:val="000000" w:themeColor="text1"/>
          <w:sz w:val="24"/>
          <w:szCs w:val="24"/>
          <w:shd w:val="clear" w:color="auto" w:fill="FFFFFF"/>
          <w:rtl/>
        </w:rPr>
        <w:t xml:space="preserve">, </w:t>
      </w:r>
      <w:r w:rsidRPr="00AD451B">
        <w:rPr>
          <w:rFonts w:ascii="David" w:hAnsi="David" w:cs="David"/>
          <w:color w:val="000000" w:themeColor="text1"/>
          <w:sz w:val="24"/>
          <w:szCs w:val="24"/>
          <w:shd w:val="clear" w:color="auto" w:fill="FFFFFF"/>
          <w:rtl/>
          <w:lang w:bidi="he-IL"/>
        </w:rPr>
        <w:t>קידה</w:t>
      </w:r>
      <w:r w:rsidRPr="00AD451B">
        <w:rPr>
          <w:rFonts w:ascii="David" w:hAnsi="David" w:cs="David"/>
          <w:color w:val="000000" w:themeColor="text1"/>
          <w:sz w:val="24"/>
          <w:szCs w:val="24"/>
          <w:shd w:val="clear" w:color="auto" w:fill="FFFFFF"/>
          <w:rtl/>
        </w:rPr>
        <w:t xml:space="preserve"> </w:t>
      </w:r>
      <w:r w:rsidRPr="00AD451B">
        <w:rPr>
          <w:rFonts w:ascii="David" w:hAnsi="David" w:cs="David"/>
          <w:color w:val="000000" w:themeColor="text1"/>
          <w:sz w:val="24"/>
          <w:szCs w:val="24"/>
          <w:shd w:val="clear" w:color="auto" w:fill="FFFFFF"/>
          <w:rtl/>
          <w:lang w:bidi="he-IL"/>
        </w:rPr>
        <w:t>לשופטים</w:t>
      </w:r>
      <w:r w:rsidRPr="00AD451B">
        <w:rPr>
          <w:rFonts w:ascii="David" w:hAnsi="David" w:cs="David"/>
          <w:color w:val="000000" w:themeColor="text1"/>
          <w:sz w:val="24"/>
          <w:szCs w:val="24"/>
          <w:shd w:val="clear" w:color="auto" w:fill="FFFFFF"/>
          <w:rtl/>
        </w:rPr>
        <w:t xml:space="preserve">, </w:t>
      </w:r>
      <w:r w:rsidRPr="00AD451B">
        <w:rPr>
          <w:rFonts w:ascii="David" w:hAnsi="David" w:cs="David"/>
          <w:color w:val="000000" w:themeColor="text1"/>
          <w:sz w:val="24"/>
          <w:szCs w:val="24"/>
          <w:shd w:val="clear" w:color="auto" w:fill="FFFFFF"/>
          <w:rtl/>
          <w:lang w:bidi="he-IL"/>
        </w:rPr>
        <w:t>וכו'</w:t>
      </w:r>
      <w:r w:rsidRPr="00AD451B">
        <w:rPr>
          <w:rFonts w:ascii="David" w:hAnsi="David" w:cs="David"/>
          <w:color w:val="000000" w:themeColor="text1"/>
          <w:sz w:val="24"/>
          <w:szCs w:val="24"/>
          <w:shd w:val="clear" w:color="auto" w:fill="FFFFFF"/>
          <w:rtl/>
        </w:rPr>
        <w:t xml:space="preserve">), </w:t>
      </w:r>
      <w:r w:rsidRPr="00AD451B">
        <w:rPr>
          <w:rFonts w:ascii="David" w:hAnsi="David" w:cs="David"/>
          <w:color w:val="000000" w:themeColor="text1"/>
          <w:sz w:val="24"/>
          <w:szCs w:val="24"/>
          <w:shd w:val="clear" w:color="auto" w:fill="FFFFFF"/>
          <w:rtl/>
          <w:lang w:bidi="he-IL"/>
        </w:rPr>
        <w:t>והמשפטנים</w:t>
      </w:r>
      <w:r w:rsidRPr="00AD451B">
        <w:rPr>
          <w:rFonts w:ascii="David" w:hAnsi="David" w:cs="David"/>
          <w:color w:val="000000" w:themeColor="text1"/>
          <w:sz w:val="24"/>
          <w:szCs w:val="24"/>
          <w:shd w:val="clear" w:color="auto" w:fill="FFFFFF"/>
          <w:rtl/>
        </w:rPr>
        <w:t xml:space="preserve"> </w:t>
      </w:r>
      <w:r w:rsidRPr="00AD451B">
        <w:rPr>
          <w:rFonts w:ascii="David" w:hAnsi="David" w:cs="David"/>
          <w:color w:val="000000" w:themeColor="text1"/>
          <w:sz w:val="24"/>
          <w:szCs w:val="24"/>
          <w:shd w:val="clear" w:color="auto" w:fill="FFFFFF"/>
          <w:rtl/>
          <w:lang w:bidi="he-IL"/>
        </w:rPr>
        <w:t>הם</w:t>
      </w:r>
      <w:r w:rsidRPr="00AD451B">
        <w:rPr>
          <w:rFonts w:ascii="David" w:hAnsi="David" w:cs="David"/>
          <w:color w:val="000000" w:themeColor="text1"/>
          <w:sz w:val="24"/>
          <w:szCs w:val="24"/>
          <w:shd w:val="clear" w:color="auto" w:fill="FFFFFF"/>
          <w:rtl/>
        </w:rPr>
        <w:t xml:space="preserve"> </w:t>
      </w:r>
      <w:r w:rsidRPr="00AD451B">
        <w:rPr>
          <w:rFonts w:ascii="David" w:hAnsi="David" w:cs="David"/>
          <w:color w:val="000000" w:themeColor="text1"/>
          <w:sz w:val="24"/>
          <w:szCs w:val="24"/>
          <w:shd w:val="clear" w:color="auto" w:fill="FFFFFF"/>
          <w:rtl/>
          <w:lang w:bidi="he-IL"/>
        </w:rPr>
        <w:t>בני</w:t>
      </w:r>
      <w:r w:rsidRPr="00AD451B">
        <w:rPr>
          <w:rFonts w:ascii="David" w:hAnsi="David" w:cs="David"/>
          <w:color w:val="000000" w:themeColor="text1"/>
          <w:sz w:val="24"/>
          <w:szCs w:val="24"/>
          <w:shd w:val="clear" w:color="auto" w:fill="FFFFFF"/>
          <w:rtl/>
        </w:rPr>
        <w:t xml:space="preserve"> </w:t>
      </w:r>
      <w:r w:rsidRPr="00AD451B">
        <w:rPr>
          <w:rFonts w:ascii="David" w:hAnsi="David" w:cs="David"/>
          <w:color w:val="000000" w:themeColor="text1"/>
          <w:sz w:val="24"/>
          <w:szCs w:val="24"/>
          <w:shd w:val="clear" w:color="auto" w:fill="FFFFFF"/>
          <w:rtl/>
          <w:lang w:bidi="he-IL"/>
        </w:rPr>
        <w:t>האדם</w:t>
      </w:r>
      <w:r w:rsidRPr="00AD451B">
        <w:rPr>
          <w:rFonts w:ascii="David" w:hAnsi="David" w:cs="David"/>
          <w:color w:val="000000" w:themeColor="text1"/>
          <w:sz w:val="24"/>
          <w:szCs w:val="24"/>
          <w:shd w:val="clear" w:color="auto" w:fill="FFFFFF"/>
          <w:rtl/>
        </w:rPr>
        <w:t xml:space="preserve"> </w:t>
      </w:r>
      <w:r w:rsidRPr="00AD451B">
        <w:rPr>
          <w:rFonts w:ascii="David" w:hAnsi="David" w:cs="David"/>
          <w:color w:val="000000" w:themeColor="text1"/>
          <w:sz w:val="24"/>
          <w:szCs w:val="24"/>
          <w:shd w:val="clear" w:color="auto" w:fill="FFFFFF"/>
          <w:rtl/>
          <w:lang w:bidi="he-IL"/>
        </w:rPr>
        <w:t>המפנימים</w:t>
      </w:r>
      <w:r w:rsidRPr="00AD451B">
        <w:rPr>
          <w:rFonts w:ascii="David" w:hAnsi="David" w:cs="David"/>
          <w:color w:val="000000" w:themeColor="text1"/>
          <w:sz w:val="24"/>
          <w:szCs w:val="24"/>
          <w:shd w:val="clear" w:color="auto" w:fill="FFFFFF"/>
          <w:rtl/>
        </w:rPr>
        <w:t xml:space="preserve"> </w:t>
      </w:r>
      <w:r w:rsidRPr="00AD451B">
        <w:rPr>
          <w:rFonts w:ascii="David" w:hAnsi="David" w:cs="David"/>
          <w:color w:val="000000" w:themeColor="text1"/>
          <w:sz w:val="24"/>
          <w:szCs w:val="24"/>
          <w:shd w:val="clear" w:color="auto" w:fill="FFFFFF"/>
          <w:rtl/>
          <w:lang w:bidi="he-IL"/>
        </w:rPr>
        <w:t>במהלך</w:t>
      </w:r>
      <w:r w:rsidRPr="00AD451B">
        <w:rPr>
          <w:rFonts w:ascii="David" w:hAnsi="David" w:cs="David"/>
          <w:color w:val="000000" w:themeColor="text1"/>
          <w:sz w:val="24"/>
          <w:szCs w:val="24"/>
          <w:shd w:val="clear" w:color="auto" w:fill="FFFFFF"/>
          <w:rtl/>
        </w:rPr>
        <w:t xml:space="preserve"> </w:t>
      </w:r>
      <w:r w:rsidRPr="00AD451B">
        <w:rPr>
          <w:rFonts w:ascii="David" w:hAnsi="David" w:cs="David"/>
          <w:color w:val="000000" w:themeColor="text1"/>
          <w:sz w:val="24"/>
          <w:szCs w:val="24"/>
          <w:shd w:val="clear" w:color="auto" w:fill="FFFFFF"/>
          <w:rtl/>
          <w:lang w:bidi="he-IL"/>
        </w:rPr>
        <w:t>חייהם</w:t>
      </w:r>
      <w:r w:rsidRPr="00AD451B">
        <w:rPr>
          <w:rFonts w:ascii="David" w:hAnsi="David" w:cs="David"/>
          <w:color w:val="000000" w:themeColor="text1"/>
          <w:sz w:val="24"/>
          <w:szCs w:val="24"/>
          <w:shd w:val="clear" w:color="auto" w:fill="FFFFFF"/>
          <w:rtl/>
        </w:rPr>
        <w:t xml:space="preserve"> </w:t>
      </w:r>
      <w:r w:rsidRPr="00AD451B">
        <w:rPr>
          <w:rFonts w:ascii="David" w:hAnsi="David" w:cs="David"/>
          <w:color w:val="000000" w:themeColor="text1"/>
          <w:sz w:val="24"/>
          <w:szCs w:val="24"/>
          <w:shd w:val="clear" w:color="auto" w:fill="FFFFFF"/>
          <w:rtl/>
          <w:lang w:bidi="he-IL"/>
        </w:rPr>
        <w:t>המקצועיים</w:t>
      </w:r>
      <w:r w:rsidRPr="00AD451B">
        <w:rPr>
          <w:rFonts w:ascii="David" w:hAnsi="David" w:cs="David"/>
          <w:color w:val="000000" w:themeColor="text1"/>
          <w:sz w:val="24"/>
          <w:szCs w:val="24"/>
          <w:shd w:val="clear" w:color="auto" w:fill="FFFFFF"/>
          <w:rtl/>
        </w:rPr>
        <w:t xml:space="preserve"> </w:t>
      </w:r>
      <w:r w:rsidRPr="00AD451B">
        <w:rPr>
          <w:rFonts w:ascii="David" w:hAnsi="David" w:cs="David"/>
          <w:color w:val="000000" w:themeColor="text1"/>
          <w:sz w:val="24"/>
          <w:szCs w:val="24"/>
          <w:shd w:val="clear" w:color="auto" w:fill="FFFFFF"/>
          <w:rtl/>
          <w:lang w:bidi="he-IL"/>
        </w:rPr>
        <w:t>את</w:t>
      </w:r>
      <w:r w:rsidRPr="00AD451B">
        <w:rPr>
          <w:rFonts w:ascii="David" w:hAnsi="David" w:cs="David"/>
          <w:color w:val="000000" w:themeColor="text1"/>
          <w:sz w:val="24"/>
          <w:szCs w:val="24"/>
          <w:shd w:val="clear" w:color="auto" w:fill="FFFFFF"/>
          <w:rtl/>
        </w:rPr>
        <w:t xml:space="preserve"> </w:t>
      </w:r>
      <w:r w:rsidRPr="00AD451B">
        <w:rPr>
          <w:rFonts w:ascii="David" w:hAnsi="David" w:cs="David"/>
          <w:color w:val="000000" w:themeColor="text1"/>
          <w:sz w:val="24"/>
          <w:szCs w:val="24"/>
          <w:shd w:val="clear" w:color="auto" w:fill="FFFFFF"/>
          <w:rtl/>
          <w:lang w:bidi="he-IL"/>
        </w:rPr>
        <w:t>תוכני</w:t>
      </w:r>
      <w:r w:rsidRPr="00AD451B">
        <w:rPr>
          <w:rFonts w:ascii="David" w:hAnsi="David" w:cs="David"/>
          <w:color w:val="000000" w:themeColor="text1"/>
          <w:sz w:val="24"/>
          <w:szCs w:val="24"/>
          <w:shd w:val="clear" w:color="auto" w:fill="FFFFFF"/>
          <w:rtl/>
        </w:rPr>
        <w:t xml:space="preserve"> </w:t>
      </w:r>
      <w:r w:rsidRPr="00AD451B">
        <w:rPr>
          <w:rFonts w:ascii="David" w:hAnsi="David" w:cs="David"/>
          <w:color w:val="000000" w:themeColor="text1"/>
          <w:sz w:val="24"/>
          <w:szCs w:val="24"/>
          <w:shd w:val="clear" w:color="auto" w:fill="FFFFFF"/>
          <w:rtl/>
          <w:lang w:bidi="he-IL"/>
        </w:rPr>
        <w:t>המשפט</w:t>
      </w:r>
      <w:r w:rsidRPr="00AD451B">
        <w:rPr>
          <w:rFonts w:ascii="David" w:hAnsi="David" w:cs="David"/>
          <w:color w:val="000000" w:themeColor="text1"/>
          <w:sz w:val="24"/>
          <w:szCs w:val="24"/>
          <w:shd w:val="clear" w:color="auto" w:fill="FFFFFF"/>
          <w:rtl/>
        </w:rPr>
        <w:t xml:space="preserve">, </w:t>
      </w:r>
      <w:r w:rsidRPr="00AD451B">
        <w:rPr>
          <w:rFonts w:ascii="David" w:hAnsi="David" w:cs="David"/>
          <w:color w:val="000000" w:themeColor="text1"/>
          <w:sz w:val="24"/>
          <w:szCs w:val="24"/>
          <w:shd w:val="clear" w:color="auto" w:fill="FFFFFF"/>
          <w:rtl/>
          <w:lang w:bidi="he-IL"/>
        </w:rPr>
        <w:t>את</w:t>
      </w:r>
      <w:r w:rsidRPr="00AD451B">
        <w:rPr>
          <w:rFonts w:ascii="David" w:hAnsi="David" w:cs="David"/>
          <w:color w:val="000000" w:themeColor="text1"/>
          <w:sz w:val="24"/>
          <w:szCs w:val="24"/>
          <w:shd w:val="clear" w:color="auto" w:fill="FFFFFF"/>
          <w:rtl/>
        </w:rPr>
        <w:t xml:space="preserve"> </w:t>
      </w:r>
      <w:r w:rsidRPr="00AD451B">
        <w:rPr>
          <w:rFonts w:ascii="David" w:hAnsi="David" w:cs="David"/>
          <w:color w:val="000000" w:themeColor="text1"/>
          <w:sz w:val="24"/>
          <w:szCs w:val="24"/>
          <w:shd w:val="clear" w:color="auto" w:fill="FFFFFF"/>
          <w:rtl/>
          <w:lang w:bidi="he-IL"/>
        </w:rPr>
        <w:t>דרכי</w:t>
      </w:r>
      <w:r w:rsidRPr="00AD451B">
        <w:rPr>
          <w:rFonts w:ascii="David" w:hAnsi="David" w:cs="David"/>
          <w:color w:val="000000" w:themeColor="text1"/>
          <w:sz w:val="24"/>
          <w:szCs w:val="24"/>
          <w:shd w:val="clear" w:color="auto" w:fill="FFFFFF"/>
          <w:rtl/>
        </w:rPr>
        <w:t xml:space="preserve"> </w:t>
      </w:r>
      <w:r w:rsidRPr="00AD451B">
        <w:rPr>
          <w:rFonts w:ascii="David" w:hAnsi="David" w:cs="David"/>
          <w:color w:val="000000" w:themeColor="text1"/>
          <w:sz w:val="24"/>
          <w:szCs w:val="24"/>
          <w:shd w:val="clear" w:color="auto" w:fill="FFFFFF"/>
          <w:rtl/>
          <w:lang w:bidi="he-IL"/>
        </w:rPr>
        <w:t>החשיבה</w:t>
      </w:r>
      <w:r w:rsidRPr="00AD451B">
        <w:rPr>
          <w:rFonts w:ascii="David" w:hAnsi="David" w:cs="David"/>
          <w:color w:val="000000" w:themeColor="text1"/>
          <w:sz w:val="24"/>
          <w:szCs w:val="24"/>
          <w:shd w:val="clear" w:color="auto" w:fill="FFFFFF"/>
          <w:rtl/>
        </w:rPr>
        <w:t xml:space="preserve"> </w:t>
      </w:r>
      <w:r w:rsidRPr="00AD451B">
        <w:rPr>
          <w:rFonts w:ascii="David" w:hAnsi="David" w:cs="David"/>
          <w:color w:val="000000" w:themeColor="text1"/>
          <w:sz w:val="24"/>
          <w:szCs w:val="24"/>
          <w:shd w:val="clear" w:color="auto" w:fill="FFFFFF"/>
          <w:rtl/>
          <w:lang w:bidi="he-IL"/>
        </w:rPr>
        <w:t>המקובלות</w:t>
      </w:r>
      <w:r w:rsidRPr="00AD451B">
        <w:rPr>
          <w:rFonts w:ascii="David" w:hAnsi="David" w:cs="David"/>
          <w:color w:val="000000" w:themeColor="text1"/>
          <w:sz w:val="24"/>
          <w:szCs w:val="24"/>
          <w:shd w:val="clear" w:color="auto" w:fill="FFFFFF"/>
          <w:rtl/>
        </w:rPr>
        <w:t xml:space="preserve"> </w:t>
      </w:r>
      <w:r w:rsidRPr="00AD451B">
        <w:rPr>
          <w:rFonts w:ascii="David" w:hAnsi="David" w:cs="David"/>
          <w:color w:val="000000" w:themeColor="text1"/>
          <w:sz w:val="24"/>
          <w:szCs w:val="24"/>
          <w:shd w:val="clear" w:color="auto" w:fill="FFFFFF"/>
          <w:rtl/>
          <w:lang w:bidi="he-IL"/>
        </w:rPr>
        <w:t>בו</w:t>
      </w:r>
      <w:r w:rsidRPr="00AD451B">
        <w:rPr>
          <w:rFonts w:ascii="David" w:hAnsi="David" w:cs="David"/>
          <w:color w:val="000000" w:themeColor="text1"/>
          <w:sz w:val="24"/>
          <w:szCs w:val="24"/>
          <w:shd w:val="clear" w:color="auto" w:fill="FFFFFF"/>
          <w:rtl/>
        </w:rPr>
        <w:t xml:space="preserve">, </w:t>
      </w:r>
      <w:r w:rsidRPr="00AD451B">
        <w:rPr>
          <w:rFonts w:ascii="David" w:hAnsi="David" w:cs="David"/>
          <w:color w:val="000000" w:themeColor="text1"/>
          <w:sz w:val="24"/>
          <w:szCs w:val="24"/>
          <w:shd w:val="clear" w:color="auto" w:fill="FFFFFF"/>
          <w:rtl/>
          <w:lang w:bidi="he-IL"/>
        </w:rPr>
        <w:t>ואת</w:t>
      </w:r>
      <w:r w:rsidRPr="00AD451B">
        <w:rPr>
          <w:rFonts w:ascii="David" w:hAnsi="David" w:cs="David"/>
          <w:color w:val="000000" w:themeColor="text1"/>
          <w:sz w:val="24"/>
          <w:szCs w:val="24"/>
          <w:shd w:val="clear" w:color="auto" w:fill="FFFFFF"/>
          <w:rtl/>
        </w:rPr>
        <w:t xml:space="preserve"> </w:t>
      </w:r>
      <w:r w:rsidRPr="00AD451B">
        <w:rPr>
          <w:rFonts w:ascii="David" w:hAnsi="David" w:cs="David"/>
          <w:color w:val="000000" w:themeColor="text1"/>
          <w:sz w:val="24"/>
          <w:szCs w:val="24"/>
          <w:shd w:val="clear" w:color="auto" w:fill="FFFFFF"/>
          <w:rtl/>
          <w:lang w:bidi="he-IL"/>
        </w:rPr>
        <w:t>אופני</w:t>
      </w:r>
      <w:r w:rsidRPr="00AD451B">
        <w:rPr>
          <w:rFonts w:ascii="David" w:hAnsi="David" w:cs="David"/>
          <w:color w:val="000000" w:themeColor="text1"/>
          <w:sz w:val="24"/>
          <w:szCs w:val="24"/>
          <w:shd w:val="clear" w:color="auto" w:fill="FFFFFF"/>
          <w:rtl/>
        </w:rPr>
        <w:t xml:space="preserve"> </w:t>
      </w:r>
      <w:r w:rsidRPr="00AD451B">
        <w:rPr>
          <w:rFonts w:ascii="David" w:hAnsi="David" w:cs="David"/>
          <w:color w:val="000000" w:themeColor="text1"/>
          <w:sz w:val="24"/>
          <w:szCs w:val="24"/>
          <w:shd w:val="clear" w:color="auto" w:fill="FFFFFF"/>
          <w:rtl/>
          <w:lang w:bidi="he-IL"/>
        </w:rPr>
        <w:t>ההתנהגות</w:t>
      </w:r>
      <w:r w:rsidRPr="00AD451B">
        <w:rPr>
          <w:rFonts w:ascii="David" w:hAnsi="David" w:cs="David"/>
          <w:color w:val="000000" w:themeColor="text1"/>
          <w:sz w:val="24"/>
          <w:szCs w:val="24"/>
          <w:shd w:val="clear" w:color="auto" w:fill="FFFFFF"/>
          <w:rtl/>
        </w:rPr>
        <w:t xml:space="preserve"> </w:t>
      </w:r>
      <w:r w:rsidRPr="00AD451B">
        <w:rPr>
          <w:rFonts w:ascii="David" w:hAnsi="David" w:cs="David"/>
          <w:color w:val="000000" w:themeColor="text1"/>
          <w:sz w:val="24"/>
          <w:szCs w:val="24"/>
          <w:shd w:val="clear" w:color="auto" w:fill="FFFFFF"/>
          <w:rtl/>
          <w:lang w:bidi="he-IL"/>
        </w:rPr>
        <w:t>המקובלים</w:t>
      </w:r>
      <w:r w:rsidRPr="00AD451B">
        <w:rPr>
          <w:rFonts w:ascii="David" w:hAnsi="David" w:cs="David"/>
          <w:color w:val="000000" w:themeColor="text1"/>
          <w:sz w:val="24"/>
          <w:szCs w:val="24"/>
          <w:shd w:val="clear" w:color="auto" w:fill="FFFFFF"/>
          <w:rtl/>
        </w:rPr>
        <w:t xml:space="preserve"> </w:t>
      </w:r>
      <w:r w:rsidRPr="00AD451B">
        <w:rPr>
          <w:rFonts w:ascii="David" w:hAnsi="David" w:cs="David"/>
          <w:color w:val="000000" w:themeColor="text1"/>
          <w:sz w:val="24"/>
          <w:szCs w:val="24"/>
          <w:shd w:val="clear" w:color="auto" w:fill="FFFFFF"/>
          <w:rtl/>
          <w:lang w:bidi="he-IL"/>
        </w:rPr>
        <w:t>בתרבות</w:t>
      </w:r>
      <w:r w:rsidRPr="00AD451B">
        <w:rPr>
          <w:rFonts w:ascii="David" w:hAnsi="David" w:cs="David"/>
          <w:color w:val="000000" w:themeColor="text1"/>
          <w:sz w:val="24"/>
          <w:szCs w:val="24"/>
          <w:shd w:val="clear" w:color="auto" w:fill="FFFFFF"/>
          <w:rtl/>
        </w:rPr>
        <w:t xml:space="preserve"> </w:t>
      </w:r>
      <w:r w:rsidRPr="00AD451B">
        <w:rPr>
          <w:rFonts w:ascii="David" w:hAnsi="David" w:cs="David"/>
          <w:color w:val="000000" w:themeColor="text1"/>
          <w:sz w:val="24"/>
          <w:szCs w:val="24"/>
          <w:shd w:val="clear" w:color="auto" w:fill="FFFFFF"/>
          <w:rtl/>
          <w:lang w:bidi="he-IL"/>
        </w:rPr>
        <w:t>המשפטית</w:t>
      </w:r>
      <w:r w:rsidRPr="00AD451B">
        <w:rPr>
          <w:rFonts w:ascii="David" w:hAnsi="David" w:cs="David"/>
          <w:color w:val="000000" w:themeColor="text1"/>
          <w:sz w:val="24"/>
          <w:szCs w:val="24"/>
          <w:shd w:val="clear" w:color="auto" w:fill="FFFFFF"/>
          <w:rtl/>
        </w:rPr>
        <w:t>.</w:t>
      </w:r>
    </w:p>
    <w:p w:rsidR="006E285E" w:rsidRPr="00AD451B" w:rsidRDefault="006E285E" w:rsidP="006E285E">
      <w:pPr>
        <w:bidi/>
        <w:spacing w:before="120" w:after="120" w:line="360" w:lineRule="auto"/>
        <w:ind w:firstLine="284"/>
        <w:jc w:val="both"/>
        <w:rPr>
          <w:rFonts w:ascii="David" w:hAnsi="David" w:cs="David"/>
          <w:color w:val="000000" w:themeColor="text1"/>
          <w:sz w:val="24"/>
          <w:szCs w:val="24"/>
          <w:shd w:val="clear" w:color="auto" w:fill="FFFFFF"/>
          <w:rtl/>
          <w:lang w:bidi="he-IL"/>
        </w:rPr>
      </w:pPr>
      <w:r w:rsidRPr="00AD451B">
        <w:rPr>
          <w:rFonts w:ascii="David" w:hAnsi="David" w:cs="David" w:hint="eastAsia"/>
          <w:color w:val="000000" w:themeColor="text1"/>
          <w:sz w:val="24"/>
          <w:szCs w:val="24"/>
          <w:shd w:val="clear" w:color="auto" w:fill="FFFFFF"/>
          <w:rtl/>
          <w:lang w:bidi="he-IL"/>
        </w:rPr>
        <w:t>המשפטן</w:t>
      </w:r>
      <w:r w:rsidRPr="00AD451B">
        <w:rPr>
          <w:rFonts w:ascii="David" w:hAnsi="David" w:cs="David"/>
          <w:color w:val="000000" w:themeColor="text1"/>
          <w:sz w:val="24"/>
          <w:szCs w:val="24"/>
          <w:shd w:val="clear" w:color="auto" w:fill="FFFFFF"/>
          <w:rtl/>
          <w:lang w:bidi="he-IL"/>
        </w:rPr>
        <w:t xml:space="preserve"> האמריקאי, קרל</w:t>
      </w:r>
      <w:r w:rsidRPr="00AD451B">
        <w:rPr>
          <w:rFonts w:ascii="David" w:hAnsi="David" w:cs="David"/>
          <w:color w:val="000000" w:themeColor="text1"/>
          <w:sz w:val="24"/>
          <w:szCs w:val="24"/>
          <w:shd w:val="clear" w:color="auto" w:fill="FFFFFF"/>
          <w:rtl/>
        </w:rPr>
        <w:t xml:space="preserve"> </w:t>
      </w:r>
      <w:proofErr w:type="spellStart"/>
      <w:r w:rsidRPr="00AD451B">
        <w:rPr>
          <w:rFonts w:ascii="David" w:hAnsi="David" w:cs="David"/>
          <w:color w:val="000000" w:themeColor="text1"/>
          <w:sz w:val="24"/>
          <w:szCs w:val="24"/>
          <w:shd w:val="clear" w:color="auto" w:fill="FFFFFF"/>
          <w:rtl/>
          <w:lang w:bidi="he-IL"/>
        </w:rPr>
        <w:t>לואלין</w:t>
      </w:r>
      <w:proofErr w:type="spellEnd"/>
      <w:r w:rsidRPr="00AD451B">
        <w:rPr>
          <w:rFonts w:ascii="David" w:hAnsi="David" w:cs="David"/>
          <w:color w:val="000000" w:themeColor="text1"/>
          <w:sz w:val="24"/>
          <w:szCs w:val="24"/>
          <w:shd w:val="clear" w:color="auto" w:fill="FFFFFF"/>
          <w:rtl/>
          <w:lang w:bidi="he-IL"/>
        </w:rPr>
        <w:t xml:space="preserve"> (</w:t>
      </w:r>
      <w:r w:rsidRPr="00AD451B">
        <w:rPr>
          <w:rFonts w:ascii="David" w:hAnsi="David" w:cs="David"/>
          <w:color w:val="000000" w:themeColor="text1"/>
          <w:sz w:val="24"/>
          <w:szCs w:val="24"/>
          <w:shd w:val="clear" w:color="auto" w:fill="FFFFFF"/>
          <w:lang w:bidi="he-IL"/>
        </w:rPr>
        <w:t>Llewellyn</w:t>
      </w:r>
      <w:r w:rsidRPr="00AD451B">
        <w:rPr>
          <w:rFonts w:ascii="David" w:hAnsi="David" w:cs="David"/>
          <w:color w:val="000000" w:themeColor="text1"/>
          <w:sz w:val="24"/>
          <w:szCs w:val="24"/>
          <w:shd w:val="clear" w:color="auto" w:fill="FFFFFF"/>
          <w:rtl/>
          <w:lang w:bidi="he-IL"/>
        </w:rPr>
        <w:t>)</w:t>
      </w:r>
      <w:r w:rsidRPr="00AD451B">
        <w:rPr>
          <w:rFonts w:ascii="David" w:hAnsi="David" w:cs="David"/>
          <w:color w:val="000000" w:themeColor="text1"/>
          <w:sz w:val="24"/>
          <w:szCs w:val="24"/>
          <w:shd w:val="clear" w:color="auto" w:fill="FFFFFF"/>
          <w:rtl/>
        </w:rPr>
        <w:t xml:space="preserve">, </w:t>
      </w:r>
      <w:r w:rsidRPr="00AD451B">
        <w:rPr>
          <w:rFonts w:ascii="David" w:hAnsi="David" w:cs="David"/>
          <w:color w:val="000000" w:themeColor="text1"/>
          <w:sz w:val="24"/>
          <w:szCs w:val="24"/>
          <w:shd w:val="clear" w:color="auto" w:fill="FFFFFF"/>
          <w:rtl/>
          <w:lang w:bidi="he-IL"/>
        </w:rPr>
        <w:t>טען</w:t>
      </w:r>
      <w:r w:rsidRPr="00AD451B">
        <w:rPr>
          <w:rFonts w:ascii="David" w:hAnsi="David" w:cs="David"/>
          <w:color w:val="000000" w:themeColor="text1"/>
          <w:sz w:val="24"/>
          <w:szCs w:val="24"/>
          <w:shd w:val="clear" w:color="auto" w:fill="FFFFFF"/>
          <w:rtl/>
        </w:rPr>
        <w:t xml:space="preserve"> </w:t>
      </w:r>
      <w:r w:rsidRPr="00AD451B">
        <w:rPr>
          <w:rFonts w:ascii="David" w:hAnsi="David" w:cs="David"/>
          <w:color w:val="000000" w:themeColor="text1"/>
          <w:sz w:val="24"/>
          <w:szCs w:val="24"/>
          <w:shd w:val="clear" w:color="auto" w:fill="FFFFFF"/>
          <w:rtl/>
          <w:lang w:bidi="he-IL"/>
        </w:rPr>
        <w:t>שמערכת</w:t>
      </w:r>
      <w:r w:rsidRPr="00AD451B">
        <w:rPr>
          <w:rFonts w:ascii="David" w:hAnsi="David" w:cs="David"/>
          <w:color w:val="000000" w:themeColor="text1"/>
          <w:sz w:val="24"/>
          <w:szCs w:val="24"/>
          <w:shd w:val="clear" w:color="auto" w:fill="FFFFFF"/>
          <w:rtl/>
        </w:rPr>
        <w:t xml:space="preserve"> </w:t>
      </w:r>
      <w:r w:rsidRPr="00AD451B">
        <w:rPr>
          <w:rFonts w:ascii="David" w:hAnsi="David" w:cs="David"/>
          <w:color w:val="000000" w:themeColor="text1"/>
          <w:sz w:val="24"/>
          <w:szCs w:val="24"/>
          <w:shd w:val="clear" w:color="auto" w:fill="FFFFFF"/>
          <w:rtl/>
          <w:lang w:bidi="he-IL"/>
        </w:rPr>
        <w:t>המשפט</w:t>
      </w:r>
      <w:r w:rsidRPr="00AD451B">
        <w:rPr>
          <w:rFonts w:ascii="David" w:hAnsi="David" w:cs="David"/>
          <w:color w:val="000000" w:themeColor="text1"/>
          <w:sz w:val="24"/>
          <w:szCs w:val="24"/>
          <w:shd w:val="clear" w:color="auto" w:fill="FFFFFF"/>
          <w:rtl/>
        </w:rPr>
        <w:t xml:space="preserve"> </w:t>
      </w:r>
      <w:r w:rsidRPr="00AD451B">
        <w:rPr>
          <w:rFonts w:ascii="David" w:hAnsi="David" w:cs="David"/>
          <w:color w:val="000000" w:themeColor="text1"/>
          <w:sz w:val="24"/>
          <w:szCs w:val="24"/>
          <w:shd w:val="clear" w:color="auto" w:fill="FFFFFF"/>
          <w:rtl/>
          <w:lang w:bidi="he-IL"/>
        </w:rPr>
        <w:t>היא</w:t>
      </w:r>
      <w:r w:rsidRPr="00AD451B">
        <w:rPr>
          <w:rFonts w:ascii="David" w:hAnsi="David" w:cs="David"/>
          <w:color w:val="000000" w:themeColor="text1"/>
          <w:sz w:val="24"/>
          <w:szCs w:val="24"/>
          <w:shd w:val="clear" w:color="auto" w:fill="FFFFFF"/>
          <w:rtl/>
        </w:rPr>
        <w:t xml:space="preserve"> </w:t>
      </w:r>
      <w:r w:rsidRPr="00AD451B">
        <w:rPr>
          <w:rFonts w:ascii="David" w:hAnsi="David" w:cs="David"/>
          <w:color w:val="000000" w:themeColor="text1"/>
          <w:sz w:val="24"/>
          <w:szCs w:val="24"/>
          <w:shd w:val="clear" w:color="auto" w:fill="FFFFFF"/>
          <w:rtl/>
          <w:lang w:bidi="he-IL"/>
        </w:rPr>
        <w:t>מרחב</w:t>
      </w:r>
      <w:r w:rsidRPr="00AD451B">
        <w:rPr>
          <w:rFonts w:ascii="David" w:hAnsi="David" w:cs="David"/>
          <w:color w:val="000000" w:themeColor="text1"/>
          <w:sz w:val="24"/>
          <w:szCs w:val="24"/>
          <w:shd w:val="clear" w:color="auto" w:fill="FFFFFF"/>
          <w:rtl/>
        </w:rPr>
        <w:t xml:space="preserve"> </w:t>
      </w:r>
      <w:r w:rsidRPr="00AD451B">
        <w:rPr>
          <w:rFonts w:ascii="David" w:hAnsi="David" w:cs="David"/>
          <w:color w:val="000000" w:themeColor="text1"/>
          <w:sz w:val="24"/>
          <w:szCs w:val="24"/>
          <w:shd w:val="clear" w:color="auto" w:fill="FFFFFF"/>
          <w:rtl/>
          <w:lang w:bidi="he-IL"/>
        </w:rPr>
        <w:t>שמורכב</w:t>
      </w:r>
      <w:r w:rsidRPr="00AD451B">
        <w:rPr>
          <w:rFonts w:ascii="David" w:hAnsi="David" w:cs="David"/>
          <w:color w:val="000000" w:themeColor="text1"/>
          <w:sz w:val="24"/>
          <w:szCs w:val="24"/>
          <w:shd w:val="clear" w:color="auto" w:fill="FFFFFF"/>
          <w:rtl/>
        </w:rPr>
        <w:t xml:space="preserve"> </w:t>
      </w:r>
      <w:r w:rsidRPr="00AD451B">
        <w:rPr>
          <w:rFonts w:ascii="David" w:hAnsi="David" w:cs="David"/>
          <w:color w:val="000000" w:themeColor="text1"/>
          <w:sz w:val="24"/>
          <w:szCs w:val="24"/>
          <w:shd w:val="clear" w:color="auto" w:fill="FFFFFF"/>
          <w:rtl/>
          <w:lang w:bidi="he-IL"/>
        </w:rPr>
        <w:t>ממאגר</w:t>
      </w:r>
      <w:r w:rsidRPr="00AD451B">
        <w:rPr>
          <w:rFonts w:ascii="David" w:hAnsi="David" w:cs="David"/>
          <w:color w:val="000000" w:themeColor="text1"/>
          <w:sz w:val="24"/>
          <w:szCs w:val="24"/>
          <w:shd w:val="clear" w:color="auto" w:fill="FFFFFF"/>
          <w:rtl/>
        </w:rPr>
        <w:t xml:space="preserve"> </w:t>
      </w:r>
      <w:r w:rsidRPr="00AD451B">
        <w:rPr>
          <w:rFonts w:ascii="David" w:hAnsi="David" w:cs="David"/>
          <w:color w:val="000000" w:themeColor="text1"/>
          <w:sz w:val="24"/>
          <w:szCs w:val="24"/>
          <w:shd w:val="clear" w:color="auto" w:fill="FFFFFF"/>
          <w:rtl/>
          <w:lang w:bidi="he-IL"/>
        </w:rPr>
        <w:t>של</w:t>
      </w:r>
      <w:r w:rsidRPr="00AD451B">
        <w:rPr>
          <w:rFonts w:ascii="David" w:hAnsi="David" w:cs="David"/>
          <w:color w:val="000000" w:themeColor="text1"/>
          <w:sz w:val="24"/>
          <w:szCs w:val="24"/>
          <w:shd w:val="clear" w:color="auto" w:fill="FFFFFF"/>
          <w:rtl/>
        </w:rPr>
        <w:t xml:space="preserve"> </w:t>
      </w:r>
      <w:r w:rsidRPr="00AD451B">
        <w:rPr>
          <w:rFonts w:ascii="David" w:hAnsi="David" w:cs="David"/>
          <w:color w:val="000000" w:themeColor="text1"/>
          <w:sz w:val="24"/>
          <w:szCs w:val="24"/>
          <w:shd w:val="clear" w:color="auto" w:fill="FFFFFF"/>
          <w:rtl/>
          <w:lang w:bidi="he-IL"/>
        </w:rPr>
        <w:t>כללים</w:t>
      </w:r>
      <w:r w:rsidRPr="00AD451B">
        <w:rPr>
          <w:rFonts w:ascii="David" w:hAnsi="David" w:cs="David"/>
          <w:color w:val="000000" w:themeColor="text1"/>
          <w:sz w:val="24"/>
          <w:szCs w:val="24"/>
          <w:shd w:val="clear" w:color="auto" w:fill="FFFFFF"/>
          <w:rtl/>
        </w:rPr>
        <w:t xml:space="preserve"> </w:t>
      </w:r>
      <w:r w:rsidRPr="00AD451B">
        <w:rPr>
          <w:rFonts w:ascii="David" w:hAnsi="David" w:cs="David"/>
          <w:color w:val="000000" w:themeColor="text1"/>
          <w:sz w:val="24"/>
          <w:szCs w:val="24"/>
          <w:shd w:val="clear" w:color="auto" w:fill="FFFFFF"/>
          <w:rtl/>
          <w:lang w:bidi="he-IL"/>
        </w:rPr>
        <w:t>וקונוונציות</w:t>
      </w:r>
      <w:r w:rsidRPr="00AD451B">
        <w:rPr>
          <w:rFonts w:ascii="David" w:hAnsi="David" w:cs="David"/>
          <w:color w:val="000000" w:themeColor="text1"/>
          <w:sz w:val="24"/>
          <w:szCs w:val="24"/>
          <w:shd w:val="clear" w:color="auto" w:fill="FFFFFF"/>
          <w:rtl/>
        </w:rPr>
        <w:t xml:space="preserve">, </w:t>
      </w:r>
      <w:r w:rsidRPr="00AD451B">
        <w:rPr>
          <w:rFonts w:ascii="David" w:hAnsi="David" w:cs="David"/>
          <w:color w:val="000000" w:themeColor="text1"/>
          <w:sz w:val="24"/>
          <w:szCs w:val="24"/>
          <w:shd w:val="clear" w:color="auto" w:fill="FFFFFF"/>
          <w:rtl/>
          <w:lang w:bidi="he-IL"/>
        </w:rPr>
        <w:t>שאותם</w:t>
      </w:r>
      <w:r w:rsidRPr="00AD451B">
        <w:rPr>
          <w:rFonts w:ascii="David" w:hAnsi="David" w:cs="David"/>
          <w:color w:val="000000" w:themeColor="text1"/>
          <w:sz w:val="24"/>
          <w:szCs w:val="24"/>
          <w:shd w:val="clear" w:color="auto" w:fill="FFFFFF"/>
          <w:rtl/>
        </w:rPr>
        <w:t xml:space="preserve"> </w:t>
      </w:r>
      <w:r w:rsidRPr="00AD451B">
        <w:rPr>
          <w:rFonts w:ascii="David" w:hAnsi="David" w:cs="David"/>
          <w:color w:val="000000" w:themeColor="text1"/>
          <w:sz w:val="24"/>
          <w:szCs w:val="24"/>
          <w:shd w:val="clear" w:color="auto" w:fill="FFFFFF"/>
          <w:rtl/>
          <w:lang w:bidi="he-IL"/>
        </w:rPr>
        <w:t>מפנימים</w:t>
      </w:r>
      <w:r w:rsidRPr="00AD451B">
        <w:rPr>
          <w:rFonts w:ascii="David" w:hAnsi="David" w:cs="David"/>
          <w:color w:val="000000" w:themeColor="text1"/>
          <w:sz w:val="24"/>
          <w:szCs w:val="24"/>
          <w:shd w:val="clear" w:color="auto" w:fill="FFFFFF"/>
          <w:rtl/>
        </w:rPr>
        <w:t xml:space="preserve"> </w:t>
      </w:r>
      <w:r w:rsidRPr="00AD451B">
        <w:rPr>
          <w:rFonts w:ascii="David" w:hAnsi="David" w:cs="David"/>
          <w:color w:val="000000" w:themeColor="text1"/>
          <w:sz w:val="24"/>
          <w:szCs w:val="24"/>
          <w:shd w:val="clear" w:color="auto" w:fill="FFFFFF"/>
          <w:rtl/>
          <w:lang w:bidi="he-IL"/>
        </w:rPr>
        <w:t>המשפטנים</w:t>
      </w:r>
      <w:r w:rsidRPr="00AD451B">
        <w:rPr>
          <w:rFonts w:ascii="David" w:hAnsi="David" w:cs="David"/>
          <w:color w:val="000000" w:themeColor="text1"/>
          <w:sz w:val="24"/>
          <w:szCs w:val="24"/>
          <w:shd w:val="clear" w:color="auto" w:fill="FFFFFF"/>
          <w:rtl/>
        </w:rPr>
        <w:t xml:space="preserve">. </w:t>
      </w:r>
      <w:r w:rsidRPr="00AD451B">
        <w:rPr>
          <w:rFonts w:ascii="David" w:hAnsi="David" w:cs="David"/>
          <w:color w:val="000000" w:themeColor="text1"/>
          <w:sz w:val="24"/>
          <w:szCs w:val="24"/>
          <w:shd w:val="clear" w:color="auto" w:fill="FFFFFF"/>
          <w:rtl/>
          <w:lang w:bidi="he-IL"/>
        </w:rPr>
        <w:t>ההתנסות</w:t>
      </w:r>
      <w:r w:rsidRPr="00AD451B">
        <w:rPr>
          <w:rFonts w:ascii="David" w:hAnsi="David" w:cs="David"/>
          <w:color w:val="000000" w:themeColor="text1"/>
          <w:sz w:val="24"/>
          <w:szCs w:val="24"/>
          <w:shd w:val="clear" w:color="auto" w:fill="FFFFFF"/>
          <w:rtl/>
        </w:rPr>
        <w:t xml:space="preserve"> </w:t>
      </w:r>
      <w:r w:rsidRPr="00AD451B">
        <w:rPr>
          <w:rFonts w:ascii="David" w:hAnsi="David" w:cs="David"/>
          <w:color w:val="000000" w:themeColor="text1"/>
          <w:sz w:val="24"/>
          <w:szCs w:val="24"/>
          <w:shd w:val="clear" w:color="auto" w:fill="FFFFFF"/>
          <w:rtl/>
          <w:lang w:bidi="he-IL"/>
        </w:rPr>
        <w:t>המקצועית</w:t>
      </w:r>
      <w:r w:rsidRPr="00AD451B">
        <w:rPr>
          <w:rFonts w:ascii="David" w:hAnsi="David" w:cs="David"/>
          <w:color w:val="000000" w:themeColor="text1"/>
          <w:sz w:val="24"/>
          <w:szCs w:val="24"/>
          <w:shd w:val="clear" w:color="auto" w:fill="FFFFFF"/>
          <w:rtl/>
        </w:rPr>
        <w:t xml:space="preserve"> </w:t>
      </w:r>
      <w:r w:rsidRPr="00AD451B">
        <w:rPr>
          <w:rFonts w:ascii="David" w:hAnsi="David" w:cs="David" w:hint="eastAsia"/>
          <w:color w:val="000000" w:themeColor="text1"/>
          <w:sz w:val="24"/>
          <w:szCs w:val="24"/>
          <w:shd w:val="clear" w:color="auto" w:fill="FFFFFF"/>
          <w:rtl/>
          <w:lang w:bidi="he-IL"/>
        </w:rPr>
        <w:t>של</w:t>
      </w:r>
      <w:r w:rsidRPr="00AD451B">
        <w:rPr>
          <w:rFonts w:ascii="David" w:hAnsi="David" w:cs="David"/>
          <w:color w:val="000000" w:themeColor="text1"/>
          <w:sz w:val="24"/>
          <w:szCs w:val="24"/>
          <w:shd w:val="clear" w:color="auto" w:fill="FFFFFF"/>
          <w:rtl/>
          <w:lang w:bidi="he-IL"/>
        </w:rPr>
        <w:t xml:space="preserve"> המשפטנים מאפשרת</w:t>
      </w:r>
      <w:r w:rsidRPr="00AD451B">
        <w:rPr>
          <w:rFonts w:ascii="David" w:hAnsi="David" w:cs="David"/>
          <w:color w:val="000000" w:themeColor="text1"/>
          <w:sz w:val="24"/>
          <w:szCs w:val="24"/>
          <w:shd w:val="clear" w:color="auto" w:fill="FFFFFF"/>
          <w:rtl/>
        </w:rPr>
        <w:t xml:space="preserve"> </w:t>
      </w:r>
      <w:r w:rsidRPr="00AD451B">
        <w:rPr>
          <w:rFonts w:ascii="David" w:hAnsi="David" w:cs="David" w:hint="eastAsia"/>
          <w:color w:val="000000" w:themeColor="text1"/>
          <w:sz w:val="24"/>
          <w:szCs w:val="24"/>
          <w:shd w:val="clear" w:color="auto" w:fill="FFFFFF"/>
          <w:rtl/>
          <w:lang w:bidi="he-IL"/>
        </w:rPr>
        <w:t>להם</w:t>
      </w:r>
      <w:r w:rsidRPr="00AD451B">
        <w:rPr>
          <w:rFonts w:ascii="David" w:hAnsi="David" w:cs="David"/>
          <w:color w:val="000000" w:themeColor="text1"/>
          <w:sz w:val="24"/>
          <w:szCs w:val="24"/>
          <w:shd w:val="clear" w:color="auto" w:fill="FFFFFF"/>
          <w:rtl/>
          <w:lang w:bidi="he-IL"/>
        </w:rPr>
        <w:t xml:space="preserve"> להפנים </w:t>
      </w:r>
      <w:r w:rsidRPr="00AD451B">
        <w:rPr>
          <w:rFonts w:ascii="David" w:hAnsi="David" w:cs="David" w:hint="eastAsia"/>
          <w:color w:val="000000" w:themeColor="text1"/>
          <w:sz w:val="24"/>
          <w:szCs w:val="24"/>
          <w:shd w:val="clear" w:color="auto" w:fill="FFFFFF"/>
          <w:rtl/>
          <w:lang w:bidi="he-IL"/>
        </w:rPr>
        <w:t>את</w:t>
      </w:r>
      <w:r w:rsidRPr="00AD451B">
        <w:rPr>
          <w:rFonts w:ascii="David" w:hAnsi="David" w:cs="David"/>
          <w:color w:val="000000" w:themeColor="text1"/>
          <w:sz w:val="24"/>
          <w:szCs w:val="24"/>
          <w:shd w:val="clear" w:color="auto" w:fill="FFFFFF"/>
          <w:rtl/>
          <w:lang w:bidi="he-IL"/>
        </w:rPr>
        <w:t xml:space="preserve"> </w:t>
      </w:r>
      <w:r w:rsidRPr="00AD451B">
        <w:rPr>
          <w:rFonts w:ascii="David" w:hAnsi="David" w:cs="David" w:hint="eastAsia"/>
          <w:color w:val="000000" w:themeColor="text1"/>
          <w:sz w:val="24"/>
          <w:szCs w:val="24"/>
          <w:shd w:val="clear" w:color="auto" w:fill="FFFFFF"/>
          <w:rtl/>
          <w:lang w:bidi="he-IL"/>
        </w:rPr>
        <w:t>ה</w:t>
      </w:r>
      <w:r w:rsidRPr="00AD451B">
        <w:rPr>
          <w:rFonts w:ascii="David" w:hAnsi="David" w:cs="David"/>
          <w:color w:val="000000" w:themeColor="text1"/>
          <w:sz w:val="24"/>
          <w:szCs w:val="24"/>
          <w:shd w:val="clear" w:color="auto" w:fill="FFFFFF"/>
          <w:rtl/>
          <w:lang w:bidi="he-IL"/>
        </w:rPr>
        <w:t>מאגר</w:t>
      </w:r>
      <w:r w:rsidRPr="00AD451B">
        <w:rPr>
          <w:rFonts w:ascii="David" w:hAnsi="David" w:cs="David"/>
          <w:color w:val="000000" w:themeColor="text1"/>
          <w:sz w:val="24"/>
          <w:szCs w:val="24"/>
          <w:shd w:val="clear" w:color="auto" w:fill="FFFFFF"/>
          <w:rtl/>
        </w:rPr>
        <w:t xml:space="preserve"> </w:t>
      </w:r>
      <w:r w:rsidRPr="00AD451B">
        <w:rPr>
          <w:rFonts w:ascii="David" w:hAnsi="David" w:cs="David" w:hint="eastAsia"/>
          <w:color w:val="000000" w:themeColor="text1"/>
          <w:sz w:val="24"/>
          <w:szCs w:val="24"/>
          <w:shd w:val="clear" w:color="auto" w:fill="FFFFFF"/>
          <w:rtl/>
          <w:lang w:bidi="he-IL"/>
        </w:rPr>
        <w:t>ה</w:t>
      </w:r>
      <w:r w:rsidRPr="00AD451B">
        <w:rPr>
          <w:rFonts w:ascii="David" w:hAnsi="David" w:cs="David"/>
          <w:color w:val="000000" w:themeColor="text1"/>
          <w:sz w:val="24"/>
          <w:szCs w:val="24"/>
          <w:shd w:val="clear" w:color="auto" w:fill="FFFFFF"/>
          <w:rtl/>
          <w:lang w:bidi="he-IL"/>
        </w:rPr>
        <w:t>זה,</w:t>
      </w:r>
      <w:r w:rsidRPr="00AD451B">
        <w:rPr>
          <w:rFonts w:ascii="David" w:hAnsi="David" w:cs="David"/>
          <w:color w:val="000000" w:themeColor="text1"/>
          <w:sz w:val="24"/>
          <w:szCs w:val="24"/>
          <w:shd w:val="clear" w:color="auto" w:fill="FFFFFF"/>
          <w:rtl/>
        </w:rPr>
        <w:t xml:space="preserve"> </w:t>
      </w:r>
      <w:r w:rsidRPr="00AD451B">
        <w:rPr>
          <w:rFonts w:ascii="David" w:hAnsi="David" w:cs="David" w:hint="eastAsia"/>
          <w:color w:val="000000" w:themeColor="text1"/>
          <w:sz w:val="24"/>
          <w:szCs w:val="24"/>
          <w:shd w:val="clear" w:color="auto" w:fill="FFFFFF"/>
          <w:rtl/>
          <w:lang w:bidi="he-IL"/>
        </w:rPr>
        <w:t>ובאמצעותו</w:t>
      </w:r>
      <w:r w:rsidRPr="00AD451B">
        <w:rPr>
          <w:rFonts w:ascii="David" w:hAnsi="David" w:cs="David"/>
          <w:color w:val="000000" w:themeColor="text1"/>
          <w:sz w:val="24"/>
          <w:szCs w:val="24"/>
          <w:shd w:val="clear" w:color="auto" w:fill="FFFFFF"/>
          <w:rtl/>
          <w:lang w:bidi="he-IL"/>
        </w:rPr>
        <w:t xml:space="preserve"> הם יכולים לפעול</w:t>
      </w:r>
      <w:r w:rsidRPr="00AD451B">
        <w:rPr>
          <w:rFonts w:ascii="David" w:hAnsi="David" w:cs="David"/>
          <w:color w:val="000000" w:themeColor="text1"/>
          <w:sz w:val="24"/>
          <w:szCs w:val="24"/>
          <w:shd w:val="clear" w:color="auto" w:fill="FFFFFF"/>
          <w:rtl/>
        </w:rPr>
        <w:t xml:space="preserve"> </w:t>
      </w:r>
      <w:r w:rsidRPr="00AD451B">
        <w:rPr>
          <w:rFonts w:ascii="David" w:hAnsi="David" w:cs="David"/>
          <w:color w:val="000000" w:themeColor="text1"/>
          <w:sz w:val="24"/>
          <w:szCs w:val="24"/>
          <w:shd w:val="clear" w:color="auto" w:fill="FFFFFF"/>
          <w:rtl/>
          <w:lang w:bidi="he-IL"/>
        </w:rPr>
        <w:t>ברמה</w:t>
      </w:r>
      <w:r w:rsidRPr="00AD451B">
        <w:rPr>
          <w:rFonts w:ascii="David" w:hAnsi="David" w:cs="David"/>
          <w:color w:val="000000" w:themeColor="text1"/>
          <w:sz w:val="24"/>
          <w:szCs w:val="24"/>
          <w:shd w:val="clear" w:color="auto" w:fill="FFFFFF"/>
          <w:rtl/>
        </w:rPr>
        <w:t xml:space="preserve"> </w:t>
      </w:r>
      <w:r w:rsidRPr="00AD451B">
        <w:rPr>
          <w:rFonts w:ascii="David" w:hAnsi="David" w:cs="David"/>
          <w:color w:val="000000" w:themeColor="text1"/>
          <w:sz w:val="24"/>
          <w:szCs w:val="24"/>
          <w:shd w:val="clear" w:color="auto" w:fill="FFFFFF"/>
          <w:rtl/>
          <w:lang w:bidi="he-IL"/>
        </w:rPr>
        <w:t>גבוה</w:t>
      </w:r>
      <w:r w:rsidRPr="00AD451B">
        <w:rPr>
          <w:rFonts w:ascii="David" w:hAnsi="David" w:cs="David" w:hint="eastAsia"/>
          <w:color w:val="000000" w:themeColor="text1"/>
          <w:sz w:val="24"/>
          <w:szCs w:val="24"/>
          <w:shd w:val="clear" w:color="auto" w:fill="FFFFFF"/>
          <w:rtl/>
          <w:lang w:bidi="he-IL"/>
        </w:rPr>
        <w:t>ה</w:t>
      </w:r>
      <w:r w:rsidRPr="00AD451B">
        <w:rPr>
          <w:rFonts w:ascii="David" w:hAnsi="David" w:cs="David"/>
          <w:color w:val="000000" w:themeColor="text1"/>
          <w:sz w:val="24"/>
          <w:szCs w:val="24"/>
          <w:shd w:val="clear" w:color="auto" w:fill="FFFFFF"/>
          <w:rtl/>
        </w:rPr>
        <w:t xml:space="preserve"> </w:t>
      </w:r>
      <w:r w:rsidRPr="00AD451B">
        <w:rPr>
          <w:rFonts w:ascii="David" w:hAnsi="David" w:cs="David"/>
          <w:color w:val="000000" w:themeColor="text1"/>
          <w:sz w:val="24"/>
          <w:szCs w:val="24"/>
          <w:shd w:val="clear" w:color="auto" w:fill="FFFFFF"/>
          <w:rtl/>
          <w:lang w:bidi="he-IL"/>
        </w:rPr>
        <w:t>של</w:t>
      </w:r>
      <w:r w:rsidRPr="00AD451B">
        <w:rPr>
          <w:rFonts w:ascii="David" w:hAnsi="David" w:cs="David"/>
          <w:color w:val="000000" w:themeColor="text1"/>
          <w:sz w:val="24"/>
          <w:szCs w:val="24"/>
          <w:shd w:val="clear" w:color="auto" w:fill="FFFFFF"/>
          <w:rtl/>
        </w:rPr>
        <w:t xml:space="preserve"> </w:t>
      </w:r>
      <w:r w:rsidRPr="00AD451B">
        <w:rPr>
          <w:rFonts w:ascii="David" w:hAnsi="David" w:cs="David"/>
          <w:color w:val="000000" w:themeColor="text1"/>
          <w:sz w:val="24"/>
          <w:szCs w:val="24"/>
          <w:shd w:val="clear" w:color="auto" w:fill="FFFFFF"/>
          <w:rtl/>
          <w:lang w:bidi="he-IL"/>
        </w:rPr>
        <w:t>אובייקטיביות</w:t>
      </w:r>
      <w:r w:rsidRPr="00AD451B">
        <w:rPr>
          <w:rFonts w:ascii="David" w:hAnsi="David" w:cs="David"/>
          <w:color w:val="000000" w:themeColor="text1"/>
          <w:sz w:val="24"/>
          <w:szCs w:val="24"/>
          <w:shd w:val="clear" w:color="auto" w:fill="FFFFFF"/>
          <w:rtl/>
        </w:rPr>
        <w:t xml:space="preserve">, </w:t>
      </w:r>
      <w:r w:rsidRPr="00AD451B">
        <w:rPr>
          <w:rFonts w:ascii="David" w:hAnsi="David" w:cs="David"/>
          <w:color w:val="000000" w:themeColor="text1"/>
          <w:sz w:val="24"/>
          <w:szCs w:val="24"/>
          <w:shd w:val="clear" w:color="auto" w:fill="FFFFFF"/>
          <w:rtl/>
          <w:lang w:bidi="he-IL"/>
        </w:rPr>
        <w:t>ובאמות</w:t>
      </w:r>
      <w:r w:rsidRPr="00AD451B">
        <w:rPr>
          <w:rFonts w:ascii="David" w:hAnsi="David" w:cs="David"/>
          <w:color w:val="000000" w:themeColor="text1"/>
          <w:sz w:val="24"/>
          <w:szCs w:val="24"/>
          <w:shd w:val="clear" w:color="auto" w:fill="FFFFFF"/>
          <w:rtl/>
        </w:rPr>
        <w:t xml:space="preserve"> </w:t>
      </w:r>
      <w:r w:rsidRPr="00AD451B">
        <w:rPr>
          <w:rFonts w:ascii="David" w:hAnsi="David" w:cs="David"/>
          <w:color w:val="000000" w:themeColor="text1"/>
          <w:sz w:val="24"/>
          <w:szCs w:val="24"/>
          <w:shd w:val="clear" w:color="auto" w:fill="FFFFFF"/>
          <w:rtl/>
          <w:lang w:bidi="he-IL"/>
        </w:rPr>
        <w:t>המידה</w:t>
      </w:r>
      <w:r w:rsidRPr="00AD451B">
        <w:rPr>
          <w:rFonts w:ascii="David" w:hAnsi="David" w:cs="David"/>
          <w:color w:val="000000" w:themeColor="text1"/>
          <w:sz w:val="24"/>
          <w:szCs w:val="24"/>
          <w:shd w:val="clear" w:color="auto" w:fill="FFFFFF"/>
          <w:rtl/>
        </w:rPr>
        <w:t xml:space="preserve"> </w:t>
      </w:r>
      <w:r w:rsidRPr="00AD451B">
        <w:rPr>
          <w:rFonts w:ascii="David" w:hAnsi="David" w:cs="David"/>
          <w:color w:val="000000" w:themeColor="text1"/>
          <w:sz w:val="24"/>
          <w:szCs w:val="24"/>
          <w:shd w:val="clear" w:color="auto" w:fill="FFFFFF"/>
          <w:rtl/>
          <w:lang w:bidi="he-IL"/>
        </w:rPr>
        <w:t>המקובלות</w:t>
      </w:r>
      <w:r w:rsidRPr="00AD451B">
        <w:rPr>
          <w:rFonts w:ascii="David" w:hAnsi="David" w:cs="David"/>
          <w:color w:val="000000" w:themeColor="text1"/>
          <w:sz w:val="24"/>
          <w:szCs w:val="24"/>
          <w:shd w:val="clear" w:color="auto" w:fill="FFFFFF"/>
          <w:rtl/>
        </w:rPr>
        <w:t xml:space="preserve"> </w:t>
      </w:r>
      <w:r w:rsidRPr="00AD451B">
        <w:rPr>
          <w:rFonts w:ascii="David" w:hAnsi="David" w:cs="David"/>
          <w:color w:val="000000" w:themeColor="text1"/>
          <w:sz w:val="24"/>
          <w:szCs w:val="24"/>
          <w:shd w:val="clear" w:color="auto" w:fill="FFFFFF"/>
          <w:rtl/>
          <w:lang w:bidi="he-IL"/>
        </w:rPr>
        <w:t>באופן</w:t>
      </w:r>
      <w:r w:rsidRPr="00AD451B">
        <w:rPr>
          <w:rFonts w:ascii="David" w:hAnsi="David" w:cs="David"/>
          <w:color w:val="000000" w:themeColor="text1"/>
          <w:sz w:val="24"/>
          <w:szCs w:val="24"/>
          <w:shd w:val="clear" w:color="auto" w:fill="FFFFFF"/>
          <w:rtl/>
        </w:rPr>
        <w:t xml:space="preserve"> </w:t>
      </w:r>
      <w:r w:rsidRPr="00AD451B">
        <w:rPr>
          <w:rFonts w:ascii="David" w:hAnsi="David" w:cs="David"/>
          <w:color w:val="000000" w:themeColor="text1"/>
          <w:sz w:val="24"/>
          <w:szCs w:val="24"/>
          <w:shd w:val="clear" w:color="auto" w:fill="FFFFFF"/>
          <w:rtl/>
          <w:lang w:bidi="he-IL"/>
        </w:rPr>
        <w:t>נרחב,</w:t>
      </w:r>
      <w:r w:rsidRPr="00AD451B">
        <w:rPr>
          <w:rFonts w:ascii="David" w:hAnsi="David" w:cs="David"/>
          <w:color w:val="000000" w:themeColor="text1"/>
          <w:sz w:val="24"/>
          <w:szCs w:val="24"/>
          <w:shd w:val="clear" w:color="auto" w:fill="FFFFFF"/>
          <w:rtl/>
        </w:rPr>
        <w:t xml:space="preserve"> </w:t>
      </w:r>
      <w:r w:rsidRPr="00AD451B">
        <w:rPr>
          <w:rFonts w:ascii="David" w:hAnsi="David" w:cs="David"/>
          <w:color w:val="000000" w:themeColor="text1"/>
          <w:sz w:val="24"/>
          <w:szCs w:val="24"/>
          <w:shd w:val="clear" w:color="auto" w:fill="FFFFFF"/>
          <w:rtl/>
          <w:lang w:bidi="he-IL"/>
        </w:rPr>
        <w:t>במסגרת</w:t>
      </w:r>
      <w:r w:rsidRPr="00AD451B">
        <w:rPr>
          <w:rFonts w:ascii="David" w:hAnsi="David" w:cs="David"/>
          <w:color w:val="000000" w:themeColor="text1"/>
          <w:sz w:val="24"/>
          <w:szCs w:val="24"/>
          <w:shd w:val="clear" w:color="auto" w:fill="FFFFFF"/>
          <w:rtl/>
        </w:rPr>
        <w:t xml:space="preserve"> </w:t>
      </w:r>
      <w:r w:rsidRPr="00AD451B">
        <w:rPr>
          <w:rFonts w:ascii="David" w:hAnsi="David" w:cs="David"/>
          <w:color w:val="000000" w:themeColor="text1"/>
          <w:sz w:val="24"/>
          <w:szCs w:val="24"/>
          <w:shd w:val="clear" w:color="auto" w:fill="FFFFFF"/>
          <w:rtl/>
          <w:lang w:bidi="he-IL"/>
        </w:rPr>
        <w:t>התרבות</w:t>
      </w:r>
      <w:r w:rsidRPr="00AD451B">
        <w:rPr>
          <w:rFonts w:ascii="David" w:hAnsi="David" w:cs="David"/>
          <w:color w:val="000000" w:themeColor="text1"/>
          <w:sz w:val="24"/>
          <w:szCs w:val="24"/>
          <w:shd w:val="clear" w:color="auto" w:fill="FFFFFF"/>
          <w:rtl/>
        </w:rPr>
        <w:t xml:space="preserve"> </w:t>
      </w:r>
      <w:r w:rsidRPr="00AD451B">
        <w:rPr>
          <w:rFonts w:ascii="David" w:hAnsi="David" w:cs="David"/>
          <w:color w:val="000000" w:themeColor="text1"/>
          <w:sz w:val="24"/>
          <w:szCs w:val="24"/>
          <w:shd w:val="clear" w:color="auto" w:fill="FFFFFF"/>
          <w:rtl/>
          <w:lang w:bidi="he-IL"/>
        </w:rPr>
        <w:t>המקצועית</w:t>
      </w:r>
      <w:r w:rsidRPr="00AD451B">
        <w:rPr>
          <w:rFonts w:ascii="David" w:hAnsi="David" w:cs="David"/>
          <w:color w:val="000000" w:themeColor="text1"/>
          <w:sz w:val="24"/>
          <w:szCs w:val="24"/>
          <w:shd w:val="clear" w:color="auto" w:fill="FFFFFF"/>
          <w:rtl/>
        </w:rPr>
        <w:t xml:space="preserve"> </w:t>
      </w:r>
      <w:r w:rsidRPr="00AD451B">
        <w:rPr>
          <w:rFonts w:ascii="David" w:hAnsi="David" w:cs="David"/>
          <w:color w:val="000000" w:themeColor="text1"/>
          <w:sz w:val="24"/>
          <w:szCs w:val="24"/>
          <w:shd w:val="clear" w:color="auto" w:fill="FFFFFF"/>
          <w:rtl/>
          <w:lang w:bidi="he-IL"/>
        </w:rPr>
        <w:t>של</w:t>
      </w:r>
      <w:r w:rsidRPr="00AD451B">
        <w:rPr>
          <w:rFonts w:ascii="David" w:hAnsi="David" w:cs="David"/>
          <w:color w:val="000000" w:themeColor="text1"/>
          <w:sz w:val="24"/>
          <w:szCs w:val="24"/>
          <w:shd w:val="clear" w:color="auto" w:fill="FFFFFF"/>
          <w:rtl/>
        </w:rPr>
        <w:t xml:space="preserve"> </w:t>
      </w:r>
      <w:r w:rsidRPr="00AD451B">
        <w:rPr>
          <w:rFonts w:ascii="David" w:hAnsi="David" w:cs="David"/>
          <w:color w:val="000000" w:themeColor="text1"/>
          <w:sz w:val="24"/>
          <w:szCs w:val="24"/>
          <w:shd w:val="clear" w:color="auto" w:fill="FFFFFF"/>
          <w:rtl/>
          <w:lang w:bidi="he-IL"/>
        </w:rPr>
        <w:t>המשפט</w:t>
      </w:r>
      <w:r w:rsidRPr="00AD451B">
        <w:rPr>
          <w:rFonts w:ascii="David" w:hAnsi="David" w:cs="David"/>
          <w:color w:val="000000" w:themeColor="text1"/>
          <w:sz w:val="24"/>
          <w:szCs w:val="24"/>
          <w:shd w:val="clear" w:color="auto" w:fill="FFFFFF"/>
          <w:rtl/>
        </w:rPr>
        <w:t xml:space="preserve">. </w:t>
      </w:r>
      <w:r w:rsidRPr="00AD451B">
        <w:rPr>
          <w:rFonts w:ascii="David" w:hAnsi="David" w:cs="David" w:hint="eastAsia"/>
          <w:color w:val="000000" w:themeColor="text1"/>
          <w:sz w:val="24"/>
          <w:szCs w:val="24"/>
          <w:shd w:val="clear" w:color="auto" w:fill="FFFFFF"/>
          <w:rtl/>
          <w:lang w:bidi="he-IL"/>
        </w:rPr>
        <w:t>כיום</w:t>
      </w:r>
      <w:r w:rsidRPr="00AD451B">
        <w:rPr>
          <w:rFonts w:ascii="David" w:hAnsi="David" w:cs="David"/>
          <w:color w:val="000000" w:themeColor="text1"/>
          <w:sz w:val="24"/>
          <w:szCs w:val="24"/>
          <w:shd w:val="clear" w:color="auto" w:fill="FFFFFF"/>
          <w:rtl/>
          <w:lang w:bidi="he-IL"/>
        </w:rPr>
        <w:t xml:space="preserve"> </w:t>
      </w:r>
      <w:r w:rsidRPr="00AD451B">
        <w:rPr>
          <w:rFonts w:ascii="David" w:hAnsi="David" w:cs="David" w:hint="eastAsia"/>
          <w:color w:val="000000" w:themeColor="text1"/>
          <w:sz w:val="24"/>
          <w:szCs w:val="24"/>
          <w:shd w:val="clear" w:color="auto" w:fill="FFFFFF"/>
          <w:rtl/>
          <w:lang w:bidi="he-IL"/>
        </w:rPr>
        <w:t>אנחנו</w:t>
      </w:r>
      <w:r w:rsidRPr="00AD451B">
        <w:rPr>
          <w:rFonts w:ascii="David" w:hAnsi="David" w:cs="David"/>
          <w:color w:val="000000" w:themeColor="text1"/>
          <w:sz w:val="24"/>
          <w:szCs w:val="24"/>
          <w:shd w:val="clear" w:color="auto" w:fill="FFFFFF"/>
          <w:rtl/>
          <w:lang w:bidi="he-IL"/>
        </w:rPr>
        <w:t xml:space="preserve"> </w:t>
      </w:r>
      <w:r w:rsidRPr="00AD451B">
        <w:rPr>
          <w:rFonts w:ascii="David" w:hAnsi="David" w:cs="David" w:hint="eastAsia"/>
          <w:color w:val="000000" w:themeColor="text1"/>
          <w:sz w:val="24"/>
          <w:szCs w:val="24"/>
          <w:shd w:val="clear" w:color="auto" w:fill="FFFFFF"/>
          <w:rtl/>
          <w:lang w:bidi="he-IL"/>
        </w:rPr>
        <w:t>מגדירים</w:t>
      </w:r>
      <w:r w:rsidRPr="00AD451B">
        <w:rPr>
          <w:rFonts w:ascii="David" w:hAnsi="David" w:cs="David"/>
          <w:color w:val="000000" w:themeColor="text1"/>
          <w:sz w:val="24"/>
          <w:szCs w:val="24"/>
          <w:shd w:val="clear" w:color="auto" w:fill="FFFFFF"/>
          <w:rtl/>
          <w:lang w:bidi="he-IL"/>
        </w:rPr>
        <w:t xml:space="preserve"> </w:t>
      </w:r>
      <w:r w:rsidRPr="00AD451B">
        <w:rPr>
          <w:rFonts w:ascii="David" w:hAnsi="David" w:cs="David" w:hint="eastAsia"/>
          <w:color w:val="000000" w:themeColor="text1"/>
          <w:sz w:val="24"/>
          <w:szCs w:val="24"/>
          <w:shd w:val="clear" w:color="auto" w:fill="FFFFFF"/>
          <w:rtl/>
          <w:lang w:bidi="he-IL"/>
        </w:rPr>
        <w:t>זאת</w:t>
      </w:r>
      <w:r w:rsidRPr="00AD451B">
        <w:rPr>
          <w:rFonts w:ascii="David" w:hAnsi="David" w:cs="David"/>
          <w:color w:val="000000" w:themeColor="text1"/>
          <w:sz w:val="24"/>
          <w:szCs w:val="24"/>
          <w:shd w:val="clear" w:color="auto" w:fill="FFFFFF"/>
          <w:rtl/>
          <w:lang w:bidi="he-IL"/>
        </w:rPr>
        <w:t xml:space="preserve"> </w:t>
      </w:r>
      <w:r w:rsidRPr="00AD451B">
        <w:rPr>
          <w:rFonts w:ascii="David" w:hAnsi="David" w:cs="David" w:hint="eastAsia"/>
          <w:color w:val="000000" w:themeColor="text1"/>
          <w:sz w:val="24"/>
          <w:szCs w:val="24"/>
          <w:shd w:val="clear" w:color="auto" w:fill="FFFFFF"/>
          <w:rtl/>
          <w:lang w:bidi="he-IL"/>
        </w:rPr>
        <w:t>כ</w:t>
      </w:r>
      <w:r w:rsidRPr="00AD451B">
        <w:rPr>
          <w:rFonts w:ascii="David" w:hAnsi="David" w:cs="David"/>
          <w:color w:val="000000" w:themeColor="text1"/>
          <w:sz w:val="24"/>
          <w:szCs w:val="24"/>
          <w:shd w:val="clear" w:color="auto" w:fill="FFFFFF"/>
          <w:rtl/>
          <w:lang w:bidi="he-IL"/>
        </w:rPr>
        <w:t>הביטוס</w:t>
      </w:r>
      <w:r w:rsidRPr="00AD451B">
        <w:rPr>
          <w:rFonts w:ascii="David" w:hAnsi="David" w:cs="David"/>
          <w:color w:val="000000" w:themeColor="text1"/>
          <w:sz w:val="24"/>
          <w:szCs w:val="24"/>
          <w:shd w:val="clear" w:color="auto" w:fill="FFFFFF"/>
          <w:rtl/>
        </w:rPr>
        <w:t xml:space="preserve"> (</w:t>
      </w:r>
      <w:r w:rsidRPr="00AD451B">
        <w:rPr>
          <w:rFonts w:ascii="David" w:hAnsi="David" w:cs="David"/>
          <w:color w:val="000000" w:themeColor="text1"/>
          <w:sz w:val="24"/>
          <w:szCs w:val="24"/>
          <w:shd w:val="clear" w:color="auto" w:fill="FFFFFF"/>
          <w:rtl/>
          <w:lang w:bidi="he-IL"/>
        </w:rPr>
        <w:t>במונחיו</w:t>
      </w:r>
      <w:r w:rsidRPr="00AD451B">
        <w:rPr>
          <w:rFonts w:ascii="David" w:hAnsi="David" w:cs="David"/>
          <w:color w:val="000000" w:themeColor="text1"/>
          <w:sz w:val="24"/>
          <w:szCs w:val="24"/>
          <w:shd w:val="clear" w:color="auto" w:fill="FFFFFF"/>
          <w:rtl/>
        </w:rPr>
        <w:t xml:space="preserve"> </w:t>
      </w:r>
      <w:r w:rsidRPr="00AD451B">
        <w:rPr>
          <w:rFonts w:ascii="David" w:hAnsi="David" w:cs="David"/>
          <w:color w:val="000000" w:themeColor="text1"/>
          <w:sz w:val="24"/>
          <w:szCs w:val="24"/>
          <w:shd w:val="clear" w:color="auto" w:fill="FFFFFF"/>
          <w:rtl/>
          <w:lang w:bidi="he-IL"/>
        </w:rPr>
        <w:t>של</w:t>
      </w:r>
      <w:r w:rsidRPr="00AD451B">
        <w:rPr>
          <w:rFonts w:ascii="David" w:hAnsi="David" w:cs="David"/>
          <w:color w:val="000000" w:themeColor="text1"/>
          <w:sz w:val="24"/>
          <w:szCs w:val="24"/>
          <w:shd w:val="clear" w:color="auto" w:fill="FFFFFF"/>
          <w:rtl/>
        </w:rPr>
        <w:t xml:space="preserve"> </w:t>
      </w:r>
      <w:r w:rsidRPr="00AD451B">
        <w:rPr>
          <w:rFonts w:ascii="David" w:hAnsi="David" w:cs="David"/>
          <w:color w:val="000000" w:themeColor="text1"/>
          <w:sz w:val="24"/>
          <w:szCs w:val="24"/>
          <w:shd w:val="clear" w:color="auto" w:fill="FFFFFF"/>
          <w:rtl/>
          <w:lang w:bidi="he-IL"/>
        </w:rPr>
        <w:t>בורדייה</w:t>
      </w:r>
      <w:r w:rsidRPr="00AD451B">
        <w:rPr>
          <w:rFonts w:ascii="David" w:hAnsi="David" w:cs="David"/>
          <w:color w:val="000000" w:themeColor="text1"/>
          <w:sz w:val="24"/>
          <w:szCs w:val="24"/>
          <w:shd w:val="clear" w:color="auto" w:fill="FFFFFF"/>
          <w:rtl/>
        </w:rPr>
        <w:t>)</w:t>
      </w:r>
      <w:r w:rsidRPr="00AD451B">
        <w:rPr>
          <w:rFonts w:ascii="David" w:hAnsi="David" w:cs="David"/>
          <w:color w:val="000000" w:themeColor="text1"/>
          <w:sz w:val="24"/>
          <w:szCs w:val="24"/>
          <w:shd w:val="clear" w:color="auto" w:fill="FFFFFF"/>
          <w:rtl/>
          <w:lang w:bidi="he-IL"/>
        </w:rPr>
        <w:t>.</w:t>
      </w:r>
      <w:r w:rsidRPr="00AD451B">
        <w:rPr>
          <w:rFonts w:ascii="David" w:hAnsi="David" w:cs="David"/>
          <w:color w:val="000000" w:themeColor="text1"/>
          <w:sz w:val="24"/>
          <w:szCs w:val="24"/>
          <w:shd w:val="clear" w:color="auto" w:fill="FFFFFF"/>
          <w:rtl/>
        </w:rPr>
        <w:t xml:space="preserve"> </w:t>
      </w:r>
      <w:r w:rsidRPr="00AD451B">
        <w:rPr>
          <w:rFonts w:ascii="David" w:hAnsi="David" w:cs="David" w:hint="eastAsia"/>
          <w:color w:val="000000" w:themeColor="text1"/>
          <w:sz w:val="24"/>
          <w:szCs w:val="24"/>
          <w:shd w:val="clear" w:color="auto" w:fill="FFFFFF"/>
          <w:rtl/>
          <w:lang w:bidi="he-IL"/>
        </w:rPr>
        <w:t>אך</w:t>
      </w:r>
      <w:r w:rsidRPr="00AD451B">
        <w:rPr>
          <w:rFonts w:ascii="David" w:hAnsi="David" w:cs="David"/>
          <w:color w:val="000000" w:themeColor="text1"/>
          <w:sz w:val="24"/>
          <w:szCs w:val="24"/>
          <w:shd w:val="clear" w:color="auto" w:fill="FFFFFF"/>
          <w:rtl/>
          <w:lang w:bidi="he-IL"/>
        </w:rPr>
        <w:t xml:space="preserve"> גם פרקטיקות</w:t>
      </w:r>
      <w:r w:rsidRPr="00AD451B">
        <w:rPr>
          <w:rFonts w:ascii="David" w:hAnsi="David" w:cs="David"/>
          <w:color w:val="000000" w:themeColor="text1"/>
          <w:sz w:val="24"/>
          <w:szCs w:val="24"/>
          <w:shd w:val="clear" w:color="auto" w:fill="FFFFFF"/>
          <w:rtl/>
        </w:rPr>
        <w:t xml:space="preserve"> </w:t>
      </w:r>
      <w:r w:rsidRPr="00AD451B">
        <w:rPr>
          <w:rFonts w:ascii="David" w:hAnsi="David" w:cs="David"/>
          <w:color w:val="000000" w:themeColor="text1"/>
          <w:sz w:val="24"/>
          <w:szCs w:val="24"/>
          <w:shd w:val="clear" w:color="auto" w:fill="FFFFFF"/>
          <w:rtl/>
          <w:lang w:bidi="he-IL"/>
        </w:rPr>
        <w:t>והתנהגויות</w:t>
      </w:r>
      <w:r w:rsidRPr="00AD451B">
        <w:rPr>
          <w:rFonts w:ascii="David" w:hAnsi="David" w:cs="David"/>
          <w:color w:val="000000" w:themeColor="text1"/>
          <w:sz w:val="24"/>
          <w:szCs w:val="24"/>
          <w:shd w:val="clear" w:color="auto" w:fill="FFFFFF"/>
          <w:rtl/>
        </w:rPr>
        <w:t xml:space="preserve"> </w:t>
      </w:r>
      <w:r w:rsidRPr="00AD451B">
        <w:rPr>
          <w:rFonts w:ascii="David" w:hAnsi="David" w:cs="David"/>
          <w:color w:val="000000" w:themeColor="text1"/>
          <w:sz w:val="24"/>
          <w:szCs w:val="24"/>
          <w:shd w:val="clear" w:color="auto" w:fill="FFFFFF"/>
          <w:rtl/>
          <w:lang w:bidi="he-IL"/>
        </w:rPr>
        <w:t>מקובלות</w:t>
      </w:r>
      <w:r w:rsidRPr="00AD451B">
        <w:rPr>
          <w:rFonts w:ascii="David" w:hAnsi="David" w:cs="David"/>
          <w:color w:val="000000" w:themeColor="text1"/>
          <w:sz w:val="24"/>
          <w:szCs w:val="24"/>
          <w:shd w:val="clear" w:color="auto" w:fill="FFFFFF"/>
          <w:rtl/>
        </w:rPr>
        <w:t xml:space="preserve"> </w:t>
      </w:r>
      <w:r w:rsidRPr="00AD451B">
        <w:rPr>
          <w:rFonts w:ascii="David" w:hAnsi="David" w:cs="David"/>
          <w:color w:val="000000" w:themeColor="text1"/>
          <w:sz w:val="24"/>
          <w:szCs w:val="24"/>
          <w:shd w:val="clear" w:color="auto" w:fill="FFFFFF"/>
          <w:rtl/>
          <w:lang w:bidi="he-IL"/>
        </w:rPr>
        <w:t>בשדה</w:t>
      </w:r>
      <w:r w:rsidRPr="00AD451B">
        <w:rPr>
          <w:rFonts w:ascii="David" w:hAnsi="David" w:cs="David"/>
          <w:color w:val="000000" w:themeColor="text1"/>
          <w:sz w:val="24"/>
          <w:szCs w:val="24"/>
          <w:shd w:val="clear" w:color="auto" w:fill="FFFFFF"/>
          <w:rtl/>
        </w:rPr>
        <w:t xml:space="preserve"> </w:t>
      </w:r>
      <w:r w:rsidRPr="00AD451B">
        <w:rPr>
          <w:rFonts w:ascii="David" w:hAnsi="David" w:cs="David"/>
          <w:color w:val="000000" w:themeColor="text1"/>
          <w:sz w:val="24"/>
          <w:szCs w:val="24"/>
          <w:shd w:val="clear" w:color="auto" w:fill="FFFFFF"/>
          <w:rtl/>
          <w:lang w:bidi="he-IL"/>
        </w:rPr>
        <w:t>המשפטי</w:t>
      </w:r>
      <w:r w:rsidRPr="00AD451B">
        <w:rPr>
          <w:rFonts w:ascii="David" w:hAnsi="David" w:cs="David"/>
          <w:color w:val="000000" w:themeColor="text1"/>
          <w:sz w:val="24"/>
          <w:szCs w:val="24"/>
          <w:shd w:val="clear" w:color="auto" w:fill="FFFFFF"/>
          <w:rtl/>
        </w:rPr>
        <w:t xml:space="preserve">, </w:t>
      </w:r>
      <w:r w:rsidRPr="00AD451B">
        <w:rPr>
          <w:rFonts w:ascii="David" w:hAnsi="David" w:cs="David"/>
          <w:color w:val="000000" w:themeColor="text1"/>
          <w:sz w:val="24"/>
          <w:szCs w:val="24"/>
          <w:shd w:val="clear" w:color="auto" w:fill="FFFFFF"/>
          <w:rtl/>
          <w:lang w:bidi="he-IL"/>
        </w:rPr>
        <w:t>שלא</w:t>
      </w:r>
      <w:r w:rsidRPr="00AD451B">
        <w:rPr>
          <w:rFonts w:ascii="David" w:hAnsi="David" w:cs="David"/>
          <w:color w:val="000000" w:themeColor="text1"/>
          <w:sz w:val="24"/>
          <w:szCs w:val="24"/>
          <w:shd w:val="clear" w:color="auto" w:fill="FFFFFF"/>
          <w:rtl/>
        </w:rPr>
        <w:t xml:space="preserve"> </w:t>
      </w:r>
      <w:r w:rsidRPr="00AD451B">
        <w:rPr>
          <w:rFonts w:ascii="David" w:hAnsi="David" w:cs="David"/>
          <w:color w:val="000000" w:themeColor="text1"/>
          <w:sz w:val="24"/>
          <w:szCs w:val="24"/>
          <w:shd w:val="clear" w:color="auto" w:fill="FFFFFF"/>
          <w:rtl/>
          <w:lang w:bidi="he-IL"/>
        </w:rPr>
        <w:t>עברו</w:t>
      </w:r>
      <w:r w:rsidRPr="00AD451B">
        <w:rPr>
          <w:rFonts w:ascii="David" w:hAnsi="David" w:cs="David"/>
          <w:color w:val="000000" w:themeColor="text1"/>
          <w:sz w:val="24"/>
          <w:szCs w:val="24"/>
          <w:shd w:val="clear" w:color="auto" w:fill="FFFFFF"/>
          <w:rtl/>
        </w:rPr>
        <w:t xml:space="preserve"> </w:t>
      </w:r>
      <w:r w:rsidRPr="00AD451B">
        <w:rPr>
          <w:rFonts w:ascii="David" w:hAnsi="David" w:cs="David"/>
          <w:color w:val="000000" w:themeColor="text1"/>
          <w:sz w:val="24"/>
          <w:szCs w:val="24"/>
          <w:shd w:val="clear" w:color="auto" w:fill="FFFFFF"/>
          <w:rtl/>
          <w:lang w:bidi="he-IL"/>
        </w:rPr>
        <w:t>קודיפיקציה</w:t>
      </w:r>
      <w:r w:rsidRPr="00AD451B">
        <w:rPr>
          <w:rFonts w:ascii="David" w:hAnsi="David" w:cs="David"/>
          <w:color w:val="000000" w:themeColor="text1"/>
          <w:sz w:val="24"/>
          <w:szCs w:val="24"/>
          <w:shd w:val="clear" w:color="auto" w:fill="FFFFFF"/>
          <w:rtl/>
        </w:rPr>
        <w:t xml:space="preserve">, </w:t>
      </w:r>
      <w:r w:rsidRPr="00AD451B">
        <w:rPr>
          <w:rFonts w:ascii="David" w:hAnsi="David" w:cs="David" w:hint="eastAsia"/>
          <w:color w:val="000000" w:themeColor="text1"/>
          <w:sz w:val="24"/>
          <w:szCs w:val="24"/>
          <w:shd w:val="clear" w:color="auto" w:fill="FFFFFF"/>
          <w:rtl/>
          <w:lang w:bidi="he-IL"/>
        </w:rPr>
        <w:t>מפעילות</w:t>
      </w:r>
      <w:r w:rsidRPr="00AD451B">
        <w:rPr>
          <w:rFonts w:ascii="David" w:hAnsi="David" w:cs="David"/>
          <w:color w:val="000000" w:themeColor="text1"/>
          <w:sz w:val="24"/>
          <w:szCs w:val="24"/>
          <w:shd w:val="clear" w:color="auto" w:fill="FFFFFF"/>
          <w:rtl/>
          <w:lang w:bidi="he-IL"/>
        </w:rPr>
        <w:t xml:space="preserve"> אותם, אך אלה, לטענת </w:t>
      </w:r>
      <w:r w:rsidRPr="00AD451B">
        <w:rPr>
          <w:rFonts w:ascii="David" w:hAnsi="David" w:cs="David" w:hint="eastAsia"/>
          <w:color w:val="000000" w:themeColor="text1"/>
          <w:sz w:val="24"/>
          <w:szCs w:val="24"/>
          <w:shd w:val="clear" w:color="auto" w:fill="FFFFFF"/>
          <w:rtl/>
          <w:lang w:bidi="he-IL"/>
        </w:rPr>
        <w:t>בורדייה</w:t>
      </w:r>
      <w:r w:rsidRPr="00AD451B">
        <w:rPr>
          <w:rFonts w:ascii="David" w:hAnsi="David" w:cs="David"/>
          <w:color w:val="000000" w:themeColor="text1"/>
          <w:sz w:val="24"/>
          <w:szCs w:val="24"/>
          <w:shd w:val="clear" w:color="auto" w:fill="FFFFFF"/>
          <w:rtl/>
          <w:lang w:bidi="he-IL"/>
        </w:rPr>
        <w:t xml:space="preserve">, </w:t>
      </w:r>
      <w:r w:rsidRPr="00AD451B">
        <w:rPr>
          <w:rFonts w:ascii="David" w:hAnsi="David" w:cs="David" w:hint="eastAsia"/>
          <w:color w:val="000000" w:themeColor="text1"/>
          <w:sz w:val="24"/>
          <w:szCs w:val="24"/>
          <w:shd w:val="clear" w:color="auto" w:fill="FFFFFF"/>
          <w:rtl/>
          <w:lang w:bidi="he-IL"/>
        </w:rPr>
        <w:t>סמויות</w:t>
      </w:r>
      <w:r w:rsidRPr="00AD451B">
        <w:rPr>
          <w:rFonts w:ascii="David" w:hAnsi="David" w:cs="David"/>
          <w:color w:val="000000" w:themeColor="text1"/>
          <w:sz w:val="24"/>
          <w:szCs w:val="24"/>
          <w:shd w:val="clear" w:color="auto" w:fill="FFFFFF"/>
          <w:rtl/>
          <w:lang w:bidi="he-IL"/>
        </w:rPr>
        <w:t xml:space="preserve"> </w:t>
      </w:r>
      <w:r w:rsidRPr="00AD451B">
        <w:rPr>
          <w:rFonts w:ascii="David" w:hAnsi="David" w:cs="David" w:hint="eastAsia"/>
          <w:color w:val="000000" w:themeColor="text1"/>
          <w:sz w:val="24"/>
          <w:szCs w:val="24"/>
          <w:shd w:val="clear" w:color="auto" w:fill="FFFFFF"/>
          <w:rtl/>
          <w:lang w:bidi="he-IL"/>
        </w:rPr>
        <w:t>יותר</w:t>
      </w:r>
      <w:r w:rsidRPr="00AD451B">
        <w:rPr>
          <w:rFonts w:ascii="David" w:hAnsi="David" w:cs="David"/>
          <w:color w:val="000000" w:themeColor="text1"/>
          <w:sz w:val="24"/>
          <w:szCs w:val="24"/>
          <w:shd w:val="clear" w:color="auto" w:fill="FFFFFF"/>
          <w:rtl/>
          <w:lang w:bidi="he-IL"/>
        </w:rPr>
        <w:t xml:space="preserve">, כך שהמשפטנים </w:t>
      </w:r>
      <w:r w:rsidRPr="00AD451B">
        <w:rPr>
          <w:rFonts w:ascii="David" w:hAnsi="David" w:cs="David" w:hint="eastAsia"/>
          <w:color w:val="000000" w:themeColor="text1"/>
          <w:sz w:val="24"/>
          <w:szCs w:val="24"/>
          <w:shd w:val="clear" w:color="auto" w:fill="FFFFFF"/>
          <w:rtl/>
          <w:lang w:bidi="he-IL"/>
        </w:rPr>
        <w:t>פחות</w:t>
      </w:r>
      <w:r w:rsidRPr="00AD451B">
        <w:rPr>
          <w:rFonts w:ascii="David" w:hAnsi="David" w:cs="David"/>
          <w:color w:val="000000" w:themeColor="text1"/>
          <w:sz w:val="24"/>
          <w:szCs w:val="24"/>
          <w:shd w:val="clear" w:color="auto" w:fill="FFFFFF"/>
          <w:rtl/>
          <w:lang w:bidi="he-IL"/>
        </w:rPr>
        <w:t xml:space="preserve"> מודעים לקיומן </w:t>
      </w:r>
      <w:r w:rsidRPr="00AD451B">
        <w:rPr>
          <w:rFonts w:ascii="David" w:hAnsi="David" w:cs="David" w:hint="eastAsia"/>
          <w:color w:val="000000" w:themeColor="text1"/>
          <w:sz w:val="24"/>
          <w:szCs w:val="24"/>
          <w:shd w:val="clear" w:color="auto" w:fill="FFFFFF"/>
          <w:rtl/>
          <w:lang w:bidi="he-IL"/>
        </w:rPr>
        <w:t>ולאופנים</w:t>
      </w:r>
      <w:r w:rsidRPr="00AD451B">
        <w:rPr>
          <w:rFonts w:ascii="David" w:hAnsi="David" w:cs="David"/>
          <w:color w:val="000000" w:themeColor="text1"/>
          <w:sz w:val="24"/>
          <w:szCs w:val="24"/>
          <w:shd w:val="clear" w:color="auto" w:fill="FFFFFF"/>
          <w:rtl/>
          <w:lang w:bidi="he-IL"/>
        </w:rPr>
        <w:t xml:space="preserve"> בהם </w:t>
      </w:r>
      <w:r w:rsidRPr="00AD451B">
        <w:rPr>
          <w:rFonts w:ascii="David" w:hAnsi="David" w:cs="David" w:hint="eastAsia"/>
          <w:color w:val="000000" w:themeColor="text1"/>
          <w:sz w:val="24"/>
          <w:szCs w:val="24"/>
          <w:shd w:val="clear" w:color="auto" w:fill="FFFFFF"/>
          <w:rtl/>
          <w:lang w:bidi="he-IL"/>
        </w:rPr>
        <w:t>הן</w:t>
      </w:r>
      <w:r w:rsidRPr="00AD451B">
        <w:rPr>
          <w:rFonts w:ascii="David" w:hAnsi="David" w:cs="David"/>
          <w:color w:val="000000" w:themeColor="text1"/>
          <w:sz w:val="24"/>
          <w:szCs w:val="24"/>
          <w:shd w:val="clear" w:color="auto" w:fill="FFFFFF"/>
          <w:rtl/>
          <w:lang w:bidi="he-IL"/>
        </w:rPr>
        <w:t xml:space="preserve"> משפיעות </w:t>
      </w:r>
      <w:r w:rsidRPr="00AD451B">
        <w:rPr>
          <w:rFonts w:ascii="David" w:hAnsi="David" w:cs="David" w:hint="eastAsia"/>
          <w:color w:val="000000" w:themeColor="text1"/>
          <w:sz w:val="24"/>
          <w:szCs w:val="24"/>
          <w:shd w:val="clear" w:color="auto" w:fill="FFFFFF"/>
          <w:rtl/>
          <w:lang w:bidi="he-IL"/>
        </w:rPr>
        <w:t>עליהם</w:t>
      </w:r>
      <w:r w:rsidRPr="00AD451B">
        <w:rPr>
          <w:rFonts w:ascii="David" w:hAnsi="David" w:cs="David"/>
          <w:color w:val="000000" w:themeColor="text1"/>
          <w:sz w:val="24"/>
          <w:szCs w:val="24"/>
          <w:shd w:val="clear" w:color="auto" w:fill="FFFFFF"/>
          <w:rtl/>
          <w:lang w:bidi="he-IL"/>
        </w:rPr>
        <w:t>.</w:t>
      </w:r>
    </w:p>
    <w:p w:rsidR="006E285E" w:rsidRPr="00AD451B" w:rsidRDefault="006E285E" w:rsidP="006E285E">
      <w:pPr>
        <w:bidi/>
        <w:spacing w:before="120" w:after="120" w:line="360" w:lineRule="auto"/>
        <w:ind w:firstLine="284"/>
        <w:jc w:val="both"/>
        <w:rPr>
          <w:rFonts w:ascii="David" w:hAnsi="David" w:cs="David"/>
          <w:color w:val="000000" w:themeColor="text1"/>
          <w:sz w:val="24"/>
          <w:szCs w:val="24"/>
          <w:shd w:val="clear" w:color="auto" w:fill="FFFFFF"/>
          <w:rtl/>
          <w:lang w:bidi="he-IL"/>
        </w:rPr>
      </w:pPr>
      <w:r w:rsidRPr="00AD451B">
        <w:rPr>
          <w:rFonts w:ascii="David" w:hAnsi="David" w:cs="David"/>
          <w:color w:val="000000" w:themeColor="text1"/>
          <w:sz w:val="24"/>
          <w:szCs w:val="24"/>
          <w:shd w:val="clear" w:color="auto" w:fill="FFFFFF"/>
          <w:rtl/>
          <w:lang w:bidi="he-IL"/>
        </w:rPr>
        <w:t xml:space="preserve">בעקבות כתיבתו של מאוטנר בספרו "משפט ותרבות", התפרסמו מספר מאמרי ביקורת שחלקם </w:t>
      </w:r>
      <w:r w:rsidRPr="00AD451B">
        <w:rPr>
          <w:rFonts w:ascii="David" w:hAnsi="David" w:cs="David" w:hint="eastAsia"/>
          <w:color w:val="000000" w:themeColor="text1"/>
          <w:sz w:val="24"/>
          <w:szCs w:val="24"/>
          <w:shd w:val="clear" w:color="auto" w:fill="FFFFFF"/>
          <w:rtl/>
          <w:lang w:bidi="he-IL"/>
        </w:rPr>
        <w:t>העלו</w:t>
      </w:r>
      <w:r w:rsidRPr="00AD451B">
        <w:rPr>
          <w:rFonts w:ascii="David" w:hAnsi="David" w:cs="David"/>
          <w:color w:val="000000" w:themeColor="text1"/>
          <w:sz w:val="24"/>
          <w:szCs w:val="24"/>
          <w:shd w:val="clear" w:color="auto" w:fill="FFFFFF"/>
          <w:rtl/>
          <w:lang w:bidi="he-IL"/>
        </w:rPr>
        <w:t xml:space="preserve"> טענות </w:t>
      </w:r>
      <w:r w:rsidRPr="00AD451B">
        <w:rPr>
          <w:rFonts w:ascii="David" w:hAnsi="David" w:cs="David" w:hint="eastAsia"/>
          <w:color w:val="000000" w:themeColor="text1"/>
          <w:sz w:val="24"/>
          <w:szCs w:val="24"/>
          <w:shd w:val="clear" w:color="auto" w:fill="FFFFFF"/>
          <w:rtl/>
          <w:lang w:bidi="he-IL"/>
        </w:rPr>
        <w:t>בדבר</w:t>
      </w:r>
      <w:r w:rsidRPr="00AD451B">
        <w:rPr>
          <w:rFonts w:ascii="David" w:hAnsi="David" w:cs="David"/>
          <w:color w:val="000000" w:themeColor="text1"/>
          <w:sz w:val="24"/>
          <w:szCs w:val="24"/>
          <w:shd w:val="clear" w:color="auto" w:fill="FFFFFF"/>
          <w:rtl/>
          <w:lang w:bidi="he-IL"/>
        </w:rPr>
        <w:t xml:space="preserve"> הסכנות הכרוכות בגישות שטוענות לקשר שבין משפט ותרבות. </w:t>
      </w:r>
      <w:r w:rsidRPr="00AD451B">
        <w:rPr>
          <w:rFonts w:ascii="David" w:hAnsi="David" w:cs="David" w:hint="eastAsia"/>
          <w:color w:val="000000" w:themeColor="text1"/>
          <w:sz w:val="24"/>
          <w:szCs w:val="24"/>
          <w:shd w:val="clear" w:color="auto" w:fill="FFFFFF"/>
          <w:rtl/>
          <w:lang w:bidi="he-IL"/>
        </w:rPr>
        <w:t>מוקד</w:t>
      </w:r>
      <w:r w:rsidRPr="00AD451B">
        <w:rPr>
          <w:rFonts w:ascii="David" w:hAnsi="David" w:cs="David"/>
          <w:color w:val="000000" w:themeColor="text1"/>
          <w:sz w:val="24"/>
          <w:szCs w:val="24"/>
          <w:shd w:val="clear" w:color="auto" w:fill="FFFFFF"/>
          <w:rtl/>
          <w:lang w:bidi="he-IL"/>
        </w:rPr>
        <w:t xml:space="preserve"> הביקורת המרכזי היה </w:t>
      </w:r>
      <w:r w:rsidRPr="00AD451B">
        <w:rPr>
          <w:rFonts w:ascii="David" w:hAnsi="David" w:cs="David" w:hint="eastAsia"/>
          <w:color w:val="000000" w:themeColor="text1"/>
          <w:sz w:val="24"/>
          <w:szCs w:val="24"/>
          <w:shd w:val="clear" w:color="auto" w:fill="FFFFFF"/>
          <w:rtl/>
          <w:lang w:bidi="he-IL"/>
        </w:rPr>
        <w:t>סביב</w:t>
      </w:r>
      <w:r w:rsidRPr="00AD451B">
        <w:rPr>
          <w:rFonts w:ascii="David" w:hAnsi="David" w:cs="David"/>
          <w:color w:val="000000" w:themeColor="text1"/>
          <w:sz w:val="24"/>
          <w:szCs w:val="24"/>
          <w:shd w:val="clear" w:color="auto" w:fill="FFFFFF"/>
          <w:rtl/>
          <w:lang w:bidi="he-IL"/>
        </w:rPr>
        <w:t xml:space="preserve"> הטענה כי המשפט איננו חיצוני לתודעת השופטים, אלא הוא פרי של התרבות המשפטנית המקצועית וכי התרבות הנוצרת ומתקיימת בבתי המשפט ובקהילות המשפטיות, קובעת את תודעתם של השופטים.</w:t>
      </w:r>
      <w:r w:rsidRPr="00AD451B">
        <w:rPr>
          <w:rFonts w:ascii="David" w:hAnsi="David" w:cs="David" w:hint="cs"/>
          <w:color w:val="000000" w:themeColor="text1"/>
          <w:sz w:val="24"/>
          <w:szCs w:val="24"/>
          <w:shd w:val="clear" w:color="auto" w:fill="FFFFFF"/>
          <w:rtl/>
          <w:lang w:bidi="he-IL"/>
        </w:rPr>
        <w:t xml:space="preserve"> לדוגמה, ביקורתם של הראל ולורברבוים על ספרו של מאוטנר, היא שגישתו חותרת תחת ההבנה ש"דרך מרכזית וחשובה להבין את המשפט היא לראות בו מערכת נורמטיבית שתפקידה העיקרי הוא לנטרל את התרבות הנבדלת של השופטים (או את התרבות של הקהילה שבה הם חיים) ולמנוע את זליגתה של תרבות זו אל תוך ההחלטה השיפוטית".</w:t>
      </w:r>
      <w:r w:rsidRPr="00AD451B">
        <w:rPr>
          <w:rStyle w:val="FootnoteReference"/>
          <w:rFonts w:ascii="David" w:hAnsi="David" w:cs="David"/>
          <w:color w:val="000000" w:themeColor="text1"/>
          <w:sz w:val="24"/>
          <w:szCs w:val="24"/>
          <w:shd w:val="clear" w:color="auto" w:fill="FFFFFF"/>
          <w:rtl/>
          <w:lang w:bidi="he-IL"/>
        </w:rPr>
        <w:footnoteReference w:id="7"/>
      </w:r>
      <w:r w:rsidRPr="00AD451B">
        <w:rPr>
          <w:rFonts w:ascii="David" w:hAnsi="David" w:cs="David"/>
          <w:color w:val="000000" w:themeColor="text1"/>
          <w:sz w:val="24"/>
          <w:szCs w:val="24"/>
          <w:shd w:val="clear" w:color="auto" w:fill="FFFFFF"/>
          <w:rtl/>
          <w:lang w:bidi="he-IL"/>
        </w:rPr>
        <w:t xml:space="preserve"> </w:t>
      </w:r>
      <w:r w:rsidRPr="00AD451B">
        <w:rPr>
          <w:rFonts w:ascii="David" w:hAnsi="David" w:cs="David" w:hint="cs"/>
          <w:color w:val="000000" w:themeColor="text1"/>
          <w:sz w:val="24"/>
          <w:szCs w:val="24"/>
          <w:shd w:val="clear" w:color="auto" w:fill="FFFFFF"/>
          <w:rtl/>
          <w:lang w:bidi="he-IL"/>
        </w:rPr>
        <w:t>מאוטנר השיב להם במאמר תגובה בו הוא טען שבספרו הוא עמד על טענה תיאורית ולא נורמטיבית. מהבחינה הנורמטיבית מאוטנר טוען ש"השונות של המשפט מהתרבות הלא־משפטית היא תכלית קיומו",</w:t>
      </w:r>
      <w:r w:rsidRPr="00AD451B">
        <w:rPr>
          <w:rStyle w:val="FootnoteReference"/>
          <w:rFonts w:ascii="David" w:hAnsi="David" w:cs="David"/>
          <w:color w:val="000000" w:themeColor="text1"/>
          <w:sz w:val="24"/>
          <w:szCs w:val="24"/>
          <w:shd w:val="clear" w:color="auto" w:fill="FFFFFF"/>
          <w:rtl/>
          <w:lang w:bidi="he-IL"/>
        </w:rPr>
        <w:footnoteReference w:id="8"/>
      </w:r>
      <w:r w:rsidRPr="00AD451B">
        <w:rPr>
          <w:rFonts w:ascii="David" w:hAnsi="David" w:cs="David" w:hint="cs"/>
          <w:color w:val="000000" w:themeColor="text1"/>
          <w:sz w:val="24"/>
          <w:szCs w:val="24"/>
          <w:shd w:val="clear" w:color="auto" w:fill="FFFFFF"/>
          <w:rtl/>
          <w:lang w:bidi="he-IL"/>
        </w:rPr>
        <w:t xml:space="preserve"> ושתמיד תהיה מידה מסוימת של אובייקטיביות. ומהבחינה התיאורית כאשר משפטנים עוסקים בחומרי משפט, הם מסתמכים, בין אם ירצו ובין אם לאו, על ניסיון חייהם, עמדותיהם, הידע שלהם, ההיגיון ועוד. לטענת מאוטנר, המחלוקת העקרונית היא שבעוד הוא טוען שהמשפט הוא מערכת תרבותית, שבה המשפטנים פועלים בהתאם לקטגוריות החשיבה שלהם שהתעצבו לאורך חייהם, הראל ולורברבוים טוענים שתוכני המשפט הם עניין חיצוני לתודעתו של המשפטן, הנעזר בהם בעת הצורך. </w:t>
      </w:r>
    </w:p>
    <w:p w:rsidR="006E285E" w:rsidRPr="00AD451B" w:rsidRDefault="006E285E" w:rsidP="006E285E">
      <w:pPr>
        <w:bidi/>
        <w:spacing w:before="120" w:after="120" w:line="360" w:lineRule="auto"/>
        <w:ind w:firstLine="284"/>
        <w:jc w:val="both"/>
        <w:rPr>
          <w:rFonts w:ascii="David" w:hAnsi="David" w:cs="David"/>
          <w:color w:val="000000" w:themeColor="text1"/>
          <w:sz w:val="24"/>
          <w:szCs w:val="24"/>
          <w:rtl/>
          <w:lang w:bidi="he-IL"/>
        </w:rPr>
      </w:pPr>
      <w:r w:rsidRPr="00AD451B">
        <w:rPr>
          <w:rFonts w:ascii="David" w:hAnsi="David" w:cs="David" w:hint="eastAsia"/>
          <w:color w:val="000000" w:themeColor="text1"/>
          <w:sz w:val="24"/>
          <w:szCs w:val="24"/>
          <w:shd w:val="clear" w:color="auto" w:fill="FFFFFF"/>
          <w:rtl/>
          <w:lang w:bidi="he-IL"/>
        </w:rPr>
        <w:t>ל</w:t>
      </w:r>
      <w:r w:rsidRPr="00AD451B">
        <w:rPr>
          <w:rFonts w:ascii="David" w:hAnsi="David" w:cs="David"/>
          <w:color w:val="000000" w:themeColor="text1"/>
          <w:sz w:val="24"/>
          <w:szCs w:val="24"/>
          <w:shd w:val="clear" w:color="auto" w:fill="FFFFFF"/>
          <w:rtl/>
          <w:lang w:bidi="he-IL"/>
        </w:rPr>
        <w:t xml:space="preserve">משפט </w:t>
      </w:r>
      <w:r w:rsidRPr="00AD451B">
        <w:rPr>
          <w:rFonts w:ascii="David" w:hAnsi="David" w:cs="David" w:hint="eastAsia"/>
          <w:color w:val="000000" w:themeColor="text1"/>
          <w:sz w:val="24"/>
          <w:szCs w:val="24"/>
          <w:shd w:val="clear" w:color="auto" w:fill="FFFFFF"/>
          <w:rtl/>
          <w:lang w:bidi="he-IL"/>
        </w:rPr>
        <w:t>קיימת</w:t>
      </w:r>
      <w:r w:rsidRPr="00AD451B">
        <w:rPr>
          <w:rFonts w:ascii="David" w:hAnsi="David" w:cs="David"/>
          <w:color w:val="000000" w:themeColor="text1"/>
          <w:sz w:val="24"/>
          <w:szCs w:val="24"/>
          <w:shd w:val="clear" w:color="auto" w:fill="FFFFFF"/>
          <w:rtl/>
          <w:lang w:bidi="he-IL"/>
        </w:rPr>
        <w:t xml:space="preserve"> היכולת לכונן קטגוריות תודעה, פרקטיקות התנהגות וזהויות, </w:t>
      </w:r>
      <w:r w:rsidRPr="00AD451B">
        <w:rPr>
          <w:rFonts w:ascii="David" w:hAnsi="David" w:cs="David" w:hint="eastAsia"/>
          <w:color w:val="000000" w:themeColor="text1"/>
          <w:sz w:val="24"/>
          <w:szCs w:val="24"/>
          <w:shd w:val="clear" w:color="auto" w:fill="FFFFFF"/>
          <w:rtl/>
          <w:lang w:bidi="he-IL"/>
        </w:rPr>
        <w:t>ובמקביל</w:t>
      </w:r>
      <w:r w:rsidRPr="00AD451B">
        <w:rPr>
          <w:rFonts w:ascii="David" w:hAnsi="David" w:cs="David"/>
          <w:color w:val="000000" w:themeColor="text1"/>
          <w:sz w:val="24"/>
          <w:szCs w:val="24"/>
          <w:shd w:val="clear" w:color="auto" w:fill="FFFFFF"/>
          <w:rtl/>
          <w:lang w:bidi="he-IL"/>
        </w:rPr>
        <w:t xml:space="preserve">, </w:t>
      </w:r>
      <w:r w:rsidRPr="00AD451B">
        <w:rPr>
          <w:rFonts w:ascii="David" w:hAnsi="David" w:cs="David" w:hint="eastAsia"/>
          <w:color w:val="000000" w:themeColor="text1"/>
          <w:sz w:val="24"/>
          <w:szCs w:val="24"/>
          <w:shd w:val="clear" w:color="auto" w:fill="FFFFFF"/>
          <w:rtl/>
          <w:lang w:bidi="he-IL"/>
        </w:rPr>
        <w:t>המשפט</w:t>
      </w:r>
      <w:r w:rsidRPr="00AD451B">
        <w:rPr>
          <w:rFonts w:ascii="David" w:hAnsi="David" w:cs="David"/>
          <w:color w:val="000000" w:themeColor="text1"/>
          <w:sz w:val="24"/>
          <w:szCs w:val="24"/>
          <w:shd w:val="clear" w:color="auto" w:fill="FFFFFF"/>
          <w:rtl/>
          <w:lang w:bidi="he-IL"/>
        </w:rPr>
        <w:t xml:space="preserve"> </w:t>
      </w:r>
      <w:r w:rsidRPr="00AD451B">
        <w:rPr>
          <w:rFonts w:ascii="David" w:hAnsi="David" w:cs="David" w:hint="eastAsia"/>
          <w:color w:val="000000" w:themeColor="text1"/>
          <w:sz w:val="24"/>
          <w:szCs w:val="24"/>
          <w:shd w:val="clear" w:color="auto" w:fill="FFFFFF"/>
          <w:rtl/>
          <w:lang w:bidi="he-IL"/>
        </w:rPr>
        <w:t>יכול</w:t>
      </w:r>
      <w:r w:rsidRPr="00AD451B">
        <w:rPr>
          <w:rFonts w:ascii="David" w:hAnsi="David" w:cs="David"/>
          <w:color w:val="000000" w:themeColor="text1"/>
          <w:sz w:val="24"/>
          <w:szCs w:val="24"/>
          <w:shd w:val="clear" w:color="auto" w:fill="FFFFFF"/>
          <w:rtl/>
          <w:lang w:bidi="he-IL"/>
        </w:rPr>
        <w:t xml:space="preserve"> להקנות </w:t>
      </w:r>
      <w:r w:rsidRPr="00AD451B">
        <w:rPr>
          <w:rFonts w:ascii="David" w:hAnsi="David" w:cs="David" w:hint="eastAsia"/>
          <w:color w:val="000000" w:themeColor="text1"/>
          <w:sz w:val="24"/>
          <w:szCs w:val="24"/>
          <w:shd w:val="clear" w:color="auto" w:fill="FFFFFF"/>
          <w:rtl/>
          <w:lang w:bidi="he-IL"/>
        </w:rPr>
        <w:t>לגיטימציה</w:t>
      </w:r>
      <w:r w:rsidRPr="00AD451B">
        <w:rPr>
          <w:rFonts w:ascii="David" w:hAnsi="David" w:cs="David"/>
          <w:color w:val="000000" w:themeColor="text1"/>
          <w:sz w:val="24"/>
          <w:szCs w:val="24"/>
          <w:shd w:val="clear" w:color="auto" w:fill="FFFFFF"/>
          <w:rtl/>
          <w:lang w:bidi="he-IL"/>
        </w:rPr>
        <w:t xml:space="preserve"> להסדרים חברתיים</w:t>
      </w:r>
      <w:r w:rsidRPr="00AD451B">
        <w:rPr>
          <w:rFonts w:ascii="David" w:hAnsi="David" w:cs="David" w:hint="cs"/>
          <w:color w:val="000000" w:themeColor="text1"/>
          <w:sz w:val="24"/>
          <w:szCs w:val="24"/>
          <w:shd w:val="clear" w:color="auto" w:fill="FFFFFF"/>
          <w:rtl/>
          <w:lang w:bidi="he-IL"/>
        </w:rPr>
        <w:t>.</w:t>
      </w:r>
      <w:r w:rsidRPr="00AD451B">
        <w:rPr>
          <w:rStyle w:val="FootnoteReference"/>
          <w:rFonts w:ascii="David" w:hAnsi="David" w:cs="David"/>
          <w:color w:val="000000" w:themeColor="text1"/>
          <w:sz w:val="24"/>
          <w:szCs w:val="24"/>
          <w:shd w:val="clear" w:color="auto" w:fill="FFFFFF"/>
          <w:rtl/>
          <w:lang w:bidi="he-IL"/>
        </w:rPr>
        <w:footnoteReference w:id="9"/>
      </w:r>
      <w:r w:rsidRPr="00AD451B">
        <w:rPr>
          <w:rFonts w:ascii="David" w:hAnsi="David" w:cs="David" w:hint="cs"/>
          <w:color w:val="000000" w:themeColor="text1"/>
          <w:sz w:val="24"/>
          <w:szCs w:val="24"/>
          <w:shd w:val="clear" w:color="auto" w:fill="FFFFFF"/>
          <w:rtl/>
          <w:lang w:bidi="he-IL"/>
        </w:rPr>
        <w:t xml:space="preserve"> או להשאירם בחוץ.</w:t>
      </w:r>
      <w:r w:rsidRPr="00AD451B">
        <w:rPr>
          <w:rFonts w:ascii="David" w:hAnsi="David" w:cs="David"/>
          <w:color w:val="000000" w:themeColor="text1"/>
          <w:sz w:val="24"/>
          <w:szCs w:val="24"/>
          <w:shd w:val="clear" w:color="auto" w:fill="FFFFFF"/>
          <w:rtl/>
          <w:lang w:bidi="he-IL"/>
        </w:rPr>
        <w:t xml:space="preserve"> </w:t>
      </w:r>
      <w:r w:rsidRPr="00AD451B">
        <w:rPr>
          <w:rFonts w:ascii="David" w:hAnsi="David" w:cs="David" w:hint="eastAsia"/>
          <w:color w:val="000000" w:themeColor="text1"/>
          <w:sz w:val="24"/>
          <w:szCs w:val="24"/>
          <w:shd w:val="clear" w:color="auto" w:fill="FFFFFF"/>
          <w:rtl/>
          <w:lang w:bidi="he-IL"/>
        </w:rPr>
        <w:t>על</w:t>
      </w:r>
      <w:r w:rsidRPr="00AD451B">
        <w:rPr>
          <w:rFonts w:ascii="David" w:hAnsi="David" w:cs="David"/>
          <w:color w:val="000000" w:themeColor="text1"/>
          <w:sz w:val="24"/>
          <w:szCs w:val="24"/>
          <w:shd w:val="clear" w:color="auto" w:fill="FFFFFF"/>
          <w:rtl/>
          <w:lang w:bidi="he-IL"/>
        </w:rPr>
        <w:t xml:space="preserve"> כך ארחיב </w:t>
      </w:r>
      <w:r w:rsidRPr="00AD451B">
        <w:rPr>
          <w:rFonts w:ascii="David" w:hAnsi="David" w:cs="David"/>
          <w:color w:val="000000" w:themeColor="text1"/>
          <w:sz w:val="24"/>
          <w:szCs w:val="24"/>
          <w:rtl/>
          <w:lang w:bidi="he-IL"/>
        </w:rPr>
        <w:t>ב</w:t>
      </w:r>
      <w:r w:rsidRPr="00AD451B">
        <w:rPr>
          <w:rFonts w:ascii="David" w:hAnsi="David" w:cs="David" w:hint="eastAsia"/>
          <w:color w:val="000000" w:themeColor="text1"/>
          <w:sz w:val="24"/>
          <w:szCs w:val="24"/>
          <w:rtl/>
          <w:lang w:bidi="he-IL"/>
        </w:rPr>
        <w:t>חלק</w:t>
      </w:r>
      <w:r w:rsidRPr="00AD451B">
        <w:rPr>
          <w:rFonts w:ascii="David" w:hAnsi="David" w:cs="David"/>
          <w:color w:val="000000" w:themeColor="text1"/>
          <w:sz w:val="24"/>
          <w:szCs w:val="24"/>
          <w:rtl/>
          <w:lang w:bidi="he-IL"/>
        </w:rPr>
        <w:t xml:space="preserve"> הבא </w:t>
      </w:r>
      <w:r w:rsidRPr="00AD451B">
        <w:rPr>
          <w:rFonts w:ascii="David" w:hAnsi="David" w:cs="David" w:hint="eastAsia"/>
          <w:color w:val="000000" w:themeColor="text1"/>
          <w:sz w:val="24"/>
          <w:szCs w:val="24"/>
          <w:rtl/>
          <w:lang w:bidi="he-IL"/>
        </w:rPr>
        <w:t>בו</w:t>
      </w:r>
      <w:r w:rsidRPr="00AD451B">
        <w:rPr>
          <w:rFonts w:ascii="David" w:hAnsi="David" w:cs="David"/>
          <w:color w:val="000000" w:themeColor="text1"/>
          <w:sz w:val="24"/>
          <w:szCs w:val="24"/>
          <w:rtl/>
          <w:lang w:bidi="he-IL"/>
        </w:rPr>
        <w:t xml:space="preserve"> </w:t>
      </w:r>
      <w:r w:rsidRPr="00AD451B">
        <w:rPr>
          <w:rFonts w:ascii="David" w:hAnsi="David" w:cs="David" w:hint="cs"/>
          <w:color w:val="000000" w:themeColor="text1"/>
          <w:sz w:val="24"/>
          <w:szCs w:val="24"/>
          <w:rtl/>
          <w:lang w:bidi="he-IL"/>
        </w:rPr>
        <w:t>א</w:t>
      </w:r>
      <w:r w:rsidRPr="00AD451B">
        <w:rPr>
          <w:rFonts w:ascii="David" w:hAnsi="David" w:cs="David"/>
          <w:color w:val="000000" w:themeColor="text1"/>
          <w:sz w:val="24"/>
          <w:szCs w:val="24"/>
          <w:rtl/>
          <w:lang w:bidi="he-IL"/>
        </w:rPr>
        <w:t>ראה כיצד אסטרטגיות הפעולה (זמן, מרחב והדמות הנעדרת) בהן עסקתי בפרק הקודם, בא</w:t>
      </w:r>
      <w:r w:rsidRPr="00AD451B">
        <w:rPr>
          <w:rFonts w:ascii="David" w:hAnsi="David" w:cs="David" w:hint="eastAsia"/>
          <w:color w:val="000000" w:themeColor="text1"/>
          <w:sz w:val="24"/>
          <w:szCs w:val="24"/>
          <w:rtl/>
          <w:lang w:bidi="he-IL"/>
        </w:rPr>
        <w:t>ות</w:t>
      </w:r>
      <w:r w:rsidRPr="00AD451B">
        <w:rPr>
          <w:rFonts w:ascii="David" w:hAnsi="David" w:cs="David"/>
          <w:color w:val="000000" w:themeColor="text1"/>
          <w:sz w:val="24"/>
          <w:szCs w:val="24"/>
          <w:rtl/>
          <w:lang w:bidi="he-IL"/>
        </w:rPr>
        <w:t xml:space="preserve"> לידי ביטוי בפסיקת בית </w:t>
      </w:r>
      <w:r w:rsidRPr="00AD451B">
        <w:rPr>
          <w:rFonts w:ascii="David" w:hAnsi="David" w:cs="David"/>
          <w:color w:val="000000" w:themeColor="text1"/>
          <w:sz w:val="24"/>
          <w:szCs w:val="24"/>
          <w:rtl/>
          <w:lang w:bidi="he-IL"/>
        </w:rPr>
        <w:lastRenderedPageBreak/>
        <w:t>המשפט העליון בעניין חמש</w:t>
      </w:r>
      <w:r w:rsidRPr="00AD451B">
        <w:rPr>
          <w:rFonts w:ascii="David" w:hAnsi="David" w:cs="David" w:hint="eastAsia"/>
          <w:color w:val="000000" w:themeColor="text1"/>
          <w:sz w:val="24"/>
          <w:szCs w:val="24"/>
          <w:rtl/>
          <w:lang w:bidi="he-IL"/>
        </w:rPr>
        <w:t>־</w:t>
      </w:r>
      <w:r w:rsidRPr="00AD451B">
        <w:rPr>
          <w:rFonts w:ascii="David" w:hAnsi="David" w:cs="David"/>
          <w:color w:val="000000" w:themeColor="text1"/>
          <w:sz w:val="24"/>
          <w:szCs w:val="24"/>
          <w:rtl/>
          <w:lang w:bidi="he-IL"/>
        </w:rPr>
        <w:t>עשר</w:t>
      </w:r>
      <w:r w:rsidRPr="00AD451B">
        <w:rPr>
          <w:rFonts w:ascii="David" w:hAnsi="David" w:cs="David" w:hint="eastAsia"/>
          <w:color w:val="000000" w:themeColor="text1"/>
          <w:sz w:val="24"/>
          <w:szCs w:val="24"/>
          <w:rtl/>
          <w:lang w:bidi="he-IL"/>
        </w:rPr>
        <w:t>ה</w:t>
      </w:r>
      <w:r w:rsidRPr="00AD451B">
        <w:rPr>
          <w:rFonts w:ascii="David" w:hAnsi="David" w:cs="David"/>
          <w:color w:val="000000" w:themeColor="text1"/>
          <w:sz w:val="24"/>
          <w:szCs w:val="24"/>
          <w:rtl/>
          <w:lang w:bidi="he-IL"/>
        </w:rPr>
        <w:t xml:space="preserve"> </w:t>
      </w:r>
      <w:r w:rsidRPr="00AD451B">
        <w:rPr>
          <w:rFonts w:ascii="David" w:hAnsi="David" w:cs="David" w:hint="eastAsia"/>
          <w:color w:val="000000" w:themeColor="text1"/>
          <w:sz w:val="24"/>
          <w:szCs w:val="24"/>
          <w:rtl/>
          <w:lang w:bidi="he-IL"/>
        </w:rPr>
        <w:t>ה</w:t>
      </w:r>
      <w:r w:rsidRPr="00AD451B">
        <w:rPr>
          <w:rFonts w:ascii="David" w:hAnsi="David" w:cs="David"/>
          <w:color w:val="000000" w:themeColor="text1"/>
          <w:sz w:val="24"/>
          <w:szCs w:val="24"/>
          <w:rtl/>
          <w:lang w:bidi="he-IL"/>
        </w:rPr>
        <w:t xml:space="preserve">עתירות שהוגשו נגד חוק הלאום. </w:t>
      </w:r>
      <w:r w:rsidRPr="00AD451B">
        <w:rPr>
          <w:rFonts w:ascii="David" w:hAnsi="David" w:cs="David" w:hint="eastAsia"/>
          <w:color w:val="000000" w:themeColor="text1"/>
          <w:sz w:val="24"/>
          <w:szCs w:val="24"/>
          <w:rtl/>
          <w:lang w:bidi="he-IL"/>
        </w:rPr>
        <w:t>אך</w:t>
      </w:r>
      <w:r w:rsidRPr="00AD451B">
        <w:rPr>
          <w:rFonts w:ascii="David" w:hAnsi="David" w:cs="David"/>
          <w:color w:val="000000" w:themeColor="text1"/>
          <w:sz w:val="24"/>
          <w:szCs w:val="24"/>
          <w:rtl/>
          <w:lang w:bidi="he-IL"/>
        </w:rPr>
        <w:t xml:space="preserve">, ראשית, </w:t>
      </w:r>
      <w:r w:rsidRPr="00AD451B">
        <w:rPr>
          <w:rFonts w:ascii="David" w:hAnsi="David" w:cs="David" w:hint="eastAsia"/>
          <w:color w:val="000000" w:themeColor="text1"/>
          <w:sz w:val="24"/>
          <w:szCs w:val="24"/>
          <w:rtl/>
          <w:lang w:bidi="he-IL"/>
        </w:rPr>
        <w:t>אני</w:t>
      </w:r>
      <w:r w:rsidRPr="00AD451B">
        <w:rPr>
          <w:rFonts w:ascii="David" w:hAnsi="David" w:cs="David"/>
          <w:color w:val="000000" w:themeColor="text1"/>
          <w:sz w:val="24"/>
          <w:szCs w:val="24"/>
          <w:rtl/>
          <w:lang w:bidi="he-IL"/>
        </w:rPr>
        <w:t xml:space="preserve"> מציגה את הרקע להגשת העתירות ו</w:t>
      </w:r>
      <w:r w:rsidRPr="00AD451B">
        <w:rPr>
          <w:rFonts w:ascii="David" w:hAnsi="David" w:cs="David" w:hint="eastAsia"/>
          <w:color w:val="000000" w:themeColor="text1"/>
          <w:sz w:val="24"/>
          <w:szCs w:val="24"/>
          <w:rtl/>
          <w:lang w:bidi="he-IL"/>
        </w:rPr>
        <w:t>מ</w:t>
      </w:r>
      <w:r w:rsidRPr="00AD451B">
        <w:rPr>
          <w:rFonts w:ascii="David" w:hAnsi="David" w:cs="David"/>
          <w:color w:val="000000" w:themeColor="text1"/>
          <w:sz w:val="24"/>
          <w:szCs w:val="24"/>
          <w:rtl/>
          <w:lang w:bidi="he-IL"/>
        </w:rPr>
        <w:t xml:space="preserve">מפה בקצרה את הטיעונים המרכזיים של הצדדים. </w:t>
      </w:r>
    </w:p>
    <w:p w:rsidR="006E285E" w:rsidRPr="00AD451B" w:rsidRDefault="006E285E" w:rsidP="006E285E">
      <w:pPr>
        <w:bidi/>
        <w:spacing w:before="120" w:after="120" w:line="360" w:lineRule="auto"/>
        <w:ind w:firstLine="284"/>
        <w:jc w:val="both"/>
        <w:rPr>
          <w:rFonts w:ascii="David" w:hAnsi="David" w:cs="David"/>
          <w:color w:val="000000" w:themeColor="text1"/>
          <w:sz w:val="24"/>
          <w:szCs w:val="24"/>
          <w:rtl/>
          <w:lang w:bidi="he-IL"/>
        </w:rPr>
      </w:pPr>
    </w:p>
    <w:p w:rsidR="006E285E" w:rsidRPr="00AD451B" w:rsidRDefault="006E285E" w:rsidP="006E285E">
      <w:pPr>
        <w:pStyle w:val="Heading1"/>
        <w:numPr>
          <w:ilvl w:val="0"/>
          <w:numId w:val="23"/>
        </w:numPr>
        <w:bidi/>
        <w:rPr>
          <w:rFonts w:ascii="David" w:hAnsi="David" w:cs="David"/>
          <w:color w:val="000000" w:themeColor="text1"/>
          <w:rtl/>
          <w:lang w:bidi="he-IL"/>
        </w:rPr>
      </w:pPr>
      <w:r w:rsidRPr="00AD451B">
        <w:rPr>
          <w:rFonts w:ascii="David" w:hAnsi="David" w:cs="David" w:hint="cs"/>
          <w:color w:val="000000" w:themeColor="text1"/>
          <w:rtl/>
          <w:lang w:bidi="he-IL"/>
        </w:rPr>
        <w:t>אסטרטגיות פעולה בבית המשפט העליון</w:t>
      </w:r>
    </w:p>
    <w:p w:rsidR="006E285E" w:rsidRPr="00AD451B" w:rsidRDefault="006E285E" w:rsidP="006E285E">
      <w:pPr>
        <w:bidi/>
        <w:rPr>
          <w:color w:val="000000" w:themeColor="text1"/>
          <w:rtl/>
          <w:lang w:val="en-GB" w:bidi="he-IL"/>
        </w:rPr>
      </w:pPr>
    </w:p>
    <w:p w:rsidR="006E285E" w:rsidRPr="00AD451B" w:rsidRDefault="006E285E" w:rsidP="006E285E">
      <w:pPr>
        <w:pStyle w:val="Heading2"/>
        <w:bidi/>
        <w:spacing w:after="120" w:line="480" w:lineRule="auto"/>
        <w:rPr>
          <w:rFonts w:ascii="David" w:eastAsia="Times New Roman" w:hAnsi="David" w:cs="David"/>
          <w:b/>
          <w:bCs/>
          <w:color w:val="000000" w:themeColor="text1"/>
          <w:sz w:val="28"/>
          <w:szCs w:val="28"/>
          <w:rtl/>
          <w:lang w:bidi="he-IL"/>
        </w:rPr>
      </w:pPr>
      <w:r w:rsidRPr="00AD451B">
        <w:rPr>
          <w:rFonts w:ascii="David" w:eastAsia="Times New Roman" w:hAnsi="David" w:cs="David" w:hint="cs"/>
          <w:b/>
          <w:bCs/>
          <w:color w:val="000000" w:themeColor="text1"/>
          <w:sz w:val="28"/>
          <w:szCs w:val="28"/>
          <w:rtl/>
          <w:lang w:bidi="he-IL"/>
        </w:rPr>
        <w:t>12</w:t>
      </w:r>
      <w:r w:rsidRPr="00AD451B">
        <w:rPr>
          <w:rFonts w:ascii="David" w:eastAsia="Times New Roman" w:hAnsi="David" w:cs="David"/>
          <w:b/>
          <w:bCs/>
          <w:color w:val="000000" w:themeColor="text1"/>
          <w:sz w:val="28"/>
          <w:szCs w:val="28"/>
          <w:rtl/>
          <w:lang w:bidi="he-IL"/>
        </w:rPr>
        <w:t>.</w:t>
      </w:r>
      <w:r w:rsidRPr="00AD451B">
        <w:rPr>
          <w:rFonts w:ascii="David" w:eastAsia="Times New Roman" w:hAnsi="David" w:cs="David" w:hint="cs"/>
          <w:b/>
          <w:bCs/>
          <w:color w:val="000000" w:themeColor="text1"/>
          <w:sz w:val="28"/>
          <w:szCs w:val="28"/>
          <w:rtl/>
          <w:lang w:bidi="he-IL"/>
        </w:rPr>
        <w:t>1</w:t>
      </w:r>
      <w:r w:rsidRPr="00AD451B">
        <w:rPr>
          <w:rFonts w:ascii="David" w:eastAsia="Times New Roman" w:hAnsi="David" w:cs="David"/>
          <w:b/>
          <w:bCs/>
          <w:color w:val="000000" w:themeColor="text1"/>
          <w:sz w:val="28"/>
          <w:szCs w:val="28"/>
          <w:rtl/>
          <w:lang w:bidi="he-IL"/>
        </w:rPr>
        <w:t xml:space="preserve"> פסיקת בית המשפט העליון בעניין חוק הלאום</w:t>
      </w:r>
    </w:p>
    <w:p w:rsidR="006E285E" w:rsidRPr="00AD451B" w:rsidRDefault="006E285E" w:rsidP="006E285E">
      <w:pPr>
        <w:pStyle w:val="Heading3"/>
        <w:bidi/>
        <w:spacing w:after="120" w:line="480" w:lineRule="auto"/>
        <w:rPr>
          <w:rFonts w:ascii="David" w:hAnsi="David" w:cs="David"/>
          <w:b/>
          <w:bCs/>
          <w:color w:val="000000" w:themeColor="text1"/>
          <w:sz w:val="28"/>
          <w:szCs w:val="28"/>
          <w:rtl/>
          <w:lang w:val="en-GB" w:bidi="he-IL"/>
        </w:rPr>
      </w:pPr>
      <w:r w:rsidRPr="00AD451B">
        <w:rPr>
          <w:rFonts w:ascii="David" w:hAnsi="David" w:cs="David" w:hint="cs"/>
          <w:b/>
          <w:bCs/>
          <w:color w:val="000000" w:themeColor="text1"/>
          <w:sz w:val="28"/>
          <w:szCs w:val="28"/>
          <w:rtl/>
          <w:lang w:val="en-GB" w:bidi="he-IL"/>
        </w:rPr>
        <w:t>12</w:t>
      </w:r>
      <w:r w:rsidRPr="00AD451B">
        <w:rPr>
          <w:rFonts w:ascii="David" w:hAnsi="David" w:cs="David"/>
          <w:b/>
          <w:bCs/>
          <w:color w:val="000000" w:themeColor="text1"/>
          <w:sz w:val="28"/>
          <w:szCs w:val="28"/>
          <w:rtl/>
          <w:lang w:val="en-GB" w:bidi="he-IL"/>
        </w:rPr>
        <w:t>.</w:t>
      </w:r>
      <w:r w:rsidRPr="00AD451B">
        <w:rPr>
          <w:rFonts w:ascii="David" w:hAnsi="David" w:cs="David" w:hint="cs"/>
          <w:b/>
          <w:bCs/>
          <w:color w:val="000000" w:themeColor="text1"/>
          <w:sz w:val="28"/>
          <w:szCs w:val="28"/>
          <w:rtl/>
          <w:lang w:val="en-GB" w:bidi="he-IL"/>
        </w:rPr>
        <w:t>1</w:t>
      </w:r>
      <w:r w:rsidRPr="00AD451B">
        <w:rPr>
          <w:rFonts w:ascii="David" w:hAnsi="David" w:cs="David"/>
          <w:b/>
          <w:bCs/>
          <w:color w:val="000000" w:themeColor="text1"/>
          <w:sz w:val="28"/>
          <w:szCs w:val="28"/>
          <w:rtl/>
          <w:lang w:val="en-GB" w:bidi="he-IL"/>
        </w:rPr>
        <w:t>.1 רקע</w:t>
      </w:r>
    </w:p>
    <w:p w:rsidR="006E285E" w:rsidRPr="00AD451B" w:rsidRDefault="006E285E" w:rsidP="006E285E">
      <w:pPr>
        <w:bidi/>
        <w:spacing w:before="120" w:after="120" w:line="360" w:lineRule="auto"/>
        <w:jc w:val="both"/>
        <w:rPr>
          <w:rFonts w:ascii="David" w:hAnsi="David" w:cs="David"/>
          <w:color w:val="000000" w:themeColor="text1"/>
          <w:sz w:val="24"/>
          <w:szCs w:val="24"/>
          <w:rtl/>
          <w:lang w:bidi="he-IL"/>
        </w:rPr>
      </w:pPr>
      <w:r w:rsidRPr="00AD451B">
        <w:rPr>
          <w:rFonts w:ascii="David" w:hAnsi="David" w:cs="David"/>
          <w:color w:val="000000" w:themeColor="text1"/>
          <w:sz w:val="24"/>
          <w:szCs w:val="24"/>
          <w:rtl/>
          <w:lang w:bidi="he-IL"/>
        </w:rPr>
        <w:t>בפתחו של בית המשפט העליון בישראל ניצבו 15 עתירות שעסקו בחוק הלאום. בית המשפט איחד את העתירות ודן בהן ביום 22.12.2020.</w:t>
      </w:r>
      <w:bookmarkStart w:id="8" w:name="_Ref89133638"/>
      <w:r w:rsidRPr="00AD451B">
        <w:rPr>
          <w:rStyle w:val="FootnoteReference"/>
          <w:rFonts w:ascii="David" w:hAnsi="David" w:cs="David"/>
          <w:color w:val="000000" w:themeColor="text1"/>
          <w:sz w:val="24"/>
          <w:szCs w:val="24"/>
          <w:rtl/>
          <w:lang w:bidi="he-IL"/>
        </w:rPr>
        <w:footnoteReference w:id="10"/>
      </w:r>
      <w:bookmarkEnd w:id="8"/>
      <w:r w:rsidRPr="00AD451B">
        <w:rPr>
          <w:rFonts w:ascii="David" w:hAnsi="David" w:cs="David"/>
          <w:color w:val="000000" w:themeColor="text1"/>
          <w:sz w:val="24"/>
          <w:szCs w:val="24"/>
          <w:rtl/>
          <w:lang w:bidi="he-IL"/>
        </w:rPr>
        <w:t xml:space="preserve"> עתירות אלה הוגשו על ידי ארגוני זכויות אדם שונים ואנשים פרטיים מהחברה הישראלית. הטענה המרכזית של כל העותרים, לפי סעיף 7 בפסק הדין, היא: </w:t>
      </w:r>
    </w:p>
    <w:p w:rsidR="006E285E" w:rsidRPr="00AD451B" w:rsidRDefault="006E285E" w:rsidP="006E285E">
      <w:pPr>
        <w:bidi/>
        <w:spacing w:before="120" w:after="120" w:line="360" w:lineRule="auto"/>
        <w:ind w:left="567" w:right="567"/>
        <w:jc w:val="both"/>
        <w:rPr>
          <w:rFonts w:ascii="David" w:hAnsi="David" w:cs="David"/>
          <w:color w:val="000000" w:themeColor="text1"/>
          <w:sz w:val="24"/>
          <w:szCs w:val="24"/>
          <w:rtl/>
          <w:lang w:bidi="he-IL"/>
        </w:rPr>
      </w:pPr>
      <w:r w:rsidRPr="00AD451B">
        <w:rPr>
          <w:rFonts w:ascii="David" w:hAnsi="David" w:cs="David"/>
          <w:color w:val="000000" w:themeColor="text1"/>
          <w:rtl/>
          <w:lang w:bidi="he-IL"/>
        </w:rPr>
        <w:t>כי מדובר באחד מאותם מקרים חריגים ונדירים המצדיקים קיום ביקורת שיפוטית על תוכנו של חוק יסוד. לגישת העותרים, חוק יסוד: הלאום שולל את זהותה הדמוקרטית של המדינה משום שהוא פוגע בעקרון השוויון וכן באיזון שטבעה הכרזת העצמאות בין הערכים של מדינת ישראל כמדינה יהודית לערכיה כמדינה דמוקרטית. עוד נטען כי חוק יסוד: הלאום פוגע פגיעה קשה בזכות החוקתית לשוויון הנגזרת מהזכות לכבוד שבחוק-יסוד: כבוד האדם וחירותו ובה מחוייבות כל רשויות השלטון. כל אלה, כך העותרים, מצדיקים ביקורת שיפוטית מהותית על חוק היסוד תוך אימוץ דוקטרינת התיקון החוקתי שאינו חוקתי.</w:t>
      </w:r>
    </w:p>
    <w:p w:rsidR="006E285E" w:rsidRPr="00AD451B" w:rsidRDefault="006E285E" w:rsidP="006E285E">
      <w:pPr>
        <w:bidi/>
        <w:spacing w:before="120" w:after="120" w:line="360" w:lineRule="auto"/>
        <w:jc w:val="both"/>
        <w:rPr>
          <w:rFonts w:ascii="David" w:hAnsi="David" w:cs="David"/>
          <w:color w:val="000000" w:themeColor="text1"/>
          <w:sz w:val="24"/>
          <w:szCs w:val="24"/>
          <w:rtl/>
          <w:lang w:bidi="he-IL"/>
        </w:rPr>
      </w:pPr>
      <w:r w:rsidRPr="00AD451B">
        <w:rPr>
          <w:rFonts w:ascii="David" w:hAnsi="David" w:cs="David"/>
          <w:color w:val="000000" w:themeColor="text1"/>
          <w:sz w:val="24"/>
          <w:szCs w:val="24"/>
          <w:rtl/>
          <w:lang w:bidi="he-IL"/>
        </w:rPr>
        <w:t>בהתאם לעותרים, יש לקבוע כי חוק היסוד הלאום אינו חוקתי. לגישתם, חוק היסוד מבכר את זהותה היהודית של מדינת ישראל על פני זהותה הדמוקרטית; הוא אינו הצהרתי בלבד; ואף יושם על ידי שופטים בערכאות דיוניות</w:t>
      </w:r>
      <w:r w:rsidRPr="00AD451B">
        <w:rPr>
          <w:rFonts w:ascii="David" w:hAnsi="David" w:cs="David"/>
          <w:color w:val="000000" w:themeColor="text1"/>
          <w:sz w:val="24"/>
          <w:szCs w:val="24"/>
          <w:lang w:bidi="he-IL"/>
        </w:rPr>
        <w:t>.</w:t>
      </w:r>
    </w:p>
    <w:p w:rsidR="006E285E" w:rsidRPr="00AD451B" w:rsidRDefault="006E285E" w:rsidP="006E285E">
      <w:pPr>
        <w:bidi/>
        <w:spacing w:before="120" w:after="120" w:line="360" w:lineRule="auto"/>
        <w:ind w:firstLine="284"/>
        <w:jc w:val="both"/>
        <w:rPr>
          <w:rFonts w:ascii="David" w:hAnsi="David" w:cs="David"/>
          <w:color w:val="000000" w:themeColor="text1"/>
          <w:sz w:val="24"/>
          <w:szCs w:val="24"/>
          <w:rtl/>
          <w:lang w:bidi="he-IL"/>
        </w:rPr>
      </w:pPr>
      <w:r w:rsidRPr="00AD451B">
        <w:rPr>
          <w:rFonts w:ascii="David" w:hAnsi="David" w:cs="David"/>
          <w:color w:val="000000" w:themeColor="text1"/>
          <w:sz w:val="24"/>
          <w:szCs w:val="24"/>
          <w:rtl/>
          <w:lang w:bidi="he-IL"/>
        </w:rPr>
        <w:t>לכן, מתוך 15 עתירות, 13 ביקשו לבטל את חוק היסוד הלאום, ו- 6 ביקשו לתקן את החוק ולהוסיף לו את עקרון השוויון; 5 ביקשו לבטל חלק מהוראותיו של החוק, ובפרט הסעיפים הבאים: סעיף 1 לחוק שמעגן בתוכו את עקרונות היסוד של מדינת ישראל, ובמיוחד 1(ג) שעוסק בעקרון ההגדרה העצמית; סעיף 4 שעוסק בשפה ומסדיר את מעמדן של השפה העברית והשפה הערבית במדינה; וסעיף 7 שעוסק בהתיישבות, מעגן את הערך בדבר ההתיישבות היהודית וקובע שהמדינה תפעל לקידומו. לפי העותרים, סעיפים אלה פוגעים קשות בעקרון השוויון ובזכויותיהם של אלה שלא משתייכים ללאום היהודי.</w:t>
      </w:r>
    </w:p>
    <w:p w:rsidR="006E285E" w:rsidRPr="00AD451B" w:rsidRDefault="006E285E" w:rsidP="006E285E">
      <w:pPr>
        <w:bidi/>
        <w:spacing w:before="120" w:after="120" w:line="360" w:lineRule="auto"/>
        <w:ind w:firstLine="284"/>
        <w:jc w:val="both"/>
        <w:rPr>
          <w:rFonts w:ascii="David" w:hAnsi="David" w:cs="David"/>
          <w:color w:val="000000" w:themeColor="text1"/>
          <w:sz w:val="24"/>
          <w:szCs w:val="24"/>
          <w:rtl/>
          <w:lang w:bidi="he-IL"/>
        </w:rPr>
      </w:pPr>
      <w:r w:rsidRPr="00AD451B">
        <w:rPr>
          <w:rFonts w:ascii="David" w:hAnsi="David" w:cs="David"/>
          <w:color w:val="000000" w:themeColor="text1"/>
          <w:sz w:val="24"/>
          <w:szCs w:val="24"/>
          <w:rtl/>
          <w:lang w:bidi="he-IL"/>
        </w:rPr>
        <w:t xml:space="preserve">עמדת הכנסת, אחת המשיבות, </w:t>
      </w:r>
      <w:r w:rsidRPr="00AD451B">
        <w:rPr>
          <w:rFonts w:ascii="David" w:hAnsi="David" w:cs="David" w:hint="cs"/>
          <w:color w:val="000000" w:themeColor="text1"/>
          <w:sz w:val="24"/>
          <w:szCs w:val="24"/>
          <w:rtl/>
          <w:lang w:bidi="he-IL"/>
        </w:rPr>
        <w:t>היתה ש</w:t>
      </w:r>
      <w:r w:rsidRPr="00AD451B">
        <w:rPr>
          <w:rFonts w:ascii="David" w:hAnsi="David" w:cs="David"/>
          <w:color w:val="000000" w:themeColor="text1"/>
          <w:sz w:val="24"/>
          <w:szCs w:val="24"/>
          <w:rtl/>
          <w:lang w:bidi="he-IL"/>
        </w:rPr>
        <w:t xml:space="preserve">יש לדחות את העתירות על הסף בשל היעדר סמכות להפעלת ביקורת שיפוטית חוקתית על חוקי יסוד בכלל, ועל חוק הלאום בפרט. בנוסף, ולגופו של עניין, אין בחוק הלאום כדי לשנות את אופייה של ישראל כמדינה יהודית ודמוקרטית. הכנסת גם טענה כי ככל שבית המשפט ייענה לבקשות </w:t>
      </w:r>
      <w:r w:rsidRPr="00AD451B">
        <w:rPr>
          <w:rFonts w:ascii="David" w:hAnsi="David" w:cs="David"/>
          <w:color w:val="000000" w:themeColor="text1"/>
          <w:sz w:val="24"/>
          <w:szCs w:val="24"/>
          <w:rtl/>
          <w:lang w:bidi="he-IL"/>
        </w:rPr>
        <w:lastRenderedPageBreak/>
        <w:t>העותרים "להיכנס לנעלי הכנסת" בכובעה כרשות מכוננת, ויפעיל ביקורת שיפוטית על חוקי יסוד, עקרון הפרדת הרשויות ושלטון החוק יפגע קשות.</w:t>
      </w:r>
      <w:r w:rsidRPr="00AD451B">
        <w:rPr>
          <w:rStyle w:val="FootnoteReference"/>
          <w:rFonts w:ascii="David" w:hAnsi="David" w:cs="David"/>
          <w:color w:val="000000" w:themeColor="text1"/>
          <w:sz w:val="24"/>
          <w:szCs w:val="24"/>
          <w:rtl/>
          <w:lang w:bidi="he-IL"/>
        </w:rPr>
        <w:footnoteReference w:id="11"/>
      </w:r>
      <w:r w:rsidRPr="00AD451B">
        <w:rPr>
          <w:rFonts w:ascii="David" w:hAnsi="David" w:cs="David"/>
          <w:color w:val="000000" w:themeColor="text1"/>
          <w:sz w:val="24"/>
          <w:szCs w:val="24"/>
          <w:rtl/>
          <w:lang w:bidi="he-IL"/>
        </w:rPr>
        <w:t xml:space="preserve"> </w:t>
      </w:r>
    </w:p>
    <w:p w:rsidR="006E285E" w:rsidRPr="00AD451B" w:rsidRDefault="006E285E" w:rsidP="006E285E">
      <w:pPr>
        <w:bidi/>
        <w:spacing w:before="120" w:after="120" w:line="360" w:lineRule="auto"/>
        <w:ind w:firstLine="284"/>
        <w:jc w:val="both"/>
        <w:rPr>
          <w:rFonts w:ascii="David" w:hAnsi="David" w:cs="David"/>
          <w:color w:val="000000" w:themeColor="text1"/>
          <w:sz w:val="24"/>
          <w:szCs w:val="24"/>
          <w:rtl/>
          <w:lang w:bidi="he-IL"/>
        </w:rPr>
      </w:pPr>
      <w:r w:rsidRPr="00AD451B">
        <w:rPr>
          <w:rFonts w:ascii="David" w:hAnsi="David" w:cs="David"/>
          <w:color w:val="000000" w:themeColor="text1"/>
          <w:sz w:val="24"/>
          <w:szCs w:val="24"/>
          <w:rtl/>
          <w:lang w:bidi="he-IL"/>
        </w:rPr>
        <w:t xml:space="preserve">עמדת הממשלה, </w:t>
      </w:r>
      <w:r w:rsidRPr="00AD451B">
        <w:rPr>
          <w:rFonts w:ascii="David" w:hAnsi="David" w:cs="David" w:hint="cs"/>
          <w:color w:val="000000" w:themeColor="text1"/>
          <w:sz w:val="24"/>
          <w:szCs w:val="24"/>
          <w:rtl/>
          <w:lang w:bidi="he-IL"/>
        </w:rPr>
        <w:t>משיבה אחרת</w:t>
      </w:r>
      <w:r w:rsidRPr="00AD451B">
        <w:rPr>
          <w:rFonts w:ascii="David" w:hAnsi="David" w:cs="David"/>
          <w:color w:val="000000" w:themeColor="text1"/>
          <w:sz w:val="24"/>
          <w:szCs w:val="24"/>
          <w:rtl/>
          <w:lang w:bidi="he-IL"/>
        </w:rPr>
        <w:t xml:space="preserve"> בתיק, על הדיון להידחות משום "שלא עלה בידי מי מבין העותרים לבסס עילה למתן הסעד 'מרחיק הלכת וחסר התקדים' שהתבקש בהן, קרי 'הסרתו של פרק שלם מחוקתה המתהווה של מדינת ישראל'".</w:t>
      </w:r>
      <w:r w:rsidRPr="00AD451B">
        <w:rPr>
          <w:rStyle w:val="FootnoteReference"/>
          <w:rFonts w:ascii="David" w:hAnsi="David" w:cs="David"/>
          <w:color w:val="000000" w:themeColor="text1"/>
          <w:sz w:val="24"/>
          <w:szCs w:val="24"/>
          <w:rtl/>
          <w:lang w:bidi="he-IL"/>
        </w:rPr>
        <w:footnoteReference w:id="12"/>
      </w:r>
      <w:r w:rsidRPr="00AD451B">
        <w:rPr>
          <w:rFonts w:ascii="David" w:hAnsi="David" w:cs="David"/>
          <w:color w:val="000000" w:themeColor="text1"/>
          <w:sz w:val="24"/>
          <w:szCs w:val="24"/>
          <w:rtl/>
          <w:lang w:bidi="he-IL"/>
        </w:rPr>
        <w:t xml:space="preserve"> משיבי הממשלה אף טענו כי "טרם נקבעה הלכה בשאלה אם ניתן לקיים ביקורת שיפוטית על חוקתיותם של חוקי יסוד, ולגישתם אין מקום להכריע בשאלה זו במקרה דנן מכיוון שחוק הלאום מהווה על פי צורתו, תוכנו, מהותו והליך חקיקתו פרק נוסף במפעל לגיבוש חוקתה המתהווה של מדינת ישראל והוא אינו קרוב לקו פרשת המים אשר מעבר לו מתרחש 'זעזוע אמות הסיפים של המבנה החוקתי'". לפי המשיבים, חוק הלאום מעגן את זהותה של ישראל כמדינה יהודית ונושא "מסר הצהרתי חוקתי" מבלי להסיג לאחור את היותה מדינה דמוקרטית. בנוסף הם מדגישים כי "פרשנות מקיימת – לפיה אין סתירה בין חוקי היסוד ובין עצמם, או בינם ובין עקרונות היסוד של השיטה – עדיפה על ביטולו של חוק יסוד נוכח הזהירות המתחייבת מעקרון הפרדת הרשויות".</w:t>
      </w:r>
      <w:r w:rsidRPr="00AD451B">
        <w:rPr>
          <w:rStyle w:val="FootnoteReference"/>
          <w:rFonts w:ascii="David" w:hAnsi="David" w:cs="David"/>
          <w:color w:val="000000" w:themeColor="text1"/>
          <w:sz w:val="24"/>
          <w:szCs w:val="24"/>
          <w:rtl/>
          <w:lang w:bidi="he-IL"/>
        </w:rPr>
        <w:footnoteReference w:id="13"/>
      </w:r>
    </w:p>
    <w:p w:rsidR="006E285E" w:rsidRPr="00AD451B" w:rsidRDefault="006E285E" w:rsidP="006E285E">
      <w:pPr>
        <w:bidi/>
        <w:spacing w:before="120" w:after="120" w:line="360" w:lineRule="auto"/>
        <w:ind w:firstLine="284"/>
        <w:jc w:val="both"/>
        <w:rPr>
          <w:rFonts w:ascii="David" w:hAnsi="David" w:cs="David"/>
          <w:color w:val="000000" w:themeColor="text1"/>
          <w:sz w:val="24"/>
          <w:szCs w:val="24"/>
          <w:rtl/>
          <w:lang w:bidi="he-IL"/>
        </w:rPr>
      </w:pPr>
      <w:r w:rsidRPr="00AD451B">
        <w:rPr>
          <w:rFonts w:ascii="David" w:hAnsi="David" w:cs="David"/>
          <w:color w:val="000000" w:themeColor="text1"/>
          <w:sz w:val="24"/>
          <w:szCs w:val="24"/>
          <w:rtl/>
          <w:lang w:bidi="he-IL"/>
        </w:rPr>
        <w:t>באשר להכרעת בית המשפט, אציין כי בית המשפט לא ראה מקום להורות על בטלותו של חוק הלאום או להתערב בהוראה מהוראותיו. זאת, "משום שניתן לפרש את חוק היסוד פרשנות מקיימת העולה בקנה אחד עם חוקי היסוד האחרים, ועם העקרונות והערכים שעוגנו בהם זה מכבר".</w:t>
      </w:r>
      <w:r w:rsidRPr="00AD451B">
        <w:rPr>
          <w:rStyle w:val="FootnoteReference"/>
          <w:rFonts w:ascii="David" w:hAnsi="David" w:cs="David"/>
          <w:color w:val="000000" w:themeColor="text1"/>
          <w:sz w:val="24"/>
          <w:szCs w:val="24"/>
          <w:rtl/>
          <w:lang w:bidi="he-IL"/>
        </w:rPr>
        <w:footnoteReference w:id="14"/>
      </w:r>
      <w:r w:rsidRPr="00AD451B">
        <w:rPr>
          <w:rFonts w:ascii="David" w:hAnsi="David" w:cs="David"/>
          <w:color w:val="000000" w:themeColor="text1"/>
          <w:sz w:val="24"/>
          <w:szCs w:val="24"/>
          <w:rtl/>
          <w:lang w:bidi="he-IL"/>
        </w:rPr>
        <w:t xml:space="preserve"> במסגרת דיונו, בית המשפט בחן תחילה את השאלה האם מוטלות על הכנסת בכובעה כרשות מכוננת מגבלות מהותיות כלשהן. שנית, אף אם קיימות מגבלות כאלה, האם הוא מוסמך לקיים ביקורת שיפוטית על מנת לברר אם המכונן חרג מאותן מגבלות? לאחר שבית המשפט בחן שאלות אלה, הוא נדרש לטענות העותרים נגד החוק בכללותו ונגד סעיפים ספציפיים בחוק. לכן, בחרתי להתעמק ולנתח את נימוקי בית המשפט ביחס לטענות העותרים נגד החוק בכללותו, ובפרט נגד סעיפים 1, 4 ו-7.</w:t>
      </w:r>
    </w:p>
    <w:p w:rsidR="006E285E" w:rsidRPr="00AD451B" w:rsidRDefault="006E285E" w:rsidP="006E285E">
      <w:pPr>
        <w:pStyle w:val="Heading3"/>
        <w:bidi/>
        <w:spacing w:after="120" w:line="480" w:lineRule="auto"/>
        <w:rPr>
          <w:rFonts w:ascii="David" w:hAnsi="David" w:cs="David"/>
          <w:b/>
          <w:bCs/>
          <w:color w:val="000000" w:themeColor="text1"/>
          <w:sz w:val="28"/>
          <w:szCs w:val="28"/>
          <w:rtl/>
          <w:lang w:val="en-GB" w:bidi="he-IL"/>
        </w:rPr>
      </w:pPr>
      <w:r w:rsidRPr="00AD451B">
        <w:rPr>
          <w:rFonts w:ascii="David" w:hAnsi="David" w:cs="David" w:hint="cs"/>
          <w:b/>
          <w:bCs/>
          <w:color w:val="000000" w:themeColor="text1"/>
          <w:sz w:val="28"/>
          <w:szCs w:val="28"/>
          <w:rtl/>
          <w:lang w:val="en-GB" w:bidi="he-IL"/>
        </w:rPr>
        <w:t>12</w:t>
      </w:r>
      <w:r w:rsidRPr="00AD451B">
        <w:rPr>
          <w:rFonts w:ascii="David" w:hAnsi="David" w:cs="David"/>
          <w:b/>
          <w:bCs/>
          <w:color w:val="000000" w:themeColor="text1"/>
          <w:sz w:val="28"/>
          <w:szCs w:val="28"/>
          <w:rtl/>
          <w:lang w:val="en-GB" w:bidi="he-IL"/>
        </w:rPr>
        <w:t>.</w:t>
      </w:r>
      <w:r w:rsidRPr="00AD451B">
        <w:rPr>
          <w:rFonts w:ascii="David" w:hAnsi="David" w:cs="David" w:hint="cs"/>
          <w:b/>
          <w:bCs/>
          <w:color w:val="000000" w:themeColor="text1"/>
          <w:sz w:val="28"/>
          <w:szCs w:val="28"/>
          <w:rtl/>
          <w:lang w:val="en-GB" w:bidi="he-IL"/>
        </w:rPr>
        <w:t>1</w:t>
      </w:r>
      <w:r w:rsidRPr="00AD451B">
        <w:rPr>
          <w:rFonts w:ascii="David" w:hAnsi="David" w:cs="David"/>
          <w:b/>
          <w:bCs/>
          <w:color w:val="000000" w:themeColor="text1"/>
          <w:sz w:val="28"/>
          <w:szCs w:val="28"/>
          <w:rtl/>
          <w:lang w:val="en-GB" w:bidi="he-IL"/>
        </w:rPr>
        <w:t>.2 זמן, מרחב והדמות הנעדרת בפסיקת בית המשפט העליון בעניין חוק הלאום</w:t>
      </w:r>
    </w:p>
    <w:p w:rsidR="006E285E" w:rsidRPr="00AD451B" w:rsidRDefault="006E285E" w:rsidP="006E285E">
      <w:pPr>
        <w:bidi/>
        <w:spacing w:before="120" w:after="120" w:line="360" w:lineRule="auto"/>
        <w:jc w:val="both"/>
        <w:rPr>
          <w:rFonts w:ascii="David" w:hAnsi="David" w:cs="David"/>
          <w:color w:val="000000" w:themeColor="text1"/>
          <w:sz w:val="24"/>
          <w:szCs w:val="24"/>
          <w:shd w:val="clear" w:color="auto" w:fill="FFFFFF"/>
          <w:rtl/>
          <w:lang w:bidi="he-IL"/>
        </w:rPr>
      </w:pPr>
      <w:r w:rsidRPr="00AD451B">
        <w:rPr>
          <w:rFonts w:ascii="David" w:hAnsi="David" w:cs="David"/>
          <w:color w:val="000000" w:themeColor="text1"/>
          <w:sz w:val="24"/>
          <w:szCs w:val="24"/>
          <w:shd w:val="clear" w:color="auto" w:fill="FFFFFF"/>
          <w:rtl/>
          <w:lang w:bidi="he-IL"/>
        </w:rPr>
        <w:t xml:space="preserve">כאמור, למשפט קיימת היכולת לכונן קטגוריות תודעה, פרקטיקות התנהגות וזהויות, ובמקביל, להקנות לגיטימציה להסדרים חברתיים, או להשאירם בחוץ. לכן, בבואנו לבחון את האופן שבו בית המשפט מתמודד עם חמש־עשרה העתירות שהוגשו נגד החוק הלאום, עלינו לזכור שהמערכת התרבותית המכוננת אותו היא בראש ובראשונה – יהודית. אמנם, מערכת בתי המשפט, מגדירה עצמה כמערכת חוק, הנשענת על עקרונות ליברליים, ולכן היא מכירה בזכויות מיעוטים וערך השוויון הוא מהותי בה. כך גם </w:t>
      </w:r>
      <w:r w:rsidRPr="00AD451B">
        <w:rPr>
          <w:rFonts w:ascii="David" w:hAnsi="David" w:cs="David" w:hint="cs"/>
          <w:color w:val="000000" w:themeColor="text1"/>
          <w:sz w:val="24"/>
          <w:szCs w:val="24"/>
          <w:shd w:val="clear" w:color="auto" w:fill="FFFFFF"/>
          <w:rtl/>
          <w:lang w:bidi="he-IL"/>
        </w:rPr>
        <w:t>בא לידי ביטוי בפסיקתו של בית המשפט העליון בעניין חוק הלאום</w:t>
      </w:r>
      <w:r w:rsidRPr="00AD451B">
        <w:rPr>
          <w:rFonts w:ascii="David" w:hAnsi="David" w:cs="David"/>
          <w:color w:val="000000" w:themeColor="text1"/>
          <w:sz w:val="24"/>
          <w:szCs w:val="24"/>
          <w:shd w:val="clear" w:color="auto" w:fill="FFFFFF"/>
          <w:rtl/>
          <w:lang w:bidi="he-IL"/>
        </w:rPr>
        <w:t xml:space="preserve">, </w:t>
      </w:r>
      <w:r w:rsidRPr="00AD451B">
        <w:rPr>
          <w:rFonts w:ascii="David" w:hAnsi="David" w:cs="David"/>
          <w:color w:val="000000" w:themeColor="text1"/>
          <w:sz w:val="24"/>
          <w:szCs w:val="24"/>
          <w:rtl/>
          <w:lang w:bidi="he-IL"/>
        </w:rPr>
        <w:t xml:space="preserve">בכלל "רכיבי המדינה היהודית, כאמור, שוויון זכויות לכל אזרחי הארץ, יהודים ושאינם. שוויון זכויות למיעוטים זכה לביטוי מפורש ומפורט בהכרזת העצמאות: פיתוח הארץ לכל </w:t>
      </w:r>
      <w:r w:rsidRPr="00AD451B">
        <w:rPr>
          <w:rFonts w:ascii="David" w:hAnsi="David" w:cs="David"/>
          <w:color w:val="000000" w:themeColor="text1"/>
          <w:sz w:val="24"/>
          <w:szCs w:val="24"/>
          <w:rtl/>
          <w:lang w:bidi="he-IL"/>
        </w:rPr>
        <w:lastRenderedPageBreak/>
        <w:t>יושביה, חופש דת, לשון ותרבות, ועוד".</w:t>
      </w:r>
      <w:r w:rsidRPr="00AD451B">
        <w:rPr>
          <w:rStyle w:val="FootnoteReference"/>
          <w:rFonts w:ascii="David" w:hAnsi="David" w:cs="David"/>
          <w:color w:val="000000" w:themeColor="text1"/>
          <w:sz w:val="24"/>
          <w:szCs w:val="24"/>
          <w:rtl/>
          <w:lang w:bidi="he-IL"/>
        </w:rPr>
        <w:footnoteReference w:id="15"/>
      </w:r>
      <w:r w:rsidRPr="00AD451B">
        <w:rPr>
          <w:rFonts w:ascii="David" w:hAnsi="David" w:cs="David"/>
          <w:color w:val="000000" w:themeColor="text1"/>
          <w:sz w:val="24"/>
          <w:szCs w:val="24"/>
          <w:rtl/>
          <w:lang w:bidi="he-IL"/>
        </w:rPr>
        <w:t xml:space="preserve"> </w:t>
      </w:r>
      <w:r w:rsidRPr="00AD451B">
        <w:rPr>
          <w:rFonts w:ascii="David" w:hAnsi="David" w:cs="David"/>
          <w:color w:val="000000" w:themeColor="text1"/>
          <w:sz w:val="24"/>
          <w:szCs w:val="24"/>
          <w:shd w:val="clear" w:color="auto" w:fill="FFFFFF"/>
          <w:rtl/>
          <w:lang w:bidi="he-IL"/>
        </w:rPr>
        <w:t xml:space="preserve">בנוסף, </w:t>
      </w:r>
      <w:r w:rsidRPr="00AD451B">
        <w:rPr>
          <w:rFonts w:ascii="David" w:hAnsi="David" w:cs="David" w:hint="cs"/>
          <w:color w:val="000000" w:themeColor="text1"/>
          <w:sz w:val="24"/>
          <w:szCs w:val="24"/>
          <w:shd w:val="clear" w:color="auto" w:fill="FFFFFF"/>
          <w:rtl/>
          <w:lang w:bidi="he-IL"/>
        </w:rPr>
        <w:t>בפסק הדין עולה כי יש הכרה</w:t>
      </w:r>
      <w:r w:rsidRPr="00AD451B">
        <w:rPr>
          <w:rFonts w:ascii="David" w:hAnsi="David" w:cs="David"/>
          <w:color w:val="000000" w:themeColor="text1"/>
          <w:sz w:val="24"/>
          <w:szCs w:val="24"/>
          <w:shd w:val="clear" w:color="auto" w:fill="FFFFFF"/>
          <w:rtl/>
          <w:lang w:bidi="he-IL"/>
        </w:rPr>
        <w:t xml:space="preserve"> בזיקה שבין חוק להקשרים בתוכם הוא מתקיים "לשון חוקתית יש לפרש מתוך 'מבט רחב', שכן המערך החוקתי אינו מורכב רק מהטקסט החוקתי עצמו".</w:t>
      </w:r>
      <w:r w:rsidRPr="00AD451B">
        <w:rPr>
          <w:rStyle w:val="FootnoteReference"/>
          <w:rFonts w:ascii="David" w:hAnsi="David" w:cs="David"/>
          <w:color w:val="000000" w:themeColor="text1"/>
          <w:sz w:val="24"/>
          <w:szCs w:val="24"/>
          <w:shd w:val="clear" w:color="auto" w:fill="FFFFFF"/>
          <w:rtl/>
          <w:lang w:bidi="he-IL"/>
        </w:rPr>
        <w:footnoteReference w:id="16"/>
      </w:r>
      <w:r w:rsidRPr="00AD451B">
        <w:rPr>
          <w:rFonts w:ascii="David" w:hAnsi="David" w:cs="David"/>
          <w:color w:val="000000" w:themeColor="text1"/>
          <w:sz w:val="24"/>
          <w:szCs w:val="24"/>
          <w:shd w:val="clear" w:color="auto" w:fill="FFFFFF"/>
          <w:rtl/>
          <w:lang w:bidi="he-IL"/>
        </w:rPr>
        <w:t xml:space="preserve"> כלומר, אנו רואים כאן ביטוי מפורש של מודעות מערכת המשפט למקומה ותפקידיה במערכת התרבותית הרחבה, וממצבת את ערכי השוויון כעקרוניים. </w:t>
      </w:r>
    </w:p>
    <w:p w:rsidR="006E285E" w:rsidRPr="00AD451B" w:rsidRDefault="006E285E" w:rsidP="006E285E">
      <w:pPr>
        <w:bidi/>
        <w:spacing w:before="120" w:after="120" w:line="360" w:lineRule="auto"/>
        <w:ind w:firstLine="284"/>
        <w:jc w:val="both"/>
        <w:rPr>
          <w:rFonts w:ascii="David" w:hAnsi="David" w:cs="David"/>
          <w:color w:val="000000" w:themeColor="text1"/>
          <w:sz w:val="24"/>
          <w:szCs w:val="24"/>
          <w:shd w:val="clear" w:color="auto" w:fill="FFFFFF"/>
          <w:rtl/>
          <w:lang w:bidi="he-IL"/>
        </w:rPr>
      </w:pPr>
      <w:r w:rsidRPr="00AD451B">
        <w:rPr>
          <w:rFonts w:ascii="David" w:hAnsi="David" w:cs="David"/>
          <w:color w:val="000000" w:themeColor="text1"/>
          <w:sz w:val="24"/>
          <w:szCs w:val="24"/>
          <w:shd w:val="clear" w:color="auto" w:fill="FFFFFF"/>
          <w:rtl/>
          <w:lang w:bidi="he-IL"/>
        </w:rPr>
        <w:t xml:space="preserve">עם זאת, כשהנשיאה חיות מתייחסת לשוויון, היא מטעינה אותו בערכים הלקוחים מתוך היהדות, ולא מתוך ערכים ליברלים. בנוסף, הציטוט השני המובא לעיל, נמצא בתוך הקשר דבריו של </w:t>
      </w:r>
      <w:r w:rsidRPr="00AD451B">
        <w:rPr>
          <w:rFonts w:ascii="David" w:hAnsi="David" w:cs="David" w:hint="cs"/>
          <w:color w:val="000000" w:themeColor="text1"/>
          <w:sz w:val="24"/>
          <w:szCs w:val="24"/>
          <w:shd w:val="clear" w:color="auto" w:fill="FFFFFF"/>
          <w:rtl/>
          <w:lang w:bidi="he-IL"/>
        </w:rPr>
        <w:t xml:space="preserve">הנשיא </w:t>
      </w:r>
      <w:r w:rsidRPr="00AD451B">
        <w:rPr>
          <w:rFonts w:ascii="David" w:hAnsi="David" w:cs="David"/>
          <w:color w:val="000000" w:themeColor="text1"/>
          <w:sz w:val="24"/>
          <w:szCs w:val="24"/>
          <w:shd w:val="clear" w:color="auto" w:fill="FFFFFF"/>
          <w:rtl/>
          <w:lang w:bidi="he-IL"/>
        </w:rPr>
        <w:t>אגרנט שצוטטו בראשית הפרק, בו אגרנט מתייחס למערכת המשפט בישראל וקושר את מושג ה"עם" למושג ה"לאום" ומטעין אותם בערכים יהודיים – "</w:t>
      </w:r>
      <w:r w:rsidRPr="00AD451B">
        <w:rPr>
          <w:rFonts w:ascii="David" w:hAnsi="David" w:cs="David"/>
          <w:color w:val="000000" w:themeColor="text1"/>
          <w:sz w:val="24"/>
          <w:szCs w:val="24"/>
          <w:rtl/>
          <w:lang w:bidi="he-IL"/>
        </w:rPr>
        <w:t>הלא</w:t>
      </w:r>
      <w:r w:rsidRPr="00AD451B">
        <w:rPr>
          <w:rFonts w:ascii="David" w:hAnsi="David" w:cs="David"/>
          <w:color w:val="000000" w:themeColor="text1"/>
          <w:sz w:val="24"/>
          <w:szCs w:val="24"/>
          <w:rtl/>
        </w:rPr>
        <w:t xml:space="preserve"> </w:t>
      </w:r>
      <w:r w:rsidRPr="00AD451B">
        <w:rPr>
          <w:rFonts w:ascii="David" w:hAnsi="David" w:cs="David"/>
          <w:color w:val="000000" w:themeColor="text1"/>
          <w:sz w:val="24"/>
          <w:szCs w:val="24"/>
          <w:rtl/>
          <w:lang w:bidi="he-IL"/>
        </w:rPr>
        <w:t>זו</w:t>
      </w:r>
      <w:r w:rsidRPr="00AD451B">
        <w:rPr>
          <w:rFonts w:ascii="David" w:hAnsi="David" w:cs="David"/>
          <w:color w:val="000000" w:themeColor="text1"/>
          <w:sz w:val="24"/>
          <w:szCs w:val="24"/>
          <w:rtl/>
        </w:rPr>
        <w:t xml:space="preserve"> </w:t>
      </w:r>
      <w:r w:rsidRPr="00AD451B">
        <w:rPr>
          <w:rFonts w:ascii="David" w:hAnsi="David" w:cs="David"/>
          <w:color w:val="000000" w:themeColor="text1"/>
          <w:sz w:val="24"/>
          <w:szCs w:val="24"/>
          <w:rtl/>
          <w:lang w:bidi="he-IL"/>
        </w:rPr>
        <w:t>אקסיומה</w:t>
      </w:r>
      <w:r w:rsidRPr="00AD451B">
        <w:rPr>
          <w:rFonts w:ascii="David" w:hAnsi="David" w:cs="David"/>
          <w:color w:val="000000" w:themeColor="text1"/>
          <w:sz w:val="24"/>
          <w:szCs w:val="24"/>
          <w:rtl/>
        </w:rPr>
        <w:t xml:space="preserve"> </w:t>
      </w:r>
      <w:r w:rsidRPr="00AD451B">
        <w:rPr>
          <w:rFonts w:ascii="David" w:hAnsi="David" w:cs="David"/>
          <w:color w:val="000000" w:themeColor="text1"/>
          <w:sz w:val="24"/>
          <w:szCs w:val="24"/>
          <w:rtl/>
          <w:lang w:bidi="he-IL"/>
        </w:rPr>
        <w:t>ידועה</w:t>
      </w:r>
      <w:r w:rsidRPr="00AD451B">
        <w:rPr>
          <w:rFonts w:ascii="David" w:hAnsi="David" w:cs="David"/>
          <w:color w:val="000000" w:themeColor="text1"/>
          <w:sz w:val="24"/>
          <w:szCs w:val="24"/>
          <w:rtl/>
        </w:rPr>
        <w:t xml:space="preserve">, </w:t>
      </w:r>
      <w:r w:rsidRPr="00AD451B">
        <w:rPr>
          <w:rFonts w:ascii="David" w:hAnsi="David" w:cs="David"/>
          <w:color w:val="000000" w:themeColor="text1"/>
          <w:sz w:val="24"/>
          <w:szCs w:val="24"/>
          <w:rtl/>
          <w:lang w:bidi="he-IL"/>
        </w:rPr>
        <w:t>שאת</w:t>
      </w:r>
      <w:r w:rsidRPr="00AD451B">
        <w:rPr>
          <w:rFonts w:ascii="David" w:hAnsi="David" w:cs="David"/>
          <w:color w:val="000000" w:themeColor="text1"/>
          <w:sz w:val="24"/>
          <w:szCs w:val="24"/>
          <w:rtl/>
        </w:rPr>
        <w:t xml:space="preserve"> </w:t>
      </w:r>
      <w:r w:rsidRPr="00AD451B">
        <w:rPr>
          <w:rFonts w:ascii="David" w:hAnsi="David" w:cs="David"/>
          <w:color w:val="000000" w:themeColor="text1"/>
          <w:sz w:val="24"/>
          <w:szCs w:val="24"/>
          <w:rtl/>
          <w:lang w:bidi="he-IL"/>
        </w:rPr>
        <w:t>המשפט</w:t>
      </w:r>
      <w:r w:rsidRPr="00AD451B">
        <w:rPr>
          <w:rFonts w:ascii="David" w:hAnsi="David" w:cs="David"/>
          <w:color w:val="000000" w:themeColor="text1"/>
          <w:sz w:val="24"/>
          <w:szCs w:val="24"/>
          <w:rtl/>
        </w:rPr>
        <w:t xml:space="preserve"> </w:t>
      </w:r>
      <w:r w:rsidRPr="00AD451B">
        <w:rPr>
          <w:rFonts w:ascii="David" w:hAnsi="David" w:cs="David"/>
          <w:color w:val="000000" w:themeColor="text1"/>
          <w:sz w:val="24"/>
          <w:szCs w:val="24"/>
          <w:rtl/>
          <w:lang w:bidi="he-IL"/>
        </w:rPr>
        <w:t>של</w:t>
      </w:r>
      <w:r w:rsidRPr="00AD451B">
        <w:rPr>
          <w:rFonts w:ascii="David" w:hAnsi="David" w:cs="David"/>
          <w:color w:val="000000" w:themeColor="text1"/>
          <w:sz w:val="24"/>
          <w:szCs w:val="24"/>
          <w:rtl/>
        </w:rPr>
        <w:t xml:space="preserve"> </w:t>
      </w:r>
      <w:r w:rsidRPr="00AD451B">
        <w:rPr>
          <w:rFonts w:ascii="David" w:hAnsi="David" w:cs="David"/>
          <w:color w:val="000000" w:themeColor="text1"/>
          <w:sz w:val="24"/>
          <w:szCs w:val="24"/>
          <w:rtl/>
          <w:lang w:bidi="he-IL"/>
        </w:rPr>
        <w:t>עם</w:t>
      </w:r>
      <w:r w:rsidRPr="00AD451B">
        <w:rPr>
          <w:rFonts w:ascii="David" w:hAnsi="David" w:cs="David"/>
          <w:color w:val="000000" w:themeColor="text1"/>
          <w:sz w:val="24"/>
          <w:szCs w:val="24"/>
          <w:rtl/>
        </w:rPr>
        <w:t xml:space="preserve"> </w:t>
      </w:r>
      <w:r w:rsidRPr="00AD451B">
        <w:rPr>
          <w:rFonts w:ascii="David" w:hAnsi="David" w:cs="David"/>
          <w:color w:val="000000" w:themeColor="text1"/>
          <w:sz w:val="24"/>
          <w:szCs w:val="24"/>
          <w:rtl/>
          <w:lang w:bidi="he-IL"/>
        </w:rPr>
        <w:t>יש ללמוד</w:t>
      </w:r>
      <w:r w:rsidRPr="00AD451B">
        <w:rPr>
          <w:rFonts w:ascii="David" w:hAnsi="David" w:cs="David"/>
          <w:color w:val="000000" w:themeColor="text1"/>
          <w:sz w:val="24"/>
          <w:szCs w:val="24"/>
          <w:rtl/>
        </w:rPr>
        <w:t xml:space="preserve"> </w:t>
      </w:r>
      <w:r w:rsidRPr="00AD451B">
        <w:rPr>
          <w:rFonts w:ascii="David" w:hAnsi="David" w:cs="David"/>
          <w:color w:val="000000" w:themeColor="text1"/>
          <w:sz w:val="24"/>
          <w:szCs w:val="24"/>
          <w:rtl/>
          <w:lang w:bidi="he-IL"/>
        </w:rPr>
        <w:t>באספקלריה</w:t>
      </w:r>
      <w:r w:rsidRPr="00AD451B">
        <w:rPr>
          <w:rFonts w:ascii="David" w:hAnsi="David" w:cs="David"/>
          <w:color w:val="000000" w:themeColor="text1"/>
          <w:sz w:val="24"/>
          <w:szCs w:val="24"/>
          <w:rtl/>
        </w:rPr>
        <w:t xml:space="preserve"> </w:t>
      </w:r>
      <w:r w:rsidRPr="00AD451B">
        <w:rPr>
          <w:rFonts w:ascii="David" w:hAnsi="David" w:cs="David"/>
          <w:color w:val="000000" w:themeColor="text1"/>
          <w:sz w:val="24"/>
          <w:szCs w:val="24"/>
          <w:rtl/>
          <w:lang w:bidi="he-IL"/>
        </w:rPr>
        <w:t>של</w:t>
      </w:r>
      <w:r w:rsidRPr="00AD451B">
        <w:rPr>
          <w:rFonts w:ascii="David" w:hAnsi="David" w:cs="David"/>
          <w:color w:val="000000" w:themeColor="text1"/>
          <w:sz w:val="24"/>
          <w:szCs w:val="24"/>
          <w:rtl/>
        </w:rPr>
        <w:t xml:space="preserve"> </w:t>
      </w:r>
      <w:r w:rsidRPr="00AD451B">
        <w:rPr>
          <w:rFonts w:ascii="David" w:hAnsi="David" w:cs="David"/>
          <w:color w:val="000000" w:themeColor="text1"/>
          <w:sz w:val="24"/>
          <w:szCs w:val="24"/>
          <w:rtl/>
          <w:lang w:bidi="he-IL"/>
        </w:rPr>
        <w:t>מערכת</w:t>
      </w:r>
      <w:r w:rsidRPr="00AD451B">
        <w:rPr>
          <w:rFonts w:ascii="David" w:hAnsi="David" w:cs="David"/>
          <w:color w:val="000000" w:themeColor="text1"/>
          <w:sz w:val="24"/>
          <w:szCs w:val="24"/>
          <w:rtl/>
        </w:rPr>
        <w:t xml:space="preserve"> </w:t>
      </w:r>
      <w:r w:rsidRPr="00AD451B">
        <w:rPr>
          <w:rFonts w:ascii="David" w:hAnsi="David" w:cs="David"/>
          <w:color w:val="000000" w:themeColor="text1"/>
          <w:sz w:val="24"/>
          <w:szCs w:val="24"/>
          <w:rtl/>
          <w:lang w:bidi="he-IL"/>
        </w:rPr>
        <w:t>החיים</w:t>
      </w:r>
      <w:r w:rsidRPr="00AD451B">
        <w:rPr>
          <w:rFonts w:ascii="David" w:hAnsi="David" w:cs="David"/>
          <w:color w:val="000000" w:themeColor="text1"/>
          <w:sz w:val="24"/>
          <w:szCs w:val="24"/>
          <w:rtl/>
        </w:rPr>
        <w:t xml:space="preserve"> </w:t>
      </w:r>
      <w:r w:rsidRPr="00AD451B">
        <w:rPr>
          <w:rFonts w:ascii="David" w:hAnsi="David" w:cs="David"/>
          <w:color w:val="000000" w:themeColor="text1"/>
          <w:sz w:val="24"/>
          <w:szCs w:val="24"/>
          <w:rtl/>
          <w:lang w:bidi="he-IL"/>
        </w:rPr>
        <w:t>הלאומיים</w:t>
      </w:r>
      <w:r w:rsidRPr="00AD451B">
        <w:rPr>
          <w:rFonts w:ascii="David" w:hAnsi="David" w:cs="David"/>
          <w:color w:val="000000" w:themeColor="text1"/>
          <w:sz w:val="24"/>
          <w:szCs w:val="24"/>
          <w:rtl/>
        </w:rPr>
        <w:t xml:space="preserve"> </w:t>
      </w:r>
      <w:r w:rsidRPr="00AD451B">
        <w:rPr>
          <w:rFonts w:ascii="David" w:hAnsi="David" w:cs="David"/>
          <w:color w:val="000000" w:themeColor="text1"/>
          <w:sz w:val="24"/>
          <w:szCs w:val="24"/>
          <w:rtl/>
          <w:lang w:bidi="he-IL"/>
        </w:rPr>
        <w:t>שלו</w:t>
      </w:r>
      <w:r w:rsidRPr="00AD451B">
        <w:rPr>
          <w:rFonts w:ascii="David" w:hAnsi="David" w:cs="David"/>
          <w:color w:val="000000" w:themeColor="text1"/>
          <w:sz w:val="24"/>
          <w:szCs w:val="24"/>
          <w:shd w:val="clear" w:color="auto" w:fill="FFFFFF"/>
          <w:rtl/>
          <w:lang w:bidi="he-IL"/>
        </w:rPr>
        <w:t xml:space="preserve">". כלומר, יהיה זה סביר להניח כי ברור לאגרנט שמערכת המשפט בישראל לא נסמכת על מערכת </w:t>
      </w:r>
      <w:r w:rsidRPr="00AD451B">
        <w:rPr>
          <w:rFonts w:ascii="David" w:hAnsi="David" w:cs="David" w:hint="cs"/>
          <w:color w:val="000000" w:themeColor="text1"/>
          <w:sz w:val="24"/>
          <w:szCs w:val="24"/>
          <w:shd w:val="clear" w:color="auto" w:fill="FFFFFF"/>
          <w:rtl/>
          <w:lang w:bidi="he-IL"/>
        </w:rPr>
        <w:t>ערכים</w:t>
      </w:r>
      <w:r w:rsidRPr="00AD451B">
        <w:rPr>
          <w:rFonts w:ascii="David" w:hAnsi="David" w:cs="David"/>
          <w:color w:val="000000" w:themeColor="text1"/>
          <w:sz w:val="24"/>
          <w:szCs w:val="24"/>
          <w:shd w:val="clear" w:color="auto" w:fill="FFFFFF"/>
          <w:rtl/>
          <w:lang w:bidi="he-IL"/>
        </w:rPr>
        <w:t xml:space="preserve"> אחרת מלבד זו היהודית, כמו למשל </w:t>
      </w:r>
      <w:r w:rsidRPr="00AD451B">
        <w:rPr>
          <w:rFonts w:ascii="David" w:hAnsi="David" w:cs="David" w:hint="cs"/>
          <w:color w:val="000000" w:themeColor="text1"/>
          <w:sz w:val="24"/>
          <w:szCs w:val="24"/>
          <w:shd w:val="clear" w:color="auto" w:fill="FFFFFF"/>
          <w:rtl/>
          <w:lang w:bidi="he-IL"/>
        </w:rPr>
        <w:t xml:space="preserve">זו </w:t>
      </w:r>
      <w:r w:rsidRPr="00AD451B">
        <w:rPr>
          <w:rFonts w:ascii="David" w:hAnsi="David" w:cs="David"/>
          <w:color w:val="000000" w:themeColor="text1"/>
          <w:sz w:val="24"/>
          <w:szCs w:val="24"/>
          <w:shd w:val="clear" w:color="auto" w:fill="FFFFFF"/>
          <w:rtl/>
          <w:lang w:bidi="he-IL"/>
        </w:rPr>
        <w:t>האיסלמי</w:t>
      </w:r>
      <w:r w:rsidRPr="00AD451B">
        <w:rPr>
          <w:rFonts w:ascii="David" w:hAnsi="David" w:cs="David" w:hint="cs"/>
          <w:color w:val="000000" w:themeColor="text1"/>
          <w:sz w:val="24"/>
          <w:szCs w:val="24"/>
          <w:shd w:val="clear" w:color="auto" w:fill="FFFFFF"/>
          <w:rtl/>
          <w:lang w:bidi="he-IL"/>
        </w:rPr>
        <w:t>ת</w:t>
      </w:r>
      <w:r w:rsidRPr="00AD451B">
        <w:rPr>
          <w:rFonts w:ascii="David" w:hAnsi="David" w:cs="David"/>
          <w:color w:val="000000" w:themeColor="text1"/>
          <w:sz w:val="24"/>
          <w:szCs w:val="24"/>
          <w:shd w:val="clear" w:color="auto" w:fill="FFFFFF"/>
          <w:rtl/>
          <w:lang w:bidi="he-IL"/>
        </w:rPr>
        <w:t xml:space="preserve">, למרות שחלק מאזרחי המדינה הם מוסלמים. לכן, אפשר לומר שאגרנט, בהתייחסו לעם ולאום, למעשה מכונן שתי קטגוריות יהודיות, ומדיר, גם אם בלי משים, מהעם ומהלאום של מדינת ישראל, את מי שאינו יהודי. פרשנות אפשרית כזו, מלמדת אותנו על הזיקה שבין התרבות היהודית לבין תרבות המשפט בישראל. </w:t>
      </w:r>
    </w:p>
    <w:p w:rsidR="006E285E" w:rsidRPr="00AD451B" w:rsidRDefault="006E285E" w:rsidP="006E285E">
      <w:pPr>
        <w:bidi/>
        <w:spacing w:before="120" w:after="120" w:line="360" w:lineRule="auto"/>
        <w:ind w:firstLine="284"/>
        <w:jc w:val="both"/>
        <w:rPr>
          <w:rFonts w:ascii="David" w:hAnsi="David" w:cs="David"/>
          <w:color w:val="000000" w:themeColor="text1"/>
          <w:sz w:val="24"/>
          <w:szCs w:val="24"/>
          <w:shd w:val="clear" w:color="auto" w:fill="FFFFFF"/>
          <w:rtl/>
          <w:lang w:bidi="he-IL"/>
        </w:rPr>
      </w:pPr>
      <w:r w:rsidRPr="00AD451B">
        <w:rPr>
          <w:rFonts w:ascii="David" w:hAnsi="David" w:cs="David"/>
          <w:color w:val="000000" w:themeColor="text1"/>
          <w:sz w:val="24"/>
          <w:szCs w:val="24"/>
          <w:shd w:val="clear" w:color="auto" w:fill="FFFFFF"/>
          <w:rtl/>
          <w:lang w:bidi="he-IL"/>
        </w:rPr>
        <w:t xml:space="preserve">כפי שהראיתי בפרק הקודם, התרבות היהודית מספקת בעבור חבריה את אסטרטגיות הפעולה – כרונוטופ הזמן, המכונן את תודעת השואה; כרונוטופ המרחב, המכונן את תפיסת המרחב הבינארית; הדמות הנעדרת, המכוננת את </w:t>
      </w:r>
      <w:r w:rsidRPr="00AD451B">
        <w:rPr>
          <w:rFonts w:ascii="David" w:hAnsi="David" w:cs="David" w:hint="cs"/>
          <w:color w:val="000000" w:themeColor="text1"/>
          <w:sz w:val="24"/>
          <w:szCs w:val="24"/>
          <w:shd w:val="clear" w:color="auto" w:fill="FFFFFF"/>
          <w:rtl/>
          <w:lang w:bidi="he-IL"/>
        </w:rPr>
        <w:t>העיוורון.</w:t>
      </w:r>
      <w:r w:rsidRPr="00AD451B">
        <w:rPr>
          <w:rFonts w:ascii="David" w:hAnsi="David" w:cs="David"/>
          <w:color w:val="000000" w:themeColor="text1"/>
          <w:sz w:val="24"/>
          <w:szCs w:val="24"/>
          <w:shd w:val="clear" w:color="auto" w:fill="FFFFFF"/>
          <w:rtl/>
          <w:lang w:bidi="he-IL"/>
        </w:rPr>
        <w:t xml:space="preserve"> כך, אם נמשיך לבחון את הגדרות השוויון של </w:t>
      </w:r>
      <w:r w:rsidRPr="00AD451B">
        <w:rPr>
          <w:rFonts w:ascii="David" w:hAnsi="David" w:cs="David" w:hint="cs"/>
          <w:color w:val="000000" w:themeColor="text1"/>
          <w:sz w:val="24"/>
          <w:szCs w:val="24"/>
          <w:shd w:val="clear" w:color="auto" w:fill="FFFFFF"/>
          <w:rtl/>
          <w:lang w:bidi="he-IL"/>
        </w:rPr>
        <w:t>השופט סולברג</w:t>
      </w:r>
      <w:r w:rsidRPr="00AD451B">
        <w:rPr>
          <w:rFonts w:ascii="David" w:hAnsi="David" w:cs="David"/>
          <w:color w:val="000000" w:themeColor="text1"/>
          <w:sz w:val="24"/>
          <w:szCs w:val="24"/>
          <w:shd w:val="clear" w:color="auto" w:fill="FFFFFF"/>
          <w:rtl/>
          <w:lang w:bidi="he-IL"/>
        </w:rPr>
        <w:t xml:space="preserve">, לפי התפיסה היהודית, אנו נראה כיצד כל אלה פועלים: </w:t>
      </w:r>
    </w:p>
    <w:p w:rsidR="006E285E" w:rsidRPr="00AD451B" w:rsidRDefault="006E285E" w:rsidP="006E285E">
      <w:pPr>
        <w:bidi/>
        <w:spacing w:before="120" w:after="120" w:line="360" w:lineRule="auto"/>
        <w:ind w:left="567" w:right="567"/>
        <w:jc w:val="both"/>
        <w:rPr>
          <w:rFonts w:ascii="David" w:hAnsi="David" w:cs="David"/>
          <w:color w:val="000000" w:themeColor="text1"/>
          <w:sz w:val="24"/>
          <w:szCs w:val="24"/>
          <w:rtl/>
          <w:lang w:bidi="he-IL"/>
        </w:rPr>
      </w:pPr>
      <w:r w:rsidRPr="00AD451B">
        <w:rPr>
          <w:rFonts w:ascii="David" w:hAnsi="David" w:cs="David"/>
          <w:color w:val="000000" w:themeColor="text1"/>
          <w:rtl/>
          <w:lang w:bidi="he-IL"/>
        </w:rPr>
        <w:t xml:space="preserve">שוויון זכויות לכל </w:t>
      </w:r>
      <w:r w:rsidRPr="00AD451B">
        <w:rPr>
          <w:rFonts w:ascii="David" w:hAnsi="David" w:cs="David"/>
          <w:b/>
          <w:bCs/>
          <w:color w:val="000000" w:themeColor="text1"/>
          <w:rtl/>
          <w:lang w:bidi="he-IL"/>
        </w:rPr>
        <w:t>יושבי הארץ</w:t>
      </w:r>
      <w:r w:rsidRPr="00AD451B">
        <w:rPr>
          <w:rFonts w:ascii="David" w:hAnsi="David" w:cs="David"/>
          <w:color w:val="000000" w:themeColor="text1"/>
          <w:rtl/>
          <w:lang w:bidi="he-IL"/>
        </w:rPr>
        <w:t xml:space="preserve"> הוא ערך יהודי בשני מובנים: </w:t>
      </w:r>
      <w:r w:rsidRPr="00AD451B">
        <w:rPr>
          <w:rFonts w:ascii="David" w:hAnsi="David" w:cs="David"/>
          <w:b/>
          <w:bCs/>
          <w:color w:val="000000" w:themeColor="text1"/>
          <w:rtl/>
          <w:lang w:bidi="he-IL"/>
        </w:rPr>
        <w:t xml:space="preserve">בלקח היסטורי של עמנו אשר סבל בשנות הגלות הממושכת מפגיעות, השפלות, מסעות צלב, והאימה מכל – שואת יהודי אירופה; לנוראותיה ניתן ביטוי רחב בהכרזת העצמאות. </w:t>
      </w:r>
      <w:r w:rsidRPr="00AD451B">
        <w:rPr>
          <w:rFonts w:ascii="David" w:hAnsi="David" w:cs="David"/>
          <w:color w:val="000000" w:themeColor="text1"/>
          <w:rtl/>
          <w:lang w:bidi="he-IL"/>
        </w:rPr>
        <w:t>קבלה גמורה קיבלנו על עצמנו, במגילת העצמאות, לנהוג עם המיעוטים החיים בקרבנו באופן שונה מן הדרך שבה נהגו עמנו: להעניק להם שוויון זכויות, לאפשר להם לדבר בלשון עמם, ללבוש את מלבושיהם, ולהחזיק בדתיהם. ברם, לא רק לקחי ההיסטוריה היהודית, העמידונו על הצורך להתייחס אל המיעוטים החיים עמנו בכבוד; המורשת היהודית תובעת זאת מעמנו, והרי זה ערך מובנה, בסיסי, ראשוני, עוד מימי בראשית.</w:t>
      </w:r>
      <w:r w:rsidRPr="00AD451B">
        <w:rPr>
          <w:rStyle w:val="FootnoteReference"/>
          <w:rFonts w:ascii="David" w:hAnsi="David" w:cs="David"/>
          <w:color w:val="000000" w:themeColor="text1"/>
          <w:sz w:val="24"/>
          <w:szCs w:val="24"/>
          <w:shd w:val="clear" w:color="auto" w:fill="FFFFFF"/>
          <w:rtl/>
          <w:lang w:bidi="he-IL"/>
        </w:rPr>
        <w:footnoteReference w:id="17"/>
      </w:r>
    </w:p>
    <w:p w:rsidR="006E285E" w:rsidRPr="00AD451B" w:rsidRDefault="006E285E" w:rsidP="006E285E">
      <w:pPr>
        <w:bidi/>
        <w:spacing w:before="120" w:after="120" w:line="360" w:lineRule="auto"/>
        <w:jc w:val="both"/>
        <w:rPr>
          <w:rFonts w:ascii="David" w:hAnsi="David" w:cs="David"/>
          <w:color w:val="000000" w:themeColor="text1"/>
          <w:sz w:val="24"/>
          <w:szCs w:val="24"/>
          <w:rtl/>
          <w:lang w:bidi="he-IL"/>
        </w:rPr>
      </w:pPr>
      <w:r w:rsidRPr="00AD451B">
        <w:rPr>
          <w:rFonts w:ascii="David" w:hAnsi="David" w:cs="David"/>
          <w:color w:val="000000" w:themeColor="text1"/>
          <w:sz w:val="24"/>
          <w:szCs w:val="24"/>
          <w:rtl/>
          <w:lang w:bidi="he-IL"/>
        </w:rPr>
        <w:t xml:space="preserve">תודעת הרדיפה ובשיאה השואה, היא כמו שעון המתקתק אלפי שנות גלות ורדיפה שהדיו נשמעים בבירור בין כתלי בית המשפט. להבדיל מכרונוטופ הזמן של המרואיינים שהתמקד בעיקר בתודעת השואה, חיות מרחיבה אותו אל כל תקופה בה היו בגלות. כרונוטופ הזמן של חיות מארגן בעבורה את המציאות, לפיו, להיות יהודי משמעו בראש ובראשונה, להיות נרדף בכל זמן ובכל מקום, קרי – כרונוטופ הנרדף. </w:t>
      </w:r>
      <w:r w:rsidRPr="00AD451B">
        <w:rPr>
          <w:rFonts w:ascii="David" w:hAnsi="David" w:cs="David" w:hint="cs"/>
          <w:color w:val="000000" w:themeColor="text1"/>
          <w:sz w:val="24"/>
          <w:szCs w:val="24"/>
          <w:rtl/>
          <w:lang w:bidi="he-IL"/>
        </w:rPr>
        <w:t>השופטת ד' ברק-ארז</w:t>
      </w:r>
      <w:r w:rsidRPr="00AD451B">
        <w:rPr>
          <w:rFonts w:ascii="David" w:hAnsi="David" w:cs="David"/>
          <w:color w:val="000000" w:themeColor="text1"/>
          <w:sz w:val="24"/>
          <w:szCs w:val="24"/>
          <w:rtl/>
          <w:lang w:bidi="he-IL"/>
        </w:rPr>
        <w:t xml:space="preserve"> מדגישה זאת בהמשך "האמת צריכה להיאמר: ההיסטוריה של ישראל ושל העם היהודי אינה היסטוריה </w:t>
      </w:r>
      <w:r w:rsidRPr="00AD451B">
        <w:rPr>
          <w:rFonts w:ascii="David" w:hAnsi="David" w:cs="David"/>
          <w:color w:val="000000" w:themeColor="text1"/>
          <w:sz w:val="24"/>
          <w:szCs w:val="24"/>
          <w:rtl/>
          <w:lang w:bidi="he-IL"/>
        </w:rPr>
        <w:lastRenderedPageBreak/>
        <w:t>רגילה".</w:t>
      </w:r>
      <w:r w:rsidRPr="00AD451B">
        <w:rPr>
          <w:rStyle w:val="FootnoteReference"/>
          <w:rFonts w:ascii="David" w:hAnsi="David" w:cs="David"/>
          <w:color w:val="000000" w:themeColor="text1"/>
          <w:sz w:val="24"/>
          <w:szCs w:val="24"/>
          <w:rtl/>
          <w:lang w:bidi="he-IL"/>
        </w:rPr>
        <w:footnoteReference w:id="18"/>
      </w:r>
      <w:r w:rsidRPr="00AD451B">
        <w:rPr>
          <w:rFonts w:ascii="David" w:hAnsi="David" w:cs="David"/>
          <w:color w:val="000000" w:themeColor="text1"/>
          <w:sz w:val="24"/>
          <w:szCs w:val="24"/>
          <w:rtl/>
          <w:lang w:bidi="he-IL"/>
        </w:rPr>
        <w:t xml:space="preserve"> מכאן, שנקודת הייחוס, לפיה נקבעים מקורותיו היהודים של עקרון השוויון היא כרונוטופ הנרדף, ורק לאחר מכן המורשת היהודית הנשענת על המקרא. </w:t>
      </w:r>
    </w:p>
    <w:p w:rsidR="006E285E" w:rsidRPr="00AD451B" w:rsidRDefault="006E285E" w:rsidP="006E285E">
      <w:pPr>
        <w:bidi/>
        <w:spacing w:before="120" w:after="120" w:line="360" w:lineRule="auto"/>
        <w:jc w:val="both"/>
        <w:rPr>
          <w:rFonts w:ascii="David" w:hAnsi="David" w:cs="David"/>
          <w:color w:val="000000" w:themeColor="text1"/>
          <w:sz w:val="24"/>
          <w:szCs w:val="24"/>
          <w:rtl/>
          <w:lang w:bidi="he-IL"/>
        </w:rPr>
      </w:pPr>
      <w:r w:rsidRPr="00AD451B">
        <w:rPr>
          <w:rFonts w:ascii="David" w:hAnsi="David" w:cs="David"/>
          <w:color w:val="000000" w:themeColor="text1"/>
          <w:sz w:val="24"/>
          <w:szCs w:val="24"/>
          <w:rtl/>
          <w:lang w:bidi="he-IL"/>
        </w:rPr>
        <w:t xml:space="preserve">בראשית הציטוט לעיל, </w:t>
      </w:r>
      <w:r w:rsidRPr="00AD451B">
        <w:rPr>
          <w:rFonts w:ascii="David" w:hAnsi="David" w:cs="David" w:hint="cs"/>
          <w:color w:val="000000" w:themeColor="text1"/>
          <w:sz w:val="24"/>
          <w:szCs w:val="24"/>
          <w:rtl/>
          <w:lang w:bidi="he-IL"/>
        </w:rPr>
        <w:t xml:space="preserve">השופט סולברג </w:t>
      </w:r>
      <w:r w:rsidRPr="00AD451B">
        <w:rPr>
          <w:rFonts w:ascii="David" w:hAnsi="David" w:cs="David"/>
          <w:color w:val="000000" w:themeColor="text1"/>
          <w:sz w:val="24"/>
          <w:szCs w:val="24"/>
          <w:rtl/>
          <w:lang w:bidi="he-IL"/>
        </w:rPr>
        <w:t>מציי</w:t>
      </w:r>
      <w:r w:rsidRPr="00AD451B">
        <w:rPr>
          <w:rFonts w:ascii="David" w:hAnsi="David" w:cs="David" w:hint="cs"/>
          <w:color w:val="000000" w:themeColor="text1"/>
          <w:sz w:val="24"/>
          <w:szCs w:val="24"/>
          <w:rtl/>
          <w:lang w:bidi="he-IL"/>
        </w:rPr>
        <w:t>ן</w:t>
      </w:r>
      <w:r w:rsidRPr="00AD451B">
        <w:rPr>
          <w:rFonts w:ascii="David" w:hAnsi="David" w:cs="David"/>
          <w:color w:val="000000" w:themeColor="text1"/>
          <w:sz w:val="24"/>
          <w:szCs w:val="24"/>
          <w:rtl/>
          <w:lang w:bidi="he-IL"/>
        </w:rPr>
        <w:t xml:space="preserve"> כי עקרון השוויון נוגע לכל "יושבי הארץ",</w:t>
      </w:r>
      <w:r w:rsidRPr="00AD451B">
        <w:rPr>
          <w:rStyle w:val="FootnoteReference"/>
          <w:rFonts w:ascii="David" w:hAnsi="David" w:cs="David"/>
          <w:color w:val="000000" w:themeColor="text1"/>
          <w:sz w:val="24"/>
          <w:szCs w:val="24"/>
          <w:rtl/>
          <w:lang w:bidi="he-IL"/>
        </w:rPr>
        <w:footnoteReference w:id="19"/>
      </w:r>
      <w:r w:rsidRPr="00AD451B">
        <w:rPr>
          <w:rFonts w:ascii="David" w:hAnsi="David" w:cs="David"/>
          <w:color w:val="000000" w:themeColor="text1"/>
          <w:sz w:val="24"/>
          <w:szCs w:val="24"/>
          <w:rtl/>
          <w:lang w:bidi="he-IL"/>
        </w:rPr>
        <w:t xml:space="preserve"> ובכך </w:t>
      </w:r>
      <w:r w:rsidRPr="00AD451B">
        <w:rPr>
          <w:rFonts w:ascii="David" w:hAnsi="David" w:cs="David" w:hint="cs"/>
          <w:color w:val="000000" w:themeColor="text1"/>
          <w:sz w:val="24"/>
          <w:szCs w:val="24"/>
          <w:rtl/>
          <w:lang w:bidi="he-IL"/>
        </w:rPr>
        <w:t>יש כאן לקיחת</w:t>
      </w:r>
      <w:r w:rsidRPr="00AD451B">
        <w:rPr>
          <w:rFonts w:ascii="David" w:hAnsi="David" w:cs="David"/>
          <w:color w:val="000000" w:themeColor="text1"/>
          <w:sz w:val="24"/>
          <w:szCs w:val="24"/>
          <w:rtl/>
          <w:lang w:bidi="he-IL"/>
        </w:rPr>
        <w:t xml:space="preserve"> עמדה, בדבר תפיסת המרחב. הייתה זו עתירת עדאלה שהצביעה על השימוש הכפול ב"ארץ ישראל" ו"מדינת ישראל" וביקשה כי בית המשפט ייתן על כך דעתו:</w:t>
      </w:r>
    </w:p>
    <w:p w:rsidR="006E285E" w:rsidRPr="00AD451B" w:rsidRDefault="006E285E" w:rsidP="006E285E">
      <w:pPr>
        <w:bidi/>
        <w:spacing w:before="120" w:after="120" w:line="360" w:lineRule="auto"/>
        <w:ind w:left="567" w:right="567"/>
        <w:jc w:val="both"/>
        <w:rPr>
          <w:rFonts w:ascii="David" w:hAnsi="David" w:cs="David"/>
          <w:color w:val="000000" w:themeColor="text1"/>
          <w:rtl/>
          <w:lang w:bidi="he-IL"/>
        </w:rPr>
      </w:pPr>
      <w:r w:rsidRPr="00AD451B">
        <w:rPr>
          <w:rFonts w:ascii="David" w:hAnsi="David" w:cs="David"/>
          <w:color w:val="000000" w:themeColor="text1"/>
          <w:rtl/>
          <w:lang w:bidi="he-IL"/>
        </w:rPr>
        <w:t xml:space="preserve">טענה נוספת שעלתה </w:t>
      </w:r>
      <w:r w:rsidRPr="00AD451B">
        <w:rPr>
          <w:rFonts w:ascii="David" w:hAnsi="David" w:cs="David" w:hint="cs"/>
          <w:color w:val="000000" w:themeColor="text1"/>
          <w:rtl/>
          <w:lang w:bidi="he-IL"/>
        </w:rPr>
        <w:t xml:space="preserve">בפי חלק מן </w:t>
      </w:r>
      <w:r w:rsidRPr="00AD451B">
        <w:rPr>
          <w:rFonts w:ascii="David" w:hAnsi="David" w:cs="David"/>
          <w:color w:val="000000" w:themeColor="text1"/>
          <w:rtl/>
          <w:lang w:bidi="he-IL"/>
        </w:rPr>
        <w:t xml:space="preserve">העותרים היא </w:t>
      </w:r>
      <w:r w:rsidRPr="00AD451B">
        <w:rPr>
          <w:rFonts w:ascii="David" w:hAnsi="David" w:cs="David" w:hint="cs"/>
          <w:color w:val="000000" w:themeColor="text1"/>
          <w:rtl/>
          <w:lang w:bidi="he-IL"/>
        </w:rPr>
        <w:t>ש</w:t>
      </w:r>
      <w:r w:rsidRPr="00AD451B">
        <w:rPr>
          <w:rFonts w:ascii="David" w:hAnsi="David" w:cs="David"/>
          <w:color w:val="000000" w:themeColor="text1"/>
          <w:rtl/>
          <w:lang w:bidi="he-IL"/>
        </w:rPr>
        <w:t>חוק יסוד</w:t>
      </w:r>
      <w:r w:rsidRPr="00AD451B">
        <w:rPr>
          <w:rFonts w:ascii="David" w:hAnsi="David" w:cs="David" w:hint="cs"/>
          <w:color w:val="000000" w:themeColor="text1"/>
          <w:rtl/>
          <w:lang w:bidi="he-IL"/>
        </w:rPr>
        <w:t>:</w:t>
      </w:r>
      <w:r w:rsidRPr="00AD451B">
        <w:rPr>
          <w:rFonts w:ascii="David" w:hAnsi="David" w:cs="David"/>
          <w:color w:val="000000" w:themeColor="text1"/>
          <w:rtl/>
          <w:lang w:bidi="he-IL"/>
        </w:rPr>
        <w:t xml:space="preserve"> הלאום מבקש להח</w:t>
      </w:r>
      <w:r w:rsidRPr="00AD451B">
        <w:rPr>
          <w:rFonts w:ascii="David" w:hAnsi="David" w:cs="David" w:hint="cs"/>
          <w:color w:val="000000" w:themeColor="text1"/>
          <w:rtl/>
          <w:lang w:bidi="he-IL"/>
        </w:rPr>
        <w:t>י</w:t>
      </w:r>
      <w:r w:rsidRPr="00AD451B">
        <w:rPr>
          <w:rFonts w:ascii="David" w:hAnsi="David" w:cs="David"/>
          <w:color w:val="000000" w:themeColor="text1"/>
          <w:rtl/>
          <w:lang w:bidi="he-IL"/>
        </w:rPr>
        <w:t>ל את עצמו מחוץ לגבולותיה של מדינת ישראל, וזאת בניגוד לעקרון הריבונות הטריטוריאלית המוכר במשפט הבינלאומי. העותרים מסיקים זאת מן השימוש במונח "ארץ ישראל" חלף "מדינת ישראל" (סעיף 1(א) לחוק יסוד: הלאום), וכן מסעיפים שונים בחוק היסוד שמהם עולה, לטענתם, כי על מדינת ישראל מוטלת חובה לפעול בתפוצות.</w:t>
      </w:r>
      <w:r w:rsidRPr="00AD451B">
        <w:rPr>
          <w:rStyle w:val="FootnoteReference"/>
          <w:rFonts w:ascii="David" w:hAnsi="David" w:cs="David"/>
          <w:color w:val="000000" w:themeColor="text1"/>
          <w:sz w:val="24"/>
          <w:szCs w:val="24"/>
          <w:rtl/>
          <w:lang w:bidi="he-IL"/>
        </w:rPr>
        <w:footnoteReference w:id="20"/>
      </w:r>
      <w:r w:rsidRPr="00AD451B">
        <w:rPr>
          <w:rFonts w:ascii="David" w:hAnsi="David" w:cs="David"/>
          <w:color w:val="000000" w:themeColor="text1"/>
          <w:rtl/>
          <w:lang w:bidi="he-IL"/>
        </w:rPr>
        <w:t xml:space="preserve"> </w:t>
      </w:r>
    </w:p>
    <w:p w:rsidR="006E285E" w:rsidRPr="00AD451B" w:rsidRDefault="006E285E" w:rsidP="006E285E">
      <w:pPr>
        <w:bidi/>
        <w:spacing w:before="120" w:after="120" w:line="360" w:lineRule="auto"/>
        <w:ind w:right="567"/>
        <w:jc w:val="both"/>
        <w:rPr>
          <w:rFonts w:ascii="David" w:hAnsi="David" w:cs="David"/>
          <w:color w:val="000000" w:themeColor="text1"/>
          <w:sz w:val="24"/>
          <w:szCs w:val="24"/>
          <w:rtl/>
          <w:lang w:bidi="he-IL"/>
        </w:rPr>
      </w:pPr>
      <w:r w:rsidRPr="00AD451B">
        <w:rPr>
          <w:rFonts w:ascii="David" w:hAnsi="David" w:cs="David" w:hint="cs"/>
          <w:color w:val="000000" w:themeColor="text1"/>
          <w:sz w:val="24"/>
          <w:szCs w:val="24"/>
          <w:rtl/>
          <w:lang w:bidi="he-IL"/>
        </w:rPr>
        <w:t>הנשיאה חיות</w:t>
      </w:r>
      <w:r w:rsidRPr="00AD451B">
        <w:rPr>
          <w:rFonts w:ascii="David" w:hAnsi="David" w:cs="David"/>
          <w:color w:val="000000" w:themeColor="text1"/>
          <w:sz w:val="24"/>
          <w:szCs w:val="24"/>
          <w:rtl/>
          <w:lang w:bidi="he-IL"/>
        </w:rPr>
        <w:t xml:space="preserve"> השיב</w:t>
      </w:r>
      <w:r w:rsidRPr="00AD451B">
        <w:rPr>
          <w:rFonts w:ascii="David" w:hAnsi="David" w:cs="David" w:hint="cs"/>
          <w:color w:val="000000" w:themeColor="text1"/>
          <w:sz w:val="24"/>
          <w:szCs w:val="24"/>
          <w:rtl/>
          <w:lang w:bidi="he-IL"/>
        </w:rPr>
        <w:t>ה</w:t>
      </w:r>
      <w:r w:rsidRPr="00AD451B">
        <w:rPr>
          <w:rFonts w:ascii="David" w:hAnsi="David" w:cs="David"/>
          <w:color w:val="000000" w:themeColor="text1"/>
          <w:sz w:val="24"/>
          <w:szCs w:val="24"/>
          <w:rtl/>
          <w:lang w:bidi="he-IL"/>
        </w:rPr>
        <w:t xml:space="preserve"> באופן הבא:</w:t>
      </w:r>
      <w:r w:rsidRPr="00AD451B">
        <w:rPr>
          <w:rFonts w:ascii="David" w:hAnsi="David" w:cs="David" w:hint="cs"/>
          <w:color w:val="000000" w:themeColor="text1"/>
          <w:sz w:val="24"/>
          <w:szCs w:val="24"/>
          <w:rtl/>
          <w:lang w:bidi="he-IL"/>
        </w:rPr>
        <w:t xml:space="preserve">  </w:t>
      </w:r>
    </w:p>
    <w:p w:rsidR="006E285E" w:rsidRPr="00AD451B" w:rsidRDefault="006E285E" w:rsidP="006E285E">
      <w:pPr>
        <w:bidi/>
        <w:spacing w:before="120" w:after="120" w:line="360" w:lineRule="auto"/>
        <w:ind w:left="567" w:right="567"/>
        <w:jc w:val="both"/>
        <w:rPr>
          <w:rFonts w:ascii="David" w:hAnsi="David" w:cs="David"/>
          <w:color w:val="000000" w:themeColor="text1"/>
          <w:sz w:val="24"/>
          <w:szCs w:val="24"/>
          <w:rtl/>
          <w:lang w:bidi="he-IL"/>
        </w:rPr>
      </w:pPr>
      <w:r w:rsidRPr="00AD451B">
        <w:rPr>
          <w:rFonts w:ascii="David" w:hAnsi="David" w:cs="David"/>
          <w:color w:val="000000" w:themeColor="text1"/>
          <w:rtl/>
          <w:lang w:bidi="he-IL"/>
        </w:rPr>
        <w:t>חזקה היא שחקיקה ישראלית היא בעלת תחולה טריטוריאלית. הטעם לכך נעוץ בשיקולים הנוגעים לשלטון החוק וכן בשיקולים הנוגעים לקיום יחסים תקינים עם מדינות העולם. חזקה זו ניתנת לסתירה ואולם, כאשר חוק מבקש להחיל עצמו על אנשים או על פעולות מחוץ לישראל או באזורים שבהם לא חלים המשפט, השיפוט והמינהל של מדינת ישראל – צריך להיאמר בחוק במפורש או במשתמע. לפי בית המשפט, אי אפשר לומר כי לחוק יסוד הלאום יש – במפורש או במשתמע – תחולה מחוץ לשטחה של מדינת ישראל.</w:t>
      </w:r>
      <w:r w:rsidRPr="00AD451B">
        <w:rPr>
          <w:rStyle w:val="FootnoteReference"/>
          <w:rFonts w:ascii="David" w:hAnsi="David" w:cs="David"/>
          <w:color w:val="000000" w:themeColor="text1"/>
          <w:sz w:val="24"/>
          <w:szCs w:val="24"/>
          <w:rtl/>
          <w:lang w:bidi="he-IL"/>
        </w:rPr>
        <w:footnoteReference w:id="21"/>
      </w:r>
    </w:p>
    <w:p w:rsidR="006E285E" w:rsidRPr="00AD451B" w:rsidRDefault="006E285E" w:rsidP="006E285E">
      <w:pPr>
        <w:bidi/>
        <w:spacing w:before="120" w:after="120" w:line="360" w:lineRule="auto"/>
        <w:jc w:val="both"/>
        <w:rPr>
          <w:rFonts w:ascii="David" w:hAnsi="David" w:cs="David"/>
          <w:color w:val="000000" w:themeColor="text1"/>
          <w:sz w:val="24"/>
          <w:szCs w:val="24"/>
          <w:rtl/>
          <w:lang w:bidi="he-IL"/>
        </w:rPr>
      </w:pPr>
      <w:r w:rsidRPr="00AD451B">
        <w:rPr>
          <w:rFonts w:ascii="David" w:hAnsi="David" w:cs="David"/>
          <w:color w:val="000000" w:themeColor="text1"/>
          <w:sz w:val="24"/>
          <w:szCs w:val="24"/>
          <w:rtl/>
          <w:lang w:bidi="he-IL"/>
        </w:rPr>
        <w:t xml:space="preserve">מצד אחד, בית המשפט </w:t>
      </w:r>
      <w:r w:rsidRPr="00AD451B">
        <w:rPr>
          <w:rFonts w:ascii="David" w:hAnsi="David" w:cs="David" w:hint="cs"/>
          <w:color w:val="000000" w:themeColor="text1"/>
          <w:sz w:val="24"/>
          <w:szCs w:val="24"/>
          <w:rtl/>
          <w:lang w:bidi="he-IL"/>
        </w:rPr>
        <w:t>(השופט סולברג) משתמש</w:t>
      </w:r>
      <w:r w:rsidRPr="00AD451B">
        <w:rPr>
          <w:rFonts w:ascii="David" w:hAnsi="David" w:cs="David"/>
          <w:color w:val="000000" w:themeColor="text1"/>
          <w:sz w:val="24"/>
          <w:szCs w:val="24"/>
          <w:rtl/>
          <w:lang w:bidi="he-IL"/>
        </w:rPr>
        <w:t xml:space="preserve"> בקטגוריה "יושבי הארץ"</w:t>
      </w:r>
      <w:r w:rsidRPr="00AD451B">
        <w:rPr>
          <w:rFonts w:ascii="David" w:hAnsi="David" w:cs="David" w:hint="cs"/>
          <w:color w:val="000000" w:themeColor="text1"/>
          <w:sz w:val="24"/>
          <w:szCs w:val="24"/>
          <w:rtl/>
          <w:lang w:bidi="he-IL"/>
        </w:rPr>
        <w:t xml:space="preserve"> (ראו הדגשה שלי לעיל)</w:t>
      </w:r>
      <w:r w:rsidRPr="00AD451B">
        <w:rPr>
          <w:rFonts w:ascii="David" w:hAnsi="David" w:cs="David"/>
          <w:color w:val="000000" w:themeColor="text1"/>
          <w:sz w:val="24"/>
          <w:szCs w:val="24"/>
          <w:rtl/>
          <w:lang w:bidi="he-IL"/>
        </w:rPr>
        <w:t>,ומצד שני מבקש להתנער מהצורך להכריע בדבר הקטגוריות שעתירת עדאלה סימנה. גם אם אנחנו יכולים להבין את הסיבות בגינן הוא מתנער מהכרעה בדבר מיקום גבולות טריטוריאליים קונקרטיים, אנחנו יכולים בהחלט לתהות בדבר שימוש</w:t>
      </w:r>
      <w:r w:rsidRPr="00AD451B">
        <w:rPr>
          <w:rFonts w:ascii="David" w:hAnsi="David" w:cs="David" w:hint="cs"/>
          <w:color w:val="000000" w:themeColor="text1"/>
          <w:sz w:val="24"/>
          <w:szCs w:val="24"/>
          <w:rtl/>
          <w:lang w:bidi="he-IL"/>
        </w:rPr>
        <w:t>ה</w:t>
      </w:r>
      <w:r w:rsidRPr="00AD451B">
        <w:rPr>
          <w:rFonts w:ascii="David" w:hAnsi="David" w:cs="David"/>
          <w:color w:val="000000" w:themeColor="text1"/>
          <w:sz w:val="24"/>
          <w:szCs w:val="24"/>
          <w:rtl/>
          <w:lang w:bidi="he-IL"/>
        </w:rPr>
        <w:t xml:space="preserve"> ב"יושבי הארץ", מחד, והיעדר הבהרת המשמעויות וההבדלים שבין הקטגוריות השונות מאידך. אחת האפשרויות הן שתפיסת המרחב של בית המשפט איננה קונקרטית כיוון שהיא נובעת מכרונוטופ המרחב הבינארי, לפיו המרחב החיצוני הוא מאיים והגבולות הספציפיים אינם רלוונטיים. לא בכדי </w:t>
      </w:r>
      <w:r w:rsidRPr="00AD451B">
        <w:rPr>
          <w:rFonts w:ascii="David" w:hAnsi="David" w:cs="David" w:hint="cs"/>
          <w:color w:val="000000" w:themeColor="text1"/>
          <w:sz w:val="24"/>
          <w:szCs w:val="24"/>
          <w:rtl/>
          <w:lang w:bidi="he-IL"/>
        </w:rPr>
        <w:t xml:space="preserve">הנשיאה </w:t>
      </w:r>
      <w:r w:rsidRPr="00AD451B">
        <w:rPr>
          <w:rFonts w:ascii="David" w:hAnsi="David" w:cs="David"/>
          <w:color w:val="000000" w:themeColor="text1"/>
          <w:sz w:val="24"/>
          <w:szCs w:val="24"/>
          <w:rtl/>
          <w:lang w:bidi="he-IL"/>
        </w:rPr>
        <w:t>חיות מצטטת את ח"כ אוחנה שטען כי שאלת גבולות 67' היא לא העניין המרכזי בחוק הלאום, אלא הנוכחות העקרונית של היהודים באזור זה.</w:t>
      </w:r>
      <w:r w:rsidRPr="00AD451B">
        <w:rPr>
          <w:rStyle w:val="FootnoteReference"/>
          <w:rFonts w:ascii="David" w:hAnsi="David" w:cs="David"/>
          <w:color w:val="000000" w:themeColor="text1"/>
          <w:sz w:val="24"/>
          <w:szCs w:val="24"/>
          <w:rtl/>
          <w:lang w:bidi="he-IL"/>
        </w:rPr>
        <w:footnoteReference w:id="22"/>
      </w:r>
      <w:r w:rsidRPr="00AD451B">
        <w:rPr>
          <w:rFonts w:ascii="David" w:hAnsi="David" w:cs="David"/>
          <w:color w:val="000000" w:themeColor="text1"/>
          <w:sz w:val="24"/>
          <w:szCs w:val="24"/>
          <w:rtl/>
          <w:lang w:bidi="he-IL"/>
        </w:rPr>
        <w:t xml:space="preserve"> כך, התפיסה המרחבית של השמאל הציוני ובית המשפט, להבדיל מזו של הציונות הלאומית־דתית, איננה נעוצה במרחב קונקרטי, אלא בשאלה כיצד אפשר להתרחק מהמרחב שנמצא "בחוץ" כיוון שהוא מאיים על המשך הקיום </w:t>
      </w:r>
      <w:r w:rsidRPr="00AD451B">
        <w:rPr>
          <w:rFonts w:ascii="David" w:hAnsi="David" w:cs="David" w:hint="cs"/>
          <w:color w:val="000000" w:themeColor="text1"/>
          <w:sz w:val="24"/>
          <w:szCs w:val="24"/>
          <w:rtl/>
          <w:lang w:bidi="he-IL"/>
        </w:rPr>
        <w:t>של הקולקטיב היהודי</w:t>
      </w:r>
      <w:r w:rsidRPr="00AD451B">
        <w:rPr>
          <w:rFonts w:ascii="David" w:hAnsi="David" w:cs="David"/>
          <w:color w:val="000000" w:themeColor="text1"/>
          <w:sz w:val="24"/>
          <w:szCs w:val="24"/>
          <w:rtl/>
          <w:lang w:bidi="he-IL"/>
        </w:rPr>
        <w:t xml:space="preserve">. </w:t>
      </w:r>
    </w:p>
    <w:p w:rsidR="006E285E" w:rsidRPr="00AD451B" w:rsidRDefault="006E285E" w:rsidP="006E285E">
      <w:pPr>
        <w:bidi/>
        <w:spacing w:before="120" w:after="120" w:line="360" w:lineRule="auto"/>
        <w:ind w:firstLine="284"/>
        <w:jc w:val="both"/>
        <w:rPr>
          <w:rFonts w:ascii="David" w:hAnsi="David" w:cs="David"/>
          <w:color w:val="000000" w:themeColor="text1"/>
          <w:sz w:val="24"/>
          <w:szCs w:val="24"/>
          <w:rtl/>
          <w:lang w:bidi="he-IL"/>
        </w:rPr>
      </w:pPr>
      <w:r w:rsidRPr="00AD451B">
        <w:rPr>
          <w:rFonts w:ascii="David" w:hAnsi="David" w:cs="David"/>
          <w:color w:val="000000" w:themeColor="text1"/>
          <w:sz w:val="24"/>
          <w:szCs w:val="24"/>
          <w:rtl/>
          <w:lang w:bidi="he-IL"/>
        </w:rPr>
        <w:t xml:space="preserve">כפועל יוצא מכך, ניתן לומר גם שאדם הנמצא ב"חוץ" הוא בהכרח מאיים, אלא אם הוא יהודי, וזו האסטרטגיה המארגנת המאפשרת לקבוצת השמאל הציוני לקבל את חוק השבות כלגיטימי. כשחיות נדרשת </w:t>
      </w:r>
      <w:r w:rsidRPr="00AD451B">
        <w:rPr>
          <w:rFonts w:ascii="David" w:hAnsi="David" w:cs="David"/>
          <w:color w:val="000000" w:themeColor="text1"/>
          <w:sz w:val="24"/>
          <w:szCs w:val="24"/>
          <w:rtl/>
          <w:lang w:bidi="he-IL"/>
        </w:rPr>
        <w:lastRenderedPageBreak/>
        <w:t xml:space="preserve">לסוגיית האפליה והפגיעה בעקרון השוויון, היא מצטטת מתוך בג"ץ </w:t>
      </w:r>
      <w:r w:rsidRPr="00AD451B">
        <w:rPr>
          <w:rFonts w:ascii="David" w:hAnsi="David" w:cs="David"/>
          <w:color w:val="000000" w:themeColor="text1"/>
          <w:rtl/>
          <w:lang w:bidi="he-IL"/>
        </w:rPr>
        <w:t>קעדאן.</w:t>
      </w:r>
      <w:r w:rsidRPr="00AD451B">
        <w:rPr>
          <w:rStyle w:val="FootnoteReference"/>
          <w:rFonts w:ascii="David" w:hAnsi="David" w:cs="David"/>
          <w:color w:val="000000" w:themeColor="text1"/>
          <w:rtl/>
          <w:lang w:bidi="he-IL"/>
        </w:rPr>
        <w:footnoteReference w:id="23"/>
      </w:r>
      <w:r w:rsidRPr="00AD451B">
        <w:rPr>
          <w:rFonts w:ascii="David" w:hAnsi="David" w:cs="David"/>
          <w:color w:val="000000" w:themeColor="text1"/>
          <w:rtl/>
          <w:lang w:bidi="he-IL"/>
        </w:rPr>
        <w:t xml:space="preserve"> </w:t>
      </w:r>
      <w:r w:rsidRPr="00AD451B">
        <w:rPr>
          <w:rFonts w:ascii="David" w:hAnsi="David" w:cs="David"/>
          <w:color w:val="000000" w:themeColor="text1"/>
          <w:sz w:val="24"/>
          <w:szCs w:val="24"/>
          <w:rtl/>
          <w:lang w:bidi="he-IL"/>
        </w:rPr>
        <w:t xml:space="preserve">חיות מקבלת למעשה את עולם הדימויים המתייחס למדינת ישראל כ"בית" ולחוק השבות כ"מפתח" לבית: </w:t>
      </w:r>
    </w:p>
    <w:p w:rsidR="006E285E" w:rsidRPr="00AD451B" w:rsidRDefault="006E285E" w:rsidP="006E285E">
      <w:pPr>
        <w:bidi/>
        <w:spacing w:before="120" w:after="120" w:line="360" w:lineRule="auto"/>
        <w:ind w:left="567" w:right="567"/>
        <w:jc w:val="both"/>
        <w:rPr>
          <w:rFonts w:ascii="David" w:hAnsi="David" w:cs="David"/>
          <w:color w:val="000000" w:themeColor="text1"/>
          <w:sz w:val="24"/>
          <w:szCs w:val="24"/>
          <w:rtl/>
          <w:lang w:bidi="he-IL"/>
        </w:rPr>
      </w:pPr>
      <w:r w:rsidRPr="00AD451B">
        <w:rPr>
          <w:rFonts w:ascii="David" w:hAnsi="David" w:cs="David"/>
          <w:color w:val="000000" w:themeColor="text1"/>
          <w:rtl/>
          <w:lang w:bidi="he-IL"/>
        </w:rPr>
        <w:t>פרשנות סעיף 1 לחוק יסוד: הלאום כהוראה השוללת זכויות אישיות ממי שמשתייך לקבוצת מיעוט, או כהוראה המקנה זכויות אישיות עודפות למי שמשתייך ללאום היהודי, משמעותה אפליה שאין להסכין עימה בין אזרחי המדינה. אפליה מסוג זה אין לה מקום במארג החוקתי של מדינת ישראל, ובהקשר זה כבר נקבע לא אחת כי צביונה של המדינה כמדינת לאום יהודית אינו עומד בסתירה לכך שכל אזרחיה של המדינה הם שווי-זכויות: "מדינת ישראל היא מדינה יהודית אשר בתוכה חיים מיעוטים, ובהם המיעוט הערבי. כל אחד מבני המיעוטים החיים בישראל נהנה משוויון זכויות גמור. אמת, מפתח מיוחד לכניסה לבית ניתן לבני העם היהודי (ראו חוק השבות), אך משמצוי אדם בבית כאזרח כדין, הוא נהנה מזכויות שוות כמו כל בני הבית האחרים</w:t>
      </w:r>
      <w:r w:rsidRPr="00AD451B">
        <w:rPr>
          <w:rFonts w:ascii="David" w:hAnsi="David" w:cs="David" w:hint="cs"/>
          <w:color w:val="000000" w:themeColor="text1"/>
          <w:rtl/>
          <w:lang w:bidi="he-IL"/>
        </w:rPr>
        <w:t>"</w:t>
      </w:r>
      <w:r w:rsidRPr="00AD451B">
        <w:rPr>
          <w:rFonts w:ascii="David" w:hAnsi="David" w:cs="David"/>
          <w:color w:val="000000" w:themeColor="text1"/>
          <w:rtl/>
          <w:lang w:bidi="he-IL"/>
        </w:rPr>
        <w:t>.</w:t>
      </w:r>
      <w:r w:rsidRPr="00AD451B">
        <w:rPr>
          <w:rStyle w:val="FootnoteReference"/>
          <w:rFonts w:ascii="David" w:hAnsi="David" w:cs="David"/>
          <w:color w:val="000000" w:themeColor="text1"/>
          <w:sz w:val="24"/>
          <w:szCs w:val="24"/>
          <w:rtl/>
          <w:lang w:bidi="he-IL"/>
        </w:rPr>
        <w:footnoteReference w:id="24"/>
      </w:r>
    </w:p>
    <w:p w:rsidR="006E285E" w:rsidRPr="00AD451B" w:rsidRDefault="006E285E" w:rsidP="006E285E">
      <w:pPr>
        <w:bidi/>
        <w:spacing w:before="120" w:after="120" w:line="360" w:lineRule="auto"/>
        <w:jc w:val="both"/>
        <w:rPr>
          <w:rFonts w:ascii="David" w:hAnsi="David" w:cs="David"/>
          <w:color w:val="000000" w:themeColor="text1"/>
          <w:sz w:val="24"/>
          <w:szCs w:val="24"/>
          <w:rtl/>
          <w:lang w:bidi="he-IL"/>
        </w:rPr>
      </w:pPr>
      <w:r w:rsidRPr="00AD451B">
        <w:rPr>
          <w:rFonts w:ascii="David" w:hAnsi="David" w:cs="David"/>
          <w:color w:val="000000" w:themeColor="text1"/>
          <w:sz w:val="24"/>
          <w:szCs w:val="24"/>
          <w:rtl/>
          <w:lang w:bidi="he-IL"/>
        </w:rPr>
        <w:t>כלומר, מדינת ישראל היא הבית של היהודים, היחידים היכולים לקבל מפתח לבית הזה הם היהודים, באמצעות חוק השבות, אך כל מי שאינו יהודי, הוא בהכרח גורם מאיים שיש לשמור עליו בחוץ, במרחב המאוים. אמנם, בית המשפט מצהיר כי מי שכבר נמצא בתוך הבית – הוא חלק ממנו. אך אם נחזור לתפיסה הא־קונקרטית של גבולות המדינה לפי בית המשפט, הרי שאנחנו בבעיה – אם אנחנו לא יודעים מה הם הגבולות הטריטוריאליים הקונקרטיים, איך נדע מי בתוך הבית, ומי בחוץ? כלומר, כל מי שאינו יהודי, נמצא במצב תמידי של חוסר ודאות – האם הוא בתוך הבית? או שהוא נמצא במרחב המאוים של היהודי?</w:t>
      </w:r>
    </w:p>
    <w:p w:rsidR="006E285E" w:rsidRPr="00AD451B" w:rsidRDefault="006E285E" w:rsidP="006E285E">
      <w:pPr>
        <w:bidi/>
        <w:spacing w:before="120" w:after="120" w:line="360" w:lineRule="auto"/>
        <w:ind w:firstLine="284"/>
        <w:jc w:val="both"/>
        <w:rPr>
          <w:rFonts w:ascii="David" w:hAnsi="David" w:cs="David"/>
          <w:color w:val="000000" w:themeColor="text1"/>
          <w:sz w:val="24"/>
          <w:szCs w:val="24"/>
          <w:rtl/>
          <w:lang w:bidi="he-IL"/>
        </w:rPr>
      </w:pPr>
      <w:r w:rsidRPr="00AD451B">
        <w:rPr>
          <w:rFonts w:ascii="David" w:hAnsi="David" w:cs="David"/>
          <w:color w:val="000000" w:themeColor="text1"/>
          <w:sz w:val="24"/>
          <w:szCs w:val="24"/>
          <w:rtl/>
          <w:lang w:bidi="he-IL"/>
        </w:rPr>
        <w:t xml:space="preserve">כיצד אם כן ניתן להסביר את האופן בו בית המשפט מתעלם מסוגייה כזו בפני קבוצת המיעוט עליה הוא </w:t>
      </w:r>
      <w:r w:rsidRPr="00AD451B">
        <w:rPr>
          <w:rFonts w:ascii="David" w:hAnsi="David" w:cs="David" w:hint="cs"/>
          <w:color w:val="000000" w:themeColor="text1"/>
          <w:sz w:val="24"/>
          <w:szCs w:val="24"/>
          <w:rtl/>
          <w:lang w:bidi="he-IL"/>
        </w:rPr>
        <w:t xml:space="preserve">אמור </w:t>
      </w:r>
      <w:r w:rsidRPr="00AD451B">
        <w:rPr>
          <w:rFonts w:ascii="David" w:hAnsi="David" w:cs="David"/>
          <w:color w:val="000000" w:themeColor="text1"/>
          <w:sz w:val="24"/>
          <w:szCs w:val="24"/>
          <w:rtl/>
          <w:lang w:bidi="he-IL"/>
        </w:rPr>
        <w:t>להגן? פתרון אפשרי הוא שאסטרטגיית הדמות הנעדרת ה</w:t>
      </w:r>
      <w:r w:rsidRPr="00AD451B">
        <w:rPr>
          <w:rFonts w:ascii="David" w:hAnsi="David" w:cs="David" w:hint="cs"/>
          <w:color w:val="000000" w:themeColor="text1"/>
          <w:sz w:val="24"/>
          <w:szCs w:val="24"/>
          <w:rtl/>
          <w:lang w:bidi="he-IL"/>
        </w:rPr>
        <w:t>י</w:t>
      </w:r>
      <w:r w:rsidRPr="00AD451B">
        <w:rPr>
          <w:rFonts w:ascii="David" w:hAnsi="David" w:cs="David"/>
          <w:color w:val="000000" w:themeColor="text1"/>
          <w:sz w:val="24"/>
          <w:szCs w:val="24"/>
          <w:rtl/>
          <w:lang w:bidi="he-IL"/>
        </w:rPr>
        <w:t>א שמכונ</w:t>
      </w:r>
      <w:r w:rsidRPr="00AD451B">
        <w:rPr>
          <w:rFonts w:ascii="David" w:hAnsi="David" w:cs="David" w:hint="cs"/>
          <w:color w:val="000000" w:themeColor="text1"/>
          <w:sz w:val="24"/>
          <w:szCs w:val="24"/>
          <w:rtl/>
          <w:lang w:bidi="he-IL"/>
        </w:rPr>
        <w:t>נת</w:t>
      </w:r>
      <w:r w:rsidRPr="00AD451B">
        <w:rPr>
          <w:rFonts w:ascii="David" w:hAnsi="David" w:cs="David"/>
          <w:color w:val="000000" w:themeColor="text1"/>
          <w:sz w:val="24"/>
          <w:szCs w:val="24"/>
          <w:rtl/>
          <w:lang w:bidi="he-IL"/>
        </w:rPr>
        <w:t xml:space="preserve"> את דרכי הפעולה של בית המשפט. כפי שהשיח של השמאל הציוני לא מדבר על קבוצות המיעוט בישראל בשמן הקונקרטי, כך גם בית המשפט, לדוגמה:</w:t>
      </w:r>
    </w:p>
    <w:p w:rsidR="006E285E" w:rsidRPr="00AD451B" w:rsidRDefault="006E285E" w:rsidP="006E285E">
      <w:pPr>
        <w:bidi/>
        <w:spacing w:before="120" w:after="120" w:line="360" w:lineRule="auto"/>
        <w:ind w:left="567" w:right="567"/>
        <w:jc w:val="both"/>
        <w:rPr>
          <w:rFonts w:ascii="David" w:hAnsi="David" w:cs="David"/>
          <w:color w:val="000000" w:themeColor="text1"/>
          <w:sz w:val="24"/>
          <w:szCs w:val="24"/>
          <w:shd w:val="clear" w:color="auto" w:fill="FFFFFF"/>
          <w:rtl/>
          <w:lang w:bidi="he-IL"/>
        </w:rPr>
      </w:pPr>
      <w:r w:rsidRPr="00AD451B">
        <w:rPr>
          <w:rFonts w:ascii="David" w:hAnsi="David" w:cs="David"/>
          <w:color w:val="000000" w:themeColor="text1"/>
          <w:shd w:val="clear" w:color="auto" w:fill="FFFFFF"/>
          <w:rtl/>
          <w:lang w:bidi="he-IL"/>
        </w:rPr>
        <w:t xml:space="preserve">החובה לנהוג בשוויון זכויות כלפי </w:t>
      </w:r>
      <w:r w:rsidRPr="00AD451B">
        <w:rPr>
          <w:rFonts w:ascii="David" w:hAnsi="David" w:cs="David"/>
          <w:b/>
          <w:bCs/>
          <w:color w:val="000000" w:themeColor="text1"/>
          <w:shd w:val="clear" w:color="auto" w:fill="FFFFFF"/>
          <w:rtl/>
          <w:lang w:bidi="he-IL"/>
        </w:rPr>
        <w:t>המיעוטים</w:t>
      </w:r>
      <w:r w:rsidRPr="00AD451B">
        <w:rPr>
          <w:rFonts w:ascii="David" w:hAnsi="David" w:cs="David"/>
          <w:color w:val="000000" w:themeColor="text1"/>
          <w:shd w:val="clear" w:color="auto" w:fill="FFFFFF"/>
          <w:rtl/>
          <w:lang w:bidi="he-IL"/>
        </w:rPr>
        <w:t xml:space="preserve"> המתגוררים </w:t>
      </w:r>
      <w:r w:rsidRPr="00AD451B">
        <w:rPr>
          <w:rFonts w:ascii="David" w:hAnsi="David" w:cs="David"/>
          <w:b/>
          <w:bCs/>
          <w:color w:val="000000" w:themeColor="text1"/>
          <w:shd w:val="clear" w:color="auto" w:fill="FFFFFF"/>
          <w:rtl/>
          <w:lang w:bidi="he-IL"/>
        </w:rPr>
        <w:t>בקרבנו</w:t>
      </w:r>
      <w:r w:rsidRPr="00AD451B">
        <w:rPr>
          <w:rFonts w:ascii="David" w:hAnsi="David" w:cs="David"/>
          <w:color w:val="000000" w:themeColor="text1"/>
          <w:shd w:val="clear" w:color="auto" w:fill="FFFFFF"/>
          <w:rtl/>
          <w:lang w:bidi="he-IL"/>
        </w:rPr>
        <w:t xml:space="preserve">, אינה נגזרת אפוא אך מהיותה של מדינת ישראל – מדינה דמוקרטית; היא יונקת גם מערכיה היהודיים של המדינה, מפסוקי המקרא, ממשנתם של חכמי הדורות. היהדות מצווה אותנו לנהוג בכבוד עם כל אדם, וממילא מורה לנו לא </w:t>
      </w:r>
      <w:r w:rsidRPr="00AD451B">
        <w:rPr>
          <w:rFonts w:ascii="David" w:hAnsi="David" w:cs="David"/>
          <w:b/>
          <w:bCs/>
          <w:color w:val="000000" w:themeColor="text1"/>
          <w:shd w:val="clear" w:color="auto" w:fill="FFFFFF"/>
          <w:rtl/>
          <w:lang w:bidi="he-IL"/>
        </w:rPr>
        <w:t>להפלותו</w:t>
      </w:r>
      <w:r w:rsidRPr="00AD451B">
        <w:rPr>
          <w:rFonts w:ascii="David" w:hAnsi="David" w:cs="David"/>
          <w:color w:val="000000" w:themeColor="text1"/>
          <w:shd w:val="clear" w:color="auto" w:fill="FFFFFF"/>
          <w:rtl/>
          <w:lang w:bidi="he-IL"/>
        </w:rPr>
        <w:t xml:space="preserve">, לא לפגוע </w:t>
      </w:r>
      <w:r w:rsidRPr="00AD451B">
        <w:rPr>
          <w:rFonts w:ascii="David" w:hAnsi="David" w:cs="David"/>
          <w:b/>
          <w:bCs/>
          <w:color w:val="000000" w:themeColor="text1"/>
          <w:shd w:val="clear" w:color="auto" w:fill="FFFFFF"/>
          <w:rtl/>
          <w:lang w:bidi="he-IL"/>
        </w:rPr>
        <w:t>בכבודו</w:t>
      </w:r>
      <w:r w:rsidRPr="00AD451B">
        <w:rPr>
          <w:rFonts w:ascii="David" w:hAnsi="David" w:cs="David"/>
          <w:color w:val="000000" w:themeColor="text1"/>
          <w:shd w:val="clear" w:color="auto" w:fill="FFFFFF"/>
          <w:rtl/>
          <w:lang w:bidi="he-IL"/>
        </w:rPr>
        <w:t>.</w:t>
      </w:r>
      <w:r w:rsidRPr="00AD451B">
        <w:rPr>
          <w:rStyle w:val="FootnoteReference"/>
          <w:rFonts w:ascii="David" w:hAnsi="David" w:cs="David"/>
          <w:color w:val="000000" w:themeColor="text1"/>
          <w:sz w:val="24"/>
          <w:szCs w:val="24"/>
          <w:shd w:val="clear" w:color="auto" w:fill="FFFFFF"/>
          <w:rtl/>
          <w:lang w:bidi="he-IL"/>
        </w:rPr>
        <w:footnoteReference w:id="25"/>
      </w:r>
      <w:r w:rsidRPr="00AD451B">
        <w:rPr>
          <w:rFonts w:ascii="David" w:hAnsi="David" w:cs="David"/>
          <w:color w:val="000000" w:themeColor="text1"/>
          <w:sz w:val="24"/>
          <w:szCs w:val="24"/>
          <w:shd w:val="clear" w:color="auto" w:fill="FFFFFF"/>
          <w:rtl/>
          <w:lang w:bidi="he-IL"/>
        </w:rPr>
        <w:t xml:space="preserve"> </w:t>
      </w:r>
    </w:p>
    <w:p w:rsidR="006E285E" w:rsidRPr="00AD451B" w:rsidRDefault="006E285E" w:rsidP="006E285E">
      <w:pPr>
        <w:bidi/>
        <w:spacing w:before="120" w:after="120" w:line="360" w:lineRule="auto"/>
        <w:jc w:val="both"/>
        <w:rPr>
          <w:rFonts w:ascii="David" w:hAnsi="David" w:cs="David"/>
          <w:color w:val="000000" w:themeColor="text1"/>
          <w:sz w:val="24"/>
          <w:szCs w:val="24"/>
          <w:rtl/>
          <w:lang w:bidi="he-IL"/>
        </w:rPr>
      </w:pPr>
      <w:r w:rsidRPr="00AD451B">
        <w:rPr>
          <w:rFonts w:ascii="David" w:hAnsi="David" w:cs="David"/>
          <w:color w:val="000000" w:themeColor="text1"/>
          <w:sz w:val="24"/>
          <w:szCs w:val="24"/>
          <w:rtl/>
          <w:lang w:bidi="he-IL"/>
        </w:rPr>
        <w:t xml:space="preserve">הסמנטיקה של בית המשפט מייצרת הרחקה והדרה, כשהוא מדבר על "ההוא", האחר שהוא לא "אנחנו", ש"מתגורר בקרבנו". למרות שישנן דרכים ראויות לשמור על סמנטיקה מכובדת, הפונה באופן המנכיח את הקבוצות התרבותיות השונות, ובכך להעניק משמעות קונקרטית לערכי השוויון, בית המשפט משכפל ומקעקע בתוך הפסיקה עצמה את קיצורי הדרך הלשוניים, המחזקים את ההפרדה הבינארית של "אנחנו" היהודי, להבדיל מ"הם" האמורפי. </w:t>
      </w:r>
    </w:p>
    <w:p w:rsidR="006E285E" w:rsidRPr="00AD451B" w:rsidRDefault="006E285E" w:rsidP="006E285E">
      <w:pPr>
        <w:bidi/>
        <w:spacing w:before="120" w:after="120" w:line="360" w:lineRule="auto"/>
        <w:ind w:firstLine="284"/>
        <w:jc w:val="both"/>
        <w:rPr>
          <w:rFonts w:ascii="David" w:hAnsi="David" w:cs="David"/>
          <w:color w:val="000000" w:themeColor="text1"/>
          <w:sz w:val="24"/>
          <w:szCs w:val="24"/>
          <w:rtl/>
          <w:lang w:bidi="he-IL"/>
        </w:rPr>
      </w:pPr>
      <w:r w:rsidRPr="00AD451B">
        <w:rPr>
          <w:rFonts w:ascii="David" w:hAnsi="David" w:cs="David"/>
          <w:color w:val="000000" w:themeColor="text1"/>
          <w:sz w:val="24"/>
          <w:szCs w:val="24"/>
          <w:rtl/>
          <w:lang w:bidi="he-IL"/>
        </w:rPr>
        <w:t xml:space="preserve">נפרדות זו נוכחת גם בפער המשמעותי הנוצר בין פסיקה המאשררת את השמירה על הקשר בין המדינה לבין יהודי התפוצות, אך לא נכנסת לדיון ביקורתי כיצד חוק יסוד, העוסק בזהות המדינה ובאופנים בהם היא תפעל </w:t>
      </w:r>
      <w:r w:rsidRPr="00AD451B">
        <w:rPr>
          <w:rFonts w:ascii="David" w:hAnsi="David" w:cs="David"/>
          <w:color w:val="000000" w:themeColor="text1"/>
          <w:sz w:val="24"/>
          <w:szCs w:val="24"/>
          <w:rtl/>
          <w:lang w:bidi="he-IL"/>
        </w:rPr>
        <w:lastRenderedPageBreak/>
        <w:t xml:space="preserve">לממש זאת, אמור להתייחס לכל קבוצה תרבותית במדינה. כלומר, בית המשפט לא מטיל על המדינה את המשימה להשלים את החקיקה, כך שכמו שחוק הלאום מתייחס, כעיקרון, ליחסי המדינה עם יהודי התפוצות, כך הוא צריך, כעיקרון, להתייחס גם ליחסי המדינה עם כלל הקבוצות התרבותיות שבאחריותה. </w:t>
      </w:r>
    </w:p>
    <w:p w:rsidR="006E285E" w:rsidRPr="00AD451B" w:rsidRDefault="006E285E" w:rsidP="006E285E">
      <w:pPr>
        <w:bidi/>
        <w:spacing w:before="120" w:after="120" w:line="360" w:lineRule="auto"/>
        <w:ind w:firstLine="284"/>
        <w:jc w:val="both"/>
        <w:rPr>
          <w:rFonts w:ascii="David" w:hAnsi="David" w:cs="David"/>
          <w:color w:val="000000" w:themeColor="text1"/>
          <w:sz w:val="24"/>
          <w:szCs w:val="24"/>
          <w:rtl/>
          <w:lang w:bidi="he-IL"/>
        </w:rPr>
      </w:pPr>
      <w:r w:rsidRPr="00AD451B">
        <w:rPr>
          <w:rFonts w:ascii="David" w:hAnsi="David" w:cs="David" w:hint="cs"/>
          <w:color w:val="000000" w:themeColor="text1"/>
          <w:sz w:val="24"/>
          <w:szCs w:val="24"/>
          <w:rtl/>
          <w:lang w:bidi="he-IL"/>
        </w:rPr>
        <w:t xml:space="preserve">דבר נוסף שלא ניתן להתעלם ממנו, הוא אי הדיבור של הנשיאה חיות בשפה של "אזרחות", או "האזרחים הערבים", וזאת למרות שהיה מתבקש לדבר במושגים הללו, ובשפה אזרחית זו, כאשר מתייחסים לאוכלוסיות המרכיבות את המדינה. </w:t>
      </w:r>
    </w:p>
    <w:p w:rsidR="006E285E" w:rsidRPr="00AD451B" w:rsidRDefault="006E285E" w:rsidP="006E285E">
      <w:pPr>
        <w:bidi/>
        <w:spacing w:before="120" w:after="120" w:line="360" w:lineRule="auto"/>
        <w:ind w:firstLine="284"/>
        <w:jc w:val="both"/>
        <w:rPr>
          <w:rFonts w:ascii="David" w:hAnsi="David" w:cs="David"/>
          <w:color w:val="000000" w:themeColor="text1"/>
          <w:sz w:val="24"/>
          <w:szCs w:val="24"/>
          <w:rtl/>
          <w:lang w:bidi="he-IL"/>
        </w:rPr>
      </w:pPr>
      <w:r w:rsidRPr="00AD451B">
        <w:rPr>
          <w:rFonts w:ascii="David" w:hAnsi="David" w:cs="David"/>
          <w:color w:val="000000" w:themeColor="text1"/>
          <w:sz w:val="24"/>
          <w:szCs w:val="24"/>
          <w:rtl/>
          <w:lang w:bidi="he-IL"/>
        </w:rPr>
        <w:t xml:space="preserve">מאפיינים אלה הם חלק מאסטרטגיית דמות הנעדר, שכן הן נמנעות מלנסות, או שאין ביכולתן, לראות את המציאות מנקודות מבט אחרות. כלומר, גם אם השמאל הציוני, או בית המשפט הישראלי יודעים שישויות נוספות נוכחות ומתקיימות בסביבתם, הרי שאסטרטגיית דמות הנעדר – המנכיחה בתוכה את כרונוטופ תודעת השואה וכרונוטופ המרחב הבינארי, הנובעות שתיהן ממציאות מאוימת – מסמנת בעבורם, שהאחר הוא גורם מאיים, שעדיף להתעלם ממנו. </w:t>
      </w:r>
    </w:p>
    <w:p w:rsidR="006E285E" w:rsidRPr="00AD451B" w:rsidRDefault="006E285E" w:rsidP="006E285E">
      <w:pPr>
        <w:pStyle w:val="Heading3"/>
        <w:bidi/>
        <w:spacing w:after="120" w:line="480" w:lineRule="auto"/>
        <w:rPr>
          <w:rFonts w:ascii="David" w:hAnsi="David" w:cs="David"/>
          <w:b/>
          <w:bCs/>
          <w:color w:val="000000" w:themeColor="text1"/>
          <w:sz w:val="28"/>
          <w:szCs w:val="28"/>
          <w:rtl/>
          <w:lang w:val="en-GB" w:bidi="he-IL"/>
        </w:rPr>
      </w:pPr>
      <w:r w:rsidRPr="00AD451B">
        <w:rPr>
          <w:rFonts w:ascii="David" w:hAnsi="David" w:cs="David" w:hint="cs"/>
          <w:b/>
          <w:bCs/>
          <w:color w:val="000000" w:themeColor="text1"/>
          <w:sz w:val="28"/>
          <w:szCs w:val="28"/>
          <w:rtl/>
          <w:lang w:val="en-GB" w:bidi="he-IL"/>
        </w:rPr>
        <w:t xml:space="preserve"> </w:t>
      </w:r>
      <w:r w:rsidRPr="00AD451B">
        <w:rPr>
          <w:rFonts w:ascii="David" w:hAnsi="David" w:cs="David"/>
          <w:b/>
          <w:bCs/>
          <w:color w:val="000000" w:themeColor="text1"/>
          <w:sz w:val="28"/>
          <w:szCs w:val="28"/>
          <w:rtl/>
          <w:lang w:val="en-GB" w:bidi="he-IL"/>
        </w:rPr>
        <w:t xml:space="preserve">12.2 סיכום </w:t>
      </w:r>
    </w:p>
    <w:p w:rsidR="006E285E" w:rsidRPr="00AD451B" w:rsidRDefault="006E285E" w:rsidP="006E285E">
      <w:pPr>
        <w:bidi/>
        <w:spacing w:after="120" w:line="360" w:lineRule="auto"/>
        <w:jc w:val="both"/>
        <w:rPr>
          <w:rFonts w:ascii="David" w:hAnsi="David" w:cs="David"/>
          <w:color w:val="000000" w:themeColor="text1"/>
          <w:sz w:val="24"/>
          <w:szCs w:val="24"/>
          <w:rtl/>
          <w:lang w:val="en-GB" w:bidi="he-IL"/>
        </w:rPr>
      </w:pPr>
      <w:r w:rsidRPr="00AD451B">
        <w:rPr>
          <w:rFonts w:ascii="David" w:hAnsi="David" w:cs="David" w:hint="cs"/>
          <w:color w:val="000000" w:themeColor="text1"/>
          <w:sz w:val="24"/>
          <w:szCs w:val="24"/>
          <w:rtl/>
          <w:lang w:val="en-GB" w:bidi="he-IL"/>
        </w:rPr>
        <w:t xml:space="preserve">בפרק זה ניתחתי את פסק דינו של בית המשפט העליון, בעניין העתירות הרבות שהוגשו נגד חוק הלאום. מטרתי היתה להצביע על כך שגם בבית המשפט אנו יכולים לראות כיצד אסטרטגיות הפעולה, שאפיינו את קבוצת השמאל הישראלי, באות לידי ביטוי בפסק הדין, בבואו לדון ברלוונטיות של חוק הלאום. כמסגרת תיאורטית נשענתי על גישות העוסקות ביחסים שבין משפט ותרבות. גישות אלה תוארו ומופו על ידי מנחם מאוטנר בכתיבתו בשני העשורים האחרונים. כפי שהראיתי, כאשר אנו עוסקים בפרשנות הטקסטואלית, אנו יכולים לחלץ אסטרטגיות פעולה הנובעות מתוך הרפרטואר התרבותי, ובכך לעמוד על האופן שבו התרבות, המשפט והחוק, מכוננים זה את זה באופן הדדי, משפיעים ומשלימים. </w:t>
      </w:r>
    </w:p>
    <w:p w:rsidR="00201697" w:rsidRDefault="00201697" w:rsidP="006E285E">
      <w:pPr>
        <w:bidi/>
        <w:spacing w:after="120" w:line="360" w:lineRule="auto"/>
        <w:jc w:val="both"/>
        <w:rPr>
          <w:lang w:bidi="he-IL"/>
        </w:rPr>
      </w:pPr>
    </w:p>
    <w:sectPr w:rsidR="0020169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4A69" w:rsidRDefault="006D4A69" w:rsidP="006E285E">
      <w:pPr>
        <w:spacing w:line="240" w:lineRule="auto"/>
      </w:pPr>
      <w:r>
        <w:separator/>
      </w:r>
    </w:p>
  </w:endnote>
  <w:endnote w:type="continuationSeparator" w:id="0">
    <w:p w:rsidR="006D4A69" w:rsidRDefault="006D4A69" w:rsidP="006E285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avid">
    <w:panose1 w:val="020E0502060401010101"/>
    <w:charset w:val="00"/>
    <w:family w:val="swiss"/>
    <w:pitch w:val="variable"/>
    <w:sig w:usb0="00000803" w:usb1="00000000"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4A69" w:rsidRDefault="006D4A69" w:rsidP="006E285E">
      <w:pPr>
        <w:spacing w:line="240" w:lineRule="auto"/>
      </w:pPr>
      <w:r>
        <w:separator/>
      </w:r>
    </w:p>
  </w:footnote>
  <w:footnote w:type="continuationSeparator" w:id="0">
    <w:p w:rsidR="006D4A69" w:rsidRDefault="006D4A69" w:rsidP="006E285E">
      <w:pPr>
        <w:spacing w:line="240" w:lineRule="auto"/>
      </w:pPr>
      <w:r>
        <w:continuationSeparator/>
      </w:r>
    </w:p>
  </w:footnote>
  <w:footnote w:id="1">
    <w:p w:rsidR="006E285E" w:rsidRPr="004632FA" w:rsidRDefault="006E285E" w:rsidP="006E285E">
      <w:pPr>
        <w:pStyle w:val="FootnoteText"/>
        <w:bidi/>
        <w:spacing w:after="120"/>
        <w:rPr>
          <w:rFonts w:ascii="David" w:hAnsi="David" w:cs="David"/>
          <w:sz w:val="22"/>
          <w:szCs w:val="22"/>
          <w:lang w:bidi="he-IL"/>
        </w:rPr>
      </w:pPr>
      <w:r w:rsidRPr="004632FA">
        <w:rPr>
          <w:rStyle w:val="FootnoteReference"/>
          <w:rFonts w:ascii="David" w:hAnsi="David" w:cs="David"/>
          <w:sz w:val="22"/>
          <w:szCs w:val="22"/>
        </w:rPr>
        <w:footnoteRef/>
      </w:r>
      <w:r w:rsidRPr="004632FA">
        <w:rPr>
          <w:rFonts w:ascii="David" w:hAnsi="David" w:cs="David"/>
          <w:sz w:val="22"/>
          <w:szCs w:val="22"/>
          <w:rtl/>
        </w:rPr>
        <w:t xml:space="preserve"> </w:t>
      </w:r>
      <w:r w:rsidRPr="004632FA">
        <w:rPr>
          <w:rFonts w:ascii="David" w:hAnsi="David" w:cs="David"/>
          <w:smallCaps/>
          <w:color w:val="000000"/>
          <w:sz w:val="22"/>
          <w:szCs w:val="22"/>
        </w:rPr>
        <w:t>Paul W. Kahn, The cultural study of law: Reconstructing legal scholarship (2000)</w:t>
      </w:r>
      <w:r w:rsidRPr="004632FA">
        <w:rPr>
          <w:rFonts w:ascii="David" w:hAnsi="David" w:cs="David"/>
          <w:smallCaps/>
          <w:color w:val="000000"/>
          <w:sz w:val="22"/>
          <w:szCs w:val="22"/>
          <w:rtl/>
        </w:rPr>
        <w:t>.</w:t>
      </w:r>
    </w:p>
  </w:footnote>
  <w:footnote w:id="2">
    <w:p w:rsidR="006E285E" w:rsidRPr="004632FA" w:rsidRDefault="006E285E" w:rsidP="006E285E">
      <w:pPr>
        <w:pStyle w:val="FootnoteText"/>
        <w:bidi/>
        <w:spacing w:after="120"/>
        <w:rPr>
          <w:rFonts w:ascii="David" w:hAnsi="David" w:cs="David"/>
          <w:sz w:val="22"/>
          <w:szCs w:val="22"/>
          <w:rtl/>
          <w:lang w:bidi="he-IL"/>
        </w:rPr>
      </w:pPr>
      <w:r w:rsidRPr="004632FA">
        <w:rPr>
          <w:rStyle w:val="FootnoteReference"/>
          <w:rFonts w:ascii="David" w:hAnsi="David" w:cs="David"/>
          <w:sz w:val="22"/>
          <w:szCs w:val="22"/>
        </w:rPr>
        <w:footnoteRef/>
      </w:r>
      <w:r w:rsidRPr="004632FA">
        <w:rPr>
          <w:rFonts w:ascii="David" w:hAnsi="David" w:cs="David"/>
          <w:color w:val="000000"/>
          <w:sz w:val="22"/>
          <w:szCs w:val="22"/>
          <w:rtl/>
        </w:rPr>
        <w:t xml:space="preserve"> </w:t>
      </w:r>
      <w:r w:rsidRPr="004632FA">
        <w:rPr>
          <w:rFonts w:ascii="David" w:hAnsi="David" w:cs="David"/>
          <w:sz w:val="22"/>
          <w:szCs w:val="22"/>
          <w:rtl/>
          <w:lang w:bidi="he-IL"/>
        </w:rPr>
        <w:t>מנחם</w:t>
      </w:r>
      <w:r w:rsidRPr="004632FA">
        <w:rPr>
          <w:rFonts w:ascii="David" w:hAnsi="David" w:cs="David"/>
          <w:sz w:val="22"/>
          <w:szCs w:val="22"/>
          <w:rtl/>
        </w:rPr>
        <w:t xml:space="preserve"> </w:t>
      </w:r>
      <w:r w:rsidRPr="004632FA">
        <w:rPr>
          <w:rFonts w:ascii="David" w:hAnsi="David" w:cs="David"/>
          <w:color w:val="000000"/>
          <w:sz w:val="22"/>
          <w:szCs w:val="22"/>
          <w:rtl/>
          <w:lang w:bidi="he-IL"/>
        </w:rPr>
        <w:t>מאוטנר</w:t>
      </w:r>
      <w:r w:rsidRPr="004632FA">
        <w:rPr>
          <w:rFonts w:ascii="David" w:hAnsi="David" w:cs="David"/>
          <w:color w:val="000000"/>
          <w:sz w:val="22"/>
          <w:szCs w:val="22"/>
          <w:rtl/>
        </w:rPr>
        <w:t xml:space="preserve"> </w:t>
      </w:r>
      <w:r w:rsidRPr="004632FA">
        <w:rPr>
          <w:rFonts w:ascii="David" w:hAnsi="David" w:cs="David"/>
          <w:b/>
          <w:bCs/>
          <w:color w:val="000000"/>
          <w:sz w:val="22"/>
          <w:szCs w:val="22"/>
          <w:rtl/>
          <w:lang w:bidi="he-IL"/>
        </w:rPr>
        <w:t>משפט</w:t>
      </w:r>
      <w:r w:rsidRPr="004632FA">
        <w:rPr>
          <w:rFonts w:ascii="David" w:hAnsi="David" w:cs="David"/>
          <w:b/>
          <w:bCs/>
          <w:color w:val="000000"/>
          <w:sz w:val="22"/>
          <w:szCs w:val="22"/>
          <w:rtl/>
        </w:rPr>
        <w:t xml:space="preserve"> </w:t>
      </w:r>
      <w:r w:rsidRPr="004632FA">
        <w:rPr>
          <w:rFonts w:ascii="David" w:hAnsi="David" w:cs="David"/>
          <w:b/>
          <w:bCs/>
          <w:color w:val="000000"/>
          <w:sz w:val="22"/>
          <w:szCs w:val="22"/>
          <w:rtl/>
          <w:lang w:bidi="he-IL"/>
        </w:rPr>
        <w:t>ותרבות</w:t>
      </w:r>
      <w:r w:rsidRPr="004632FA">
        <w:rPr>
          <w:rFonts w:ascii="David" w:hAnsi="David" w:cs="David"/>
          <w:color w:val="000000"/>
          <w:sz w:val="22"/>
          <w:szCs w:val="22"/>
          <w:rtl/>
        </w:rPr>
        <w:t xml:space="preserve"> (2008</w:t>
      </w:r>
      <w:r w:rsidRPr="004632FA">
        <w:rPr>
          <w:rFonts w:ascii="David" w:hAnsi="David" w:cs="David"/>
          <w:color w:val="000000"/>
          <w:sz w:val="22"/>
          <w:szCs w:val="22"/>
          <w:rtl/>
          <w:lang w:bidi="he-IL"/>
        </w:rPr>
        <w:t>).</w:t>
      </w:r>
    </w:p>
  </w:footnote>
  <w:footnote w:id="3">
    <w:p w:rsidR="006E285E" w:rsidRPr="004632FA" w:rsidRDefault="006E285E" w:rsidP="006E285E">
      <w:pPr>
        <w:pStyle w:val="FootnoteText"/>
        <w:bidi/>
        <w:spacing w:after="120"/>
        <w:rPr>
          <w:rFonts w:ascii="David" w:hAnsi="David" w:cs="David"/>
          <w:sz w:val="22"/>
          <w:szCs w:val="22"/>
          <w:rtl/>
          <w:lang w:bidi="he-IL"/>
        </w:rPr>
      </w:pPr>
      <w:r w:rsidRPr="004632FA">
        <w:rPr>
          <w:rStyle w:val="FootnoteReference"/>
          <w:rFonts w:ascii="David" w:hAnsi="David" w:cs="David"/>
          <w:sz w:val="22"/>
          <w:szCs w:val="22"/>
        </w:rPr>
        <w:footnoteRef/>
      </w:r>
      <w:r w:rsidRPr="004632FA">
        <w:rPr>
          <w:rFonts w:ascii="David" w:hAnsi="David" w:cs="David"/>
          <w:sz w:val="22"/>
          <w:szCs w:val="22"/>
          <w:rtl/>
          <w:lang w:bidi="he-IL"/>
        </w:rPr>
        <w:t xml:space="preserve"> מנחם מאוטנר </w:t>
      </w:r>
      <w:r w:rsidRPr="004632FA">
        <w:rPr>
          <w:rFonts w:ascii="David" w:hAnsi="David" w:cs="David"/>
          <w:b/>
          <w:bCs/>
          <w:sz w:val="22"/>
          <w:szCs w:val="22"/>
          <w:rtl/>
          <w:lang w:bidi="he-IL"/>
        </w:rPr>
        <w:t>משפט ותרבות בישראל המאה העשרים ואחת</w:t>
      </w:r>
      <w:r w:rsidRPr="004632FA">
        <w:rPr>
          <w:rFonts w:ascii="David" w:hAnsi="David" w:cs="David"/>
          <w:sz w:val="22"/>
          <w:szCs w:val="22"/>
          <w:rtl/>
          <w:lang w:bidi="he-IL"/>
        </w:rPr>
        <w:t xml:space="preserve"> (</w:t>
      </w:r>
      <w:r w:rsidRPr="004632FA">
        <w:rPr>
          <w:rFonts w:ascii="David" w:hAnsi="David" w:cs="David"/>
          <w:sz w:val="22"/>
          <w:szCs w:val="22"/>
          <w:lang w:bidi="ar-DZ"/>
        </w:rPr>
        <w:t>(2008</w:t>
      </w:r>
      <w:r w:rsidRPr="004632FA">
        <w:rPr>
          <w:rFonts w:ascii="David" w:hAnsi="David" w:cs="David"/>
          <w:sz w:val="22"/>
          <w:szCs w:val="22"/>
          <w:rtl/>
          <w:lang w:bidi="he-IL"/>
        </w:rPr>
        <w:t>.</w:t>
      </w:r>
    </w:p>
  </w:footnote>
  <w:footnote w:id="4">
    <w:p w:rsidR="006E285E" w:rsidRPr="004632FA" w:rsidRDefault="006E285E" w:rsidP="006E285E">
      <w:pPr>
        <w:pStyle w:val="FootnoteText"/>
        <w:bidi/>
        <w:spacing w:after="120"/>
        <w:rPr>
          <w:rFonts w:ascii="David" w:hAnsi="David" w:cs="David"/>
          <w:sz w:val="22"/>
          <w:szCs w:val="22"/>
          <w:rtl/>
        </w:rPr>
      </w:pPr>
      <w:r w:rsidRPr="004632FA">
        <w:rPr>
          <w:rStyle w:val="FootnoteReference"/>
          <w:rFonts w:ascii="David" w:hAnsi="David" w:cs="David"/>
          <w:smallCaps/>
          <w:sz w:val="22"/>
          <w:szCs w:val="22"/>
        </w:rPr>
        <w:footnoteRef/>
      </w:r>
      <w:r w:rsidRPr="004632FA">
        <w:rPr>
          <w:rFonts w:ascii="David" w:hAnsi="David" w:cs="David"/>
          <w:sz w:val="22"/>
          <w:szCs w:val="22"/>
        </w:rPr>
        <w:t xml:space="preserve"> Clifford Geertz</w:t>
      </w:r>
      <w:r w:rsidRPr="004632FA">
        <w:rPr>
          <w:rFonts w:ascii="David" w:hAnsi="David" w:cs="David"/>
          <w:smallCaps/>
          <w:sz w:val="22"/>
          <w:szCs w:val="22"/>
        </w:rPr>
        <w:t xml:space="preserve">, </w:t>
      </w:r>
      <w:r w:rsidRPr="004632FA">
        <w:rPr>
          <w:rFonts w:ascii="David" w:hAnsi="David" w:cs="David"/>
          <w:i/>
          <w:iCs/>
          <w:sz w:val="22"/>
          <w:szCs w:val="22"/>
        </w:rPr>
        <w:t>Local Knowledge: Fact and Law in comparative Perspective,</w:t>
      </w:r>
      <w:r w:rsidRPr="004632FA">
        <w:rPr>
          <w:rFonts w:ascii="David" w:hAnsi="David" w:cs="David"/>
          <w:sz w:val="22"/>
          <w:szCs w:val="22"/>
        </w:rPr>
        <w:t xml:space="preserve"> </w:t>
      </w:r>
      <w:r w:rsidRPr="004632FA">
        <w:rPr>
          <w:rFonts w:ascii="David" w:hAnsi="David" w:cs="David"/>
          <w:i/>
          <w:iCs/>
          <w:sz w:val="22"/>
          <w:szCs w:val="22"/>
        </w:rPr>
        <w:t>in</w:t>
      </w:r>
      <w:r w:rsidRPr="004632FA">
        <w:rPr>
          <w:rFonts w:ascii="David" w:hAnsi="David" w:cs="David"/>
          <w:smallCaps/>
          <w:sz w:val="22"/>
          <w:szCs w:val="22"/>
        </w:rPr>
        <w:t xml:space="preserve"> Local Knowledge 167 (1983).</w:t>
      </w:r>
    </w:p>
  </w:footnote>
  <w:footnote w:id="5">
    <w:p w:rsidR="006E285E" w:rsidRPr="004632FA" w:rsidRDefault="006E285E" w:rsidP="006E285E">
      <w:pPr>
        <w:pStyle w:val="FootnoteText"/>
        <w:bidi/>
        <w:spacing w:after="120"/>
        <w:rPr>
          <w:rFonts w:ascii="David" w:hAnsi="David" w:cs="David"/>
          <w:sz w:val="22"/>
          <w:szCs w:val="22"/>
          <w:rtl/>
        </w:rPr>
      </w:pPr>
      <w:r w:rsidRPr="004632FA">
        <w:rPr>
          <w:rStyle w:val="FootnoteReference"/>
          <w:rFonts w:ascii="David" w:hAnsi="David" w:cs="David"/>
          <w:sz w:val="22"/>
          <w:szCs w:val="22"/>
        </w:rPr>
        <w:footnoteRef/>
      </w:r>
      <w:r w:rsidRPr="004632FA">
        <w:rPr>
          <w:rFonts w:ascii="David" w:hAnsi="David" w:cs="David"/>
          <w:sz w:val="22"/>
          <w:szCs w:val="22"/>
          <w:lang w:bidi="ar-DZ"/>
        </w:rPr>
        <w:t xml:space="preserve"> Pierre Bourdieu, </w:t>
      </w:r>
      <w:r w:rsidRPr="004632FA">
        <w:rPr>
          <w:rFonts w:ascii="David" w:hAnsi="David" w:cs="David"/>
          <w:i/>
          <w:iCs/>
          <w:sz w:val="22"/>
          <w:szCs w:val="22"/>
          <w:lang w:bidi="ar-DZ"/>
        </w:rPr>
        <w:t>The Force of Law: Toward a Sociology of the Juridical Field</w:t>
      </w:r>
      <w:r w:rsidRPr="004632FA">
        <w:rPr>
          <w:rFonts w:ascii="David" w:hAnsi="David" w:cs="David"/>
          <w:sz w:val="22"/>
          <w:szCs w:val="22"/>
          <w:lang w:bidi="ar-DZ"/>
        </w:rPr>
        <w:t xml:space="preserve">, 38 </w:t>
      </w:r>
      <w:r w:rsidRPr="004632FA">
        <w:rPr>
          <w:rFonts w:ascii="David" w:hAnsi="David" w:cs="David"/>
          <w:smallCaps/>
          <w:sz w:val="22"/>
          <w:szCs w:val="22"/>
          <w:lang w:bidi="ar-DZ"/>
        </w:rPr>
        <w:t>Hastings Law J.</w:t>
      </w:r>
      <w:r w:rsidRPr="004632FA">
        <w:rPr>
          <w:rFonts w:ascii="David" w:hAnsi="David" w:cs="David"/>
          <w:sz w:val="22"/>
          <w:szCs w:val="22"/>
          <w:lang w:bidi="ar-DZ"/>
        </w:rPr>
        <w:t xml:space="preserve"> 805 (1987)</w:t>
      </w:r>
      <w:r w:rsidRPr="004632FA">
        <w:rPr>
          <w:rFonts w:ascii="David" w:hAnsi="David" w:cs="David"/>
          <w:sz w:val="22"/>
          <w:szCs w:val="22"/>
          <w:rtl/>
        </w:rPr>
        <w:t>.</w:t>
      </w:r>
    </w:p>
  </w:footnote>
  <w:footnote w:id="6">
    <w:p w:rsidR="006E285E" w:rsidRPr="006E285E" w:rsidRDefault="006E285E" w:rsidP="006E285E">
      <w:pPr>
        <w:pStyle w:val="FootnoteText"/>
        <w:bidi/>
        <w:spacing w:after="120"/>
        <w:rPr>
          <w:rFonts w:ascii="David" w:hAnsi="David" w:cs="David"/>
          <w:sz w:val="22"/>
          <w:szCs w:val="22"/>
          <w:rtl/>
          <w:lang w:bidi="he-IL"/>
        </w:rPr>
      </w:pPr>
      <w:r w:rsidRPr="006E285E">
        <w:rPr>
          <w:rStyle w:val="FootnoteReference"/>
          <w:rFonts w:ascii="David" w:hAnsi="David" w:cs="David"/>
          <w:sz w:val="22"/>
          <w:szCs w:val="22"/>
        </w:rPr>
        <w:footnoteRef/>
      </w:r>
      <w:r w:rsidRPr="006E285E">
        <w:rPr>
          <w:rFonts w:ascii="David" w:hAnsi="David" w:cs="David"/>
          <w:sz w:val="22"/>
          <w:szCs w:val="22"/>
        </w:rPr>
        <w:t xml:space="preserve"> </w:t>
      </w:r>
      <w:r w:rsidRPr="006E285E">
        <w:rPr>
          <w:rFonts w:ascii="David" w:hAnsi="David" w:cs="David"/>
          <w:color w:val="222222"/>
          <w:sz w:val="22"/>
          <w:szCs w:val="22"/>
          <w:shd w:val="clear" w:color="auto" w:fill="FFFFFF"/>
        </w:rPr>
        <w:t>Kennedy, Duncan. </w:t>
      </w:r>
      <w:r w:rsidRPr="006E285E">
        <w:rPr>
          <w:rFonts w:ascii="David" w:hAnsi="David" w:cs="David"/>
          <w:i/>
          <w:iCs/>
          <w:color w:val="222222"/>
          <w:sz w:val="22"/>
          <w:szCs w:val="22"/>
          <w:shd w:val="clear" w:color="auto" w:fill="FFFFFF"/>
        </w:rPr>
        <w:t>Legal education and the reproduction of hierarchy: a polemic against the system</w:t>
      </w:r>
      <w:r w:rsidRPr="006E285E">
        <w:rPr>
          <w:rFonts w:ascii="David" w:hAnsi="David" w:cs="David"/>
          <w:color w:val="222222"/>
          <w:sz w:val="22"/>
          <w:szCs w:val="22"/>
          <w:shd w:val="clear" w:color="auto" w:fill="FFFFFF"/>
        </w:rPr>
        <w:t>. Vol. 56. NYU Press, 2007.</w:t>
      </w:r>
      <w:r w:rsidRPr="006E285E">
        <w:rPr>
          <w:rFonts w:ascii="David" w:hAnsi="David" w:cs="David"/>
          <w:color w:val="222222"/>
          <w:sz w:val="22"/>
          <w:szCs w:val="22"/>
          <w:shd w:val="clear" w:color="auto" w:fill="FFFFFF"/>
          <w:rtl/>
        </w:rPr>
        <w:t>‏</w:t>
      </w:r>
    </w:p>
  </w:footnote>
  <w:footnote w:id="7">
    <w:p w:rsidR="006E285E" w:rsidRPr="00C06BB9" w:rsidRDefault="006E285E" w:rsidP="006E285E">
      <w:pPr>
        <w:pStyle w:val="FootnoteText"/>
        <w:bidi/>
        <w:spacing w:after="120"/>
        <w:rPr>
          <w:rFonts w:ascii="David" w:hAnsi="David" w:cs="David"/>
          <w:sz w:val="22"/>
          <w:szCs w:val="22"/>
          <w:rtl/>
          <w:lang w:bidi="he-IL"/>
        </w:rPr>
      </w:pPr>
      <w:r w:rsidRPr="00C06BB9">
        <w:rPr>
          <w:rStyle w:val="FootnoteReference"/>
          <w:rFonts w:ascii="David" w:hAnsi="David" w:cs="David"/>
          <w:sz w:val="22"/>
          <w:szCs w:val="22"/>
        </w:rPr>
        <w:footnoteRef/>
      </w:r>
      <w:r w:rsidRPr="00C06BB9">
        <w:rPr>
          <w:rFonts w:ascii="David" w:hAnsi="David" w:cs="David"/>
          <w:sz w:val="22"/>
          <w:szCs w:val="22"/>
        </w:rPr>
        <w:t xml:space="preserve"> </w:t>
      </w:r>
      <w:r>
        <w:rPr>
          <w:rFonts w:ascii="David" w:hAnsi="David" w:cs="David" w:hint="cs"/>
          <w:sz w:val="22"/>
          <w:szCs w:val="22"/>
          <w:rtl/>
          <w:lang w:bidi="he-IL"/>
        </w:rPr>
        <w:t xml:space="preserve"> </w:t>
      </w:r>
      <w:r w:rsidRPr="003419A0">
        <w:rPr>
          <w:rFonts w:ascii="David" w:hAnsi="David" w:cs="David"/>
          <w:sz w:val="22"/>
          <w:szCs w:val="22"/>
          <w:rtl/>
          <w:lang w:bidi="he-IL"/>
        </w:rPr>
        <w:t xml:space="preserve">אלון הראל ויאיר לורברבוים "הרהורים על סכנות משפט ותרבות" </w:t>
      </w:r>
      <w:r w:rsidRPr="003419A0">
        <w:rPr>
          <w:rFonts w:ascii="David" w:hAnsi="David" w:cs="David"/>
          <w:b/>
          <w:bCs/>
          <w:sz w:val="22"/>
          <w:szCs w:val="22"/>
          <w:rtl/>
          <w:lang w:bidi="he-IL"/>
        </w:rPr>
        <w:t>משפטים</w:t>
      </w:r>
      <w:r w:rsidRPr="003419A0">
        <w:rPr>
          <w:rFonts w:ascii="David" w:hAnsi="David" w:cs="David"/>
          <w:sz w:val="22"/>
          <w:szCs w:val="22"/>
          <w:rtl/>
          <w:lang w:bidi="he-IL"/>
        </w:rPr>
        <w:t xml:space="preserve"> מ 942 (201</w:t>
      </w:r>
      <w:r w:rsidRPr="003419A0">
        <w:rPr>
          <w:rFonts w:ascii="David" w:hAnsi="David" w:cs="David" w:hint="cs"/>
          <w:sz w:val="22"/>
          <w:szCs w:val="22"/>
          <w:rtl/>
          <w:lang w:bidi="he-IL"/>
        </w:rPr>
        <w:t>1</w:t>
      </w:r>
      <w:r w:rsidRPr="003419A0">
        <w:rPr>
          <w:rFonts w:ascii="David" w:hAnsi="David" w:cs="David"/>
          <w:sz w:val="22"/>
          <w:szCs w:val="22"/>
          <w:rtl/>
          <w:lang w:bidi="he-IL"/>
        </w:rPr>
        <w:t>).</w:t>
      </w:r>
      <w:r w:rsidRPr="00C06BB9">
        <w:rPr>
          <w:rFonts w:ascii="David" w:hAnsi="David" w:cs="David"/>
          <w:sz w:val="22"/>
          <w:szCs w:val="22"/>
          <w:rtl/>
          <w:lang w:bidi="he-IL"/>
        </w:rPr>
        <w:t xml:space="preserve"> </w:t>
      </w:r>
    </w:p>
  </w:footnote>
  <w:footnote w:id="8">
    <w:p w:rsidR="006E285E" w:rsidRPr="00A9029F" w:rsidRDefault="006E285E" w:rsidP="006E285E">
      <w:pPr>
        <w:pStyle w:val="FootnoteText"/>
        <w:bidi/>
        <w:spacing w:after="120"/>
        <w:rPr>
          <w:rFonts w:ascii="David" w:hAnsi="David" w:cs="David"/>
          <w:sz w:val="22"/>
          <w:szCs w:val="22"/>
          <w:rtl/>
          <w:lang w:bidi="he-IL"/>
        </w:rPr>
      </w:pPr>
      <w:r w:rsidRPr="00A9029F">
        <w:rPr>
          <w:rStyle w:val="FootnoteReference"/>
          <w:rFonts w:ascii="David" w:hAnsi="David" w:cs="David"/>
          <w:sz w:val="22"/>
          <w:szCs w:val="22"/>
        </w:rPr>
        <w:footnoteRef/>
      </w:r>
      <w:r w:rsidRPr="00A9029F">
        <w:rPr>
          <w:rFonts w:ascii="David" w:hAnsi="David" w:cs="David"/>
          <w:sz w:val="22"/>
          <w:szCs w:val="22"/>
        </w:rPr>
        <w:t xml:space="preserve"> </w:t>
      </w:r>
      <w:r>
        <w:rPr>
          <w:rFonts w:ascii="David" w:hAnsi="David" w:cs="David" w:hint="cs"/>
          <w:sz w:val="22"/>
          <w:szCs w:val="22"/>
          <w:rtl/>
          <w:lang w:bidi="he-IL"/>
        </w:rPr>
        <w:t xml:space="preserve"> </w:t>
      </w:r>
      <w:r w:rsidRPr="00A9029F">
        <w:rPr>
          <w:rFonts w:ascii="David" w:hAnsi="David" w:cs="David"/>
          <w:sz w:val="22"/>
          <w:szCs w:val="22"/>
          <w:rtl/>
          <w:lang w:bidi="he-IL"/>
        </w:rPr>
        <w:t>מנחם מאוטנר</w:t>
      </w:r>
      <w:r w:rsidRPr="00A9029F">
        <w:rPr>
          <w:rFonts w:ascii="David" w:hAnsi="David" w:cs="David"/>
          <w:sz w:val="22"/>
          <w:szCs w:val="22"/>
          <w:rtl/>
        </w:rPr>
        <w:t xml:space="preserve"> </w:t>
      </w:r>
      <w:r w:rsidRPr="00A9029F">
        <w:rPr>
          <w:rFonts w:ascii="David" w:hAnsi="David" w:cs="David"/>
          <w:sz w:val="22"/>
          <w:szCs w:val="22"/>
          <w:rtl/>
          <w:lang w:bidi="he-IL"/>
        </w:rPr>
        <w:t>"תשובה להראל</w:t>
      </w:r>
      <w:r w:rsidRPr="00A9029F">
        <w:rPr>
          <w:rFonts w:ascii="David" w:hAnsi="David" w:cs="David"/>
          <w:sz w:val="22"/>
          <w:szCs w:val="22"/>
          <w:rtl/>
        </w:rPr>
        <w:t xml:space="preserve"> </w:t>
      </w:r>
      <w:r w:rsidRPr="00A9029F">
        <w:rPr>
          <w:rFonts w:ascii="David" w:hAnsi="David" w:cs="David"/>
          <w:sz w:val="22"/>
          <w:szCs w:val="22"/>
          <w:rtl/>
          <w:lang w:bidi="he-IL"/>
        </w:rPr>
        <w:t>ולורברבוים"</w:t>
      </w:r>
      <w:r w:rsidRPr="00A9029F">
        <w:rPr>
          <w:rFonts w:ascii="David" w:hAnsi="David" w:cs="David"/>
          <w:sz w:val="22"/>
          <w:szCs w:val="22"/>
          <w:rtl/>
        </w:rPr>
        <w:t xml:space="preserve"> </w:t>
      </w:r>
      <w:r w:rsidRPr="00A9029F">
        <w:rPr>
          <w:rFonts w:ascii="David" w:hAnsi="David" w:cs="David"/>
          <w:b/>
          <w:bCs/>
          <w:sz w:val="22"/>
          <w:szCs w:val="22"/>
          <w:rtl/>
          <w:lang w:bidi="he-IL"/>
        </w:rPr>
        <w:t>משפטים</w:t>
      </w:r>
      <w:r w:rsidRPr="00A9029F">
        <w:rPr>
          <w:rFonts w:ascii="David" w:hAnsi="David" w:cs="David"/>
          <w:sz w:val="22"/>
          <w:szCs w:val="22"/>
          <w:rtl/>
          <w:lang w:bidi="he-IL"/>
        </w:rPr>
        <w:t xml:space="preserve"> מ 983 1001 (2011). </w:t>
      </w:r>
    </w:p>
  </w:footnote>
  <w:footnote w:id="9">
    <w:p w:rsidR="006E285E" w:rsidRPr="004632FA" w:rsidRDefault="006E285E" w:rsidP="006E285E">
      <w:pPr>
        <w:pStyle w:val="FootnoteText"/>
        <w:bidi/>
        <w:spacing w:after="120"/>
        <w:rPr>
          <w:rFonts w:ascii="David" w:hAnsi="David" w:cs="David"/>
          <w:sz w:val="22"/>
          <w:szCs w:val="22"/>
          <w:rtl/>
          <w:lang w:bidi="ar-DZ"/>
        </w:rPr>
      </w:pPr>
      <w:r w:rsidRPr="004632FA">
        <w:rPr>
          <w:rStyle w:val="FootnoteReference"/>
          <w:rFonts w:ascii="David" w:hAnsi="David" w:cs="David"/>
          <w:sz w:val="22"/>
          <w:szCs w:val="22"/>
        </w:rPr>
        <w:footnoteRef/>
      </w:r>
      <w:r w:rsidRPr="004632FA">
        <w:rPr>
          <w:rFonts w:ascii="David" w:hAnsi="David" w:cs="David"/>
          <w:sz w:val="22"/>
          <w:szCs w:val="22"/>
        </w:rPr>
        <w:t xml:space="preserve"> </w:t>
      </w:r>
      <w:r>
        <w:rPr>
          <w:rFonts w:ascii="David" w:hAnsi="David" w:cs="David" w:hint="cs"/>
          <w:sz w:val="22"/>
          <w:szCs w:val="22"/>
          <w:rtl/>
          <w:lang w:bidi="he-IL"/>
        </w:rPr>
        <w:t xml:space="preserve"> </w:t>
      </w:r>
      <w:r w:rsidRPr="004632FA">
        <w:rPr>
          <w:rFonts w:ascii="David" w:hAnsi="David" w:cs="David"/>
          <w:sz w:val="22"/>
          <w:szCs w:val="22"/>
          <w:rtl/>
          <w:lang w:bidi="he-IL"/>
        </w:rPr>
        <w:t>כוחו הליגיטיניציוני של המשפט הודגש במיוחד על ידי הוגים של לימודי המשפט הביקורתיים, ראו למשל</w:t>
      </w:r>
      <w:r w:rsidRPr="004632FA">
        <w:rPr>
          <w:rFonts w:ascii="David" w:hAnsi="David" w:cs="David"/>
          <w:sz w:val="22"/>
          <w:szCs w:val="22"/>
          <w:lang w:bidi="he-IL"/>
        </w:rPr>
        <w:t xml:space="preserve">Mark </w:t>
      </w:r>
      <w:proofErr w:type="spellStart"/>
      <w:r w:rsidRPr="004632FA">
        <w:rPr>
          <w:rFonts w:ascii="David" w:hAnsi="David" w:cs="David"/>
          <w:sz w:val="22"/>
          <w:szCs w:val="22"/>
          <w:lang w:bidi="he-IL"/>
        </w:rPr>
        <w:t>Tushnet</w:t>
      </w:r>
      <w:proofErr w:type="spellEnd"/>
      <w:r w:rsidRPr="004632FA">
        <w:rPr>
          <w:rFonts w:ascii="David" w:hAnsi="David" w:cs="David"/>
          <w:sz w:val="22"/>
          <w:szCs w:val="22"/>
          <w:lang w:bidi="he-IL"/>
        </w:rPr>
        <w:t xml:space="preserve">, </w:t>
      </w:r>
      <w:r w:rsidRPr="004632FA">
        <w:rPr>
          <w:rFonts w:ascii="David" w:hAnsi="David" w:cs="David"/>
          <w:i/>
          <w:iCs/>
          <w:sz w:val="22"/>
          <w:szCs w:val="22"/>
          <w:lang w:bidi="he-IL"/>
        </w:rPr>
        <w:t>Critical Legal Studies: A Political History</w:t>
      </w:r>
      <w:r w:rsidRPr="004632FA">
        <w:rPr>
          <w:rFonts w:ascii="David" w:hAnsi="David" w:cs="David"/>
          <w:sz w:val="22"/>
          <w:szCs w:val="22"/>
          <w:lang w:bidi="he-IL"/>
        </w:rPr>
        <w:t xml:space="preserve">, 100 </w:t>
      </w:r>
      <w:r w:rsidRPr="004632FA">
        <w:rPr>
          <w:rFonts w:ascii="David" w:hAnsi="David" w:cs="David"/>
          <w:smallCaps/>
          <w:sz w:val="22"/>
          <w:szCs w:val="22"/>
          <w:lang w:bidi="he-IL"/>
        </w:rPr>
        <w:t>Yale L.J. (1991);</w:t>
      </w:r>
      <w:r w:rsidRPr="004632FA">
        <w:rPr>
          <w:rFonts w:ascii="David" w:hAnsi="David" w:cs="David"/>
          <w:sz w:val="22"/>
          <w:szCs w:val="22"/>
        </w:rPr>
        <w:t xml:space="preserve"> </w:t>
      </w:r>
      <w:r w:rsidRPr="004632FA">
        <w:rPr>
          <w:rFonts w:ascii="David" w:hAnsi="David" w:cs="David"/>
          <w:smallCaps/>
          <w:sz w:val="22"/>
          <w:szCs w:val="22"/>
        </w:rPr>
        <w:t xml:space="preserve">Duncan Kennedy, A Critique of adjudication: Fin de </w:t>
      </w:r>
      <w:proofErr w:type="spellStart"/>
      <w:r w:rsidRPr="004632FA">
        <w:rPr>
          <w:rFonts w:ascii="David" w:hAnsi="David" w:cs="David"/>
          <w:smallCaps/>
          <w:sz w:val="22"/>
          <w:szCs w:val="22"/>
        </w:rPr>
        <w:t>Siécle</w:t>
      </w:r>
      <w:proofErr w:type="spellEnd"/>
      <w:r w:rsidRPr="004632FA">
        <w:rPr>
          <w:rFonts w:ascii="David" w:hAnsi="David" w:cs="David"/>
          <w:sz w:val="22"/>
          <w:szCs w:val="22"/>
        </w:rPr>
        <w:t xml:space="preserve"> (1997)</w:t>
      </w:r>
      <w:r w:rsidRPr="004632FA">
        <w:rPr>
          <w:rFonts w:ascii="David" w:hAnsi="David" w:cs="David"/>
          <w:smallCaps/>
          <w:sz w:val="22"/>
          <w:szCs w:val="22"/>
          <w:rtl/>
          <w:lang w:bidi="he-IL"/>
        </w:rPr>
        <w:t>.</w:t>
      </w:r>
    </w:p>
  </w:footnote>
  <w:footnote w:id="10">
    <w:p w:rsidR="006E285E" w:rsidRPr="004632FA" w:rsidRDefault="006E285E" w:rsidP="006E285E">
      <w:pPr>
        <w:pStyle w:val="FootnoteText"/>
        <w:bidi/>
        <w:spacing w:after="120"/>
        <w:rPr>
          <w:rFonts w:ascii="David" w:hAnsi="David" w:cs="David"/>
          <w:sz w:val="22"/>
          <w:szCs w:val="22"/>
          <w:rtl/>
          <w:lang w:bidi="he-IL"/>
        </w:rPr>
      </w:pPr>
      <w:r w:rsidRPr="004632FA">
        <w:rPr>
          <w:rStyle w:val="FootnoteReference"/>
          <w:rFonts w:ascii="David" w:hAnsi="David" w:cs="David"/>
          <w:sz w:val="22"/>
          <w:szCs w:val="22"/>
        </w:rPr>
        <w:footnoteRef/>
      </w:r>
      <w:r w:rsidRPr="004632FA">
        <w:rPr>
          <w:rFonts w:ascii="David" w:hAnsi="David" w:cs="David"/>
          <w:sz w:val="22"/>
          <w:szCs w:val="22"/>
          <w:rtl/>
          <w:lang w:bidi="he-IL"/>
        </w:rPr>
        <w:t xml:space="preserve"> בג"ץ 18/5555 חסון נ' כנסת ישראל ו- 14 עתירות אח' (אר"ש 8.7.2021).</w:t>
      </w:r>
      <w:r w:rsidRPr="004632FA">
        <w:rPr>
          <w:rFonts w:ascii="David" w:hAnsi="David" w:cs="David"/>
          <w:sz w:val="22"/>
          <w:szCs w:val="22"/>
          <w:lang w:bidi="he-IL"/>
        </w:rPr>
        <w:t xml:space="preserve"> </w:t>
      </w:r>
      <w:r w:rsidRPr="004632FA">
        <w:rPr>
          <w:rFonts w:ascii="David" w:hAnsi="David" w:cs="David"/>
          <w:sz w:val="22"/>
          <w:szCs w:val="22"/>
          <w:rtl/>
          <w:lang w:bidi="he-IL"/>
        </w:rPr>
        <w:t xml:space="preserve">(להלן: בג"ץ </w:t>
      </w:r>
      <w:r w:rsidRPr="006F3455">
        <w:rPr>
          <w:rFonts w:ascii="David" w:hAnsi="David" w:cs="David"/>
          <w:b/>
          <w:bCs/>
          <w:sz w:val="22"/>
          <w:szCs w:val="22"/>
          <w:rtl/>
          <w:lang w:bidi="he-IL"/>
        </w:rPr>
        <w:t>חוק הלאום</w:t>
      </w:r>
      <w:r w:rsidRPr="004632FA">
        <w:rPr>
          <w:rFonts w:ascii="David" w:hAnsi="David" w:cs="David"/>
          <w:sz w:val="22"/>
          <w:szCs w:val="22"/>
          <w:rtl/>
          <w:lang w:bidi="he-IL"/>
        </w:rPr>
        <w:t>).</w:t>
      </w:r>
    </w:p>
  </w:footnote>
  <w:footnote w:id="11">
    <w:p w:rsidR="006E285E" w:rsidRPr="004632FA" w:rsidRDefault="006E285E" w:rsidP="006E285E">
      <w:pPr>
        <w:bidi/>
        <w:spacing w:after="120" w:line="240" w:lineRule="auto"/>
        <w:rPr>
          <w:rFonts w:ascii="David" w:hAnsi="David" w:cs="David"/>
          <w:rtl/>
          <w:lang w:bidi="he-IL"/>
        </w:rPr>
      </w:pPr>
      <w:r w:rsidRPr="004632FA">
        <w:rPr>
          <w:rStyle w:val="FootnoteReference"/>
          <w:rFonts w:ascii="David" w:hAnsi="David" w:cs="David"/>
        </w:rPr>
        <w:footnoteRef/>
      </w:r>
      <w:r w:rsidRPr="004632FA">
        <w:rPr>
          <w:rFonts w:ascii="David" w:hAnsi="David" w:cs="David"/>
        </w:rPr>
        <w:t xml:space="preserve"> </w:t>
      </w:r>
      <w:r w:rsidRPr="004632FA">
        <w:rPr>
          <w:rFonts w:ascii="David" w:hAnsi="David" w:cs="David"/>
          <w:rtl/>
          <w:lang w:bidi="he-IL"/>
        </w:rPr>
        <w:t xml:space="preserve">הכנסת גם העלתה טיעוני נגד הפעלת דוקטרינת התיקון חוקתי שאינו חוקתי, שלצורך עבודה זו, לא ראיתי טעם להיכנס לעומקם. </w:t>
      </w:r>
    </w:p>
  </w:footnote>
  <w:footnote w:id="12">
    <w:p w:rsidR="006E285E" w:rsidRPr="004632FA" w:rsidRDefault="006E285E" w:rsidP="006E285E">
      <w:pPr>
        <w:pStyle w:val="FootnoteText"/>
        <w:bidi/>
        <w:spacing w:after="120"/>
        <w:rPr>
          <w:rFonts w:ascii="David" w:hAnsi="David" w:cs="David"/>
          <w:sz w:val="22"/>
          <w:szCs w:val="22"/>
          <w:rtl/>
          <w:lang w:bidi="he-IL"/>
        </w:rPr>
      </w:pPr>
      <w:r w:rsidRPr="004632FA">
        <w:rPr>
          <w:rStyle w:val="FootnoteReference"/>
          <w:rFonts w:ascii="David" w:hAnsi="David" w:cs="David"/>
          <w:sz w:val="22"/>
          <w:szCs w:val="22"/>
        </w:rPr>
        <w:footnoteRef/>
      </w:r>
      <w:r w:rsidRPr="004632FA">
        <w:rPr>
          <w:rFonts w:ascii="David" w:hAnsi="David" w:cs="David"/>
          <w:sz w:val="22"/>
          <w:szCs w:val="22"/>
          <w:lang w:bidi="he-IL"/>
        </w:rPr>
        <w:t xml:space="preserve"> </w:t>
      </w:r>
      <w:r w:rsidRPr="004632FA">
        <w:rPr>
          <w:rFonts w:ascii="David" w:hAnsi="David" w:cs="David"/>
          <w:sz w:val="22"/>
          <w:szCs w:val="22"/>
          <w:rtl/>
          <w:lang w:bidi="he-IL"/>
        </w:rPr>
        <w:t xml:space="preserve">בג"ץ חוק הלאום, לעיל </w:t>
      </w:r>
      <w:proofErr w:type="spellStart"/>
      <w:r w:rsidRPr="004632FA">
        <w:rPr>
          <w:rFonts w:ascii="David" w:hAnsi="David" w:cs="David"/>
          <w:sz w:val="22"/>
          <w:szCs w:val="22"/>
          <w:rtl/>
          <w:lang w:bidi="he-IL"/>
        </w:rPr>
        <w:t>ה"ש</w:t>
      </w:r>
      <w:proofErr w:type="spellEnd"/>
      <w:r w:rsidRPr="004632FA">
        <w:rPr>
          <w:rFonts w:ascii="David" w:hAnsi="David" w:cs="David"/>
          <w:sz w:val="22"/>
          <w:szCs w:val="22"/>
          <w:rtl/>
          <w:lang w:bidi="he-IL"/>
        </w:rPr>
        <w:t xml:space="preserve"> </w:t>
      </w:r>
      <w:r w:rsidRPr="004632FA">
        <w:rPr>
          <w:rFonts w:ascii="David" w:hAnsi="David" w:cs="David"/>
          <w:sz w:val="22"/>
          <w:szCs w:val="22"/>
          <w:rtl/>
          <w:lang w:bidi="he-IL"/>
        </w:rPr>
        <w:fldChar w:fldCharType="begin"/>
      </w:r>
      <w:r w:rsidRPr="004632FA">
        <w:rPr>
          <w:rFonts w:ascii="David" w:hAnsi="David" w:cs="David"/>
          <w:sz w:val="22"/>
          <w:szCs w:val="22"/>
          <w:rtl/>
          <w:lang w:bidi="he-IL"/>
        </w:rPr>
        <w:instrText xml:space="preserve"> </w:instrText>
      </w:r>
      <w:r w:rsidRPr="004632FA">
        <w:rPr>
          <w:rFonts w:ascii="David" w:hAnsi="David" w:cs="David"/>
          <w:sz w:val="22"/>
          <w:szCs w:val="22"/>
          <w:lang w:bidi="he-IL"/>
        </w:rPr>
        <w:instrText>NOTEREF</w:instrText>
      </w:r>
      <w:r w:rsidRPr="004632FA">
        <w:rPr>
          <w:rFonts w:ascii="David" w:hAnsi="David" w:cs="David"/>
          <w:sz w:val="22"/>
          <w:szCs w:val="22"/>
          <w:rtl/>
          <w:lang w:bidi="he-IL"/>
        </w:rPr>
        <w:instrText xml:space="preserve"> _</w:instrText>
      </w:r>
      <w:r w:rsidRPr="004632FA">
        <w:rPr>
          <w:rFonts w:ascii="David" w:hAnsi="David" w:cs="David"/>
          <w:sz w:val="22"/>
          <w:szCs w:val="22"/>
          <w:lang w:bidi="he-IL"/>
        </w:rPr>
        <w:instrText>Ref89133638 \h</w:instrText>
      </w:r>
      <w:r w:rsidRPr="004632FA">
        <w:rPr>
          <w:rFonts w:ascii="David" w:hAnsi="David" w:cs="David"/>
          <w:sz w:val="22"/>
          <w:szCs w:val="22"/>
          <w:rtl/>
          <w:lang w:bidi="he-IL"/>
        </w:rPr>
        <w:instrText xml:space="preserve">  \* </w:instrText>
      </w:r>
      <w:r w:rsidRPr="004632FA">
        <w:rPr>
          <w:rFonts w:ascii="David" w:hAnsi="David" w:cs="David"/>
          <w:sz w:val="22"/>
          <w:szCs w:val="22"/>
          <w:lang w:bidi="he-IL"/>
        </w:rPr>
        <w:instrText>MERGEFORMAT</w:instrText>
      </w:r>
      <w:r w:rsidRPr="004632FA">
        <w:rPr>
          <w:rFonts w:ascii="David" w:hAnsi="David" w:cs="David"/>
          <w:sz w:val="22"/>
          <w:szCs w:val="22"/>
          <w:rtl/>
          <w:lang w:bidi="he-IL"/>
        </w:rPr>
        <w:instrText xml:space="preserve"> </w:instrText>
      </w:r>
      <w:r w:rsidRPr="004632FA">
        <w:rPr>
          <w:rFonts w:ascii="David" w:hAnsi="David" w:cs="David"/>
          <w:sz w:val="22"/>
          <w:szCs w:val="22"/>
          <w:rtl/>
          <w:lang w:bidi="he-IL"/>
        </w:rPr>
      </w:r>
      <w:r w:rsidRPr="004632FA">
        <w:rPr>
          <w:rFonts w:ascii="David" w:hAnsi="David" w:cs="David"/>
          <w:sz w:val="22"/>
          <w:szCs w:val="22"/>
          <w:rtl/>
          <w:lang w:bidi="he-IL"/>
        </w:rPr>
        <w:fldChar w:fldCharType="separate"/>
      </w:r>
      <w:r w:rsidRPr="004632FA">
        <w:rPr>
          <w:rFonts w:ascii="David" w:hAnsi="David" w:cs="David"/>
          <w:sz w:val="22"/>
          <w:szCs w:val="22"/>
          <w:rtl/>
          <w:lang w:bidi="he-IL"/>
        </w:rPr>
        <w:t>89</w:t>
      </w:r>
      <w:r w:rsidRPr="004632FA">
        <w:rPr>
          <w:rFonts w:ascii="David" w:hAnsi="David" w:cs="David"/>
          <w:sz w:val="22"/>
          <w:szCs w:val="22"/>
          <w:rtl/>
          <w:lang w:bidi="he-IL"/>
        </w:rPr>
        <w:fldChar w:fldCharType="end"/>
      </w:r>
      <w:r w:rsidRPr="004632FA">
        <w:rPr>
          <w:rFonts w:ascii="David" w:hAnsi="David" w:cs="David"/>
          <w:sz w:val="22"/>
          <w:szCs w:val="22"/>
          <w:rtl/>
          <w:lang w:bidi="he-IL"/>
        </w:rPr>
        <w:t xml:space="preserve">, </w:t>
      </w:r>
      <w:r w:rsidRPr="004632FA">
        <w:rPr>
          <w:rFonts w:ascii="David" w:hAnsi="David" w:cs="David" w:hint="eastAsia"/>
          <w:sz w:val="22"/>
          <w:szCs w:val="22"/>
          <w:rtl/>
          <w:lang w:bidi="he-IL"/>
        </w:rPr>
        <w:t>פסקה</w:t>
      </w:r>
      <w:r w:rsidRPr="004632FA">
        <w:rPr>
          <w:rFonts w:ascii="David" w:hAnsi="David" w:cs="David"/>
          <w:sz w:val="22"/>
          <w:szCs w:val="22"/>
          <w:rtl/>
          <w:lang w:bidi="he-IL"/>
        </w:rPr>
        <w:t xml:space="preserve"> 9 לפסק </w:t>
      </w:r>
      <w:r>
        <w:rPr>
          <w:rFonts w:ascii="David" w:hAnsi="David" w:cs="David" w:hint="cs"/>
          <w:sz w:val="22"/>
          <w:szCs w:val="22"/>
          <w:rtl/>
          <w:lang w:bidi="he-IL"/>
        </w:rPr>
        <w:t>ה</w:t>
      </w:r>
      <w:r w:rsidRPr="004632FA">
        <w:rPr>
          <w:rFonts w:ascii="David" w:hAnsi="David" w:cs="David"/>
          <w:sz w:val="22"/>
          <w:szCs w:val="22"/>
          <w:rtl/>
          <w:lang w:bidi="he-IL"/>
        </w:rPr>
        <w:t>די</w:t>
      </w:r>
      <w:r>
        <w:rPr>
          <w:rFonts w:ascii="David" w:hAnsi="David" w:cs="David" w:hint="cs"/>
          <w:sz w:val="22"/>
          <w:szCs w:val="22"/>
          <w:rtl/>
          <w:lang w:bidi="he-IL"/>
        </w:rPr>
        <w:t>ן</w:t>
      </w:r>
      <w:r w:rsidRPr="004632FA">
        <w:rPr>
          <w:rFonts w:ascii="David" w:hAnsi="David" w:cs="David"/>
          <w:sz w:val="22"/>
          <w:szCs w:val="22"/>
          <w:rtl/>
          <w:lang w:bidi="he-IL"/>
        </w:rPr>
        <w:t xml:space="preserve"> של הנשיאה א' חיות. </w:t>
      </w:r>
    </w:p>
  </w:footnote>
  <w:footnote w:id="13">
    <w:p w:rsidR="006E285E" w:rsidRPr="004632FA" w:rsidRDefault="006E285E" w:rsidP="006E285E">
      <w:pPr>
        <w:pStyle w:val="FootnoteText"/>
        <w:bidi/>
        <w:spacing w:after="120"/>
        <w:rPr>
          <w:rFonts w:ascii="David" w:hAnsi="David" w:cs="David"/>
          <w:sz w:val="22"/>
          <w:szCs w:val="22"/>
          <w:rtl/>
          <w:lang w:bidi="he-IL"/>
        </w:rPr>
      </w:pPr>
      <w:r w:rsidRPr="004632FA">
        <w:rPr>
          <w:rStyle w:val="FootnoteReference"/>
          <w:rFonts w:ascii="David" w:hAnsi="David" w:cs="David"/>
          <w:sz w:val="22"/>
          <w:szCs w:val="22"/>
        </w:rPr>
        <w:footnoteRef/>
      </w:r>
      <w:r w:rsidRPr="004632FA">
        <w:rPr>
          <w:rFonts w:ascii="David" w:hAnsi="David" w:cs="David"/>
          <w:sz w:val="22"/>
          <w:szCs w:val="22"/>
        </w:rPr>
        <w:t xml:space="preserve"> </w:t>
      </w:r>
      <w:r w:rsidRPr="004632FA">
        <w:rPr>
          <w:rFonts w:ascii="David" w:hAnsi="David" w:cs="David"/>
          <w:sz w:val="22"/>
          <w:szCs w:val="22"/>
          <w:rtl/>
          <w:lang w:bidi="he-IL"/>
        </w:rPr>
        <w:t xml:space="preserve">שם. </w:t>
      </w:r>
    </w:p>
  </w:footnote>
  <w:footnote w:id="14">
    <w:p w:rsidR="006E285E" w:rsidRPr="004632FA" w:rsidRDefault="006E285E" w:rsidP="006E285E">
      <w:pPr>
        <w:pStyle w:val="FootnoteText"/>
        <w:bidi/>
        <w:spacing w:after="120"/>
        <w:rPr>
          <w:rFonts w:ascii="David" w:hAnsi="David" w:cs="David"/>
          <w:sz w:val="22"/>
          <w:szCs w:val="22"/>
          <w:rtl/>
          <w:lang w:bidi="he-IL"/>
        </w:rPr>
      </w:pPr>
      <w:r w:rsidRPr="004632FA">
        <w:rPr>
          <w:rStyle w:val="FootnoteReference"/>
          <w:rFonts w:ascii="David" w:hAnsi="David" w:cs="David"/>
          <w:sz w:val="22"/>
          <w:szCs w:val="22"/>
        </w:rPr>
        <w:footnoteRef/>
      </w:r>
      <w:r w:rsidRPr="004632FA">
        <w:rPr>
          <w:rFonts w:ascii="David" w:hAnsi="David" w:cs="David"/>
          <w:sz w:val="22"/>
          <w:szCs w:val="22"/>
        </w:rPr>
        <w:t xml:space="preserve"> </w:t>
      </w:r>
      <w:r w:rsidRPr="004632FA">
        <w:rPr>
          <w:rFonts w:ascii="David" w:hAnsi="David" w:cs="David"/>
          <w:sz w:val="22"/>
          <w:szCs w:val="22"/>
          <w:rtl/>
          <w:lang w:bidi="he-IL"/>
        </w:rPr>
        <w:t xml:space="preserve">שם, </w:t>
      </w:r>
      <w:r w:rsidRPr="004632FA">
        <w:rPr>
          <w:rFonts w:ascii="David" w:hAnsi="David" w:cs="David" w:hint="eastAsia"/>
          <w:sz w:val="22"/>
          <w:szCs w:val="22"/>
          <w:rtl/>
          <w:lang w:bidi="he-IL"/>
        </w:rPr>
        <w:t>פסקה</w:t>
      </w:r>
      <w:r w:rsidRPr="004632FA">
        <w:rPr>
          <w:rFonts w:ascii="David" w:hAnsi="David" w:cs="David"/>
          <w:sz w:val="22"/>
          <w:szCs w:val="22"/>
          <w:rtl/>
          <w:lang w:bidi="he-IL"/>
        </w:rPr>
        <w:t xml:space="preserve"> 10 לפסק </w:t>
      </w:r>
      <w:r>
        <w:rPr>
          <w:rFonts w:ascii="David" w:hAnsi="David" w:cs="David" w:hint="cs"/>
          <w:sz w:val="22"/>
          <w:szCs w:val="22"/>
          <w:rtl/>
          <w:lang w:bidi="he-IL"/>
        </w:rPr>
        <w:t>ה</w:t>
      </w:r>
      <w:r w:rsidRPr="004632FA">
        <w:rPr>
          <w:rFonts w:ascii="David" w:hAnsi="David" w:cs="David"/>
          <w:sz w:val="22"/>
          <w:szCs w:val="22"/>
          <w:rtl/>
          <w:lang w:bidi="he-IL"/>
        </w:rPr>
        <w:t>די</w:t>
      </w:r>
      <w:r>
        <w:rPr>
          <w:rFonts w:ascii="David" w:hAnsi="David" w:cs="David" w:hint="cs"/>
          <w:sz w:val="22"/>
          <w:szCs w:val="22"/>
          <w:rtl/>
          <w:lang w:bidi="he-IL"/>
        </w:rPr>
        <w:t>ן</w:t>
      </w:r>
      <w:r w:rsidRPr="004632FA">
        <w:rPr>
          <w:rFonts w:ascii="David" w:hAnsi="David" w:cs="David"/>
          <w:sz w:val="22"/>
          <w:szCs w:val="22"/>
          <w:rtl/>
          <w:lang w:bidi="he-IL"/>
        </w:rPr>
        <w:t xml:space="preserve"> של הנשיאה א' חיות. </w:t>
      </w:r>
    </w:p>
  </w:footnote>
  <w:footnote w:id="15">
    <w:p w:rsidR="006E285E" w:rsidRPr="004632FA" w:rsidRDefault="006E285E" w:rsidP="006E285E">
      <w:pPr>
        <w:pStyle w:val="FootnoteText"/>
        <w:bidi/>
        <w:spacing w:after="120"/>
        <w:rPr>
          <w:rFonts w:ascii="David" w:hAnsi="David" w:cs="David"/>
          <w:sz w:val="22"/>
          <w:szCs w:val="22"/>
          <w:rtl/>
          <w:lang w:bidi="he-IL"/>
        </w:rPr>
      </w:pPr>
      <w:r w:rsidRPr="004632FA">
        <w:rPr>
          <w:rStyle w:val="FootnoteReference"/>
          <w:rFonts w:ascii="David" w:hAnsi="David" w:cs="David"/>
          <w:sz w:val="22"/>
          <w:szCs w:val="22"/>
        </w:rPr>
        <w:footnoteRef/>
      </w:r>
      <w:r w:rsidRPr="004632FA">
        <w:rPr>
          <w:rFonts w:ascii="David" w:hAnsi="David" w:cs="David"/>
          <w:sz w:val="22"/>
          <w:szCs w:val="22"/>
        </w:rPr>
        <w:t xml:space="preserve"> </w:t>
      </w:r>
      <w:r w:rsidRPr="004632FA">
        <w:rPr>
          <w:rFonts w:ascii="David" w:hAnsi="David" w:cs="David"/>
          <w:sz w:val="22"/>
          <w:szCs w:val="22"/>
          <w:rtl/>
          <w:lang w:bidi="he-IL"/>
        </w:rPr>
        <w:t xml:space="preserve">שם, </w:t>
      </w:r>
      <w:r w:rsidRPr="004632FA">
        <w:rPr>
          <w:rFonts w:ascii="David" w:hAnsi="David" w:cs="David" w:hint="eastAsia"/>
          <w:sz w:val="22"/>
          <w:szCs w:val="22"/>
          <w:rtl/>
          <w:lang w:bidi="he-IL"/>
        </w:rPr>
        <w:t>פסקה</w:t>
      </w:r>
      <w:r w:rsidRPr="004632FA">
        <w:rPr>
          <w:rFonts w:ascii="David" w:hAnsi="David" w:cs="David"/>
          <w:sz w:val="22"/>
          <w:szCs w:val="22"/>
          <w:rtl/>
          <w:lang w:bidi="he-IL"/>
        </w:rPr>
        <w:t xml:space="preserve"> 29 לפסק </w:t>
      </w:r>
      <w:r>
        <w:rPr>
          <w:rFonts w:ascii="David" w:hAnsi="David" w:cs="David" w:hint="cs"/>
          <w:sz w:val="22"/>
          <w:szCs w:val="22"/>
          <w:rtl/>
          <w:lang w:bidi="he-IL"/>
        </w:rPr>
        <w:t>ה</w:t>
      </w:r>
      <w:r w:rsidRPr="004632FA">
        <w:rPr>
          <w:rFonts w:ascii="David" w:hAnsi="David" w:cs="David"/>
          <w:sz w:val="22"/>
          <w:szCs w:val="22"/>
          <w:rtl/>
          <w:lang w:bidi="he-IL"/>
        </w:rPr>
        <w:t>די</w:t>
      </w:r>
      <w:r>
        <w:rPr>
          <w:rFonts w:ascii="David" w:hAnsi="David" w:cs="David" w:hint="cs"/>
          <w:sz w:val="22"/>
          <w:szCs w:val="22"/>
          <w:rtl/>
          <w:lang w:bidi="he-IL"/>
        </w:rPr>
        <w:t>ן</w:t>
      </w:r>
      <w:r w:rsidRPr="004632FA">
        <w:rPr>
          <w:rFonts w:ascii="David" w:hAnsi="David" w:cs="David"/>
          <w:sz w:val="22"/>
          <w:szCs w:val="22"/>
          <w:rtl/>
          <w:lang w:bidi="he-IL"/>
        </w:rPr>
        <w:t xml:space="preserve"> של השופט נ' סולברג. </w:t>
      </w:r>
    </w:p>
  </w:footnote>
  <w:footnote w:id="16">
    <w:p w:rsidR="006E285E" w:rsidRPr="004632FA" w:rsidRDefault="006E285E" w:rsidP="006E285E">
      <w:pPr>
        <w:pStyle w:val="FootnoteText"/>
        <w:bidi/>
        <w:spacing w:after="120"/>
        <w:rPr>
          <w:rFonts w:ascii="David" w:hAnsi="David" w:cs="David"/>
          <w:sz w:val="22"/>
          <w:szCs w:val="22"/>
          <w:rtl/>
          <w:lang w:bidi="he-IL"/>
        </w:rPr>
      </w:pPr>
      <w:r w:rsidRPr="004632FA">
        <w:rPr>
          <w:rStyle w:val="FootnoteReference"/>
          <w:rFonts w:ascii="David" w:hAnsi="David" w:cs="David"/>
          <w:sz w:val="22"/>
          <w:szCs w:val="22"/>
        </w:rPr>
        <w:footnoteRef/>
      </w:r>
      <w:r w:rsidRPr="004632FA">
        <w:rPr>
          <w:rFonts w:ascii="David" w:hAnsi="David" w:cs="David"/>
          <w:sz w:val="22"/>
          <w:szCs w:val="22"/>
        </w:rPr>
        <w:t xml:space="preserve"> </w:t>
      </w:r>
      <w:r w:rsidRPr="004632FA">
        <w:rPr>
          <w:rFonts w:ascii="David" w:hAnsi="David" w:cs="David"/>
          <w:sz w:val="22"/>
          <w:szCs w:val="22"/>
          <w:rtl/>
          <w:lang w:bidi="he-IL"/>
        </w:rPr>
        <w:t xml:space="preserve">שם, </w:t>
      </w:r>
      <w:r w:rsidRPr="004632FA">
        <w:rPr>
          <w:rFonts w:ascii="David" w:hAnsi="David" w:cs="David" w:hint="eastAsia"/>
          <w:sz w:val="22"/>
          <w:szCs w:val="22"/>
          <w:rtl/>
          <w:lang w:bidi="he-IL"/>
        </w:rPr>
        <w:t>פסקה</w:t>
      </w:r>
      <w:r w:rsidRPr="004632FA">
        <w:rPr>
          <w:rFonts w:ascii="David" w:hAnsi="David" w:cs="David"/>
          <w:sz w:val="22"/>
          <w:szCs w:val="22"/>
          <w:rtl/>
          <w:lang w:bidi="he-IL"/>
        </w:rPr>
        <w:t xml:space="preserve"> 20 לפסק </w:t>
      </w:r>
      <w:r>
        <w:rPr>
          <w:rFonts w:ascii="David" w:hAnsi="David" w:cs="David" w:hint="cs"/>
          <w:sz w:val="22"/>
          <w:szCs w:val="22"/>
          <w:rtl/>
          <w:lang w:bidi="he-IL"/>
        </w:rPr>
        <w:t>ה</w:t>
      </w:r>
      <w:r w:rsidRPr="004632FA">
        <w:rPr>
          <w:rFonts w:ascii="David" w:hAnsi="David" w:cs="David"/>
          <w:sz w:val="22"/>
          <w:szCs w:val="22"/>
          <w:rtl/>
          <w:lang w:bidi="he-IL"/>
        </w:rPr>
        <w:t>די</w:t>
      </w:r>
      <w:r>
        <w:rPr>
          <w:rFonts w:ascii="David" w:hAnsi="David" w:cs="David" w:hint="cs"/>
          <w:sz w:val="22"/>
          <w:szCs w:val="22"/>
          <w:rtl/>
          <w:lang w:bidi="he-IL"/>
        </w:rPr>
        <w:t>ן</w:t>
      </w:r>
      <w:r w:rsidRPr="004632FA">
        <w:rPr>
          <w:rFonts w:ascii="David" w:hAnsi="David" w:cs="David"/>
          <w:sz w:val="22"/>
          <w:szCs w:val="22"/>
          <w:rtl/>
          <w:lang w:bidi="he-IL"/>
        </w:rPr>
        <w:t xml:space="preserve"> של הנשיאה א' חיות. </w:t>
      </w:r>
    </w:p>
  </w:footnote>
  <w:footnote w:id="17">
    <w:p w:rsidR="006E285E" w:rsidRPr="004632FA" w:rsidRDefault="006E285E" w:rsidP="006E285E">
      <w:pPr>
        <w:pStyle w:val="FootnoteText"/>
        <w:bidi/>
        <w:spacing w:after="120"/>
        <w:rPr>
          <w:rFonts w:ascii="David" w:hAnsi="David" w:cs="David"/>
          <w:sz w:val="22"/>
          <w:szCs w:val="22"/>
          <w:rtl/>
          <w:lang w:bidi="he-IL"/>
        </w:rPr>
      </w:pPr>
      <w:r w:rsidRPr="004632FA">
        <w:rPr>
          <w:rStyle w:val="FootnoteReference"/>
          <w:rFonts w:ascii="David" w:hAnsi="David" w:cs="David"/>
          <w:sz w:val="22"/>
          <w:szCs w:val="22"/>
        </w:rPr>
        <w:footnoteRef/>
      </w:r>
      <w:r w:rsidRPr="004632FA">
        <w:rPr>
          <w:rFonts w:ascii="David" w:hAnsi="David" w:cs="David"/>
          <w:sz w:val="22"/>
          <w:szCs w:val="22"/>
        </w:rPr>
        <w:t xml:space="preserve"> </w:t>
      </w:r>
      <w:r w:rsidRPr="004632FA">
        <w:rPr>
          <w:rFonts w:ascii="David" w:hAnsi="David" w:cs="David"/>
          <w:sz w:val="22"/>
          <w:szCs w:val="22"/>
          <w:rtl/>
          <w:lang w:bidi="he-IL"/>
        </w:rPr>
        <w:t xml:space="preserve">שם, </w:t>
      </w:r>
      <w:r w:rsidRPr="004632FA">
        <w:rPr>
          <w:rFonts w:ascii="David" w:hAnsi="David" w:cs="David" w:hint="eastAsia"/>
          <w:sz w:val="22"/>
          <w:szCs w:val="22"/>
          <w:rtl/>
          <w:lang w:bidi="he-IL"/>
        </w:rPr>
        <w:t>פסקה</w:t>
      </w:r>
      <w:r w:rsidRPr="004632FA">
        <w:rPr>
          <w:rFonts w:ascii="David" w:hAnsi="David" w:cs="David"/>
          <w:sz w:val="22"/>
          <w:szCs w:val="22"/>
          <w:rtl/>
          <w:lang w:bidi="he-IL"/>
        </w:rPr>
        <w:t xml:space="preserve"> 29 </w:t>
      </w:r>
      <w:r>
        <w:rPr>
          <w:rFonts w:ascii="David" w:hAnsi="David" w:cs="David" w:hint="cs"/>
          <w:sz w:val="22"/>
          <w:szCs w:val="22"/>
          <w:rtl/>
          <w:lang w:bidi="he-IL"/>
        </w:rPr>
        <w:t xml:space="preserve">לפסק הדין </w:t>
      </w:r>
      <w:r w:rsidRPr="004632FA">
        <w:rPr>
          <w:rFonts w:ascii="David" w:hAnsi="David" w:cs="David" w:hint="eastAsia"/>
          <w:sz w:val="22"/>
          <w:szCs w:val="22"/>
          <w:rtl/>
          <w:lang w:bidi="he-IL"/>
        </w:rPr>
        <w:t>של</w:t>
      </w:r>
      <w:r w:rsidRPr="004632FA">
        <w:rPr>
          <w:rFonts w:ascii="David" w:hAnsi="David" w:cs="David"/>
          <w:sz w:val="22"/>
          <w:szCs w:val="22"/>
          <w:rtl/>
          <w:lang w:bidi="he-IL"/>
        </w:rPr>
        <w:t xml:space="preserve"> </w:t>
      </w:r>
      <w:r w:rsidRPr="004632FA">
        <w:rPr>
          <w:rFonts w:ascii="David" w:hAnsi="David" w:cs="David" w:hint="eastAsia"/>
          <w:sz w:val="22"/>
          <w:szCs w:val="22"/>
          <w:rtl/>
          <w:lang w:bidi="he-IL"/>
        </w:rPr>
        <w:t>השופט</w:t>
      </w:r>
      <w:r w:rsidRPr="004632FA">
        <w:rPr>
          <w:rFonts w:ascii="David" w:hAnsi="David" w:cs="David"/>
          <w:sz w:val="22"/>
          <w:szCs w:val="22"/>
          <w:rtl/>
          <w:lang w:bidi="he-IL"/>
        </w:rPr>
        <w:t xml:space="preserve"> </w:t>
      </w:r>
      <w:r w:rsidRPr="004632FA">
        <w:rPr>
          <w:rFonts w:ascii="David" w:hAnsi="David" w:cs="David" w:hint="eastAsia"/>
          <w:sz w:val="22"/>
          <w:szCs w:val="22"/>
          <w:rtl/>
          <w:lang w:bidi="he-IL"/>
        </w:rPr>
        <w:t>נ</w:t>
      </w:r>
      <w:r w:rsidRPr="004632FA">
        <w:rPr>
          <w:rFonts w:ascii="David" w:hAnsi="David" w:cs="David"/>
          <w:sz w:val="22"/>
          <w:szCs w:val="22"/>
          <w:rtl/>
          <w:lang w:bidi="he-IL"/>
        </w:rPr>
        <w:t xml:space="preserve">' </w:t>
      </w:r>
      <w:r w:rsidRPr="004632FA">
        <w:rPr>
          <w:rFonts w:ascii="David" w:hAnsi="David" w:cs="David" w:hint="eastAsia"/>
          <w:sz w:val="22"/>
          <w:szCs w:val="22"/>
          <w:rtl/>
          <w:lang w:bidi="he-IL"/>
        </w:rPr>
        <w:t>סולברג</w:t>
      </w:r>
      <w:r w:rsidRPr="004632FA">
        <w:rPr>
          <w:rFonts w:ascii="David" w:hAnsi="David" w:cs="David"/>
          <w:sz w:val="22"/>
          <w:szCs w:val="22"/>
          <w:rtl/>
          <w:lang w:bidi="he-IL"/>
        </w:rPr>
        <w:t>.</w:t>
      </w:r>
    </w:p>
  </w:footnote>
  <w:footnote w:id="18">
    <w:p w:rsidR="006E285E" w:rsidRPr="004632FA" w:rsidRDefault="006E285E" w:rsidP="006E285E">
      <w:pPr>
        <w:pStyle w:val="FootnoteText"/>
        <w:bidi/>
        <w:spacing w:after="120"/>
        <w:rPr>
          <w:rFonts w:ascii="David" w:hAnsi="David" w:cs="David"/>
          <w:sz w:val="22"/>
          <w:szCs w:val="22"/>
          <w:rtl/>
          <w:lang w:bidi="he-IL"/>
        </w:rPr>
      </w:pPr>
      <w:r w:rsidRPr="004632FA">
        <w:rPr>
          <w:rStyle w:val="FootnoteReference"/>
          <w:rFonts w:ascii="David" w:hAnsi="David" w:cs="David"/>
          <w:sz w:val="22"/>
          <w:szCs w:val="22"/>
        </w:rPr>
        <w:footnoteRef/>
      </w:r>
      <w:r w:rsidRPr="004632FA">
        <w:rPr>
          <w:rFonts w:ascii="David" w:hAnsi="David" w:cs="David"/>
          <w:sz w:val="22"/>
          <w:szCs w:val="22"/>
          <w:rtl/>
          <w:lang w:bidi="he-IL"/>
        </w:rPr>
        <w:t xml:space="preserve"> שם, </w:t>
      </w:r>
      <w:r w:rsidRPr="004632FA">
        <w:rPr>
          <w:rFonts w:ascii="David" w:hAnsi="David" w:cs="David" w:hint="eastAsia"/>
          <w:sz w:val="22"/>
          <w:szCs w:val="22"/>
          <w:rtl/>
          <w:lang w:bidi="he-IL"/>
        </w:rPr>
        <w:t>פסקה</w:t>
      </w:r>
      <w:r w:rsidRPr="004632FA">
        <w:rPr>
          <w:rFonts w:ascii="David" w:hAnsi="David" w:cs="David"/>
          <w:sz w:val="22"/>
          <w:szCs w:val="22"/>
          <w:rtl/>
          <w:lang w:bidi="he-IL"/>
        </w:rPr>
        <w:t xml:space="preserve"> 28 </w:t>
      </w:r>
      <w:r>
        <w:rPr>
          <w:rFonts w:ascii="David" w:hAnsi="David" w:cs="David" w:hint="cs"/>
          <w:sz w:val="22"/>
          <w:szCs w:val="22"/>
          <w:rtl/>
          <w:lang w:bidi="he-IL"/>
        </w:rPr>
        <w:t xml:space="preserve">לפסק הדין </w:t>
      </w:r>
      <w:r w:rsidRPr="004632FA">
        <w:rPr>
          <w:rFonts w:ascii="David" w:hAnsi="David" w:cs="David" w:hint="eastAsia"/>
          <w:sz w:val="22"/>
          <w:szCs w:val="22"/>
          <w:rtl/>
          <w:lang w:bidi="he-IL"/>
        </w:rPr>
        <w:t>של</w:t>
      </w:r>
      <w:r w:rsidRPr="004632FA">
        <w:rPr>
          <w:rFonts w:ascii="David" w:hAnsi="David" w:cs="David"/>
          <w:sz w:val="22"/>
          <w:szCs w:val="22"/>
          <w:rtl/>
          <w:lang w:bidi="he-IL"/>
        </w:rPr>
        <w:t xml:space="preserve"> </w:t>
      </w:r>
      <w:r w:rsidRPr="004632FA">
        <w:rPr>
          <w:rFonts w:ascii="David" w:hAnsi="David" w:cs="David" w:hint="eastAsia"/>
          <w:sz w:val="22"/>
          <w:szCs w:val="22"/>
          <w:rtl/>
          <w:lang w:bidi="he-IL"/>
        </w:rPr>
        <w:t>השופטת</w:t>
      </w:r>
      <w:r w:rsidRPr="004632FA">
        <w:rPr>
          <w:rFonts w:ascii="David" w:hAnsi="David" w:cs="David"/>
          <w:sz w:val="22"/>
          <w:szCs w:val="22"/>
          <w:rtl/>
          <w:lang w:bidi="he-IL"/>
        </w:rPr>
        <w:t xml:space="preserve"> </w:t>
      </w:r>
      <w:r w:rsidRPr="004632FA">
        <w:rPr>
          <w:rFonts w:ascii="David" w:hAnsi="David" w:cs="David" w:hint="eastAsia"/>
          <w:sz w:val="22"/>
          <w:szCs w:val="22"/>
          <w:rtl/>
          <w:lang w:bidi="he-IL"/>
        </w:rPr>
        <w:t>ד</w:t>
      </w:r>
      <w:r w:rsidRPr="004632FA">
        <w:rPr>
          <w:rFonts w:ascii="David" w:hAnsi="David" w:cs="David"/>
          <w:sz w:val="22"/>
          <w:szCs w:val="22"/>
          <w:rtl/>
          <w:lang w:bidi="he-IL"/>
        </w:rPr>
        <w:t xml:space="preserve">' </w:t>
      </w:r>
      <w:r w:rsidRPr="004632FA">
        <w:rPr>
          <w:rFonts w:ascii="David" w:hAnsi="David" w:cs="David" w:hint="eastAsia"/>
          <w:sz w:val="22"/>
          <w:szCs w:val="22"/>
          <w:rtl/>
          <w:lang w:bidi="he-IL"/>
        </w:rPr>
        <w:t>ברק</w:t>
      </w:r>
      <w:r w:rsidRPr="004632FA">
        <w:rPr>
          <w:rFonts w:ascii="David" w:hAnsi="David" w:cs="David"/>
          <w:sz w:val="22"/>
          <w:szCs w:val="22"/>
          <w:rtl/>
          <w:lang w:bidi="he-IL"/>
        </w:rPr>
        <w:t>-ארז.</w:t>
      </w:r>
    </w:p>
  </w:footnote>
  <w:footnote w:id="19">
    <w:p w:rsidR="006E285E" w:rsidRPr="004632FA" w:rsidRDefault="006E285E" w:rsidP="006E285E">
      <w:pPr>
        <w:bidi/>
        <w:spacing w:after="120" w:line="240" w:lineRule="auto"/>
        <w:rPr>
          <w:rFonts w:ascii="David" w:hAnsi="David" w:cs="David"/>
          <w:rtl/>
          <w:lang w:bidi="he-IL"/>
        </w:rPr>
      </w:pPr>
      <w:r w:rsidRPr="004632FA">
        <w:rPr>
          <w:rStyle w:val="FootnoteReference"/>
          <w:rFonts w:ascii="David" w:hAnsi="David" w:cs="David"/>
        </w:rPr>
        <w:footnoteRef/>
      </w:r>
      <w:r w:rsidRPr="004632FA">
        <w:rPr>
          <w:rFonts w:ascii="David" w:hAnsi="David" w:cs="David"/>
          <w:rtl/>
          <w:lang w:bidi="he-IL"/>
        </w:rPr>
        <w:t xml:space="preserve"> שם, </w:t>
      </w:r>
      <w:r w:rsidRPr="004632FA">
        <w:rPr>
          <w:rFonts w:ascii="David" w:hAnsi="David" w:cs="David" w:hint="eastAsia"/>
          <w:rtl/>
          <w:lang w:bidi="he-IL"/>
        </w:rPr>
        <w:t>לעיל</w:t>
      </w:r>
      <w:r w:rsidRPr="004632FA">
        <w:rPr>
          <w:rFonts w:ascii="David" w:hAnsi="David" w:cs="David"/>
          <w:rtl/>
          <w:lang w:bidi="he-IL"/>
        </w:rPr>
        <w:t xml:space="preserve"> </w:t>
      </w:r>
      <w:r w:rsidRPr="004632FA">
        <w:rPr>
          <w:rFonts w:ascii="David" w:hAnsi="David" w:cs="David" w:hint="eastAsia"/>
          <w:rtl/>
          <w:lang w:bidi="he-IL"/>
        </w:rPr>
        <w:t>ה</w:t>
      </w:r>
      <w:r w:rsidRPr="004632FA">
        <w:rPr>
          <w:rFonts w:ascii="David" w:hAnsi="David" w:cs="David"/>
          <w:rtl/>
          <w:lang w:bidi="he-IL"/>
        </w:rPr>
        <w:t>"ש 96.</w:t>
      </w:r>
    </w:p>
  </w:footnote>
  <w:footnote w:id="20">
    <w:p w:rsidR="006E285E" w:rsidRPr="004632FA" w:rsidRDefault="006E285E" w:rsidP="006E285E">
      <w:pPr>
        <w:pStyle w:val="FootnoteText"/>
        <w:bidi/>
        <w:spacing w:after="120"/>
        <w:rPr>
          <w:rFonts w:ascii="David" w:hAnsi="David" w:cs="David"/>
          <w:sz w:val="22"/>
          <w:szCs w:val="22"/>
          <w:rtl/>
          <w:lang w:bidi="he-IL"/>
        </w:rPr>
      </w:pPr>
      <w:r w:rsidRPr="004632FA">
        <w:rPr>
          <w:rStyle w:val="FootnoteReference"/>
          <w:rFonts w:ascii="David" w:hAnsi="David" w:cs="David"/>
          <w:sz w:val="22"/>
          <w:szCs w:val="22"/>
        </w:rPr>
        <w:footnoteRef/>
      </w:r>
      <w:r w:rsidRPr="004632FA">
        <w:rPr>
          <w:rFonts w:ascii="David" w:hAnsi="David" w:cs="David"/>
          <w:sz w:val="22"/>
          <w:szCs w:val="22"/>
          <w:rtl/>
          <w:lang w:bidi="he-IL"/>
        </w:rPr>
        <w:t xml:space="preserve"> שם, </w:t>
      </w:r>
      <w:r w:rsidRPr="004632FA">
        <w:rPr>
          <w:rFonts w:ascii="David" w:hAnsi="David" w:cs="David" w:hint="eastAsia"/>
          <w:sz w:val="22"/>
          <w:szCs w:val="22"/>
          <w:rtl/>
          <w:lang w:bidi="he-IL"/>
        </w:rPr>
        <w:t>פסקה</w:t>
      </w:r>
      <w:r w:rsidRPr="004632FA">
        <w:rPr>
          <w:rFonts w:ascii="David" w:hAnsi="David" w:cs="David"/>
          <w:sz w:val="22"/>
          <w:szCs w:val="22"/>
          <w:rtl/>
          <w:lang w:bidi="he-IL"/>
        </w:rPr>
        <w:t xml:space="preserve"> 53 לפסק </w:t>
      </w:r>
      <w:r>
        <w:rPr>
          <w:rFonts w:ascii="David" w:hAnsi="David" w:cs="David" w:hint="cs"/>
          <w:sz w:val="22"/>
          <w:szCs w:val="22"/>
          <w:rtl/>
          <w:lang w:bidi="he-IL"/>
        </w:rPr>
        <w:t>ה</w:t>
      </w:r>
      <w:r w:rsidRPr="004632FA">
        <w:rPr>
          <w:rFonts w:ascii="David" w:hAnsi="David" w:cs="David"/>
          <w:sz w:val="22"/>
          <w:szCs w:val="22"/>
          <w:rtl/>
          <w:lang w:bidi="he-IL"/>
        </w:rPr>
        <w:t>די</w:t>
      </w:r>
      <w:r>
        <w:rPr>
          <w:rFonts w:ascii="David" w:hAnsi="David" w:cs="David" w:hint="cs"/>
          <w:sz w:val="22"/>
          <w:szCs w:val="22"/>
          <w:rtl/>
          <w:lang w:bidi="he-IL"/>
        </w:rPr>
        <w:t>ן</w:t>
      </w:r>
      <w:r w:rsidRPr="004632FA">
        <w:rPr>
          <w:rFonts w:ascii="David" w:hAnsi="David" w:cs="David"/>
          <w:sz w:val="22"/>
          <w:szCs w:val="22"/>
          <w:rtl/>
          <w:lang w:bidi="he-IL"/>
        </w:rPr>
        <w:t xml:space="preserve"> של הנשיאה א' חיות.  </w:t>
      </w:r>
      <w:r w:rsidRPr="004632FA">
        <w:rPr>
          <w:rFonts w:ascii="David" w:hAnsi="David" w:cs="David"/>
          <w:sz w:val="22"/>
          <w:szCs w:val="22"/>
        </w:rPr>
        <w:t xml:space="preserve"> </w:t>
      </w:r>
    </w:p>
  </w:footnote>
  <w:footnote w:id="21">
    <w:p w:rsidR="006E285E" w:rsidRPr="004632FA" w:rsidRDefault="006E285E" w:rsidP="006E285E">
      <w:pPr>
        <w:pStyle w:val="FootnoteText"/>
        <w:bidi/>
        <w:spacing w:after="120"/>
        <w:rPr>
          <w:rFonts w:ascii="David" w:hAnsi="David" w:cs="David"/>
          <w:sz w:val="22"/>
          <w:szCs w:val="22"/>
          <w:rtl/>
          <w:lang w:bidi="he-IL"/>
        </w:rPr>
      </w:pPr>
      <w:r w:rsidRPr="004632FA">
        <w:rPr>
          <w:rStyle w:val="FootnoteReference"/>
          <w:rFonts w:ascii="David" w:hAnsi="David" w:cs="David"/>
          <w:sz w:val="22"/>
          <w:szCs w:val="22"/>
        </w:rPr>
        <w:footnoteRef/>
      </w:r>
      <w:r w:rsidRPr="004632FA">
        <w:rPr>
          <w:rFonts w:ascii="David" w:hAnsi="David" w:cs="David"/>
          <w:sz w:val="22"/>
          <w:szCs w:val="22"/>
          <w:rtl/>
          <w:lang w:bidi="he-IL"/>
        </w:rPr>
        <w:t xml:space="preserve"> שם. </w:t>
      </w:r>
    </w:p>
  </w:footnote>
  <w:footnote w:id="22">
    <w:p w:rsidR="006E285E" w:rsidRPr="004632FA" w:rsidRDefault="006E285E" w:rsidP="006E285E">
      <w:pPr>
        <w:pStyle w:val="FootnoteText"/>
        <w:bidi/>
        <w:spacing w:after="120"/>
        <w:rPr>
          <w:rFonts w:ascii="David" w:hAnsi="David" w:cs="David"/>
          <w:sz w:val="22"/>
          <w:szCs w:val="22"/>
          <w:rtl/>
          <w:lang w:bidi="he-IL"/>
        </w:rPr>
      </w:pPr>
      <w:r w:rsidRPr="004632FA">
        <w:rPr>
          <w:rStyle w:val="FootnoteReference"/>
          <w:rFonts w:ascii="David" w:hAnsi="David" w:cs="David"/>
          <w:sz w:val="22"/>
          <w:szCs w:val="22"/>
        </w:rPr>
        <w:footnoteRef/>
      </w:r>
      <w:r w:rsidRPr="004632FA">
        <w:rPr>
          <w:rFonts w:ascii="David" w:hAnsi="David" w:cs="David"/>
          <w:sz w:val="22"/>
          <w:szCs w:val="22"/>
          <w:rtl/>
          <w:lang w:bidi="he-IL"/>
        </w:rPr>
        <w:t xml:space="preserve"> שם, </w:t>
      </w:r>
      <w:r w:rsidRPr="004632FA">
        <w:rPr>
          <w:rFonts w:ascii="David" w:hAnsi="David" w:cs="David" w:hint="eastAsia"/>
          <w:sz w:val="22"/>
          <w:szCs w:val="22"/>
          <w:rtl/>
          <w:lang w:bidi="he-IL"/>
        </w:rPr>
        <w:t>פסקה</w:t>
      </w:r>
      <w:r w:rsidRPr="004632FA">
        <w:rPr>
          <w:rFonts w:ascii="David" w:hAnsi="David" w:cs="David"/>
          <w:sz w:val="22"/>
          <w:szCs w:val="22"/>
          <w:rtl/>
          <w:lang w:bidi="he-IL"/>
        </w:rPr>
        <w:t xml:space="preserve"> 54 </w:t>
      </w:r>
      <w:r w:rsidRPr="004632FA">
        <w:rPr>
          <w:rFonts w:ascii="David" w:hAnsi="David" w:cs="David" w:hint="eastAsia"/>
          <w:sz w:val="22"/>
          <w:szCs w:val="22"/>
          <w:rtl/>
          <w:lang w:bidi="he-IL"/>
        </w:rPr>
        <w:t>לפסק</w:t>
      </w:r>
      <w:r w:rsidRPr="004632FA">
        <w:rPr>
          <w:rFonts w:ascii="David" w:hAnsi="David" w:cs="David"/>
          <w:sz w:val="22"/>
          <w:szCs w:val="22"/>
          <w:rtl/>
          <w:lang w:bidi="he-IL"/>
        </w:rPr>
        <w:t xml:space="preserve"> </w:t>
      </w:r>
      <w:r>
        <w:rPr>
          <w:rFonts w:ascii="David" w:hAnsi="David" w:cs="David" w:hint="cs"/>
          <w:sz w:val="22"/>
          <w:szCs w:val="22"/>
          <w:rtl/>
          <w:lang w:bidi="he-IL"/>
        </w:rPr>
        <w:t>ה</w:t>
      </w:r>
      <w:r w:rsidRPr="004632FA">
        <w:rPr>
          <w:rFonts w:ascii="David" w:hAnsi="David" w:cs="David" w:hint="eastAsia"/>
          <w:sz w:val="22"/>
          <w:szCs w:val="22"/>
          <w:rtl/>
          <w:lang w:bidi="he-IL"/>
        </w:rPr>
        <w:t>די</w:t>
      </w:r>
      <w:r>
        <w:rPr>
          <w:rFonts w:ascii="David" w:hAnsi="David" w:cs="David" w:hint="cs"/>
          <w:sz w:val="22"/>
          <w:szCs w:val="22"/>
          <w:rtl/>
          <w:lang w:bidi="he-IL"/>
        </w:rPr>
        <w:t>ן</w:t>
      </w:r>
      <w:r w:rsidRPr="004632FA">
        <w:rPr>
          <w:rFonts w:ascii="David" w:hAnsi="David" w:cs="David"/>
          <w:sz w:val="22"/>
          <w:szCs w:val="22"/>
          <w:rtl/>
          <w:lang w:bidi="he-IL"/>
        </w:rPr>
        <w:t xml:space="preserve"> </w:t>
      </w:r>
      <w:r w:rsidRPr="004632FA">
        <w:rPr>
          <w:rFonts w:ascii="David" w:hAnsi="David" w:cs="David" w:hint="eastAsia"/>
          <w:sz w:val="22"/>
          <w:szCs w:val="22"/>
          <w:rtl/>
          <w:lang w:bidi="he-IL"/>
        </w:rPr>
        <w:t>של</w:t>
      </w:r>
      <w:r w:rsidRPr="004632FA">
        <w:rPr>
          <w:rFonts w:ascii="David" w:hAnsi="David" w:cs="David"/>
          <w:sz w:val="22"/>
          <w:szCs w:val="22"/>
          <w:rtl/>
          <w:lang w:bidi="he-IL"/>
        </w:rPr>
        <w:t xml:space="preserve"> </w:t>
      </w:r>
      <w:r w:rsidRPr="004632FA">
        <w:rPr>
          <w:rFonts w:ascii="David" w:hAnsi="David" w:cs="David" w:hint="eastAsia"/>
          <w:sz w:val="22"/>
          <w:szCs w:val="22"/>
          <w:rtl/>
          <w:lang w:bidi="he-IL"/>
        </w:rPr>
        <w:t>הנשיאה</w:t>
      </w:r>
      <w:r w:rsidRPr="004632FA">
        <w:rPr>
          <w:rFonts w:ascii="David" w:hAnsi="David" w:cs="David"/>
          <w:sz w:val="22"/>
          <w:szCs w:val="22"/>
          <w:rtl/>
          <w:lang w:bidi="he-IL"/>
        </w:rPr>
        <w:t xml:space="preserve"> </w:t>
      </w:r>
      <w:r w:rsidRPr="004632FA">
        <w:rPr>
          <w:rFonts w:ascii="David" w:hAnsi="David" w:cs="David" w:hint="eastAsia"/>
          <w:sz w:val="22"/>
          <w:szCs w:val="22"/>
          <w:rtl/>
          <w:lang w:bidi="he-IL"/>
        </w:rPr>
        <w:t>א</w:t>
      </w:r>
      <w:r w:rsidRPr="004632FA">
        <w:rPr>
          <w:rFonts w:ascii="David" w:hAnsi="David" w:cs="David"/>
          <w:sz w:val="22"/>
          <w:szCs w:val="22"/>
          <w:rtl/>
          <w:lang w:bidi="he-IL"/>
        </w:rPr>
        <w:t xml:space="preserve">' </w:t>
      </w:r>
      <w:r w:rsidRPr="004632FA">
        <w:rPr>
          <w:rFonts w:ascii="David" w:hAnsi="David" w:cs="David" w:hint="eastAsia"/>
          <w:sz w:val="22"/>
          <w:szCs w:val="22"/>
          <w:rtl/>
          <w:lang w:bidi="he-IL"/>
        </w:rPr>
        <w:t>חיות</w:t>
      </w:r>
      <w:r w:rsidRPr="004632FA">
        <w:rPr>
          <w:rFonts w:ascii="David" w:hAnsi="David" w:cs="David"/>
          <w:sz w:val="22"/>
          <w:szCs w:val="22"/>
          <w:rtl/>
          <w:lang w:bidi="he-IL"/>
        </w:rPr>
        <w:t xml:space="preserve">. </w:t>
      </w:r>
    </w:p>
  </w:footnote>
  <w:footnote w:id="23">
    <w:p w:rsidR="006E285E" w:rsidRPr="004632FA" w:rsidRDefault="006E285E" w:rsidP="006E285E">
      <w:pPr>
        <w:pStyle w:val="FootnoteText"/>
        <w:bidi/>
        <w:spacing w:after="120"/>
        <w:rPr>
          <w:rFonts w:ascii="David" w:hAnsi="David" w:cs="David"/>
          <w:sz w:val="22"/>
          <w:szCs w:val="22"/>
          <w:rtl/>
          <w:lang w:bidi="he-IL"/>
        </w:rPr>
      </w:pPr>
      <w:r w:rsidRPr="004632FA">
        <w:rPr>
          <w:rStyle w:val="FootnoteReference"/>
          <w:rFonts w:ascii="David" w:hAnsi="David" w:cs="David"/>
          <w:sz w:val="22"/>
          <w:szCs w:val="22"/>
        </w:rPr>
        <w:footnoteRef/>
      </w:r>
      <w:r w:rsidRPr="004632FA">
        <w:rPr>
          <w:rFonts w:ascii="David" w:hAnsi="David" w:cs="David"/>
          <w:sz w:val="22"/>
          <w:szCs w:val="22"/>
          <w:rtl/>
          <w:lang w:bidi="he-IL"/>
        </w:rPr>
        <w:t xml:space="preserve"> </w:t>
      </w:r>
      <w:r w:rsidRPr="004632FA">
        <w:rPr>
          <w:rFonts w:ascii="David" w:hAnsi="David" w:cs="David"/>
          <w:sz w:val="22"/>
          <w:szCs w:val="22"/>
          <w:rtl/>
          <w:lang w:bidi="he-IL"/>
        </w:rPr>
        <w:t xml:space="preserve">פרשת </w:t>
      </w:r>
      <w:proofErr w:type="spellStart"/>
      <w:r w:rsidRPr="004632FA">
        <w:rPr>
          <w:rFonts w:ascii="David" w:hAnsi="David" w:cs="David"/>
          <w:sz w:val="22"/>
          <w:szCs w:val="22"/>
          <w:rtl/>
          <w:lang w:bidi="he-IL"/>
        </w:rPr>
        <w:t>קעדאן</w:t>
      </w:r>
      <w:proofErr w:type="spellEnd"/>
      <w:r w:rsidRPr="004632FA">
        <w:rPr>
          <w:rFonts w:ascii="David" w:hAnsi="David" w:cs="David"/>
          <w:sz w:val="22"/>
          <w:szCs w:val="22"/>
          <w:rtl/>
          <w:lang w:bidi="he-IL"/>
        </w:rPr>
        <w:t xml:space="preserve">, לעיל </w:t>
      </w:r>
      <w:proofErr w:type="spellStart"/>
      <w:r w:rsidRPr="004632FA">
        <w:rPr>
          <w:rFonts w:ascii="David" w:hAnsi="David" w:cs="David"/>
          <w:sz w:val="22"/>
          <w:szCs w:val="22"/>
          <w:rtl/>
          <w:lang w:bidi="he-IL"/>
        </w:rPr>
        <w:t>בה"ש</w:t>
      </w:r>
      <w:proofErr w:type="spellEnd"/>
      <w:r w:rsidRPr="004632FA">
        <w:rPr>
          <w:rFonts w:ascii="David" w:hAnsi="David" w:cs="David"/>
          <w:sz w:val="22"/>
          <w:szCs w:val="22"/>
          <w:rtl/>
          <w:lang w:bidi="he-IL"/>
        </w:rPr>
        <w:t xml:space="preserve"> </w:t>
      </w:r>
      <w:r w:rsidRPr="004632FA">
        <w:rPr>
          <w:rFonts w:ascii="David" w:hAnsi="David" w:cs="David"/>
          <w:sz w:val="22"/>
          <w:szCs w:val="22"/>
          <w:rtl/>
          <w:lang w:bidi="he-IL"/>
        </w:rPr>
        <w:fldChar w:fldCharType="begin"/>
      </w:r>
      <w:r w:rsidRPr="004632FA">
        <w:rPr>
          <w:rFonts w:ascii="David" w:hAnsi="David" w:cs="David"/>
          <w:sz w:val="22"/>
          <w:szCs w:val="22"/>
          <w:rtl/>
          <w:lang w:bidi="he-IL"/>
        </w:rPr>
        <w:instrText xml:space="preserve"> </w:instrText>
      </w:r>
      <w:r w:rsidRPr="004632FA">
        <w:rPr>
          <w:rFonts w:ascii="David" w:hAnsi="David" w:cs="David"/>
          <w:sz w:val="22"/>
          <w:szCs w:val="22"/>
          <w:lang w:bidi="he-IL"/>
        </w:rPr>
        <w:instrText>NOTEREF</w:instrText>
      </w:r>
      <w:r w:rsidRPr="004632FA">
        <w:rPr>
          <w:rFonts w:ascii="David" w:hAnsi="David" w:cs="David"/>
          <w:sz w:val="22"/>
          <w:szCs w:val="22"/>
          <w:rtl/>
          <w:lang w:bidi="he-IL"/>
        </w:rPr>
        <w:instrText xml:space="preserve"> _</w:instrText>
      </w:r>
      <w:r w:rsidRPr="004632FA">
        <w:rPr>
          <w:rFonts w:ascii="David" w:hAnsi="David" w:cs="David"/>
          <w:sz w:val="22"/>
          <w:szCs w:val="22"/>
          <w:lang w:bidi="he-IL"/>
        </w:rPr>
        <w:instrText>Ref89136052 \h</w:instrText>
      </w:r>
      <w:r w:rsidRPr="004632FA">
        <w:rPr>
          <w:rFonts w:ascii="David" w:hAnsi="David" w:cs="David"/>
          <w:sz w:val="22"/>
          <w:szCs w:val="22"/>
          <w:rtl/>
          <w:lang w:bidi="he-IL"/>
        </w:rPr>
        <w:instrText xml:space="preserve">  \* </w:instrText>
      </w:r>
      <w:r w:rsidRPr="004632FA">
        <w:rPr>
          <w:rFonts w:ascii="David" w:hAnsi="David" w:cs="David"/>
          <w:sz w:val="22"/>
          <w:szCs w:val="22"/>
          <w:lang w:bidi="he-IL"/>
        </w:rPr>
        <w:instrText>MERGEFORMAT</w:instrText>
      </w:r>
      <w:r w:rsidRPr="004632FA">
        <w:rPr>
          <w:rFonts w:ascii="David" w:hAnsi="David" w:cs="David"/>
          <w:sz w:val="22"/>
          <w:szCs w:val="22"/>
          <w:rtl/>
          <w:lang w:bidi="he-IL"/>
        </w:rPr>
        <w:instrText xml:space="preserve"> </w:instrText>
      </w:r>
      <w:r w:rsidRPr="004632FA">
        <w:rPr>
          <w:rFonts w:ascii="David" w:hAnsi="David" w:cs="David"/>
          <w:sz w:val="22"/>
          <w:szCs w:val="22"/>
          <w:rtl/>
          <w:lang w:bidi="he-IL"/>
        </w:rPr>
      </w:r>
      <w:r w:rsidRPr="004632FA">
        <w:rPr>
          <w:rFonts w:ascii="David" w:hAnsi="David" w:cs="David"/>
          <w:sz w:val="22"/>
          <w:szCs w:val="22"/>
          <w:rtl/>
          <w:lang w:bidi="he-IL"/>
        </w:rPr>
        <w:fldChar w:fldCharType="separate"/>
      </w:r>
      <w:r w:rsidRPr="004632FA">
        <w:rPr>
          <w:rFonts w:ascii="David" w:hAnsi="David" w:cs="David"/>
          <w:sz w:val="22"/>
          <w:szCs w:val="22"/>
          <w:rtl/>
          <w:lang w:bidi="he-IL"/>
        </w:rPr>
        <w:t>57</w:t>
      </w:r>
      <w:r w:rsidRPr="004632FA">
        <w:rPr>
          <w:rFonts w:ascii="David" w:hAnsi="David" w:cs="David"/>
          <w:sz w:val="22"/>
          <w:szCs w:val="22"/>
          <w:rtl/>
          <w:lang w:bidi="he-IL"/>
        </w:rPr>
        <w:fldChar w:fldCharType="end"/>
      </w:r>
      <w:r w:rsidRPr="004632FA">
        <w:rPr>
          <w:rFonts w:ascii="David" w:hAnsi="David" w:cs="David"/>
          <w:sz w:val="22"/>
          <w:szCs w:val="22"/>
          <w:rtl/>
          <w:lang w:bidi="he-IL"/>
        </w:rPr>
        <w:t>.</w:t>
      </w:r>
    </w:p>
  </w:footnote>
  <w:footnote w:id="24">
    <w:p w:rsidR="006E285E" w:rsidRPr="004632FA" w:rsidRDefault="006E285E" w:rsidP="006E285E">
      <w:pPr>
        <w:pStyle w:val="FootnoteText"/>
        <w:bidi/>
        <w:spacing w:after="120"/>
        <w:rPr>
          <w:rFonts w:ascii="David" w:hAnsi="David" w:cs="David"/>
          <w:sz w:val="22"/>
          <w:szCs w:val="22"/>
          <w:rtl/>
          <w:lang w:bidi="he-IL"/>
        </w:rPr>
      </w:pPr>
      <w:r w:rsidRPr="004632FA">
        <w:rPr>
          <w:rStyle w:val="FootnoteReference"/>
          <w:rFonts w:ascii="David" w:hAnsi="David" w:cs="David"/>
          <w:sz w:val="22"/>
          <w:szCs w:val="22"/>
        </w:rPr>
        <w:footnoteRef/>
      </w:r>
      <w:r w:rsidRPr="004632FA">
        <w:rPr>
          <w:rFonts w:ascii="David" w:hAnsi="David" w:cs="David"/>
          <w:sz w:val="22"/>
          <w:szCs w:val="22"/>
          <w:rtl/>
          <w:lang w:bidi="he-IL"/>
        </w:rPr>
        <w:t xml:space="preserve"> </w:t>
      </w:r>
      <w:r w:rsidRPr="004632FA">
        <w:rPr>
          <w:rFonts w:ascii="David" w:hAnsi="David" w:cs="David"/>
          <w:sz w:val="22"/>
          <w:szCs w:val="22"/>
          <w:rtl/>
          <w:lang w:bidi="he-IL"/>
        </w:rPr>
        <w:t xml:space="preserve">בג"ץ חוק הלאום, לעיל </w:t>
      </w:r>
      <w:proofErr w:type="spellStart"/>
      <w:r w:rsidRPr="004632FA">
        <w:rPr>
          <w:rFonts w:ascii="David" w:hAnsi="David" w:cs="David"/>
          <w:sz w:val="22"/>
          <w:szCs w:val="22"/>
          <w:rtl/>
          <w:lang w:bidi="he-IL"/>
        </w:rPr>
        <w:t>ה"ש</w:t>
      </w:r>
      <w:proofErr w:type="spellEnd"/>
      <w:r w:rsidRPr="004632FA">
        <w:rPr>
          <w:rFonts w:ascii="David" w:hAnsi="David" w:cs="David"/>
          <w:sz w:val="22"/>
          <w:szCs w:val="22"/>
          <w:rtl/>
          <w:lang w:bidi="he-IL"/>
        </w:rPr>
        <w:t xml:space="preserve"> </w:t>
      </w:r>
      <w:r w:rsidRPr="004632FA">
        <w:rPr>
          <w:rFonts w:ascii="David" w:hAnsi="David" w:cs="David"/>
          <w:sz w:val="22"/>
          <w:szCs w:val="22"/>
          <w:rtl/>
          <w:lang w:bidi="he-IL"/>
        </w:rPr>
        <w:fldChar w:fldCharType="begin"/>
      </w:r>
      <w:r w:rsidRPr="004632FA">
        <w:rPr>
          <w:rFonts w:ascii="David" w:hAnsi="David" w:cs="David"/>
          <w:sz w:val="22"/>
          <w:szCs w:val="22"/>
          <w:rtl/>
          <w:lang w:bidi="he-IL"/>
        </w:rPr>
        <w:instrText xml:space="preserve"> </w:instrText>
      </w:r>
      <w:r w:rsidRPr="004632FA">
        <w:rPr>
          <w:rFonts w:ascii="David" w:hAnsi="David" w:cs="David"/>
          <w:sz w:val="22"/>
          <w:szCs w:val="22"/>
          <w:lang w:bidi="he-IL"/>
        </w:rPr>
        <w:instrText>NOTEREF</w:instrText>
      </w:r>
      <w:r w:rsidRPr="004632FA">
        <w:rPr>
          <w:rFonts w:ascii="David" w:hAnsi="David" w:cs="David"/>
          <w:sz w:val="22"/>
          <w:szCs w:val="22"/>
          <w:rtl/>
          <w:lang w:bidi="he-IL"/>
        </w:rPr>
        <w:instrText xml:space="preserve"> _</w:instrText>
      </w:r>
      <w:r w:rsidRPr="004632FA">
        <w:rPr>
          <w:rFonts w:ascii="David" w:hAnsi="David" w:cs="David"/>
          <w:sz w:val="22"/>
          <w:szCs w:val="22"/>
          <w:lang w:bidi="he-IL"/>
        </w:rPr>
        <w:instrText>Ref89133638 \h</w:instrText>
      </w:r>
      <w:r w:rsidRPr="004632FA">
        <w:rPr>
          <w:rFonts w:ascii="David" w:hAnsi="David" w:cs="David"/>
          <w:sz w:val="22"/>
          <w:szCs w:val="22"/>
          <w:rtl/>
          <w:lang w:bidi="he-IL"/>
        </w:rPr>
        <w:instrText xml:space="preserve">  \* </w:instrText>
      </w:r>
      <w:r w:rsidRPr="004632FA">
        <w:rPr>
          <w:rFonts w:ascii="David" w:hAnsi="David" w:cs="David"/>
          <w:sz w:val="22"/>
          <w:szCs w:val="22"/>
          <w:lang w:bidi="he-IL"/>
        </w:rPr>
        <w:instrText>MERGEFORMAT</w:instrText>
      </w:r>
      <w:r w:rsidRPr="004632FA">
        <w:rPr>
          <w:rFonts w:ascii="David" w:hAnsi="David" w:cs="David"/>
          <w:sz w:val="22"/>
          <w:szCs w:val="22"/>
          <w:rtl/>
          <w:lang w:bidi="he-IL"/>
        </w:rPr>
        <w:instrText xml:space="preserve"> </w:instrText>
      </w:r>
      <w:r w:rsidRPr="004632FA">
        <w:rPr>
          <w:rFonts w:ascii="David" w:hAnsi="David" w:cs="David"/>
          <w:sz w:val="22"/>
          <w:szCs w:val="22"/>
          <w:rtl/>
          <w:lang w:bidi="he-IL"/>
        </w:rPr>
      </w:r>
      <w:r w:rsidRPr="004632FA">
        <w:rPr>
          <w:rFonts w:ascii="David" w:hAnsi="David" w:cs="David"/>
          <w:sz w:val="22"/>
          <w:szCs w:val="22"/>
          <w:rtl/>
          <w:lang w:bidi="he-IL"/>
        </w:rPr>
        <w:fldChar w:fldCharType="separate"/>
      </w:r>
      <w:r w:rsidRPr="004632FA">
        <w:rPr>
          <w:rFonts w:ascii="David" w:hAnsi="David" w:cs="David"/>
          <w:sz w:val="22"/>
          <w:szCs w:val="22"/>
          <w:rtl/>
          <w:lang w:bidi="he-IL"/>
        </w:rPr>
        <w:t>89</w:t>
      </w:r>
      <w:r w:rsidRPr="004632FA">
        <w:rPr>
          <w:rFonts w:ascii="David" w:hAnsi="David" w:cs="David"/>
          <w:sz w:val="22"/>
          <w:szCs w:val="22"/>
          <w:rtl/>
          <w:lang w:bidi="he-IL"/>
        </w:rPr>
        <w:fldChar w:fldCharType="end"/>
      </w:r>
      <w:r w:rsidRPr="004632FA">
        <w:rPr>
          <w:rFonts w:ascii="David" w:hAnsi="David" w:cs="David"/>
          <w:sz w:val="22"/>
          <w:szCs w:val="22"/>
          <w:rtl/>
          <w:lang w:bidi="he-IL"/>
        </w:rPr>
        <w:t xml:space="preserve">, </w:t>
      </w:r>
      <w:r w:rsidRPr="004632FA">
        <w:rPr>
          <w:rFonts w:ascii="David" w:hAnsi="David" w:cs="David" w:hint="eastAsia"/>
          <w:sz w:val="22"/>
          <w:szCs w:val="22"/>
          <w:rtl/>
          <w:lang w:bidi="he-IL"/>
        </w:rPr>
        <w:t>פסקה</w:t>
      </w:r>
      <w:r w:rsidRPr="004632FA">
        <w:rPr>
          <w:rFonts w:ascii="David" w:hAnsi="David" w:cs="David"/>
          <w:sz w:val="22"/>
          <w:szCs w:val="22"/>
          <w:rtl/>
          <w:lang w:bidi="he-IL"/>
        </w:rPr>
        <w:t xml:space="preserve"> 63 </w:t>
      </w:r>
      <w:r w:rsidRPr="004632FA">
        <w:rPr>
          <w:rFonts w:ascii="David" w:hAnsi="David" w:cs="David" w:hint="eastAsia"/>
          <w:sz w:val="22"/>
          <w:szCs w:val="22"/>
          <w:rtl/>
          <w:lang w:bidi="he-IL"/>
        </w:rPr>
        <w:t>לפסק</w:t>
      </w:r>
      <w:r w:rsidRPr="004632FA">
        <w:rPr>
          <w:rFonts w:ascii="David" w:hAnsi="David" w:cs="David"/>
          <w:sz w:val="22"/>
          <w:szCs w:val="22"/>
          <w:rtl/>
          <w:lang w:bidi="he-IL"/>
        </w:rPr>
        <w:t xml:space="preserve"> </w:t>
      </w:r>
      <w:r>
        <w:rPr>
          <w:rFonts w:ascii="David" w:hAnsi="David" w:cs="David" w:hint="cs"/>
          <w:sz w:val="22"/>
          <w:szCs w:val="22"/>
          <w:rtl/>
          <w:lang w:bidi="he-IL"/>
        </w:rPr>
        <w:t>ה</w:t>
      </w:r>
      <w:r w:rsidRPr="004632FA">
        <w:rPr>
          <w:rFonts w:ascii="David" w:hAnsi="David" w:cs="David" w:hint="eastAsia"/>
          <w:sz w:val="22"/>
          <w:szCs w:val="22"/>
          <w:rtl/>
          <w:lang w:bidi="he-IL"/>
        </w:rPr>
        <w:t>די</w:t>
      </w:r>
      <w:r>
        <w:rPr>
          <w:rFonts w:ascii="David" w:hAnsi="David" w:cs="David" w:hint="cs"/>
          <w:sz w:val="22"/>
          <w:szCs w:val="22"/>
          <w:rtl/>
          <w:lang w:bidi="he-IL"/>
        </w:rPr>
        <w:t>ן</w:t>
      </w:r>
      <w:r w:rsidRPr="004632FA">
        <w:rPr>
          <w:rFonts w:ascii="David" w:hAnsi="David" w:cs="David"/>
          <w:sz w:val="22"/>
          <w:szCs w:val="22"/>
          <w:rtl/>
          <w:lang w:bidi="he-IL"/>
        </w:rPr>
        <w:t xml:space="preserve"> </w:t>
      </w:r>
      <w:r w:rsidRPr="004632FA">
        <w:rPr>
          <w:rFonts w:ascii="David" w:hAnsi="David" w:cs="David" w:hint="eastAsia"/>
          <w:sz w:val="22"/>
          <w:szCs w:val="22"/>
          <w:rtl/>
          <w:lang w:bidi="he-IL"/>
        </w:rPr>
        <w:t>של</w:t>
      </w:r>
      <w:r w:rsidRPr="004632FA">
        <w:rPr>
          <w:rFonts w:ascii="David" w:hAnsi="David" w:cs="David"/>
          <w:sz w:val="22"/>
          <w:szCs w:val="22"/>
          <w:rtl/>
          <w:lang w:bidi="he-IL"/>
        </w:rPr>
        <w:t xml:space="preserve"> </w:t>
      </w:r>
      <w:r w:rsidRPr="004632FA">
        <w:rPr>
          <w:rFonts w:ascii="David" w:hAnsi="David" w:cs="David" w:hint="eastAsia"/>
          <w:sz w:val="22"/>
          <w:szCs w:val="22"/>
          <w:rtl/>
          <w:lang w:bidi="he-IL"/>
        </w:rPr>
        <w:t>הנשיאה</w:t>
      </w:r>
      <w:r w:rsidRPr="004632FA">
        <w:rPr>
          <w:rFonts w:ascii="David" w:hAnsi="David" w:cs="David"/>
          <w:sz w:val="22"/>
          <w:szCs w:val="22"/>
          <w:rtl/>
          <w:lang w:bidi="he-IL"/>
        </w:rPr>
        <w:t xml:space="preserve"> </w:t>
      </w:r>
      <w:r w:rsidRPr="004632FA">
        <w:rPr>
          <w:rFonts w:ascii="David" w:hAnsi="David" w:cs="David" w:hint="eastAsia"/>
          <w:sz w:val="22"/>
          <w:szCs w:val="22"/>
          <w:rtl/>
          <w:lang w:bidi="he-IL"/>
        </w:rPr>
        <w:t>א</w:t>
      </w:r>
      <w:r w:rsidRPr="004632FA">
        <w:rPr>
          <w:rFonts w:ascii="David" w:hAnsi="David" w:cs="David"/>
          <w:sz w:val="22"/>
          <w:szCs w:val="22"/>
          <w:rtl/>
          <w:lang w:bidi="he-IL"/>
        </w:rPr>
        <w:t xml:space="preserve">' </w:t>
      </w:r>
      <w:r w:rsidRPr="004632FA">
        <w:rPr>
          <w:rFonts w:ascii="David" w:hAnsi="David" w:cs="David" w:hint="eastAsia"/>
          <w:sz w:val="22"/>
          <w:szCs w:val="22"/>
          <w:rtl/>
          <w:lang w:bidi="he-IL"/>
        </w:rPr>
        <w:t>חיות</w:t>
      </w:r>
      <w:r w:rsidRPr="004632FA">
        <w:rPr>
          <w:rFonts w:ascii="David" w:hAnsi="David" w:cs="David"/>
          <w:sz w:val="22"/>
          <w:szCs w:val="22"/>
          <w:rtl/>
          <w:lang w:bidi="he-IL"/>
        </w:rPr>
        <w:t>.</w:t>
      </w:r>
    </w:p>
  </w:footnote>
  <w:footnote w:id="25">
    <w:p w:rsidR="006E285E" w:rsidRPr="004632FA" w:rsidRDefault="006E285E" w:rsidP="006E285E">
      <w:pPr>
        <w:pStyle w:val="FootnoteText"/>
        <w:bidi/>
        <w:spacing w:after="120"/>
        <w:rPr>
          <w:rFonts w:ascii="David" w:hAnsi="David" w:cs="David"/>
          <w:sz w:val="22"/>
          <w:szCs w:val="22"/>
          <w:rtl/>
          <w:lang w:bidi="he-IL"/>
        </w:rPr>
      </w:pPr>
      <w:r w:rsidRPr="004632FA">
        <w:rPr>
          <w:rStyle w:val="FootnoteReference"/>
          <w:rFonts w:ascii="David" w:hAnsi="David" w:cs="David"/>
          <w:sz w:val="22"/>
          <w:szCs w:val="22"/>
        </w:rPr>
        <w:footnoteRef/>
      </w:r>
      <w:r w:rsidRPr="004632FA">
        <w:rPr>
          <w:rFonts w:ascii="David" w:hAnsi="David" w:cs="David"/>
          <w:sz w:val="22"/>
          <w:szCs w:val="22"/>
          <w:rtl/>
          <w:lang w:bidi="he-IL"/>
        </w:rPr>
        <w:t xml:space="preserve"> </w:t>
      </w:r>
      <w:r w:rsidRPr="004632FA">
        <w:rPr>
          <w:rFonts w:ascii="David" w:hAnsi="David" w:cs="David"/>
          <w:color w:val="000000" w:themeColor="text1"/>
          <w:sz w:val="22"/>
          <w:szCs w:val="22"/>
          <w:shd w:val="clear" w:color="auto" w:fill="FFFFFF"/>
          <w:rtl/>
          <w:lang w:bidi="he-IL"/>
        </w:rPr>
        <w:t xml:space="preserve">שם, </w:t>
      </w:r>
      <w:r w:rsidRPr="004632FA">
        <w:rPr>
          <w:rFonts w:ascii="David" w:hAnsi="David" w:cs="David" w:hint="eastAsia"/>
          <w:color w:val="000000" w:themeColor="text1"/>
          <w:sz w:val="22"/>
          <w:szCs w:val="22"/>
          <w:shd w:val="clear" w:color="auto" w:fill="FFFFFF"/>
          <w:rtl/>
          <w:lang w:bidi="he-IL"/>
        </w:rPr>
        <w:t>פסקה</w:t>
      </w:r>
      <w:r w:rsidRPr="004632FA">
        <w:rPr>
          <w:rFonts w:ascii="David" w:hAnsi="David" w:cs="David"/>
          <w:color w:val="000000" w:themeColor="text1"/>
          <w:sz w:val="22"/>
          <w:szCs w:val="22"/>
          <w:shd w:val="clear" w:color="auto" w:fill="FFFFFF"/>
          <w:rtl/>
          <w:lang w:bidi="he-IL"/>
        </w:rPr>
        <w:t xml:space="preserve"> 34 </w:t>
      </w:r>
      <w:r w:rsidRPr="004632FA">
        <w:rPr>
          <w:rFonts w:ascii="David" w:hAnsi="David" w:cs="David" w:hint="eastAsia"/>
          <w:color w:val="000000" w:themeColor="text1"/>
          <w:sz w:val="22"/>
          <w:szCs w:val="22"/>
          <w:shd w:val="clear" w:color="auto" w:fill="FFFFFF"/>
          <w:rtl/>
          <w:lang w:bidi="he-IL"/>
        </w:rPr>
        <w:t>לפסק</w:t>
      </w:r>
      <w:r w:rsidRPr="004632FA">
        <w:rPr>
          <w:rFonts w:ascii="David" w:hAnsi="David" w:cs="David"/>
          <w:color w:val="000000" w:themeColor="text1"/>
          <w:sz w:val="22"/>
          <w:szCs w:val="22"/>
          <w:shd w:val="clear" w:color="auto" w:fill="FFFFFF"/>
          <w:rtl/>
          <w:lang w:bidi="he-IL"/>
        </w:rPr>
        <w:t xml:space="preserve"> </w:t>
      </w:r>
      <w:r>
        <w:rPr>
          <w:rFonts w:ascii="David" w:hAnsi="David" w:cs="David" w:hint="cs"/>
          <w:color w:val="000000" w:themeColor="text1"/>
          <w:sz w:val="22"/>
          <w:szCs w:val="22"/>
          <w:shd w:val="clear" w:color="auto" w:fill="FFFFFF"/>
          <w:rtl/>
          <w:lang w:bidi="he-IL"/>
        </w:rPr>
        <w:t>ה</w:t>
      </w:r>
      <w:r w:rsidRPr="004632FA">
        <w:rPr>
          <w:rFonts w:ascii="David" w:hAnsi="David" w:cs="David" w:hint="eastAsia"/>
          <w:color w:val="000000" w:themeColor="text1"/>
          <w:sz w:val="22"/>
          <w:szCs w:val="22"/>
          <w:shd w:val="clear" w:color="auto" w:fill="FFFFFF"/>
          <w:rtl/>
          <w:lang w:bidi="he-IL"/>
        </w:rPr>
        <w:t>די</w:t>
      </w:r>
      <w:r>
        <w:rPr>
          <w:rFonts w:ascii="David" w:hAnsi="David" w:cs="David" w:hint="cs"/>
          <w:color w:val="000000" w:themeColor="text1"/>
          <w:sz w:val="22"/>
          <w:szCs w:val="22"/>
          <w:shd w:val="clear" w:color="auto" w:fill="FFFFFF"/>
          <w:rtl/>
          <w:lang w:bidi="he-IL"/>
        </w:rPr>
        <w:t>ן</w:t>
      </w:r>
      <w:r w:rsidRPr="004632FA">
        <w:rPr>
          <w:rFonts w:ascii="David" w:hAnsi="David" w:cs="David"/>
          <w:color w:val="000000" w:themeColor="text1"/>
          <w:sz w:val="22"/>
          <w:szCs w:val="22"/>
          <w:shd w:val="clear" w:color="auto" w:fill="FFFFFF"/>
          <w:rtl/>
          <w:lang w:bidi="he-IL"/>
        </w:rPr>
        <w:t xml:space="preserve"> </w:t>
      </w:r>
      <w:r w:rsidRPr="004632FA">
        <w:rPr>
          <w:rFonts w:ascii="David" w:hAnsi="David" w:cs="David" w:hint="eastAsia"/>
          <w:color w:val="000000" w:themeColor="text1"/>
          <w:sz w:val="22"/>
          <w:szCs w:val="22"/>
          <w:shd w:val="clear" w:color="auto" w:fill="FFFFFF"/>
          <w:rtl/>
          <w:lang w:bidi="he-IL"/>
        </w:rPr>
        <w:t>של</w:t>
      </w:r>
      <w:r w:rsidRPr="004632FA">
        <w:rPr>
          <w:rFonts w:ascii="David" w:hAnsi="David" w:cs="David"/>
          <w:color w:val="000000" w:themeColor="text1"/>
          <w:sz w:val="22"/>
          <w:szCs w:val="22"/>
          <w:shd w:val="clear" w:color="auto" w:fill="FFFFFF"/>
          <w:rtl/>
          <w:lang w:bidi="he-IL"/>
        </w:rPr>
        <w:t xml:space="preserve"> </w:t>
      </w:r>
      <w:r w:rsidRPr="004632FA">
        <w:rPr>
          <w:rFonts w:ascii="David" w:hAnsi="David" w:cs="David" w:hint="eastAsia"/>
          <w:color w:val="000000" w:themeColor="text1"/>
          <w:sz w:val="22"/>
          <w:szCs w:val="22"/>
          <w:shd w:val="clear" w:color="auto" w:fill="FFFFFF"/>
          <w:rtl/>
          <w:lang w:bidi="he-IL"/>
        </w:rPr>
        <w:t>השופט</w:t>
      </w:r>
      <w:r w:rsidRPr="004632FA">
        <w:rPr>
          <w:rFonts w:ascii="David" w:hAnsi="David" w:cs="David"/>
          <w:color w:val="000000" w:themeColor="text1"/>
          <w:sz w:val="22"/>
          <w:szCs w:val="22"/>
          <w:shd w:val="clear" w:color="auto" w:fill="FFFFFF"/>
          <w:rtl/>
          <w:lang w:bidi="he-IL"/>
        </w:rPr>
        <w:t xml:space="preserve"> </w:t>
      </w:r>
      <w:r w:rsidRPr="004632FA">
        <w:rPr>
          <w:rFonts w:ascii="David" w:hAnsi="David" w:cs="David" w:hint="eastAsia"/>
          <w:color w:val="000000" w:themeColor="text1"/>
          <w:sz w:val="22"/>
          <w:szCs w:val="22"/>
          <w:shd w:val="clear" w:color="auto" w:fill="FFFFFF"/>
          <w:rtl/>
          <w:lang w:bidi="he-IL"/>
        </w:rPr>
        <w:t>נ</w:t>
      </w:r>
      <w:r w:rsidRPr="004632FA">
        <w:rPr>
          <w:rFonts w:ascii="David" w:hAnsi="David" w:cs="David"/>
          <w:color w:val="000000" w:themeColor="text1"/>
          <w:sz w:val="22"/>
          <w:szCs w:val="22"/>
          <w:shd w:val="clear" w:color="auto" w:fill="FFFFFF"/>
          <w:rtl/>
          <w:lang w:bidi="he-IL"/>
        </w:rPr>
        <w:t xml:space="preserve">' </w:t>
      </w:r>
      <w:r w:rsidRPr="004632FA">
        <w:rPr>
          <w:rFonts w:ascii="David" w:hAnsi="David" w:cs="David" w:hint="eastAsia"/>
          <w:color w:val="000000" w:themeColor="text1"/>
          <w:sz w:val="22"/>
          <w:szCs w:val="22"/>
          <w:shd w:val="clear" w:color="auto" w:fill="FFFFFF"/>
          <w:rtl/>
          <w:lang w:bidi="he-IL"/>
        </w:rPr>
        <w:t>סולברג</w:t>
      </w:r>
      <w:r w:rsidRPr="004632FA">
        <w:rPr>
          <w:rFonts w:ascii="David" w:hAnsi="David" w:cs="David"/>
          <w:color w:val="000000" w:themeColor="text1"/>
          <w:sz w:val="22"/>
          <w:szCs w:val="22"/>
          <w:shd w:val="clear" w:color="auto" w:fill="FFFFFF"/>
          <w:rtl/>
          <w:lang w:bidi="he-IL"/>
        </w:rPr>
        <w:t xml:space="preserve"> [הדגשות שלי].</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96EEB"/>
    <w:multiLevelType w:val="hybridMultilevel"/>
    <w:tmpl w:val="8E8C2ABA"/>
    <w:lvl w:ilvl="0" w:tplc="EB8CF2A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956CB9"/>
    <w:multiLevelType w:val="hybridMultilevel"/>
    <w:tmpl w:val="5F56DA8A"/>
    <w:lvl w:ilvl="0" w:tplc="63F64B00">
      <w:start w:val="1"/>
      <w:numFmt w:val="decimal"/>
      <w:lvlText w:val="9.%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021BE3"/>
    <w:multiLevelType w:val="hybridMultilevel"/>
    <w:tmpl w:val="1982E2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6746A8"/>
    <w:multiLevelType w:val="hybridMultilevel"/>
    <w:tmpl w:val="83F4A50C"/>
    <w:lvl w:ilvl="0" w:tplc="EB8CF2A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686C63"/>
    <w:multiLevelType w:val="hybridMultilevel"/>
    <w:tmpl w:val="4D146CB6"/>
    <w:lvl w:ilvl="0" w:tplc="9B8E04EE">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EF1F8A"/>
    <w:multiLevelType w:val="multilevel"/>
    <w:tmpl w:val="7700DF42"/>
    <w:lvl w:ilvl="0">
      <w:start w:val="7"/>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60A2092"/>
    <w:multiLevelType w:val="multilevel"/>
    <w:tmpl w:val="ED0A2FBA"/>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17CA6824"/>
    <w:multiLevelType w:val="hybridMultilevel"/>
    <w:tmpl w:val="D80CC424"/>
    <w:lvl w:ilvl="0" w:tplc="99B42724">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2D3B33"/>
    <w:multiLevelType w:val="multilevel"/>
    <w:tmpl w:val="3AD8ECD6"/>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6513329"/>
    <w:multiLevelType w:val="hybridMultilevel"/>
    <w:tmpl w:val="3AF435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4F45E0"/>
    <w:multiLevelType w:val="hybridMultilevel"/>
    <w:tmpl w:val="D1E26C0E"/>
    <w:lvl w:ilvl="0" w:tplc="0B9A89BC">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264EC4"/>
    <w:multiLevelType w:val="multilevel"/>
    <w:tmpl w:val="0D30266C"/>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9427AC9"/>
    <w:multiLevelType w:val="hybridMultilevel"/>
    <w:tmpl w:val="A6B27146"/>
    <w:lvl w:ilvl="0" w:tplc="EB8CF2A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F3679A4"/>
    <w:multiLevelType w:val="hybridMultilevel"/>
    <w:tmpl w:val="72BC2E4E"/>
    <w:lvl w:ilvl="0" w:tplc="6C324DBA">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90072D"/>
    <w:multiLevelType w:val="hybridMultilevel"/>
    <w:tmpl w:val="0D9EADAE"/>
    <w:lvl w:ilvl="0" w:tplc="79DC93B6">
      <w:start w:val="1"/>
      <w:numFmt w:val="decimal"/>
      <w:lvlText w:val="%1."/>
      <w:lvlJc w:val="left"/>
      <w:pPr>
        <w:ind w:left="720" w:hanging="360"/>
      </w:pPr>
      <w:rPr>
        <w:b w:val="0"/>
        <w:bCs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C07EEF"/>
    <w:multiLevelType w:val="hybridMultilevel"/>
    <w:tmpl w:val="DDE2B2E2"/>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5B23387"/>
    <w:multiLevelType w:val="multilevel"/>
    <w:tmpl w:val="1FFA22E4"/>
    <w:lvl w:ilvl="0">
      <w:start w:val="7"/>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5C8098B"/>
    <w:multiLevelType w:val="hybridMultilevel"/>
    <w:tmpl w:val="82569E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AB62178"/>
    <w:multiLevelType w:val="hybridMultilevel"/>
    <w:tmpl w:val="98742DB8"/>
    <w:lvl w:ilvl="0" w:tplc="8490E742">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D0F3638"/>
    <w:multiLevelType w:val="hybridMultilevel"/>
    <w:tmpl w:val="3CCE0A74"/>
    <w:lvl w:ilvl="0" w:tplc="8490E742">
      <w:start w:val="1"/>
      <w:numFmt w:val="decimal"/>
      <w:lvlText w:val="8.%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E2B3520"/>
    <w:multiLevelType w:val="hybridMultilevel"/>
    <w:tmpl w:val="E1BA36E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14A74AC"/>
    <w:multiLevelType w:val="multilevel"/>
    <w:tmpl w:val="522E1866"/>
    <w:lvl w:ilvl="0">
      <w:start w:val="9"/>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AB014DA"/>
    <w:multiLevelType w:val="multilevel"/>
    <w:tmpl w:val="3AD8ECD6"/>
    <w:lvl w:ilvl="0">
      <w:start w:val="8"/>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1BB3144"/>
    <w:multiLevelType w:val="hybridMultilevel"/>
    <w:tmpl w:val="E7E61B12"/>
    <w:lvl w:ilvl="0" w:tplc="B114D298">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4063C80"/>
    <w:multiLevelType w:val="hybridMultilevel"/>
    <w:tmpl w:val="6714EAEE"/>
    <w:lvl w:ilvl="0" w:tplc="E3FE0412">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85213B5"/>
    <w:multiLevelType w:val="hybridMultilevel"/>
    <w:tmpl w:val="EE46BC04"/>
    <w:lvl w:ilvl="0" w:tplc="EB8CF2A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8AF0528"/>
    <w:multiLevelType w:val="multilevel"/>
    <w:tmpl w:val="76DA0104"/>
    <w:lvl w:ilvl="0">
      <w:start w:val="1"/>
      <w:numFmt w:val="decimal"/>
      <w:lvlText w:val="8.%1"/>
      <w:lvlJc w:val="left"/>
      <w:pPr>
        <w:ind w:left="720" w:hanging="360"/>
      </w:pPr>
      <w:rPr>
        <w:rFonts w:hint="default"/>
      </w:rPr>
    </w:lvl>
    <w:lvl w:ilvl="1">
      <w:start w:val="2"/>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5E2E4CA2"/>
    <w:multiLevelType w:val="hybridMultilevel"/>
    <w:tmpl w:val="5AB2B91C"/>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8" w15:restartNumberingAfterBreak="0">
    <w:nsid w:val="5F020775"/>
    <w:multiLevelType w:val="hybridMultilevel"/>
    <w:tmpl w:val="0E4E24DE"/>
    <w:lvl w:ilvl="0" w:tplc="EB8CF2A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F4E7EB9"/>
    <w:multiLevelType w:val="hybridMultilevel"/>
    <w:tmpl w:val="9FCE36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607C3D92"/>
    <w:multiLevelType w:val="hybridMultilevel"/>
    <w:tmpl w:val="DD385A64"/>
    <w:lvl w:ilvl="0" w:tplc="8CAC1768">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08A57FF"/>
    <w:multiLevelType w:val="hybridMultilevel"/>
    <w:tmpl w:val="7CD2FB96"/>
    <w:lvl w:ilvl="0" w:tplc="307A326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1251CC2"/>
    <w:multiLevelType w:val="hybridMultilevel"/>
    <w:tmpl w:val="ACFEFF16"/>
    <w:lvl w:ilvl="0" w:tplc="1A1E424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3C71660"/>
    <w:multiLevelType w:val="hybridMultilevel"/>
    <w:tmpl w:val="2B9C77FE"/>
    <w:lvl w:ilvl="0" w:tplc="EB8CF2A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65D5746"/>
    <w:multiLevelType w:val="hybridMultilevel"/>
    <w:tmpl w:val="3FA623FE"/>
    <w:lvl w:ilvl="0" w:tplc="EB8CF2A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6433EC7"/>
    <w:multiLevelType w:val="hybridMultilevel"/>
    <w:tmpl w:val="03B0C986"/>
    <w:lvl w:ilvl="0" w:tplc="EB8CF2A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7E135C2"/>
    <w:multiLevelType w:val="multilevel"/>
    <w:tmpl w:val="3AD8ECD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AB84ABD"/>
    <w:multiLevelType w:val="hybridMultilevel"/>
    <w:tmpl w:val="056A36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7C872DC7"/>
    <w:multiLevelType w:val="hybridMultilevel"/>
    <w:tmpl w:val="EE46BC04"/>
    <w:lvl w:ilvl="0" w:tplc="EB8CF2A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2"/>
  </w:num>
  <w:num w:numId="3">
    <w:abstractNumId w:val="24"/>
  </w:num>
  <w:num w:numId="4">
    <w:abstractNumId w:val="23"/>
  </w:num>
  <w:num w:numId="5">
    <w:abstractNumId w:val="7"/>
  </w:num>
  <w:num w:numId="6">
    <w:abstractNumId w:val="31"/>
  </w:num>
  <w:num w:numId="7">
    <w:abstractNumId w:val="20"/>
  </w:num>
  <w:num w:numId="8">
    <w:abstractNumId w:val="6"/>
  </w:num>
  <w:num w:numId="9">
    <w:abstractNumId w:val="30"/>
  </w:num>
  <w:num w:numId="10">
    <w:abstractNumId w:val="26"/>
  </w:num>
  <w:num w:numId="11">
    <w:abstractNumId w:val="19"/>
  </w:num>
  <w:num w:numId="12">
    <w:abstractNumId w:val="32"/>
  </w:num>
  <w:num w:numId="13">
    <w:abstractNumId w:val="37"/>
  </w:num>
  <w:num w:numId="14">
    <w:abstractNumId w:val="18"/>
  </w:num>
  <w:num w:numId="15">
    <w:abstractNumId w:val="1"/>
  </w:num>
  <w:num w:numId="16">
    <w:abstractNumId w:val="10"/>
  </w:num>
  <w:num w:numId="17">
    <w:abstractNumId w:val="21"/>
  </w:num>
  <w:num w:numId="18">
    <w:abstractNumId w:val="11"/>
  </w:num>
  <w:num w:numId="19">
    <w:abstractNumId w:val="16"/>
  </w:num>
  <w:num w:numId="20">
    <w:abstractNumId w:val="5"/>
  </w:num>
  <w:num w:numId="21">
    <w:abstractNumId w:val="22"/>
  </w:num>
  <w:num w:numId="22">
    <w:abstractNumId w:val="36"/>
  </w:num>
  <w:num w:numId="23">
    <w:abstractNumId w:val="33"/>
  </w:num>
  <w:num w:numId="24">
    <w:abstractNumId w:val="8"/>
  </w:num>
  <w:num w:numId="25">
    <w:abstractNumId w:val="29"/>
  </w:num>
  <w:num w:numId="26">
    <w:abstractNumId w:val="17"/>
  </w:num>
  <w:num w:numId="27">
    <w:abstractNumId w:val="27"/>
  </w:num>
  <w:num w:numId="28">
    <w:abstractNumId w:val="15"/>
  </w:num>
  <w:num w:numId="2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8"/>
  </w:num>
  <w:num w:numId="31">
    <w:abstractNumId w:val="25"/>
  </w:num>
  <w:num w:numId="32">
    <w:abstractNumId w:val="14"/>
  </w:num>
  <w:num w:numId="33">
    <w:abstractNumId w:val="4"/>
  </w:num>
  <w:num w:numId="34">
    <w:abstractNumId w:val="9"/>
  </w:num>
  <w:num w:numId="35">
    <w:abstractNumId w:val="35"/>
  </w:num>
  <w:num w:numId="36">
    <w:abstractNumId w:val="34"/>
  </w:num>
  <w:num w:numId="37">
    <w:abstractNumId w:val="3"/>
  </w:num>
  <w:num w:numId="38">
    <w:abstractNumId w:val="12"/>
  </w:num>
  <w:num w:numId="39">
    <w:abstractNumId w:val="0"/>
  </w:num>
  <w:num w:numId="4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LYwMDQ3sDQyMDexNDNQ0lEKTi0uzszPAykwrAUAAjnFqSwAAAA="/>
  </w:docVars>
  <w:rsids>
    <w:rsidRoot w:val="006E285E"/>
    <w:rsid w:val="001A1B15"/>
    <w:rsid w:val="00201697"/>
    <w:rsid w:val="00496684"/>
    <w:rsid w:val="006D4A69"/>
    <w:rsid w:val="006E285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21BE9F-FF10-4135-BE0A-5A33459D9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E285E"/>
    <w:pPr>
      <w:spacing w:after="0"/>
    </w:pPr>
  </w:style>
  <w:style w:type="paragraph" w:styleId="Heading1">
    <w:name w:val="heading 1"/>
    <w:basedOn w:val="Normal"/>
    <w:next w:val="Normal"/>
    <w:link w:val="Heading1Char"/>
    <w:uiPriority w:val="9"/>
    <w:qFormat/>
    <w:rsid w:val="006E285E"/>
    <w:pPr>
      <w:jc w:val="both"/>
      <w:outlineLvl w:val="0"/>
    </w:pPr>
    <w:rPr>
      <w:rFonts w:asciiTheme="majorBidi" w:hAnsiTheme="majorBidi" w:cstheme="majorBidi"/>
      <w:b/>
      <w:bCs/>
      <w:sz w:val="32"/>
      <w:szCs w:val="32"/>
      <w:lang w:val="en-GB"/>
    </w:rPr>
  </w:style>
  <w:style w:type="paragraph" w:styleId="Heading2">
    <w:name w:val="heading 2"/>
    <w:basedOn w:val="Normal"/>
    <w:next w:val="Normal"/>
    <w:link w:val="Heading2Char"/>
    <w:uiPriority w:val="9"/>
    <w:unhideWhenUsed/>
    <w:qFormat/>
    <w:rsid w:val="006E285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6E285E"/>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E285E"/>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6">
    <w:name w:val="heading 6"/>
    <w:basedOn w:val="Normal"/>
    <w:next w:val="Normal"/>
    <w:link w:val="Heading6Char"/>
    <w:uiPriority w:val="9"/>
    <w:semiHidden/>
    <w:unhideWhenUsed/>
    <w:qFormat/>
    <w:rsid w:val="006E285E"/>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285E"/>
    <w:rPr>
      <w:rFonts w:asciiTheme="majorBidi" w:hAnsiTheme="majorBidi" w:cstheme="majorBidi"/>
      <w:b/>
      <w:bCs/>
      <w:sz w:val="32"/>
      <w:szCs w:val="32"/>
      <w:lang w:val="en-GB"/>
    </w:rPr>
  </w:style>
  <w:style w:type="character" w:customStyle="1" w:styleId="Heading2Char">
    <w:name w:val="Heading 2 Char"/>
    <w:basedOn w:val="DefaultParagraphFont"/>
    <w:link w:val="Heading2"/>
    <w:uiPriority w:val="9"/>
    <w:rsid w:val="006E285E"/>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6E285E"/>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E285E"/>
    <w:rPr>
      <w:rFonts w:asciiTheme="majorHAnsi" w:eastAsiaTheme="majorEastAsia" w:hAnsiTheme="majorHAnsi" w:cstheme="majorBidi"/>
      <w:i/>
      <w:iCs/>
      <w:color w:val="2E74B5" w:themeColor="accent1" w:themeShade="BF"/>
    </w:rPr>
  </w:style>
  <w:style w:type="character" w:customStyle="1" w:styleId="Heading6Char">
    <w:name w:val="Heading 6 Char"/>
    <w:basedOn w:val="DefaultParagraphFont"/>
    <w:link w:val="Heading6"/>
    <w:uiPriority w:val="9"/>
    <w:semiHidden/>
    <w:rsid w:val="006E285E"/>
    <w:rPr>
      <w:rFonts w:asciiTheme="majorHAnsi" w:eastAsiaTheme="majorEastAsia" w:hAnsiTheme="majorHAnsi" w:cstheme="majorBidi"/>
      <w:color w:val="1F4D78" w:themeColor="accent1" w:themeShade="7F"/>
    </w:rPr>
  </w:style>
  <w:style w:type="paragraph" w:customStyle="1" w:styleId="s1bd70772">
    <w:name w:val="s1bd70772"/>
    <w:basedOn w:val="Normal"/>
    <w:rsid w:val="006E285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b8d990e2">
    <w:name w:val="sb8d990e2"/>
    <w:basedOn w:val="DefaultParagraphFont"/>
    <w:rsid w:val="006E285E"/>
  </w:style>
  <w:style w:type="paragraph" w:customStyle="1" w:styleId="s30eec3f8">
    <w:name w:val="s30eec3f8"/>
    <w:basedOn w:val="Normal"/>
    <w:rsid w:val="006E285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9e9b0cd7">
    <w:name w:val="s9e9b0cd7"/>
    <w:basedOn w:val="Normal"/>
    <w:rsid w:val="006E285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fbbfee58">
    <w:name w:val="sfbbfee58"/>
    <w:basedOn w:val="DefaultParagraphFont"/>
    <w:rsid w:val="006E285E"/>
  </w:style>
  <w:style w:type="paragraph" w:customStyle="1" w:styleId="sd5b7d322">
    <w:name w:val="sd5b7d322"/>
    <w:basedOn w:val="Normal"/>
    <w:rsid w:val="006E285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7d2086b4">
    <w:name w:val="s7d2086b4"/>
    <w:basedOn w:val="DefaultParagraphFont"/>
    <w:rsid w:val="006E285E"/>
  </w:style>
  <w:style w:type="paragraph" w:customStyle="1" w:styleId="scc3bcf28">
    <w:name w:val="scc3bcf28"/>
    <w:basedOn w:val="Normal"/>
    <w:rsid w:val="006E285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6b621b36">
    <w:name w:val="s6b621b36"/>
    <w:basedOn w:val="DefaultParagraphFont"/>
    <w:rsid w:val="006E285E"/>
  </w:style>
  <w:style w:type="character" w:styleId="Hyperlink">
    <w:name w:val="Hyperlink"/>
    <w:basedOn w:val="DefaultParagraphFont"/>
    <w:uiPriority w:val="99"/>
    <w:unhideWhenUsed/>
    <w:rsid w:val="006E285E"/>
    <w:rPr>
      <w:color w:val="0000FF"/>
      <w:u w:val="single"/>
    </w:rPr>
  </w:style>
  <w:style w:type="character" w:customStyle="1" w:styleId="s1a844bc0">
    <w:name w:val="s1a844bc0"/>
    <w:basedOn w:val="DefaultParagraphFont"/>
    <w:rsid w:val="006E285E"/>
  </w:style>
  <w:style w:type="character" w:customStyle="1" w:styleId="wordhighlighted">
    <w:name w:val="wordhighlighted"/>
    <w:basedOn w:val="DefaultParagraphFont"/>
    <w:rsid w:val="006E285E"/>
  </w:style>
  <w:style w:type="paragraph" w:customStyle="1" w:styleId="s19630bcc">
    <w:name w:val="s19630bcc"/>
    <w:basedOn w:val="Normal"/>
    <w:rsid w:val="006E285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dfc50a6a">
    <w:name w:val="sdfc50a6a"/>
    <w:basedOn w:val="DefaultParagraphFont"/>
    <w:rsid w:val="006E285E"/>
  </w:style>
  <w:style w:type="paragraph" w:styleId="FootnoteText">
    <w:name w:val="footnote text"/>
    <w:basedOn w:val="Normal"/>
    <w:link w:val="FootnoteTextChar"/>
    <w:uiPriority w:val="99"/>
    <w:unhideWhenUsed/>
    <w:rsid w:val="006E285E"/>
    <w:pPr>
      <w:spacing w:line="240" w:lineRule="auto"/>
    </w:pPr>
    <w:rPr>
      <w:sz w:val="20"/>
      <w:szCs w:val="20"/>
    </w:rPr>
  </w:style>
  <w:style w:type="character" w:customStyle="1" w:styleId="FootnoteTextChar">
    <w:name w:val="Footnote Text Char"/>
    <w:basedOn w:val="DefaultParagraphFont"/>
    <w:link w:val="FootnoteText"/>
    <w:uiPriority w:val="99"/>
    <w:rsid w:val="006E285E"/>
    <w:rPr>
      <w:sz w:val="20"/>
      <w:szCs w:val="20"/>
    </w:rPr>
  </w:style>
  <w:style w:type="character" w:styleId="FootnoteReference">
    <w:name w:val="footnote reference"/>
    <w:basedOn w:val="DefaultParagraphFont"/>
    <w:uiPriority w:val="99"/>
    <w:unhideWhenUsed/>
    <w:rsid w:val="006E285E"/>
    <w:rPr>
      <w:vertAlign w:val="superscript"/>
    </w:rPr>
  </w:style>
  <w:style w:type="paragraph" w:styleId="ListParagraph">
    <w:name w:val="List Paragraph"/>
    <w:basedOn w:val="Normal"/>
    <w:uiPriority w:val="34"/>
    <w:qFormat/>
    <w:rsid w:val="006E285E"/>
    <w:pPr>
      <w:ind w:left="720"/>
      <w:contextualSpacing/>
    </w:pPr>
  </w:style>
  <w:style w:type="paragraph" w:styleId="Header">
    <w:name w:val="header"/>
    <w:basedOn w:val="Normal"/>
    <w:link w:val="HeaderChar"/>
    <w:uiPriority w:val="99"/>
    <w:unhideWhenUsed/>
    <w:rsid w:val="006E285E"/>
    <w:pPr>
      <w:tabs>
        <w:tab w:val="center" w:pos="4680"/>
        <w:tab w:val="right" w:pos="9360"/>
      </w:tabs>
      <w:spacing w:line="240" w:lineRule="auto"/>
    </w:pPr>
  </w:style>
  <w:style w:type="character" w:customStyle="1" w:styleId="HeaderChar">
    <w:name w:val="Header Char"/>
    <w:basedOn w:val="DefaultParagraphFont"/>
    <w:link w:val="Header"/>
    <w:uiPriority w:val="99"/>
    <w:rsid w:val="006E285E"/>
  </w:style>
  <w:style w:type="paragraph" w:styleId="Footer">
    <w:name w:val="footer"/>
    <w:basedOn w:val="Normal"/>
    <w:link w:val="FooterChar"/>
    <w:uiPriority w:val="99"/>
    <w:unhideWhenUsed/>
    <w:rsid w:val="006E285E"/>
    <w:pPr>
      <w:tabs>
        <w:tab w:val="center" w:pos="4680"/>
        <w:tab w:val="right" w:pos="9360"/>
      </w:tabs>
      <w:spacing w:line="240" w:lineRule="auto"/>
    </w:pPr>
  </w:style>
  <w:style w:type="character" w:customStyle="1" w:styleId="FooterChar">
    <w:name w:val="Footer Char"/>
    <w:basedOn w:val="DefaultParagraphFont"/>
    <w:link w:val="Footer"/>
    <w:uiPriority w:val="99"/>
    <w:rsid w:val="006E285E"/>
  </w:style>
  <w:style w:type="table" w:styleId="TableGrid">
    <w:name w:val="Table Grid"/>
    <w:basedOn w:val="TableNormal"/>
    <w:uiPriority w:val="39"/>
    <w:rsid w:val="006E28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E285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285E"/>
    <w:rPr>
      <w:rFonts w:ascii="Segoe UI" w:hAnsi="Segoe UI" w:cs="Segoe UI"/>
      <w:sz w:val="18"/>
      <w:szCs w:val="18"/>
    </w:rPr>
  </w:style>
  <w:style w:type="table" w:styleId="PlainTable2">
    <w:name w:val="Plain Table 2"/>
    <w:basedOn w:val="TableNormal"/>
    <w:uiPriority w:val="42"/>
    <w:rsid w:val="006E285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UnresolvedMention1">
    <w:name w:val="Unresolved Mention1"/>
    <w:basedOn w:val="DefaultParagraphFont"/>
    <w:uiPriority w:val="99"/>
    <w:semiHidden/>
    <w:unhideWhenUsed/>
    <w:rsid w:val="006E285E"/>
    <w:rPr>
      <w:color w:val="808080"/>
      <w:shd w:val="clear" w:color="auto" w:fill="E6E6E6"/>
    </w:rPr>
  </w:style>
  <w:style w:type="character" w:styleId="CommentReference">
    <w:name w:val="annotation reference"/>
    <w:basedOn w:val="DefaultParagraphFont"/>
    <w:uiPriority w:val="99"/>
    <w:semiHidden/>
    <w:unhideWhenUsed/>
    <w:rsid w:val="006E285E"/>
    <w:rPr>
      <w:sz w:val="16"/>
      <w:szCs w:val="16"/>
    </w:rPr>
  </w:style>
  <w:style w:type="paragraph" w:styleId="CommentText">
    <w:name w:val="annotation text"/>
    <w:basedOn w:val="Normal"/>
    <w:link w:val="CommentTextChar"/>
    <w:uiPriority w:val="99"/>
    <w:unhideWhenUsed/>
    <w:rsid w:val="006E285E"/>
    <w:pPr>
      <w:spacing w:line="240" w:lineRule="auto"/>
    </w:pPr>
    <w:rPr>
      <w:sz w:val="20"/>
      <w:szCs w:val="20"/>
    </w:rPr>
  </w:style>
  <w:style w:type="character" w:customStyle="1" w:styleId="CommentTextChar">
    <w:name w:val="Comment Text Char"/>
    <w:basedOn w:val="DefaultParagraphFont"/>
    <w:link w:val="CommentText"/>
    <w:uiPriority w:val="99"/>
    <w:rsid w:val="006E285E"/>
    <w:rPr>
      <w:sz w:val="20"/>
      <w:szCs w:val="20"/>
    </w:rPr>
  </w:style>
  <w:style w:type="paragraph" w:styleId="CommentSubject">
    <w:name w:val="annotation subject"/>
    <w:basedOn w:val="CommentText"/>
    <w:next w:val="CommentText"/>
    <w:link w:val="CommentSubjectChar"/>
    <w:uiPriority w:val="99"/>
    <w:semiHidden/>
    <w:unhideWhenUsed/>
    <w:rsid w:val="006E285E"/>
    <w:rPr>
      <w:b/>
      <w:bCs/>
    </w:rPr>
  </w:style>
  <w:style w:type="character" w:customStyle="1" w:styleId="CommentSubjectChar">
    <w:name w:val="Comment Subject Char"/>
    <w:basedOn w:val="CommentTextChar"/>
    <w:link w:val="CommentSubject"/>
    <w:uiPriority w:val="99"/>
    <w:semiHidden/>
    <w:rsid w:val="006E285E"/>
    <w:rPr>
      <w:b/>
      <w:bCs/>
      <w:sz w:val="20"/>
      <w:szCs w:val="20"/>
    </w:rPr>
  </w:style>
  <w:style w:type="character" w:customStyle="1" w:styleId="s38c10080">
    <w:name w:val="s38c10080"/>
    <w:basedOn w:val="DefaultParagraphFont"/>
    <w:rsid w:val="006E285E"/>
  </w:style>
  <w:style w:type="paragraph" w:styleId="Revision">
    <w:name w:val="Revision"/>
    <w:hidden/>
    <w:uiPriority w:val="99"/>
    <w:semiHidden/>
    <w:rsid w:val="006E285E"/>
    <w:pPr>
      <w:spacing w:after="0" w:line="240" w:lineRule="auto"/>
    </w:pPr>
  </w:style>
  <w:style w:type="table" w:styleId="GridTable6Colorful-Accent1">
    <w:name w:val="Grid Table 6 Colorful Accent 1"/>
    <w:basedOn w:val="TableNormal"/>
    <w:uiPriority w:val="51"/>
    <w:rsid w:val="006E285E"/>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eGridLight">
    <w:name w:val="Grid Table Light"/>
    <w:basedOn w:val="TableNormal"/>
    <w:uiPriority w:val="40"/>
    <w:rsid w:val="006E285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4">
    <w:name w:val="Plain Table 4"/>
    <w:basedOn w:val="TableNormal"/>
    <w:uiPriority w:val="44"/>
    <w:rsid w:val="006E285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EndnoteTextChar">
    <w:name w:val="Endnote Text Char"/>
    <w:basedOn w:val="DefaultParagraphFont"/>
    <w:link w:val="EndnoteText"/>
    <w:uiPriority w:val="99"/>
    <w:semiHidden/>
    <w:rsid w:val="006E285E"/>
    <w:rPr>
      <w:sz w:val="20"/>
      <w:szCs w:val="20"/>
    </w:rPr>
  </w:style>
  <w:style w:type="paragraph" w:styleId="EndnoteText">
    <w:name w:val="endnote text"/>
    <w:basedOn w:val="Normal"/>
    <w:link w:val="EndnoteTextChar"/>
    <w:uiPriority w:val="99"/>
    <w:semiHidden/>
    <w:unhideWhenUsed/>
    <w:rsid w:val="006E285E"/>
    <w:pPr>
      <w:spacing w:line="240" w:lineRule="auto"/>
    </w:pPr>
    <w:rPr>
      <w:sz w:val="20"/>
      <w:szCs w:val="20"/>
    </w:rPr>
  </w:style>
  <w:style w:type="character" w:customStyle="1" w:styleId="EndnoteTextChar1">
    <w:name w:val="Endnote Text Char1"/>
    <w:basedOn w:val="DefaultParagraphFont"/>
    <w:uiPriority w:val="99"/>
    <w:semiHidden/>
    <w:rsid w:val="006E285E"/>
    <w:rPr>
      <w:sz w:val="20"/>
      <w:szCs w:val="20"/>
    </w:rPr>
  </w:style>
  <w:style w:type="paragraph" w:styleId="Caption">
    <w:name w:val="caption"/>
    <w:basedOn w:val="Normal"/>
    <w:next w:val="Normal"/>
    <w:uiPriority w:val="35"/>
    <w:unhideWhenUsed/>
    <w:qFormat/>
    <w:rsid w:val="006E285E"/>
    <w:pPr>
      <w:spacing w:after="200" w:line="240" w:lineRule="auto"/>
    </w:pPr>
    <w:rPr>
      <w:i/>
      <w:iCs/>
      <w:color w:val="44546A" w:themeColor="text2"/>
      <w:sz w:val="18"/>
      <w:szCs w:val="18"/>
    </w:rPr>
  </w:style>
  <w:style w:type="table" w:styleId="GridTable2-Accent3">
    <w:name w:val="Grid Table 2 Accent 3"/>
    <w:basedOn w:val="TableNormal"/>
    <w:uiPriority w:val="47"/>
    <w:rsid w:val="006E285E"/>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6Colorful-Accent3">
    <w:name w:val="Grid Table 6 Colorful Accent 3"/>
    <w:basedOn w:val="TableNormal"/>
    <w:uiPriority w:val="51"/>
    <w:rsid w:val="006E285E"/>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PlainTable1">
    <w:name w:val="Plain Table 1"/>
    <w:basedOn w:val="TableNormal"/>
    <w:uiPriority w:val="41"/>
    <w:rsid w:val="006E285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HTMLPreformatted">
    <w:name w:val="HTML Preformatted"/>
    <w:basedOn w:val="Normal"/>
    <w:link w:val="HTMLPreformattedChar"/>
    <w:uiPriority w:val="99"/>
    <w:semiHidden/>
    <w:unhideWhenUsed/>
    <w:rsid w:val="006E2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6E285E"/>
    <w:rPr>
      <w:rFonts w:ascii="Courier New" w:eastAsia="Times New Roman" w:hAnsi="Courier New" w:cs="Courier New"/>
      <w:sz w:val="20"/>
      <w:szCs w:val="20"/>
    </w:rPr>
  </w:style>
  <w:style w:type="character" w:customStyle="1" w:styleId="y2iqfc">
    <w:name w:val="y2iqfc"/>
    <w:basedOn w:val="DefaultParagraphFont"/>
    <w:rsid w:val="006E285E"/>
  </w:style>
  <w:style w:type="paragraph" w:customStyle="1" w:styleId="jo">
    <w:name w:val="jo"/>
    <w:basedOn w:val="Normal"/>
    <w:rsid w:val="006E285E"/>
    <w:pPr>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6E285E"/>
    <w:pPr>
      <w:pBdr>
        <w:bottom w:val="single" w:sz="6" w:space="1" w:color="auto"/>
      </w:pBdr>
      <w:spacing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6E285E"/>
    <w:rPr>
      <w:rFonts w:ascii="Arial" w:eastAsia="Times New Roman" w:hAnsi="Arial" w:cs="Arial"/>
      <w:vanish/>
      <w:sz w:val="16"/>
      <w:szCs w:val="16"/>
    </w:rPr>
  </w:style>
  <w:style w:type="character" w:styleId="FollowedHyperlink">
    <w:name w:val="FollowedHyperlink"/>
    <w:basedOn w:val="DefaultParagraphFont"/>
    <w:uiPriority w:val="99"/>
    <w:semiHidden/>
    <w:unhideWhenUsed/>
    <w:rsid w:val="006E285E"/>
    <w:rPr>
      <w:color w:val="954F72" w:themeColor="followedHyperlink"/>
      <w:u w:val="single"/>
    </w:rPr>
  </w:style>
  <w:style w:type="character" w:customStyle="1" w:styleId="UnresolvedMention2">
    <w:name w:val="Unresolved Mention2"/>
    <w:basedOn w:val="DefaultParagraphFont"/>
    <w:uiPriority w:val="99"/>
    <w:semiHidden/>
    <w:unhideWhenUsed/>
    <w:rsid w:val="006E285E"/>
    <w:rPr>
      <w:color w:val="605E5C"/>
      <w:shd w:val="clear" w:color="auto" w:fill="E1DFDD"/>
    </w:rPr>
  </w:style>
  <w:style w:type="paragraph" w:styleId="NormalWeb">
    <w:name w:val="Normal (Web)"/>
    <w:basedOn w:val="Normal"/>
    <w:uiPriority w:val="99"/>
    <w:unhideWhenUsed/>
    <w:rsid w:val="006E285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E285E"/>
    <w:rPr>
      <w:b/>
      <w:bCs/>
    </w:rPr>
  </w:style>
  <w:style w:type="paragraph" w:styleId="TOCHeading">
    <w:name w:val="TOC Heading"/>
    <w:basedOn w:val="Heading1"/>
    <w:next w:val="Normal"/>
    <w:uiPriority w:val="39"/>
    <w:unhideWhenUsed/>
    <w:qFormat/>
    <w:rsid w:val="006E285E"/>
    <w:pPr>
      <w:keepNext/>
      <w:keepLines/>
      <w:spacing w:before="240"/>
      <w:jc w:val="left"/>
      <w:outlineLvl w:val="9"/>
    </w:pPr>
    <w:rPr>
      <w:rFonts w:asciiTheme="majorHAnsi" w:eastAsiaTheme="majorEastAsia" w:hAnsiTheme="majorHAnsi"/>
      <w:b w:val="0"/>
      <w:bCs w:val="0"/>
      <w:color w:val="2E74B5" w:themeColor="accent1" w:themeShade="BF"/>
      <w:lang w:val="en-US"/>
    </w:rPr>
  </w:style>
  <w:style w:type="paragraph" w:styleId="TOC1">
    <w:name w:val="toc 1"/>
    <w:basedOn w:val="Normal"/>
    <w:next w:val="Normal"/>
    <w:autoRedefine/>
    <w:uiPriority w:val="39"/>
    <w:unhideWhenUsed/>
    <w:rsid w:val="006E285E"/>
    <w:pPr>
      <w:spacing w:after="100"/>
    </w:pPr>
  </w:style>
  <w:style w:type="paragraph" w:styleId="TOC2">
    <w:name w:val="toc 2"/>
    <w:basedOn w:val="Normal"/>
    <w:next w:val="Normal"/>
    <w:autoRedefine/>
    <w:uiPriority w:val="39"/>
    <w:unhideWhenUsed/>
    <w:rsid w:val="006E285E"/>
    <w:pPr>
      <w:spacing w:after="100"/>
      <w:ind w:left="220"/>
    </w:pPr>
    <w:rPr>
      <w:rFonts w:eastAsiaTheme="minorEastAsia" w:cs="Times New Roman"/>
    </w:rPr>
  </w:style>
  <w:style w:type="paragraph" w:styleId="TOC3">
    <w:name w:val="toc 3"/>
    <w:basedOn w:val="Normal"/>
    <w:next w:val="Normal"/>
    <w:autoRedefine/>
    <w:uiPriority w:val="39"/>
    <w:unhideWhenUsed/>
    <w:rsid w:val="006E285E"/>
    <w:pPr>
      <w:spacing w:after="100"/>
      <w:ind w:left="440"/>
    </w:pPr>
    <w:rPr>
      <w:rFonts w:eastAsiaTheme="minorEastAsia" w:cs="Times New Roman"/>
    </w:rPr>
  </w:style>
  <w:style w:type="character" w:customStyle="1" w:styleId="token">
    <w:name w:val="token"/>
    <w:basedOn w:val="DefaultParagraphFont"/>
    <w:rsid w:val="006E285E"/>
  </w:style>
  <w:style w:type="character" w:styleId="Emphasis">
    <w:name w:val="Emphasis"/>
    <w:basedOn w:val="DefaultParagraphFont"/>
    <w:uiPriority w:val="20"/>
    <w:qFormat/>
    <w:rsid w:val="006E285E"/>
    <w:rPr>
      <w:i/>
      <w:iCs/>
    </w:rPr>
  </w:style>
  <w:style w:type="character" w:styleId="EndnoteReference">
    <w:name w:val="endnote reference"/>
    <w:basedOn w:val="DefaultParagraphFont"/>
    <w:uiPriority w:val="99"/>
    <w:semiHidden/>
    <w:unhideWhenUsed/>
    <w:rsid w:val="006E285E"/>
    <w:rPr>
      <w:vertAlign w:val="superscript"/>
    </w:rPr>
  </w:style>
  <w:style w:type="paragraph" w:styleId="NoSpacing">
    <w:name w:val="No Spacing"/>
    <w:uiPriority w:val="1"/>
    <w:qFormat/>
    <w:rsid w:val="006E285E"/>
    <w:pPr>
      <w:spacing w:after="0" w:line="240" w:lineRule="auto"/>
    </w:pPr>
    <w:rPr>
      <w:lang w:val="en-GB" w:bidi="he-IL"/>
    </w:rPr>
  </w:style>
  <w:style w:type="character" w:customStyle="1" w:styleId="word">
    <w:name w:val="word"/>
    <w:basedOn w:val="DefaultParagraphFont"/>
    <w:rsid w:val="006E285E"/>
  </w:style>
  <w:style w:type="character" w:customStyle="1" w:styleId="UnresolvedMention3">
    <w:name w:val="Unresolved Mention3"/>
    <w:basedOn w:val="DefaultParagraphFont"/>
    <w:uiPriority w:val="99"/>
    <w:semiHidden/>
    <w:unhideWhenUsed/>
    <w:rsid w:val="006E28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3303</Words>
  <Characters>16289</Characters>
  <Application>Microsoft Office Word</Application>
  <DocSecurity>0</DocSecurity>
  <Lines>250</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Alaa Hajyahia</dc:creator>
  <cp:keywords/>
  <dc:description/>
  <cp:lastModifiedBy>Susan</cp:lastModifiedBy>
  <cp:revision>2</cp:revision>
  <dcterms:created xsi:type="dcterms:W3CDTF">2021-12-12T18:26:00Z</dcterms:created>
  <dcterms:modified xsi:type="dcterms:W3CDTF">2021-12-12T18:26:00Z</dcterms:modified>
</cp:coreProperties>
</file>