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FA4F1" w14:textId="196BF0AB" w:rsidR="00041722" w:rsidRPr="006D3D20" w:rsidRDefault="00A21249" w:rsidP="006D3D20">
      <w:pPr>
        <w:jc w:val="center"/>
        <w:rPr>
          <w:rFonts w:ascii="David" w:hAnsi="David" w:cs="David"/>
          <w:b/>
          <w:bCs/>
          <w:sz w:val="24"/>
          <w:szCs w:val="24"/>
          <w:rtl/>
        </w:rPr>
      </w:pPr>
      <w:bookmarkStart w:id="0" w:name="_Hlk18590551"/>
      <w:r w:rsidRPr="006D3D20">
        <w:rPr>
          <w:rFonts w:ascii="David" w:hAnsi="David" w:cs="David"/>
          <w:b/>
          <w:bCs/>
          <w:sz w:val="24"/>
          <w:szCs w:val="24"/>
          <w:rtl/>
        </w:rPr>
        <w:t xml:space="preserve">'דרכי השלום' בהלכה התנאית </w:t>
      </w:r>
      <w:r>
        <w:rPr>
          <w:rFonts w:ascii="David" w:hAnsi="David" w:cs="David" w:hint="cs"/>
          <w:b/>
          <w:bCs/>
          <w:sz w:val="24"/>
          <w:szCs w:val="24"/>
          <w:rtl/>
        </w:rPr>
        <w:t xml:space="preserve">- </w:t>
      </w:r>
      <w:r w:rsidR="00041722" w:rsidRPr="006D3D20">
        <w:rPr>
          <w:rFonts w:ascii="David" w:hAnsi="David" w:cs="David"/>
          <w:b/>
          <w:bCs/>
          <w:sz w:val="24"/>
          <w:szCs w:val="24"/>
          <w:rtl/>
        </w:rPr>
        <w:t xml:space="preserve">נומוס אחד נארטיבים </w:t>
      </w:r>
      <w:r w:rsidR="0086782B" w:rsidRPr="006D3D20">
        <w:rPr>
          <w:rFonts w:ascii="David" w:hAnsi="David" w:cs="David" w:hint="cs"/>
          <w:b/>
          <w:bCs/>
          <w:sz w:val="24"/>
          <w:szCs w:val="24"/>
          <w:rtl/>
        </w:rPr>
        <w:t xml:space="preserve">שונים </w:t>
      </w:r>
    </w:p>
    <w:p w14:paraId="78CCDCAD" w14:textId="77777777" w:rsidR="00041722" w:rsidRDefault="00041722" w:rsidP="00506F73">
      <w:pPr>
        <w:jc w:val="both"/>
        <w:rPr>
          <w:rtl/>
        </w:rPr>
      </w:pPr>
    </w:p>
    <w:p w14:paraId="6B11F0BF" w14:textId="2FF82CEE" w:rsidR="00C56B01" w:rsidRDefault="000803B1" w:rsidP="00835779">
      <w:pPr>
        <w:bidi w:val="0"/>
        <w:spacing w:line="480" w:lineRule="auto"/>
        <w:jc w:val="both"/>
        <w:rPr>
          <w:rFonts w:ascii="Times New Roman" w:hAnsi="Times New Roman" w:cs="Times New Roman"/>
          <w:sz w:val="24"/>
          <w:szCs w:val="24"/>
        </w:rPr>
      </w:pPr>
      <w:r w:rsidRPr="000803B1">
        <w:rPr>
          <w:rFonts w:asciiTheme="majorBidi" w:hAnsiTheme="majorBidi" w:cstheme="majorBidi"/>
          <w:sz w:val="24"/>
          <w:szCs w:val="24"/>
        </w:rPr>
        <w:t xml:space="preserve">The expression </w:t>
      </w:r>
      <w:r w:rsidRPr="000803B1">
        <w:rPr>
          <w:rFonts w:asciiTheme="majorBidi" w:hAnsiTheme="majorBidi" w:cstheme="majorBidi"/>
          <w:i/>
          <w:iCs/>
          <w:sz w:val="24"/>
          <w:szCs w:val="24"/>
        </w:rPr>
        <w:t>mipnei darkhei shalom,</w:t>
      </w:r>
      <w:r w:rsidRPr="000803B1">
        <w:rPr>
          <w:rFonts w:asciiTheme="majorBidi" w:hAnsiTheme="majorBidi" w:cstheme="majorBidi"/>
          <w:sz w:val="24"/>
          <w:szCs w:val="24"/>
        </w:rPr>
        <w:t xml:space="preserve"> “for reason of ways of peace,” is invoked as a </w:t>
      </w:r>
      <w:r w:rsidR="004C1E4E">
        <w:rPr>
          <w:rFonts w:asciiTheme="majorBidi" w:hAnsiTheme="majorBidi" w:cstheme="majorBidi"/>
          <w:sz w:val="24"/>
          <w:szCs w:val="24"/>
        </w:rPr>
        <w:t>l</w:t>
      </w:r>
      <w:r w:rsidR="004C1E4E" w:rsidRPr="004C1E4E">
        <w:rPr>
          <w:rFonts w:asciiTheme="majorBidi" w:hAnsiTheme="majorBidi" w:cstheme="majorBidi"/>
          <w:sz w:val="24"/>
          <w:szCs w:val="24"/>
        </w:rPr>
        <w:t>egal reasoning</w:t>
      </w:r>
      <w:r w:rsidR="004C1E4E">
        <w:rPr>
          <w:rFonts w:asciiTheme="majorBidi" w:hAnsiTheme="majorBidi" w:cstheme="majorBidi"/>
          <w:sz w:val="24"/>
          <w:szCs w:val="24"/>
        </w:rPr>
        <w:t xml:space="preserve"> </w:t>
      </w:r>
      <w:r w:rsidRPr="000803B1">
        <w:rPr>
          <w:rFonts w:asciiTheme="majorBidi" w:hAnsiTheme="majorBidi" w:cstheme="majorBidi"/>
          <w:sz w:val="24"/>
          <w:szCs w:val="24"/>
        </w:rPr>
        <w:t xml:space="preserve">for various </w:t>
      </w:r>
      <w:r w:rsidRPr="000803B1">
        <w:rPr>
          <w:rFonts w:asciiTheme="majorBidi" w:hAnsiTheme="majorBidi" w:cstheme="majorBidi"/>
          <w:i/>
          <w:iCs/>
          <w:sz w:val="24"/>
          <w:szCs w:val="24"/>
        </w:rPr>
        <w:t>halakhot</w:t>
      </w:r>
      <w:r w:rsidR="00D37BBF">
        <w:rPr>
          <w:rFonts w:asciiTheme="majorBidi" w:hAnsiTheme="majorBidi" w:cstheme="majorBidi"/>
          <w:sz w:val="24"/>
          <w:szCs w:val="24"/>
        </w:rPr>
        <w:t xml:space="preserve"> (legal rules)</w:t>
      </w:r>
      <w:r w:rsidRPr="000803B1">
        <w:rPr>
          <w:rFonts w:asciiTheme="majorBidi" w:hAnsiTheme="majorBidi" w:cstheme="majorBidi"/>
          <w:sz w:val="24"/>
          <w:szCs w:val="24"/>
        </w:rPr>
        <w:t xml:space="preserve">, mainly </w:t>
      </w:r>
      <w:r w:rsidRPr="000803B1">
        <w:rPr>
          <w:rFonts w:asciiTheme="majorBidi" w:hAnsiTheme="majorBidi" w:cstheme="majorBidi"/>
          <w:i/>
          <w:iCs/>
          <w:sz w:val="24"/>
          <w:szCs w:val="24"/>
        </w:rPr>
        <w:t>takanot</w:t>
      </w:r>
      <w:r w:rsidRPr="000803B1">
        <w:rPr>
          <w:rFonts w:asciiTheme="majorBidi" w:hAnsiTheme="majorBidi" w:cstheme="majorBidi"/>
          <w:sz w:val="24"/>
          <w:szCs w:val="24"/>
        </w:rPr>
        <w:t xml:space="preserve"> (enactments), in Tannaitic sources</w:t>
      </w:r>
      <w:bookmarkEnd w:id="0"/>
      <w:r w:rsidR="00984563">
        <w:rPr>
          <w:rFonts w:asciiTheme="majorBidi" w:hAnsiTheme="majorBidi" w:cstheme="majorBidi"/>
          <w:sz w:val="24"/>
          <w:szCs w:val="24"/>
        </w:rPr>
        <w:t xml:space="preserve">, which </w:t>
      </w:r>
      <w:r w:rsidR="00984563" w:rsidRPr="00984563">
        <w:rPr>
          <w:rFonts w:asciiTheme="majorBidi" w:hAnsiTheme="majorBidi" w:cstheme="majorBidi"/>
          <w:sz w:val="24"/>
          <w:szCs w:val="24"/>
        </w:rPr>
        <w:t>composed in Roman Palestine during the second to third centuries</w:t>
      </w:r>
      <w:r w:rsidRPr="000803B1">
        <w:rPr>
          <w:rFonts w:asciiTheme="majorBidi" w:hAnsiTheme="majorBidi" w:cstheme="majorBidi"/>
          <w:sz w:val="24"/>
          <w:szCs w:val="24"/>
        </w:rPr>
        <w:t>.</w:t>
      </w:r>
      <w:r w:rsidRPr="000803B1">
        <w:rPr>
          <w:rStyle w:val="a5"/>
          <w:rFonts w:asciiTheme="majorBidi" w:hAnsiTheme="majorBidi" w:cstheme="majorBidi"/>
          <w:sz w:val="24"/>
          <w:szCs w:val="24"/>
        </w:rPr>
        <w:footnoteReference w:id="1"/>
      </w:r>
      <w:r w:rsidRPr="000803B1">
        <w:rPr>
          <w:rFonts w:asciiTheme="majorBidi" w:hAnsiTheme="majorBidi" w:cstheme="majorBidi"/>
          <w:sz w:val="24"/>
          <w:szCs w:val="24"/>
        </w:rPr>
        <w:t xml:space="preserve"> In the Talmuds</w:t>
      </w:r>
      <w:r w:rsidR="007245A5">
        <w:rPr>
          <w:rFonts w:asciiTheme="majorBidi" w:hAnsiTheme="majorBidi" w:cstheme="majorBidi"/>
          <w:sz w:val="24"/>
          <w:szCs w:val="24"/>
        </w:rPr>
        <w:t xml:space="preserve"> </w:t>
      </w:r>
      <w:r w:rsidR="005F0D42">
        <w:rPr>
          <w:rFonts w:asciiTheme="majorBidi" w:hAnsiTheme="majorBidi" w:cstheme="majorBidi"/>
          <w:sz w:val="24"/>
          <w:szCs w:val="24"/>
        </w:rPr>
        <w:t>(</w:t>
      </w:r>
      <w:r w:rsidR="007245A5" w:rsidRPr="007245A5">
        <w:rPr>
          <w:rFonts w:asciiTheme="majorBidi" w:hAnsiTheme="majorBidi" w:cstheme="majorBidi"/>
          <w:sz w:val="24"/>
          <w:szCs w:val="24"/>
        </w:rPr>
        <w:t>which are the halakhic corpora created in Roman Palestine</w:t>
      </w:r>
      <w:r w:rsidR="007245A5" w:rsidRPr="00846D23">
        <w:rPr>
          <w:rFonts w:asciiTheme="majorBidi" w:hAnsiTheme="majorBidi" w:cstheme="majorBidi"/>
          <w:sz w:val="20"/>
          <w:szCs w:val="20"/>
        </w:rPr>
        <w:t xml:space="preserve"> </w:t>
      </w:r>
      <w:r w:rsidR="007245A5" w:rsidRPr="007245A5">
        <w:rPr>
          <w:rFonts w:asciiTheme="majorBidi" w:hAnsiTheme="majorBidi" w:cstheme="majorBidi"/>
          <w:sz w:val="24"/>
          <w:szCs w:val="24"/>
        </w:rPr>
        <w:t>and Babylon following the mishnah in the third to fifth centuries AD</w:t>
      </w:r>
      <w:r w:rsidR="005F0D42">
        <w:rPr>
          <w:rFonts w:asciiTheme="majorBidi" w:hAnsiTheme="majorBidi" w:cstheme="majorBidi"/>
          <w:sz w:val="24"/>
          <w:szCs w:val="24"/>
        </w:rPr>
        <w:t>)</w:t>
      </w:r>
      <w:r w:rsidRPr="000803B1">
        <w:rPr>
          <w:rFonts w:asciiTheme="majorBidi" w:hAnsiTheme="majorBidi" w:cstheme="majorBidi"/>
          <w:sz w:val="24"/>
          <w:szCs w:val="24"/>
        </w:rPr>
        <w:t xml:space="preserve"> similarly and for the purpose of interpreting the expression, the opposite term, </w:t>
      </w:r>
      <w:r w:rsidRPr="000803B1">
        <w:rPr>
          <w:rFonts w:asciiTheme="majorBidi" w:hAnsiTheme="majorBidi" w:cstheme="majorBidi"/>
          <w:i/>
          <w:iCs/>
          <w:sz w:val="24"/>
          <w:szCs w:val="24"/>
        </w:rPr>
        <w:t>mishum ’eyvah,</w:t>
      </w:r>
      <w:r w:rsidRPr="000803B1">
        <w:rPr>
          <w:rFonts w:asciiTheme="majorBidi" w:hAnsiTheme="majorBidi" w:cstheme="majorBidi"/>
          <w:sz w:val="24"/>
          <w:szCs w:val="24"/>
        </w:rPr>
        <w:t xml:space="preserve"> “for reasons of enmity,” is encountered. Several studies are devoted to the examination of these enactments, including some that do not differentiate among rationales.</w:t>
      </w:r>
      <w:r w:rsidRPr="000803B1">
        <w:rPr>
          <w:rStyle w:val="a5"/>
          <w:rFonts w:asciiTheme="majorBidi" w:hAnsiTheme="majorBidi" w:cstheme="majorBidi"/>
          <w:sz w:val="24"/>
          <w:szCs w:val="24"/>
        </w:rPr>
        <w:footnoteReference w:id="2"/>
      </w:r>
      <w:r w:rsidRPr="000803B1">
        <w:rPr>
          <w:rFonts w:asciiTheme="majorBidi" w:hAnsiTheme="majorBidi" w:cstheme="majorBidi"/>
          <w:sz w:val="24"/>
          <w:szCs w:val="24"/>
        </w:rPr>
        <w:t xml:space="preserve"> Others do </w:t>
      </w:r>
      <w:r w:rsidRPr="000803B1">
        <w:rPr>
          <w:rFonts w:asciiTheme="majorBidi" w:hAnsiTheme="majorBidi" w:cstheme="majorBidi"/>
          <w:sz w:val="24"/>
          <w:szCs w:val="24"/>
        </w:rPr>
        <w:lastRenderedPageBreak/>
        <w:t>distinguish between the Tannaitic stratum and the Amoraic, and even point out different characteristics of the use of this term in each.</w:t>
      </w:r>
      <w:r w:rsidRPr="000803B1">
        <w:rPr>
          <w:rStyle w:val="a5"/>
          <w:rFonts w:asciiTheme="majorBidi" w:hAnsiTheme="majorBidi" w:cstheme="majorBidi"/>
          <w:sz w:val="24"/>
          <w:szCs w:val="24"/>
        </w:rPr>
        <w:footnoteReference w:id="3"/>
      </w:r>
      <w:r w:rsidRPr="000803B1">
        <w:rPr>
          <w:rFonts w:asciiTheme="majorBidi" w:hAnsiTheme="majorBidi" w:cstheme="majorBidi"/>
          <w:sz w:val="24"/>
          <w:szCs w:val="24"/>
        </w:rPr>
        <w:t xml:space="preserve"> To date, however, no study has been carried out that investigates the Tannaitic sources per se</w:t>
      </w:r>
      <w:r w:rsidR="002963F8">
        <w:rPr>
          <w:rFonts w:asciiTheme="majorBidi" w:hAnsiTheme="majorBidi" w:cstheme="majorBidi"/>
          <w:sz w:val="24"/>
          <w:szCs w:val="24"/>
        </w:rPr>
        <w:t>.</w:t>
      </w:r>
      <w:r w:rsidRPr="000803B1">
        <w:rPr>
          <w:rFonts w:asciiTheme="majorBidi" w:hAnsiTheme="majorBidi" w:cstheme="majorBidi"/>
          <w:sz w:val="24"/>
          <w:szCs w:val="24"/>
        </w:rPr>
        <w:t xml:space="preserve"> </w:t>
      </w:r>
    </w:p>
    <w:p w14:paraId="0939E5E8" w14:textId="0FDC1BB3" w:rsidR="0011203E" w:rsidRDefault="0011203E" w:rsidP="007F25CE">
      <w:pPr>
        <w:spacing w:line="480" w:lineRule="auto"/>
        <w:jc w:val="both"/>
        <w:rPr>
          <w:rFonts w:ascii="David" w:hAnsi="David" w:cs="David"/>
          <w:sz w:val="24"/>
          <w:szCs w:val="24"/>
          <w:rtl/>
        </w:rPr>
      </w:pPr>
      <w:r>
        <w:rPr>
          <w:rFonts w:ascii="David" w:hAnsi="David" w:cs="David" w:hint="cs"/>
          <w:sz w:val="24"/>
          <w:szCs w:val="24"/>
          <w:rtl/>
        </w:rPr>
        <w:t xml:space="preserve">ואמנם, למרות שניתן היה לצפות כי </w:t>
      </w:r>
      <w:r w:rsidR="00056658">
        <w:rPr>
          <w:rFonts w:ascii="David" w:hAnsi="David" w:cs="David" w:hint="cs"/>
          <w:sz w:val="24"/>
          <w:szCs w:val="24"/>
          <w:rtl/>
        </w:rPr>
        <w:t xml:space="preserve">בתוך שכבה משפטית אחת נמצא אחידות באופן השימוש בהנמקה </w:t>
      </w:r>
      <w:r w:rsidR="00056658">
        <w:rPr>
          <w:rFonts w:ascii="David" w:hAnsi="David" w:cs="David"/>
          <w:sz w:val="24"/>
          <w:szCs w:val="24"/>
          <w:rtl/>
        </w:rPr>
        <w:t>–</w:t>
      </w:r>
      <w:r w:rsidRPr="0011203E">
        <w:rPr>
          <w:rFonts w:ascii="David" w:hAnsi="David" w:cs="David"/>
          <w:sz w:val="24"/>
          <w:szCs w:val="24"/>
          <w:rtl/>
        </w:rPr>
        <w:t xml:space="preserve"> </w:t>
      </w:r>
      <w:r w:rsidR="00056658">
        <w:rPr>
          <w:rFonts w:ascii="David" w:hAnsi="David" w:cs="David" w:hint="cs"/>
          <w:sz w:val="24"/>
          <w:szCs w:val="24"/>
          <w:rtl/>
        </w:rPr>
        <w:t>מבחינה רעיונית;</w:t>
      </w:r>
      <w:r w:rsidRPr="000E28A8">
        <w:rPr>
          <w:rFonts w:ascii="David" w:hAnsi="David" w:cs="David"/>
          <w:sz w:val="24"/>
          <w:szCs w:val="24"/>
          <w:rtl/>
        </w:rPr>
        <w:t xml:space="preserve"> </w:t>
      </w:r>
      <w:r w:rsidR="00056658">
        <w:rPr>
          <w:rFonts w:ascii="David" w:hAnsi="David" w:cs="David" w:hint="cs"/>
          <w:sz w:val="24"/>
          <w:szCs w:val="24"/>
          <w:rtl/>
        </w:rPr>
        <w:t xml:space="preserve">מבחינת ההגדרה היוריספורדנטית שמתאימה להלכות שמוצדקות על ידה בתוך עולם המשפט (ככללים משפטיים, עקרונות משפטיים או מטא-משפטיים); מבחינת </w:t>
      </w:r>
      <w:r w:rsidRPr="000E28A8">
        <w:rPr>
          <w:rFonts w:ascii="David" w:hAnsi="David" w:cs="David"/>
          <w:sz w:val="24"/>
          <w:szCs w:val="24"/>
          <w:rtl/>
        </w:rPr>
        <w:t xml:space="preserve">הפתרון המשפטי </w:t>
      </w:r>
      <w:r w:rsidR="00056658">
        <w:rPr>
          <w:rFonts w:ascii="David" w:hAnsi="David" w:cs="David" w:hint="cs"/>
          <w:sz w:val="24"/>
          <w:szCs w:val="24"/>
          <w:rtl/>
        </w:rPr>
        <w:t>שמספקות ההלכות שמנומקות 'מפני דרכי שלום' וההשלכות שנלוות לו;</w:t>
      </w:r>
      <w:r w:rsidRPr="000E28A8">
        <w:rPr>
          <w:rFonts w:ascii="David" w:hAnsi="David" w:cs="David"/>
          <w:sz w:val="24"/>
          <w:szCs w:val="24"/>
          <w:rtl/>
        </w:rPr>
        <w:t xml:space="preserve"> ומבחינת הערך שמ</w:t>
      </w:r>
      <w:r w:rsidR="00056658">
        <w:rPr>
          <w:rFonts w:ascii="David" w:hAnsi="David" w:cs="David"/>
          <w:sz w:val="24"/>
          <w:szCs w:val="24"/>
          <w:rtl/>
        </w:rPr>
        <w:t>ֵ</w:t>
      </w:r>
      <w:r w:rsidRPr="000E28A8">
        <w:rPr>
          <w:rFonts w:ascii="David" w:hAnsi="David" w:cs="David"/>
          <w:sz w:val="24"/>
          <w:szCs w:val="24"/>
          <w:rtl/>
        </w:rPr>
        <w:t>ש</w:t>
      </w:r>
      <w:r w:rsidR="00056658">
        <w:rPr>
          <w:rFonts w:ascii="David" w:hAnsi="David" w:cs="David"/>
          <w:sz w:val="24"/>
          <w:szCs w:val="24"/>
          <w:rtl/>
        </w:rPr>
        <w:t>ָ</w:t>
      </w:r>
      <w:r w:rsidRPr="000E28A8">
        <w:rPr>
          <w:rFonts w:ascii="David" w:hAnsi="David" w:cs="David"/>
          <w:sz w:val="24"/>
          <w:szCs w:val="24"/>
          <w:rtl/>
        </w:rPr>
        <w:t>ווה לה המחוקק</w:t>
      </w:r>
      <w:r>
        <w:rPr>
          <w:rFonts w:ascii="David" w:hAnsi="David" w:cs="David" w:hint="cs"/>
          <w:sz w:val="24"/>
          <w:szCs w:val="24"/>
          <w:rtl/>
        </w:rPr>
        <w:t xml:space="preserve"> </w:t>
      </w:r>
      <w:r w:rsidR="00056658">
        <w:rPr>
          <w:rFonts w:ascii="David" w:hAnsi="David" w:cs="David"/>
          <w:sz w:val="24"/>
          <w:szCs w:val="24"/>
          <w:rtl/>
        </w:rPr>
        <w:t>–</w:t>
      </w:r>
      <w:r w:rsidR="00042BF2">
        <w:rPr>
          <w:rFonts w:ascii="David" w:hAnsi="David" w:cs="David" w:hint="cs"/>
          <w:sz w:val="24"/>
          <w:szCs w:val="24"/>
          <w:rtl/>
        </w:rPr>
        <w:t xml:space="preserve"> </w:t>
      </w:r>
      <w:r w:rsidR="00937F41">
        <w:rPr>
          <w:rFonts w:ascii="David" w:hAnsi="David" w:cs="David" w:hint="cs"/>
          <w:sz w:val="24"/>
          <w:szCs w:val="24"/>
          <w:rtl/>
        </w:rPr>
        <w:t>השימוש ב</w:t>
      </w:r>
      <w:r w:rsidR="00056658">
        <w:rPr>
          <w:rFonts w:ascii="David" w:hAnsi="David" w:cs="David" w:hint="cs"/>
          <w:sz w:val="24"/>
          <w:szCs w:val="24"/>
          <w:rtl/>
        </w:rPr>
        <w:t xml:space="preserve">ה </w:t>
      </w:r>
      <w:r>
        <w:rPr>
          <w:rFonts w:ascii="David" w:hAnsi="David" w:cs="David" w:hint="cs"/>
          <w:sz w:val="24"/>
          <w:szCs w:val="24"/>
          <w:rtl/>
        </w:rPr>
        <w:t>מסתבר כמגוו</w:t>
      </w:r>
      <w:r w:rsidR="00937F41">
        <w:rPr>
          <w:rFonts w:ascii="David" w:hAnsi="David" w:cs="David" w:hint="cs"/>
          <w:sz w:val="24"/>
          <w:szCs w:val="24"/>
          <w:rtl/>
        </w:rPr>
        <w:t>ן</w:t>
      </w:r>
      <w:r>
        <w:rPr>
          <w:rFonts w:ascii="David" w:hAnsi="David" w:cs="David" w:hint="cs"/>
          <w:sz w:val="24"/>
          <w:szCs w:val="24"/>
          <w:rtl/>
        </w:rPr>
        <w:t xml:space="preserve"> יותר.</w:t>
      </w:r>
      <w:r w:rsidRPr="00352604">
        <w:rPr>
          <w:rFonts w:ascii="David" w:hAnsi="David" w:cs="David"/>
          <w:sz w:val="24"/>
          <w:szCs w:val="24"/>
          <w:rtl/>
        </w:rPr>
        <w:t xml:space="preserve"> </w:t>
      </w:r>
      <w:r>
        <w:rPr>
          <w:rFonts w:ascii="David" w:hAnsi="David" w:cs="David" w:hint="cs"/>
          <w:sz w:val="24"/>
          <w:szCs w:val="24"/>
          <w:rtl/>
        </w:rPr>
        <w:t xml:space="preserve">כפי שאראה להלן, </w:t>
      </w:r>
      <w:r w:rsidRPr="00352604">
        <w:rPr>
          <w:rFonts w:ascii="David" w:hAnsi="David" w:cs="David"/>
          <w:sz w:val="24"/>
          <w:szCs w:val="24"/>
          <w:rtl/>
        </w:rPr>
        <w:t>בהלכה התנאית ניתן להבחין בשלוש גישות כלפי ההלכות שמנומקות 'מפני דרכי שלום'</w:t>
      </w:r>
      <w:r w:rsidR="00ED4699">
        <w:rPr>
          <w:rFonts w:ascii="David" w:hAnsi="David" w:cs="David" w:hint="cs"/>
          <w:sz w:val="24"/>
          <w:szCs w:val="24"/>
          <w:rtl/>
        </w:rPr>
        <w:t xml:space="preserve">, שביניהן יש הבדלים </w:t>
      </w:r>
      <w:r w:rsidR="00ED4699">
        <w:rPr>
          <w:rFonts w:ascii="David" w:hAnsi="David" w:cs="David"/>
          <w:sz w:val="24"/>
          <w:szCs w:val="24"/>
          <w:rtl/>
        </w:rPr>
        <w:t>–</w:t>
      </w:r>
      <w:r w:rsidR="00ED4699">
        <w:rPr>
          <w:rFonts w:ascii="David" w:hAnsi="David" w:cs="David" w:hint="cs"/>
          <w:sz w:val="24"/>
          <w:szCs w:val="24"/>
          <w:rtl/>
        </w:rPr>
        <w:t xml:space="preserve"> בחלקם קלים </w:t>
      </w:r>
      <w:r w:rsidR="00ED4699">
        <w:rPr>
          <w:rFonts w:ascii="David" w:hAnsi="David" w:cs="David"/>
          <w:sz w:val="24"/>
          <w:szCs w:val="24"/>
          <w:rtl/>
        </w:rPr>
        <w:t>–</w:t>
      </w:r>
      <w:r w:rsidR="00ED4699">
        <w:rPr>
          <w:rFonts w:ascii="David" w:hAnsi="David" w:cs="David" w:hint="cs"/>
          <w:sz w:val="24"/>
          <w:szCs w:val="24"/>
          <w:rtl/>
        </w:rPr>
        <w:t xml:space="preserve"> ביחס לאותם מרכיבים שציינתי לעיל</w:t>
      </w:r>
      <w:r>
        <w:rPr>
          <w:rFonts w:ascii="David" w:hAnsi="David" w:cs="David" w:hint="cs"/>
          <w:sz w:val="24"/>
          <w:szCs w:val="24"/>
          <w:rtl/>
        </w:rPr>
        <w:t>:</w:t>
      </w:r>
      <w:r w:rsidRPr="00352604">
        <w:rPr>
          <w:rFonts w:ascii="David" w:hAnsi="David" w:cs="David"/>
          <w:sz w:val="24"/>
          <w:szCs w:val="24"/>
          <w:rtl/>
        </w:rPr>
        <w:t xml:space="preserve"> גישה מסתייגת, </w:t>
      </w:r>
      <w:r>
        <w:rPr>
          <w:rFonts w:ascii="David" w:hAnsi="David" w:cs="David" w:hint="cs"/>
          <w:sz w:val="24"/>
          <w:szCs w:val="24"/>
          <w:rtl/>
        </w:rPr>
        <w:t>ש</w:t>
      </w:r>
      <w:r w:rsidRPr="00352604">
        <w:rPr>
          <w:rFonts w:ascii="David" w:hAnsi="David" w:cs="David"/>
          <w:sz w:val="24"/>
          <w:szCs w:val="24"/>
          <w:rtl/>
        </w:rPr>
        <w:t>משתמשת בנימוק כדי להצדיק הלכות שבהן ישנה נסיגה של החכמים מן ההלכה שהיו רוצים לקבוע</w:t>
      </w:r>
      <w:r>
        <w:rPr>
          <w:rFonts w:ascii="David" w:hAnsi="David" w:cs="David" w:hint="cs"/>
          <w:sz w:val="24"/>
          <w:szCs w:val="24"/>
          <w:rtl/>
        </w:rPr>
        <w:t xml:space="preserve"> למעשה</w:t>
      </w:r>
      <w:r w:rsidRPr="00352604">
        <w:rPr>
          <w:rFonts w:ascii="David" w:hAnsi="David" w:cs="David"/>
          <w:sz w:val="24"/>
          <w:szCs w:val="24"/>
          <w:rtl/>
        </w:rPr>
        <w:t xml:space="preserve">, </w:t>
      </w:r>
      <w:r>
        <w:rPr>
          <w:rFonts w:ascii="David" w:hAnsi="David" w:cs="David" w:hint="cs"/>
          <w:sz w:val="24"/>
          <w:szCs w:val="24"/>
          <w:rtl/>
        </w:rPr>
        <w:t>אך ש</w:t>
      </w:r>
      <w:r w:rsidRPr="00352604">
        <w:rPr>
          <w:rFonts w:ascii="David" w:hAnsi="David" w:cs="David"/>
          <w:sz w:val="24"/>
          <w:szCs w:val="24"/>
          <w:rtl/>
        </w:rPr>
        <w:t xml:space="preserve">אינם יכולים עקב חולשה </w:t>
      </w:r>
      <w:r>
        <w:rPr>
          <w:rFonts w:ascii="David" w:hAnsi="David" w:cs="David" w:hint="cs"/>
          <w:sz w:val="24"/>
          <w:szCs w:val="24"/>
          <w:rtl/>
        </w:rPr>
        <w:t>(</w:t>
      </w:r>
      <w:r w:rsidRPr="00352604">
        <w:rPr>
          <w:rFonts w:ascii="David" w:hAnsi="David" w:cs="David"/>
          <w:sz w:val="24"/>
          <w:szCs w:val="24"/>
          <w:rtl/>
        </w:rPr>
        <w:t>פוליטית בעיקרה</w:t>
      </w:r>
      <w:r>
        <w:rPr>
          <w:rFonts w:ascii="David" w:hAnsi="David" w:cs="David" w:hint="cs"/>
          <w:sz w:val="24"/>
          <w:szCs w:val="24"/>
          <w:rtl/>
        </w:rPr>
        <w:t>)</w:t>
      </w:r>
      <w:r w:rsidRPr="00352604">
        <w:rPr>
          <w:rFonts w:ascii="David" w:hAnsi="David" w:cs="David"/>
          <w:sz w:val="24"/>
          <w:szCs w:val="24"/>
          <w:rtl/>
        </w:rPr>
        <w:t xml:space="preserve">; גישה פרגמטית, שמתלווה להלכות שמטרתן </w:t>
      </w:r>
      <w:r>
        <w:rPr>
          <w:rFonts w:ascii="David" w:hAnsi="David" w:cs="David" w:hint="cs"/>
          <w:sz w:val="24"/>
          <w:szCs w:val="24"/>
          <w:rtl/>
        </w:rPr>
        <w:t>לענות על</w:t>
      </w:r>
      <w:r w:rsidRPr="00352604">
        <w:rPr>
          <w:rFonts w:ascii="David" w:hAnsi="David" w:cs="David"/>
          <w:sz w:val="24"/>
          <w:szCs w:val="24"/>
          <w:rtl/>
        </w:rPr>
        <w:t xml:space="preserve"> לאקונות </w:t>
      </w:r>
      <w:r w:rsidR="00FB4B7B">
        <w:rPr>
          <w:rFonts w:ascii="David" w:hAnsi="David" w:cs="David" w:hint="cs"/>
          <w:sz w:val="24"/>
          <w:szCs w:val="24"/>
          <w:rtl/>
        </w:rPr>
        <w:t xml:space="preserve">נקודתיות </w:t>
      </w:r>
      <w:r w:rsidRPr="00352604">
        <w:rPr>
          <w:rFonts w:ascii="David" w:hAnsi="David" w:cs="David"/>
          <w:sz w:val="24"/>
          <w:szCs w:val="24"/>
          <w:rtl/>
        </w:rPr>
        <w:t>בהלכה; וגישה חיובית אשר רואה ב'דרכי השלום' עיקרון מטא־הלכתי</w:t>
      </w:r>
      <w:r w:rsidR="005B5F45">
        <w:rPr>
          <w:rFonts w:ascii="David" w:hAnsi="David" w:cs="David" w:hint="cs"/>
          <w:sz w:val="24"/>
          <w:szCs w:val="24"/>
          <w:rtl/>
        </w:rPr>
        <w:t xml:space="preserve"> שמבטא את מטרתה של התורה כולה</w:t>
      </w:r>
      <w:r w:rsidRPr="002E4FD4">
        <w:rPr>
          <w:rFonts w:ascii="David" w:hAnsi="David" w:cs="David"/>
          <w:sz w:val="24"/>
          <w:szCs w:val="24"/>
          <w:rtl/>
        </w:rPr>
        <w:t xml:space="preserve">. </w:t>
      </w:r>
    </w:p>
    <w:p w14:paraId="55657820" w14:textId="48B7D010" w:rsidR="00D729A4" w:rsidRDefault="003A1971" w:rsidP="00A24A3F">
      <w:pPr>
        <w:spacing w:line="480" w:lineRule="auto"/>
        <w:ind w:firstLine="720"/>
        <w:jc w:val="both"/>
        <w:rPr>
          <w:rFonts w:ascii="David" w:hAnsi="David" w:cs="David"/>
          <w:sz w:val="24"/>
          <w:szCs w:val="24"/>
          <w:rtl/>
        </w:rPr>
      </w:pPr>
      <w:r>
        <w:rPr>
          <w:rFonts w:ascii="David" w:hAnsi="David" w:cs="David" w:hint="cs"/>
          <w:sz w:val="24"/>
          <w:szCs w:val="24"/>
          <w:rtl/>
        </w:rPr>
        <w:t xml:space="preserve">מכיוון שהמונח 'מפני דרכי שלום' משמש כהצדקה משפטית, וזו מטבעה היא בעלת אופי נרטיבי </w:t>
      </w:r>
      <w:r>
        <w:rPr>
          <w:rFonts w:ascii="David" w:hAnsi="David" w:cs="David"/>
          <w:sz w:val="24"/>
          <w:szCs w:val="24"/>
          <w:rtl/>
        </w:rPr>
        <w:t>–</w:t>
      </w:r>
      <w:r w:rsidR="007F25CE">
        <w:rPr>
          <w:rFonts w:ascii="David" w:hAnsi="David" w:cs="David" w:hint="cs"/>
          <w:sz w:val="24"/>
          <w:szCs w:val="24"/>
          <w:rtl/>
        </w:rPr>
        <w:t xml:space="preserve"> </w:t>
      </w:r>
      <w:r>
        <w:rPr>
          <w:rFonts w:ascii="David" w:hAnsi="David" w:cs="David" w:hint="cs"/>
          <w:sz w:val="24"/>
          <w:szCs w:val="24"/>
          <w:rtl/>
        </w:rPr>
        <w:t>ה'סיפור' שמספק סיבה או תכלית, כלומר משמעות, לנורמה שמוצדקת על יד</w:t>
      </w:r>
      <w:r w:rsidR="00E72824">
        <w:rPr>
          <w:rFonts w:ascii="David" w:hAnsi="David" w:cs="David" w:hint="cs"/>
          <w:sz w:val="24"/>
          <w:szCs w:val="24"/>
          <w:rtl/>
        </w:rPr>
        <w:t>ו -</w:t>
      </w:r>
      <w:r w:rsidRPr="000E28A8">
        <w:rPr>
          <w:rFonts w:ascii="David" w:hAnsi="David" w:cs="David"/>
          <w:sz w:val="24"/>
          <w:szCs w:val="24"/>
          <w:rtl/>
        </w:rPr>
        <w:t xml:space="preserve"> </w:t>
      </w:r>
      <w:r w:rsidR="00017083" w:rsidRPr="000E28A8">
        <w:rPr>
          <w:rFonts w:ascii="David" w:hAnsi="David" w:cs="David"/>
          <w:sz w:val="24"/>
          <w:szCs w:val="24"/>
          <w:rtl/>
        </w:rPr>
        <w:t>במושג</w:t>
      </w:r>
      <w:r w:rsidR="00821286" w:rsidRPr="000E28A8">
        <w:rPr>
          <w:rFonts w:ascii="David" w:hAnsi="David" w:cs="David"/>
          <w:sz w:val="24"/>
          <w:szCs w:val="24"/>
          <w:rtl/>
        </w:rPr>
        <w:t xml:space="preserve">ים </w:t>
      </w:r>
      <w:r w:rsidR="00821286" w:rsidRPr="000E28A8">
        <w:rPr>
          <w:rFonts w:ascii="David" w:hAnsi="David" w:cs="David"/>
          <w:sz w:val="24"/>
          <w:szCs w:val="24"/>
          <w:rtl/>
        </w:rPr>
        <w:lastRenderedPageBreak/>
        <w:t>השאולים מת</w:t>
      </w:r>
      <w:r w:rsidR="003536A0" w:rsidRPr="000E28A8">
        <w:rPr>
          <w:rFonts w:ascii="David" w:hAnsi="David" w:cs="David"/>
          <w:sz w:val="24"/>
          <w:szCs w:val="24"/>
          <w:rtl/>
        </w:rPr>
        <w:t>ו</w:t>
      </w:r>
      <w:r w:rsidR="00821286" w:rsidRPr="000E28A8">
        <w:rPr>
          <w:rFonts w:ascii="David" w:hAnsi="David" w:cs="David"/>
          <w:sz w:val="24"/>
          <w:szCs w:val="24"/>
          <w:rtl/>
        </w:rPr>
        <w:t>ך המ</w:t>
      </w:r>
      <w:r w:rsidR="00152B79">
        <w:rPr>
          <w:rFonts w:ascii="David" w:hAnsi="David" w:cs="David" w:hint="cs"/>
          <w:sz w:val="24"/>
          <w:szCs w:val="24"/>
          <w:rtl/>
        </w:rPr>
        <w:t>סה</w:t>
      </w:r>
      <w:r w:rsidR="00821286" w:rsidRPr="000E28A8">
        <w:rPr>
          <w:rFonts w:ascii="David" w:hAnsi="David" w:cs="David"/>
          <w:sz w:val="24"/>
          <w:szCs w:val="24"/>
          <w:rtl/>
        </w:rPr>
        <w:t xml:space="preserve"> המפורסמת 'נומוס ונארטיב'</w:t>
      </w:r>
      <w:r w:rsidR="00017083" w:rsidRPr="000E28A8">
        <w:rPr>
          <w:rFonts w:ascii="David" w:hAnsi="David" w:cs="David"/>
          <w:sz w:val="24"/>
          <w:szCs w:val="24"/>
          <w:rtl/>
        </w:rPr>
        <w:t xml:space="preserve"> של רוברט קאבר</w:t>
      </w:r>
      <w:r w:rsidR="00486047" w:rsidRPr="000E28A8">
        <w:rPr>
          <w:rStyle w:val="a5"/>
          <w:rFonts w:ascii="David" w:hAnsi="David" w:cs="David"/>
          <w:sz w:val="24"/>
          <w:szCs w:val="24"/>
          <w:rtl/>
        </w:rPr>
        <w:footnoteReference w:id="4"/>
      </w:r>
      <w:r w:rsidR="00017083" w:rsidRPr="000E28A8">
        <w:rPr>
          <w:rFonts w:ascii="David" w:hAnsi="David" w:cs="David"/>
          <w:sz w:val="24"/>
          <w:szCs w:val="24"/>
          <w:rtl/>
        </w:rPr>
        <w:t xml:space="preserve"> </w:t>
      </w:r>
      <w:r w:rsidR="0062245F" w:rsidRPr="000E28A8">
        <w:rPr>
          <w:rFonts w:ascii="David" w:hAnsi="David" w:cs="David"/>
          <w:sz w:val="24"/>
          <w:szCs w:val="24"/>
          <w:rtl/>
        </w:rPr>
        <w:t>נוכל לומר</w:t>
      </w:r>
      <w:r w:rsidR="00056D7C">
        <w:rPr>
          <w:rFonts w:ascii="David" w:hAnsi="David" w:cs="David" w:hint="cs"/>
          <w:sz w:val="24"/>
          <w:szCs w:val="24"/>
          <w:rtl/>
        </w:rPr>
        <w:t>,</w:t>
      </w:r>
      <w:r w:rsidR="0062245F" w:rsidRPr="000E28A8">
        <w:rPr>
          <w:rFonts w:ascii="David" w:hAnsi="David" w:cs="David"/>
          <w:sz w:val="24"/>
          <w:szCs w:val="24"/>
          <w:rtl/>
        </w:rPr>
        <w:t xml:space="preserve"> </w:t>
      </w:r>
      <w:r w:rsidR="00056D7C">
        <w:rPr>
          <w:rFonts w:ascii="David" w:hAnsi="David" w:cs="David" w:hint="cs"/>
          <w:sz w:val="24"/>
          <w:szCs w:val="24"/>
          <w:rtl/>
        </w:rPr>
        <w:t>כי על אף</w:t>
      </w:r>
      <w:r w:rsidR="0062245F" w:rsidRPr="000E28A8">
        <w:rPr>
          <w:rFonts w:ascii="David" w:hAnsi="David" w:cs="David"/>
          <w:sz w:val="24"/>
          <w:szCs w:val="24"/>
          <w:rtl/>
        </w:rPr>
        <w:t xml:space="preserve"> </w:t>
      </w:r>
      <w:r w:rsidR="00056D7C">
        <w:rPr>
          <w:rFonts w:ascii="David" w:hAnsi="David" w:cs="David" w:hint="cs"/>
          <w:sz w:val="24"/>
          <w:szCs w:val="24"/>
          <w:rtl/>
        </w:rPr>
        <w:t>ש</w:t>
      </w:r>
      <w:r w:rsidR="0062245F" w:rsidRPr="000E28A8">
        <w:rPr>
          <w:rFonts w:ascii="David" w:hAnsi="David" w:cs="David"/>
          <w:sz w:val="24"/>
          <w:szCs w:val="24"/>
          <w:rtl/>
        </w:rPr>
        <w:t>היקום ה</w:t>
      </w:r>
      <w:r w:rsidR="00AC2CA4" w:rsidRPr="000E28A8">
        <w:rPr>
          <w:rFonts w:ascii="David" w:hAnsi="David" w:cs="David"/>
          <w:sz w:val="24"/>
          <w:szCs w:val="24"/>
          <w:rtl/>
        </w:rPr>
        <w:t>נורמטיבי</w:t>
      </w:r>
      <w:r w:rsidR="007F2D73">
        <w:rPr>
          <w:rFonts w:ascii="David" w:hAnsi="David" w:cs="David" w:hint="cs"/>
          <w:sz w:val="24"/>
          <w:szCs w:val="24"/>
          <w:rtl/>
        </w:rPr>
        <w:t>,</w:t>
      </w:r>
      <w:r w:rsidR="00AC2CA4" w:rsidRPr="000E28A8">
        <w:rPr>
          <w:rFonts w:ascii="David" w:hAnsi="David" w:cs="David"/>
          <w:sz w:val="24"/>
          <w:szCs w:val="24"/>
          <w:rtl/>
        </w:rPr>
        <w:t xml:space="preserve"> </w:t>
      </w:r>
      <w:r w:rsidR="0062245F" w:rsidRPr="000E28A8">
        <w:rPr>
          <w:rFonts w:ascii="David" w:hAnsi="David" w:cs="David"/>
          <w:sz w:val="24"/>
          <w:szCs w:val="24"/>
          <w:rtl/>
        </w:rPr>
        <w:t>שבתוכו נוצרה ו</w:t>
      </w:r>
      <w:r w:rsidR="00387204">
        <w:rPr>
          <w:rFonts w:ascii="David" w:hAnsi="David" w:cs="David" w:hint="cs"/>
          <w:sz w:val="24"/>
          <w:szCs w:val="24"/>
          <w:rtl/>
        </w:rPr>
        <w:t>פעל</w:t>
      </w:r>
      <w:r w:rsidR="00C46735">
        <w:rPr>
          <w:rFonts w:ascii="David" w:hAnsi="David" w:cs="David" w:hint="cs"/>
          <w:sz w:val="24"/>
          <w:szCs w:val="24"/>
          <w:rtl/>
        </w:rPr>
        <w:t>ה</w:t>
      </w:r>
      <w:r w:rsidR="0062245F" w:rsidRPr="000E28A8">
        <w:rPr>
          <w:rFonts w:ascii="David" w:hAnsi="David" w:cs="David"/>
          <w:sz w:val="24"/>
          <w:szCs w:val="24"/>
          <w:rtl/>
        </w:rPr>
        <w:t xml:space="preserve"> </w:t>
      </w:r>
      <w:r w:rsidR="00AC2CA4" w:rsidRPr="000E28A8">
        <w:rPr>
          <w:rFonts w:ascii="David" w:hAnsi="David" w:cs="David"/>
          <w:sz w:val="24"/>
          <w:szCs w:val="24"/>
          <w:rtl/>
        </w:rPr>
        <w:t>הנמקת 'דרכי השלום'</w:t>
      </w:r>
      <w:r w:rsidR="007F2D73">
        <w:rPr>
          <w:rFonts w:ascii="David" w:hAnsi="David" w:cs="David" w:hint="cs"/>
          <w:sz w:val="24"/>
          <w:szCs w:val="24"/>
          <w:rtl/>
        </w:rPr>
        <w:t>,</w:t>
      </w:r>
      <w:r w:rsidR="0062245F" w:rsidRPr="000E28A8">
        <w:rPr>
          <w:rFonts w:ascii="David" w:hAnsi="David" w:cs="David"/>
          <w:sz w:val="24"/>
          <w:szCs w:val="24"/>
          <w:rtl/>
        </w:rPr>
        <w:t xml:space="preserve"> הוא אותו היקום – הנומוס של תקופת המשנה</w:t>
      </w:r>
      <w:r w:rsidR="00780225">
        <w:rPr>
          <w:rFonts w:ascii="David" w:hAnsi="David" w:cs="David" w:hint="cs"/>
          <w:sz w:val="24"/>
          <w:szCs w:val="24"/>
          <w:rtl/>
        </w:rPr>
        <w:t xml:space="preserve">, </w:t>
      </w:r>
      <w:r w:rsidR="009F7A99">
        <w:rPr>
          <w:rFonts w:ascii="David" w:hAnsi="David" w:cs="David" w:hint="cs"/>
          <w:sz w:val="24"/>
          <w:szCs w:val="24"/>
          <w:rtl/>
        </w:rPr>
        <w:t>ההקשרים שבתוכם פועלת ההנמקה</w:t>
      </w:r>
      <w:r w:rsidR="0062245F" w:rsidRPr="000E28A8">
        <w:rPr>
          <w:rFonts w:ascii="David" w:hAnsi="David" w:cs="David"/>
          <w:sz w:val="24"/>
          <w:szCs w:val="24"/>
          <w:rtl/>
        </w:rPr>
        <w:t xml:space="preserve"> משק</w:t>
      </w:r>
      <w:r w:rsidR="009F7A99">
        <w:rPr>
          <w:rFonts w:ascii="David" w:hAnsi="David" w:cs="David" w:hint="cs"/>
          <w:sz w:val="24"/>
          <w:szCs w:val="24"/>
          <w:rtl/>
        </w:rPr>
        <w:t>פים</w:t>
      </w:r>
      <w:r w:rsidR="00821286" w:rsidRPr="000E28A8">
        <w:rPr>
          <w:rFonts w:ascii="David" w:hAnsi="David" w:cs="David"/>
          <w:sz w:val="24"/>
          <w:szCs w:val="24"/>
          <w:rtl/>
        </w:rPr>
        <w:t xml:space="preserve"> יותר מאשר נרטיב אחד </w:t>
      </w:r>
      <w:r w:rsidR="00FA0B23">
        <w:rPr>
          <w:rFonts w:ascii="David" w:hAnsi="David" w:cs="David" w:hint="cs"/>
          <w:sz w:val="24"/>
          <w:szCs w:val="24"/>
          <w:rtl/>
        </w:rPr>
        <w:t xml:space="preserve">אשר </w:t>
      </w:r>
      <w:r w:rsidR="003536A0" w:rsidRPr="000E28A8">
        <w:rPr>
          <w:rFonts w:ascii="David" w:hAnsi="David" w:cs="David"/>
          <w:sz w:val="24"/>
          <w:szCs w:val="24"/>
          <w:rtl/>
        </w:rPr>
        <w:t>מזין</w:t>
      </w:r>
      <w:r w:rsidR="00376912">
        <w:rPr>
          <w:rFonts w:ascii="David" w:hAnsi="David" w:cs="David" w:hint="cs"/>
          <w:sz w:val="24"/>
          <w:szCs w:val="24"/>
          <w:rtl/>
        </w:rPr>
        <w:t xml:space="preserve"> אותה</w:t>
      </w:r>
      <w:r w:rsidR="00945985">
        <w:rPr>
          <w:rFonts w:ascii="David" w:hAnsi="David" w:cs="David" w:hint="cs"/>
          <w:sz w:val="24"/>
          <w:szCs w:val="24"/>
          <w:rtl/>
        </w:rPr>
        <w:t>.</w:t>
      </w:r>
      <w:r w:rsidR="00C0478B">
        <w:rPr>
          <w:rFonts w:ascii="David" w:hAnsi="David" w:cs="David" w:hint="cs"/>
          <w:sz w:val="24"/>
          <w:szCs w:val="24"/>
          <w:rtl/>
        </w:rPr>
        <w:t xml:space="preserve"> </w:t>
      </w:r>
    </w:p>
    <w:p w14:paraId="61CF1CFC" w14:textId="71B83DBC" w:rsidR="00431AB6" w:rsidRDefault="005D18EE" w:rsidP="00431AB6">
      <w:pPr>
        <w:spacing w:line="480" w:lineRule="auto"/>
        <w:ind w:firstLine="720"/>
        <w:jc w:val="both"/>
        <w:rPr>
          <w:rFonts w:ascii="David" w:hAnsi="David" w:cs="David"/>
          <w:sz w:val="24"/>
          <w:szCs w:val="24"/>
          <w:rtl/>
        </w:rPr>
      </w:pPr>
      <w:r w:rsidRPr="00547CB3">
        <w:rPr>
          <w:rFonts w:ascii="David" w:hAnsi="David" w:cs="David"/>
          <w:sz w:val="24"/>
          <w:szCs w:val="24"/>
          <w:rtl/>
        </w:rPr>
        <w:t xml:space="preserve">מאמר זה יוקדש אפוא לחשיפתם של הנרטיבים השונים שסובבים את הנמקת 'מפני דרכי השלום' בתקופה התנאית, </w:t>
      </w:r>
      <w:r>
        <w:rPr>
          <w:rFonts w:ascii="David" w:hAnsi="David" w:cs="David" w:hint="cs"/>
          <w:sz w:val="24"/>
          <w:szCs w:val="24"/>
          <w:rtl/>
        </w:rPr>
        <w:t xml:space="preserve">כמו גם </w:t>
      </w:r>
      <w:r w:rsidRPr="00547CB3">
        <w:rPr>
          <w:rFonts w:ascii="David" w:hAnsi="David" w:cs="David"/>
          <w:sz w:val="24"/>
          <w:szCs w:val="24"/>
          <w:rtl/>
        </w:rPr>
        <w:t>של הניואנסים המשפטיים שמתלווים</w:t>
      </w:r>
      <w:r>
        <w:rPr>
          <w:rFonts w:ascii="David" w:hAnsi="David" w:cs="David" w:hint="cs"/>
          <w:sz w:val="24"/>
          <w:szCs w:val="24"/>
          <w:rtl/>
        </w:rPr>
        <w:t xml:space="preserve"> אליהם</w:t>
      </w:r>
      <w:r w:rsidR="001840AB">
        <w:rPr>
          <w:rFonts w:ascii="David" w:hAnsi="David" w:cs="David" w:hint="cs"/>
          <w:sz w:val="24"/>
          <w:szCs w:val="24"/>
          <w:rtl/>
        </w:rPr>
        <w:t>.</w:t>
      </w:r>
      <w:r w:rsidRPr="00547CB3">
        <w:rPr>
          <w:rFonts w:ascii="David" w:hAnsi="David" w:cs="David"/>
          <w:sz w:val="24"/>
          <w:szCs w:val="24"/>
          <w:rtl/>
        </w:rPr>
        <w:t xml:space="preserve"> </w:t>
      </w:r>
      <w:r>
        <w:rPr>
          <w:rFonts w:ascii="David" w:hAnsi="David" w:cs="David" w:hint="cs"/>
          <w:sz w:val="24"/>
          <w:szCs w:val="24"/>
          <w:rtl/>
        </w:rPr>
        <w:t xml:space="preserve">הוא </w:t>
      </w:r>
      <w:r w:rsidR="002444DE">
        <w:rPr>
          <w:rFonts w:ascii="David" w:hAnsi="David" w:cs="David" w:hint="cs"/>
          <w:sz w:val="24"/>
          <w:szCs w:val="24"/>
          <w:rtl/>
        </w:rPr>
        <w:t>י</w:t>
      </w:r>
      <w:r w:rsidR="00431AB6">
        <w:rPr>
          <w:rFonts w:ascii="David" w:hAnsi="David" w:cs="David" w:hint="cs"/>
          <w:sz w:val="24"/>
          <w:szCs w:val="24"/>
          <w:rtl/>
        </w:rPr>
        <w:t>תרום</w:t>
      </w:r>
      <w:r w:rsidR="002444DE">
        <w:rPr>
          <w:rFonts w:ascii="David" w:hAnsi="David" w:cs="David" w:hint="cs"/>
          <w:sz w:val="24"/>
          <w:szCs w:val="24"/>
          <w:rtl/>
        </w:rPr>
        <w:t>, כך אני מקווה,</w:t>
      </w:r>
      <w:r w:rsidR="00431AB6">
        <w:rPr>
          <w:rFonts w:ascii="David" w:hAnsi="David" w:cs="David" w:hint="cs"/>
          <w:sz w:val="24"/>
          <w:szCs w:val="24"/>
          <w:rtl/>
        </w:rPr>
        <w:t xml:space="preserve"> למספר קהילות מחקריות. הוא עשוי לעניין את חוקרי הספרות הרבנית בהציעו דיוק רב יותר בשימוש שנעשה על ידי חכמים ברעיון 'דרכי השלום' בתקופת המשנה (ובמידת מה גם בתקופת התלמוד). המעקב אחר רעיון זה פונה גם לחוקרים </w:t>
      </w:r>
      <w:r w:rsidR="000F00B6">
        <w:rPr>
          <w:rFonts w:ascii="David" w:hAnsi="David" w:cs="David" w:hint="cs"/>
          <w:sz w:val="24"/>
          <w:szCs w:val="24"/>
          <w:rtl/>
        </w:rPr>
        <w:t xml:space="preserve">מתחום </w:t>
      </w:r>
      <w:r w:rsidR="00431AB6">
        <w:rPr>
          <w:rFonts w:ascii="David" w:hAnsi="David" w:cs="David" w:hint="cs"/>
          <w:sz w:val="24"/>
          <w:szCs w:val="24"/>
          <w:rtl/>
        </w:rPr>
        <w:t xml:space="preserve">מדעי הדתות, שכן רעיון </w:t>
      </w:r>
      <w:r w:rsidR="001840AB">
        <w:rPr>
          <w:rFonts w:ascii="David" w:hAnsi="David" w:cs="David" w:hint="cs"/>
          <w:sz w:val="24"/>
          <w:szCs w:val="24"/>
          <w:rtl/>
        </w:rPr>
        <w:t xml:space="preserve">'דרכי השלום' </w:t>
      </w:r>
      <w:r w:rsidR="00431AB6">
        <w:rPr>
          <w:rFonts w:ascii="David" w:hAnsi="David" w:cs="David" w:hint="cs"/>
          <w:sz w:val="24"/>
          <w:szCs w:val="24"/>
          <w:rtl/>
        </w:rPr>
        <w:t xml:space="preserve">יושם בשלבים מאוחרים יותר על עוד ועוד מגעים </w:t>
      </w:r>
      <w:r w:rsidR="001840AB">
        <w:rPr>
          <w:rFonts w:ascii="David" w:hAnsi="David" w:cs="David" w:hint="cs"/>
          <w:sz w:val="24"/>
          <w:szCs w:val="24"/>
          <w:rtl/>
        </w:rPr>
        <w:t xml:space="preserve">שהתקיימו </w:t>
      </w:r>
      <w:r w:rsidR="00431AB6">
        <w:rPr>
          <w:rFonts w:ascii="David" w:hAnsi="David" w:cs="David" w:hint="cs"/>
          <w:sz w:val="24"/>
          <w:szCs w:val="24"/>
          <w:rtl/>
        </w:rPr>
        <w:t xml:space="preserve">בין הקהילות היהודיות לבין התרבויות הדתיות שבתוכן שכנו. בהקשר זה מעניין לבחון אותו כייצוג לנרטיבים של קבוצות מיעוט, שבאות להסביר לעצמן את הבחירות הנורמטיביות שהן עושות לנוכח החיים לצד ובתוך תרבות הרוב. הוא פונה להיסטוריוניים של המשפט מזה ולתאורטיקנים של המשפט מזה, בהדגימו </w:t>
      </w:r>
      <w:r w:rsidR="00431AB6">
        <w:rPr>
          <w:rFonts w:ascii="David" w:hAnsi="David" w:cs="David" w:hint="cs"/>
          <w:sz w:val="24"/>
          <w:szCs w:val="24"/>
          <w:rtl/>
        </w:rPr>
        <w:lastRenderedPageBreak/>
        <w:t>את תפקידן ותיפקודן של הנמקות משפטיות מפורשות כמרכיב נרטיבי במערכת המשפטית</w:t>
      </w:r>
      <w:r>
        <w:rPr>
          <w:rFonts w:ascii="David" w:hAnsi="David" w:cs="David" w:hint="cs"/>
          <w:sz w:val="24"/>
          <w:szCs w:val="24"/>
          <w:rtl/>
        </w:rPr>
        <w:t xml:space="preserve"> בכלל, ובהלכה היהודית בפרט</w:t>
      </w:r>
      <w:r w:rsidR="00431AB6">
        <w:rPr>
          <w:rFonts w:ascii="David" w:hAnsi="David" w:cs="David" w:hint="cs"/>
          <w:sz w:val="24"/>
          <w:szCs w:val="24"/>
          <w:rtl/>
        </w:rPr>
        <w:t xml:space="preserve">. תרומתו המרכזית בהקשר זה </w:t>
      </w:r>
      <w:r w:rsidR="005217FE">
        <w:rPr>
          <w:rFonts w:ascii="David" w:hAnsi="David" w:cs="David" w:hint="cs"/>
          <w:sz w:val="24"/>
          <w:szCs w:val="24"/>
          <w:rtl/>
        </w:rPr>
        <w:t xml:space="preserve">תהיה </w:t>
      </w:r>
      <w:r w:rsidR="00431AB6">
        <w:rPr>
          <w:rFonts w:ascii="David" w:hAnsi="David" w:cs="David" w:hint="cs"/>
          <w:sz w:val="24"/>
          <w:szCs w:val="24"/>
          <w:rtl/>
        </w:rPr>
        <w:t xml:space="preserve">ההבנה כי כאשר בוחנים בתוך מערכת משפטית נתונה את אותו הרכיב עצמו, אשר </w:t>
      </w:r>
      <w:r w:rsidR="00F63442">
        <w:rPr>
          <w:rFonts w:ascii="David" w:hAnsi="David" w:cs="David" w:hint="cs"/>
          <w:sz w:val="24"/>
          <w:szCs w:val="24"/>
          <w:rtl/>
        </w:rPr>
        <w:t xml:space="preserve">לכאורה </w:t>
      </w:r>
      <w:r w:rsidR="00431AB6">
        <w:rPr>
          <w:rFonts w:ascii="David" w:hAnsi="David" w:cs="David" w:hint="cs"/>
          <w:sz w:val="24"/>
          <w:szCs w:val="24"/>
          <w:rtl/>
        </w:rPr>
        <w:t xml:space="preserve">אמור לשאת בכל מופעיו את אותם </w:t>
      </w:r>
      <w:r w:rsidR="00F336C7">
        <w:rPr>
          <w:rFonts w:ascii="David" w:hAnsi="David" w:cs="David" w:hint="cs"/>
          <w:sz w:val="24"/>
          <w:szCs w:val="24"/>
          <w:rtl/>
        </w:rPr>
        <w:t>היבט</w:t>
      </w:r>
      <w:r w:rsidR="00431AB6">
        <w:rPr>
          <w:rFonts w:ascii="David" w:hAnsi="David" w:cs="David" w:hint="cs"/>
          <w:sz w:val="24"/>
          <w:szCs w:val="24"/>
          <w:rtl/>
        </w:rPr>
        <w:t>ים רעיוניים, נרטיביים ויוריספרודנטיים, התמונה עשויה להתברר כעשירה יותר מאשר מה שנדמה במבט ראשון.</w:t>
      </w:r>
    </w:p>
    <w:p w14:paraId="13F7EF05" w14:textId="629139AF" w:rsidR="00EF4524" w:rsidRDefault="000F00B6" w:rsidP="00BD00A6">
      <w:pPr>
        <w:spacing w:line="480" w:lineRule="auto"/>
        <w:ind w:firstLine="720"/>
        <w:jc w:val="both"/>
        <w:rPr>
          <w:rFonts w:ascii="David" w:hAnsi="David" w:cs="David"/>
          <w:sz w:val="24"/>
          <w:szCs w:val="24"/>
          <w:rtl/>
        </w:rPr>
      </w:pPr>
      <w:r>
        <w:rPr>
          <w:rFonts w:ascii="David" w:hAnsi="David" w:cs="David" w:hint="cs"/>
          <w:sz w:val="24"/>
          <w:szCs w:val="24"/>
          <w:rtl/>
        </w:rPr>
        <w:t xml:space="preserve">המאמר </w:t>
      </w:r>
      <w:r w:rsidR="00937F41">
        <w:rPr>
          <w:rFonts w:ascii="David" w:hAnsi="David" w:cs="David" w:hint="cs"/>
          <w:sz w:val="24"/>
          <w:szCs w:val="24"/>
          <w:rtl/>
        </w:rPr>
        <w:t>מורכב מ</w:t>
      </w:r>
      <w:r w:rsidR="00B25B33">
        <w:rPr>
          <w:rFonts w:ascii="David" w:hAnsi="David" w:cs="David" w:hint="cs"/>
          <w:sz w:val="24"/>
          <w:szCs w:val="24"/>
          <w:rtl/>
        </w:rPr>
        <w:t>ש</w:t>
      </w:r>
      <w:r w:rsidR="00D36EAF">
        <w:rPr>
          <w:rFonts w:ascii="David" w:hAnsi="David" w:cs="David" w:hint="cs"/>
          <w:sz w:val="24"/>
          <w:szCs w:val="24"/>
          <w:rtl/>
        </w:rPr>
        <w:t xml:space="preserve">ישה חלקים. </w:t>
      </w:r>
      <w:r w:rsidR="00B25B33">
        <w:rPr>
          <w:rFonts w:ascii="David" w:hAnsi="David" w:cs="David" w:hint="cs"/>
          <w:sz w:val="24"/>
          <w:szCs w:val="24"/>
          <w:rtl/>
        </w:rPr>
        <w:t>ב</w:t>
      </w:r>
      <w:r w:rsidR="00D36EAF">
        <w:rPr>
          <w:rFonts w:ascii="David" w:hAnsi="David" w:cs="David" w:hint="cs"/>
          <w:sz w:val="24"/>
          <w:szCs w:val="24"/>
          <w:rtl/>
        </w:rPr>
        <w:t>שלושת החלקים הראשונים</w:t>
      </w:r>
      <w:r w:rsidR="00B25B33">
        <w:rPr>
          <w:rFonts w:ascii="David" w:hAnsi="David" w:cs="David" w:hint="cs"/>
          <w:sz w:val="24"/>
          <w:szCs w:val="24"/>
          <w:rtl/>
        </w:rPr>
        <w:t xml:space="preserve"> אציג את הגישות השונות</w:t>
      </w:r>
      <w:r w:rsidR="00CA304F">
        <w:rPr>
          <w:rFonts w:ascii="David" w:hAnsi="David" w:cs="David" w:hint="cs"/>
          <w:sz w:val="24"/>
          <w:szCs w:val="24"/>
          <w:rtl/>
        </w:rPr>
        <w:t>,</w:t>
      </w:r>
      <w:r w:rsidR="00B25B33">
        <w:rPr>
          <w:rFonts w:ascii="David" w:hAnsi="David" w:cs="David" w:hint="cs"/>
          <w:sz w:val="24"/>
          <w:szCs w:val="24"/>
          <w:rtl/>
        </w:rPr>
        <w:t xml:space="preserve"> ואדגים כל אחת מהן באמצעות ניתוח</w:t>
      </w:r>
      <w:r w:rsidR="00CA304F">
        <w:rPr>
          <w:rFonts w:ascii="David" w:hAnsi="David" w:cs="David" w:hint="cs"/>
          <w:sz w:val="24"/>
          <w:szCs w:val="24"/>
          <w:rtl/>
        </w:rPr>
        <w:t>ן</w:t>
      </w:r>
      <w:r w:rsidR="00B25B33">
        <w:rPr>
          <w:rFonts w:ascii="David" w:hAnsi="David" w:cs="David" w:hint="cs"/>
          <w:sz w:val="24"/>
          <w:szCs w:val="24"/>
          <w:rtl/>
        </w:rPr>
        <w:t xml:space="preserve"> של מספר הלכות מייצגות.</w:t>
      </w:r>
      <w:r w:rsidR="00B25B33">
        <w:rPr>
          <w:rStyle w:val="a5"/>
          <w:rFonts w:ascii="David" w:hAnsi="David" w:cs="David"/>
          <w:sz w:val="24"/>
          <w:szCs w:val="24"/>
          <w:rtl/>
        </w:rPr>
        <w:footnoteReference w:id="5"/>
      </w:r>
      <w:r w:rsidR="008D0BA9">
        <w:rPr>
          <w:rFonts w:ascii="David" w:hAnsi="David" w:cs="David" w:hint="cs"/>
          <w:sz w:val="24"/>
          <w:szCs w:val="24"/>
          <w:rtl/>
        </w:rPr>
        <w:t xml:space="preserve"> </w:t>
      </w:r>
      <w:r w:rsidR="00B25B33">
        <w:rPr>
          <w:rFonts w:ascii="David" w:hAnsi="David" w:cs="David" w:hint="cs"/>
          <w:sz w:val="24"/>
          <w:szCs w:val="24"/>
          <w:rtl/>
        </w:rPr>
        <w:t xml:space="preserve">המחקר בחלקים אלו יתבסס על </w:t>
      </w:r>
      <w:r w:rsidR="00D36EAF">
        <w:rPr>
          <w:rFonts w:ascii="David" w:hAnsi="David" w:cs="David" w:hint="cs"/>
          <w:sz w:val="24"/>
          <w:szCs w:val="24"/>
          <w:rtl/>
        </w:rPr>
        <w:t>ניתוח פילולוגי, היסטורי, סוציולוגי וספרותי של המקורות הטקסטואליים.</w:t>
      </w:r>
      <w:r w:rsidR="008D2CB4">
        <w:rPr>
          <w:rFonts w:ascii="David" w:hAnsi="David" w:cs="David" w:hint="cs"/>
          <w:szCs w:val="24"/>
          <w:rtl/>
        </w:rPr>
        <w:t xml:space="preserve"> </w:t>
      </w:r>
      <w:r w:rsidR="00D36EAF">
        <w:rPr>
          <w:rFonts w:ascii="David" w:hAnsi="David" w:cs="David" w:hint="cs"/>
          <w:szCs w:val="24"/>
          <w:rtl/>
        </w:rPr>
        <w:t>בחלק הרביעי אסקור בקצרה את התזה של רוברט קאבר במסה 'נומוס ונרטיב'</w:t>
      </w:r>
      <w:r w:rsidR="00B25B33">
        <w:rPr>
          <w:rFonts w:ascii="David" w:hAnsi="David" w:cs="David" w:hint="cs"/>
          <w:szCs w:val="24"/>
          <w:rtl/>
        </w:rPr>
        <w:t>, ואת מפת המושגים שהיא מציעה</w:t>
      </w:r>
      <w:r w:rsidR="00D36EAF">
        <w:rPr>
          <w:rFonts w:ascii="David" w:hAnsi="David" w:cs="David" w:hint="cs"/>
          <w:szCs w:val="24"/>
          <w:rtl/>
        </w:rPr>
        <w:t>.</w:t>
      </w:r>
      <w:r w:rsidR="00B94623">
        <w:rPr>
          <w:rStyle w:val="a5"/>
          <w:rFonts w:ascii="David" w:hAnsi="David" w:cs="David"/>
          <w:szCs w:val="24"/>
          <w:rtl/>
        </w:rPr>
        <w:footnoteReference w:id="6"/>
      </w:r>
      <w:r w:rsidR="008D2CB4">
        <w:rPr>
          <w:rFonts w:ascii="David" w:hAnsi="David" w:cs="David" w:hint="cs"/>
          <w:szCs w:val="24"/>
          <w:rtl/>
        </w:rPr>
        <w:t xml:space="preserve"> </w:t>
      </w:r>
      <w:r w:rsidR="005745F9">
        <w:rPr>
          <w:rFonts w:ascii="David" w:hAnsi="David" w:cs="David" w:hint="cs"/>
          <w:sz w:val="24"/>
          <w:szCs w:val="24"/>
          <w:rtl/>
        </w:rPr>
        <w:lastRenderedPageBreak/>
        <w:t xml:space="preserve">לאורם </w:t>
      </w:r>
      <w:r w:rsidR="00B25B33">
        <w:rPr>
          <w:rFonts w:ascii="David" w:hAnsi="David" w:cs="David" w:hint="cs"/>
          <w:sz w:val="24"/>
          <w:szCs w:val="24"/>
          <w:rtl/>
        </w:rPr>
        <w:t xml:space="preserve">ייבחנו </w:t>
      </w:r>
      <w:r w:rsidR="00D36EAF">
        <w:rPr>
          <w:rFonts w:ascii="David" w:hAnsi="David" w:cs="David" w:hint="cs"/>
          <w:sz w:val="24"/>
          <w:szCs w:val="24"/>
          <w:rtl/>
        </w:rPr>
        <w:t xml:space="preserve">בחלק </w:t>
      </w:r>
      <w:r w:rsidR="001171AC">
        <w:rPr>
          <w:rFonts w:ascii="David" w:hAnsi="David" w:cs="David" w:hint="cs"/>
          <w:sz w:val="24"/>
          <w:szCs w:val="24"/>
          <w:rtl/>
        </w:rPr>
        <w:t>ה</w:t>
      </w:r>
      <w:r w:rsidR="00D36EAF">
        <w:rPr>
          <w:rFonts w:ascii="David" w:hAnsi="David" w:cs="David" w:hint="cs"/>
          <w:sz w:val="24"/>
          <w:szCs w:val="24"/>
          <w:rtl/>
        </w:rPr>
        <w:t xml:space="preserve">חמישי </w:t>
      </w:r>
      <w:r w:rsidR="008D2CB4" w:rsidRPr="002E4FD4">
        <w:rPr>
          <w:rFonts w:ascii="David" w:hAnsi="David" w:cs="David"/>
          <w:sz w:val="24"/>
          <w:szCs w:val="24"/>
          <w:rtl/>
        </w:rPr>
        <w:t>הזיקות ש</w:t>
      </w:r>
      <w:r w:rsidR="005C6F29">
        <w:rPr>
          <w:rFonts w:ascii="David" w:hAnsi="David" w:cs="David" w:hint="cs"/>
          <w:sz w:val="24"/>
          <w:szCs w:val="24"/>
          <w:rtl/>
        </w:rPr>
        <w:t>מתקיימות</w:t>
      </w:r>
      <w:r w:rsidR="008D2CB4" w:rsidRPr="002E4FD4">
        <w:rPr>
          <w:rFonts w:ascii="David" w:hAnsi="David" w:cs="David"/>
          <w:sz w:val="24"/>
          <w:szCs w:val="24"/>
          <w:rtl/>
        </w:rPr>
        <w:t xml:space="preserve"> </w:t>
      </w:r>
      <w:r w:rsidR="005C6F29">
        <w:rPr>
          <w:rFonts w:ascii="David" w:hAnsi="David" w:cs="David" w:hint="cs"/>
          <w:sz w:val="24"/>
          <w:szCs w:val="24"/>
          <w:rtl/>
        </w:rPr>
        <w:t>ב</w:t>
      </w:r>
      <w:r w:rsidR="008D2CB4" w:rsidRPr="002E4FD4">
        <w:rPr>
          <w:rFonts w:ascii="David" w:hAnsi="David" w:cs="David"/>
          <w:sz w:val="24"/>
          <w:szCs w:val="24"/>
          <w:rtl/>
        </w:rPr>
        <w:t>כל אחת מ</w:t>
      </w:r>
      <w:r w:rsidR="00D36EAF">
        <w:rPr>
          <w:rFonts w:ascii="David" w:hAnsi="David" w:cs="David" w:hint="cs"/>
          <w:sz w:val="24"/>
          <w:szCs w:val="24"/>
          <w:rtl/>
        </w:rPr>
        <w:t>ן הגישות</w:t>
      </w:r>
      <w:r w:rsidR="008D2CB4" w:rsidRPr="002E4FD4">
        <w:rPr>
          <w:rFonts w:ascii="David" w:hAnsi="David" w:cs="David"/>
          <w:sz w:val="24"/>
          <w:szCs w:val="24"/>
          <w:rtl/>
        </w:rPr>
        <w:t xml:space="preserve"> בין הנרטיב לנורמה הספציפית</w:t>
      </w:r>
      <w:r w:rsidR="008D2CB4">
        <w:rPr>
          <w:rFonts w:ascii="David" w:hAnsi="David" w:cs="David" w:hint="cs"/>
          <w:sz w:val="24"/>
          <w:szCs w:val="24"/>
          <w:rtl/>
        </w:rPr>
        <w:t xml:space="preserve"> שאותה הוא מצדיק,</w:t>
      </w:r>
      <w:r w:rsidR="008D2CB4" w:rsidRPr="002E4FD4">
        <w:rPr>
          <w:rFonts w:ascii="David" w:hAnsi="David" w:cs="David"/>
          <w:sz w:val="24"/>
          <w:szCs w:val="24"/>
          <w:rtl/>
        </w:rPr>
        <w:t xml:space="preserve"> </w:t>
      </w:r>
      <w:r w:rsidR="009C7F9B">
        <w:rPr>
          <w:rFonts w:ascii="David" w:hAnsi="David" w:cs="David" w:hint="cs"/>
          <w:sz w:val="24"/>
          <w:szCs w:val="24"/>
          <w:rtl/>
        </w:rPr>
        <w:t>ובין הנרטיב ל</w:t>
      </w:r>
      <w:r w:rsidR="008D2CB4">
        <w:rPr>
          <w:rFonts w:ascii="David" w:hAnsi="David" w:cs="David" w:hint="cs"/>
          <w:sz w:val="24"/>
          <w:szCs w:val="24"/>
          <w:rtl/>
        </w:rPr>
        <w:t>'נומוס' כולו</w:t>
      </w:r>
      <w:r w:rsidR="00180C9D">
        <w:rPr>
          <w:rFonts w:ascii="David" w:hAnsi="David" w:cs="David" w:hint="cs"/>
          <w:szCs w:val="24"/>
          <w:rtl/>
        </w:rPr>
        <w:t>.</w:t>
      </w:r>
      <w:r w:rsidR="00B25B33">
        <w:rPr>
          <w:rFonts w:ascii="David" w:hAnsi="David" w:cs="David" w:hint="cs"/>
          <w:szCs w:val="24"/>
          <w:rtl/>
        </w:rPr>
        <w:t xml:space="preserve"> </w:t>
      </w:r>
      <w:r w:rsidR="009C7F9B">
        <w:rPr>
          <w:rFonts w:ascii="David" w:hAnsi="David" w:cs="David" w:hint="cs"/>
          <w:szCs w:val="24"/>
          <w:rtl/>
        </w:rPr>
        <w:t xml:space="preserve">כך יחודדו ויובלטו </w:t>
      </w:r>
      <w:r w:rsidR="00B25B33">
        <w:rPr>
          <w:rFonts w:ascii="David" w:hAnsi="David" w:cs="David" w:hint="cs"/>
          <w:szCs w:val="24"/>
          <w:rtl/>
        </w:rPr>
        <w:t xml:space="preserve">עוד יותר </w:t>
      </w:r>
      <w:r w:rsidR="00434820">
        <w:rPr>
          <w:rFonts w:ascii="David" w:hAnsi="David" w:cs="David" w:hint="cs"/>
          <w:szCs w:val="24"/>
          <w:rtl/>
        </w:rPr>
        <w:t>מאפייניהן ה</w:t>
      </w:r>
      <w:r w:rsidR="00392729">
        <w:rPr>
          <w:rFonts w:ascii="David" w:hAnsi="David" w:cs="David" w:hint="cs"/>
          <w:szCs w:val="24"/>
          <w:rtl/>
        </w:rPr>
        <w:t>נבדלים</w:t>
      </w:r>
      <w:r w:rsidR="00434820">
        <w:rPr>
          <w:rFonts w:ascii="David" w:hAnsi="David" w:cs="David" w:hint="cs"/>
          <w:szCs w:val="24"/>
          <w:rtl/>
        </w:rPr>
        <w:t xml:space="preserve"> </w:t>
      </w:r>
      <w:r w:rsidR="00180C9D">
        <w:rPr>
          <w:rFonts w:ascii="David" w:hAnsi="David" w:cs="David" w:hint="cs"/>
          <w:szCs w:val="24"/>
          <w:rtl/>
        </w:rPr>
        <w:t xml:space="preserve">של </w:t>
      </w:r>
      <w:r w:rsidR="00434820">
        <w:rPr>
          <w:rFonts w:ascii="David" w:hAnsi="David" w:cs="David" w:hint="cs"/>
          <w:szCs w:val="24"/>
          <w:rtl/>
        </w:rPr>
        <w:t xml:space="preserve">שלוש </w:t>
      </w:r>
      <w:r w:rsidR="00B25B33">
        <w:rPr>
          <w:rFonts w:ascii="David" w:hAnsi="David" w:cs="David" w:hint="cs"/>
          <w:szCs w:val="24"/>
          <w:rtl/>
        </w:rPr>
        <w:t xml:space="preserve">הגישות. </w:t>
      </w:r>
      <w:r w:rsidR="00B25B33">
        <w:rPr>
          <w:rFonts w:ascii="David" w:hAnsi="David" w:cs="David" w:hint="cs"/>
          <w:sz w:val="24"/>
          <w:szCs w:val="24"/>
          <w:rtl/>
        </w:rPr>
        <w:t>בחלק האחרו</w:t>
      </w:r>
      <w:r w:rsidR="005745F9">
        <w:rPr>
          <w:rFonts w:ascii="David" w:hAnsi="David" w:cs="David" w:hint="cs"/>
          <w:sz w:val="24"/>
          <w:szCs w:val="24"/>
          <w:rtl/>
        </w:rPr>
        <w:t>ן</w:t>
      </w:r>
      <w:r w:rsidR="00201E74">
        <w:rPr>
          <w:rFonts w:ascii="David" w:hAnsi="David" w:cs="David" w:hint="cs"/>
          <w:sz w:val="24"/>
          <w:szCs w:val="24"/>
          <w:rtl/>
        </w:rPr>
        <w:t xml:space="preserve"> א</w:t>
      </w:r>
      <w:r w:rsidR="00347035">
        <w:rPr>
          <w:rFonts w:ascii="David" w:hAnsi="David" w:cs="David" w:hint="cs"/>
          <w:sz w:val="24"/>
          <w:szCs w:val="24"/>
          <w:rtl/>
        </w:rPr>
        <w:t>סכם</w:t>
      </w:r>
      <w:r w:rsidR="00201E74">
        <w:rPr>
          <w:rFonts w:ascii="David" w:hAnsi="David" w:cs="David" w:hint="cs"/>
          <w:sz w:val="24"/>
          <w:szCs w:val="24"/>
          <w:rtl/>
        </w:rPr>
        <w:t xml:space="preserve"> את עיקר מסקנותי ואסמן שאלות</w:t>
      </w:r>
      <w:r w:rsidR="000A12DA">
        <w:rPr>
          <w:rFonts w:ascii="David" w:hAnsi="David" w:cs="David" w:hint="cs"/>
          <w:sz w:val="24"/>
          <w:szCs w:val="24"/>
          <w:rtl/>
        </w:rPr>
        <w:t xml:space="preserve"> ש</w:t>
      </w:r>
      <w:r w:rsidR="00201E74">
        <w:rPr>
          <w:rFonts w:ascii="David" w:hAnsi="David" w:cs="David" w:hint="cs"/>
          <w:sz w:val="24"/>
          <w:szCs w:val="24"/>
          <w:rtl/>
        </w:rPr>
        <w:t>מצפות למחקר נוסף.</w:t>
      </w:r>
    </w:p>
    <w:p w14:paraId="37EBFB42" w14:textId="358F0B9C" w:rsidR="009C7F9B" w:rsidRDefault="009C7F9B" w:rsidP="00BD00A6">
      <w:pPr>
        <w:spacing w:line="480" w:lineRule="auto"/>
        <w:ind w:firstLine="720"/>
        <w:jc w:val="both"/>
        <w:rPr>
          <w:rFonts w:ascii="David" w:hAnsi="David" w:cs="David"/>
          <w:sz w:val="24"/>
          <w:szCs w:val="24"/>
          <w:rtl/>
        </w:rPr>
      </w:pPr>
    </w:p>
    <w:p w14:paraId="47C4113B" w14:textId="77777777" w:rsidR="00854EB8" w:rsidRPr="00996897" w:rsidRDefault="00854EB8" w:rsidP="00506F73">
      <w:pPr>
        <w:pStyle w:val="PS"/>
        <w:spacing w:line="480" w:lineRule="auto"/>
        <w:ind w:firstLine="0"/>
        <w:jc w:val="both"/>
        <w:rPr>
          <w:rFonts w:asciiTheme="majorBidi" w:hAnsiTheme="majorBidi"/>
        </w:rPr>
      </w:pPr>
      <w:r w:rsidRPr="00996897">
        <w:rPr>
          <w:rFonts w:asciiTheme="majorBidi" w:hAnsiTheme="majorBidi" w:cstheme="majorBidi"/>
          <w:b/>
          <w:szCs w:val="24"/>
        </w:rPr>
        <w:t xml:space="preserve">I. The “With Misgivings” Approach: “Ways of Peace” as Justifying a Retreat from the Ideal </w:t>
      </w:r>
      <w:r w:rsidRPr="00996897">
        <w:rPr>
          <w:rFonts w:asciiTheme="majorBidi" w:hAnsiTheme="majorBidi" w:cstheme="majorBidi"/>
          <w:b/>
          <w:i/>
          <w:szCs w:val="24"/>
        </w:rPr>
        <w:t>Halakhah</w:t>
      </w:r>
    </w:p>
    <w:p w14:paraId="47D5E444" w14:textId="77777777" w:rsidR="00854EB8" w:rsidRPr="00136BFF" w:rsidRDefault="00854EB8" w:rsidP="00506F73">
      <w:pPr>
        <w:pStyle w:val="PC"/>
        <w:spacing w:line="480" w:lineRule="auto"/>
        <w:jc w:val="both"/>
        <w:rPr>
          <w:rFonts w:asciiTheme="majorBidi" w:hAnsiTheme="majorBidi" w:cstheme="majorBidi"/>
          <w:szCs w:val="24"/>
        </w:rPr>
      </w:pPr>
      <w:r w:rsidRPr="00136BFF">
        <w:rPr>
          <w:rFonts w:asciiTheme="majorBidi" w:hAnsiTheme="majorBidi" w:cstheme="majorBidi"/>
          <w:szCs w:val="24"/>
        </w:rPr>
        <w:t>Tractate Shekalim concerns itself with the half-shekel contribution and the organization of the financial system of the Temple. The half-shekel tax owes its origins to a Pharisaic ordinance</w:t>
      </w:r>
      <w:r w:rsidRPr="00136BFF">
        <w:rPr>
          <w:rStyle w:val="a5"/>
          <w:rFonts w:asciiTheme="majorBidi" w:hAnsiTheme="majorBidi" w:cstheme="majorBidi"/>
          <w:szCs w:val="24"/>
        </w:rPr>
        <w:footnoteReference w:id="7"/>
      </w:r>
      <w:r w:rsidRPr="00136BFF">
        <w:rPr>
          <w:rFonts w:asciiTheme="majorBidi" w:hAnsiTheme="majorBidi" w:cstheme="majorBidi"/>
          <w:szCs w:val="24"/>
        </w:rPr>
        <w:t xml:space="preserve"> associated with the Pharisees’ dispute with the Sadducees over how to fund the daily sacrifice in the Temple. </w:t>
      </w:r>
      <w:r>
        <w:rPr>
          <w:rFonts w:asciiTheme="majorBidi" w:hAnsiTheme="majorBidi" w:cstheme="majorBidi"/>
          <w:szCs w:val="24"/>
        </w:rPr>
        <w:t>A</w:t>
      </w:r>
      <w:r w:rsidRPr="00136BFF">
        <w:rPr>
          <w:rFonts w:asciiTheme="majorBidi" w:hAnsiTheme="majorBidi" w:cstheme="majorBidi"/>
          <w:szCs w:val="24"/>
        </w:rPr>
        <w:t>ccording to scholars</w:t>
      </w:r>
      <w:r>
        <w:rPr>
          <w:rFonts w:asciiTheme="majorBidi" w:hAnsiTheme="majorBidi" w:cstheme="majorBidi"/>
          <w:szCs w:val="24"/>
        </w:rPr>
        <w:t>,</w:t>
      </w:r>
      <w:r w:rsidRPr="00136BFF">
        <w:rPr>
          <w:rFonts w:asciiTheme="majorBidi" w:hAnsiTheme="majorBidi" w:cstheme="majorBidi"/>
          <w:szCs w:val="24"/>
        </w:rPr>
        <w:t xml:space="preserve"> </w:t>
      </w:r>
      <w:r>
        <w:rPr>
          <w:rFonts w:asciiTheme="majorBidi" w:hAnsiTheme="majorBidi" w:cstheme="majorBidi"/>
          <w:szCs w:val="24"/>
        </w:rPr>
        <w:t>t</w:t>
      </w:r>
      <w:r w:rsidRPr="00136BFF">
        <w:rPr>
          <w:rFonts w:asciiTheme="majorBidi" w:hAnsiTheme="majorBidi" w:cstheme="majorBidi"/>
          <w:szCs w:val="24"/>
        </w:rPr>
        <w:t xml:space="preserve">he Oxford Mss. of the scholion of the </w:t>
      </w:r>
      <w:r w:rsidRPr="00136BFF">
        <w:rPr>
          <w:rFonts w:asciiTheme="majorBidi" w:hAnsiTheme="majorBidi" w:cstheme="majorBidi"/>
          <w:i/>
          <w:iCs/>
          <w:szCs w:val="24"/>
        </w:rPr>
        <w:t>Megilat Ta’anit</w:t>
      </w:r>
      <w:r w:rsidRPr="00136BFF">
        <w:rPr>
          <w:rFonts w:asciiTheme="majorBidi" w:hAnsiTheme="majorBidi" w:cstheme="majorBidi"/>
          <w:szCs w:val="24"/>
        </w:rPr>
        <w:t xml:space="preserve"> scroll, despite being later than the Second Temple period, preserve</w:t>
      </w:r>
      <w:r>
        <w:rPr>
          <w:rFonts w:asciiTheme="majorBidi" w:hAnsiTheme="majorBidi" w:cstheme="majorBidi"/>
          <w:szCs w:val="24"/>
        </w:rPr>
        <w:t xml:space="preserve"> </w:t>
      </w:r>
      <w:r w:rsidRPr="00136BFF">
        <w:rPr>
          <w:rFonts w:asciiTheme="majorBidi" w:hAnsiTheme="majorBidi" w:cstheme="majorBidi"/>
          <w:szCs w:val="24"/>
        </w:rPr>
        <w:t>the crux of the dispute between the sects:</w:t>
      </w:r>
    </w:p>
    <w:p w14:paraId="73A2EAC1" w14:textId="77777777" w:rsidR="00854EB8" w:rsidRPr="00136BFF" w:rsidRDefault="00854EB8" w:rsidP="00506F73">
      <w:pPr>
        <w:pStyle w:val="IQ"/>
        <w:spacing w:line="480" w:lineRule="auto"/>
        <w:jc w:val="both"/>
        <w:rPr>
          <w:rFonts w:asciiTheme="majorBidi" w:hAnsiTheme="majorBidi" w:cstheme="majorBidi"/>
          <w:szCs w:val="24"/>
        </w:rPr>
      </w:pPr>
      <w:r w:rsidRPr="00136BFF">
        <w:rPr>
          <w:rFonts w:asciiTheme="majorBidi" w:hAnsiTheme="majorBidi" w:cstheme="majorBidi"/>
          <w:szCs w:val="24"/>
        </w:rPr>
        <w:lastRenderedPageBreak/>
        <w:t>From the beginning of the month of Nisan until the eighth of it the daily sacrifice was settled—one is not to eulogize.</w:t>
      </w:r>
    </w:p>
    <w:p w14:paraId="4C14D716" w14:textId="77777777" w:rsidR="00854EB8" w:rsidRPr="00136BFF" w:rsidRDefault="00854EB8" w:rsidP="00506F73">
      <w:pPr>
        <w:pStyle w:val="IQ"/>
        <w:spacing w:line="480" w:lineRule="auto"/>
        <w:jc w:val="both"/>
        <w:rPr>
          <w:rFonts w:asciiTheme="majorBidi" w:hAnsiTheme="majorBidi" w:cstheme="majorBidi"/>
          <w:szCs w:val="24"/>
        </w:rPr>
      </w:pPr>
      <w:r w:rsidRPr="00136BFF">
        <w:rPr>
          <w:rFonts w:asciiTheme="majorBidi" w:hAnsiTheme="majorBidi" w:cstheme="majorBidi"/>
          <w:szCs w:val="24"/>
        </w:rPr>
        <w:t xml:space="preserve">For the Sages used to say: daily sacrifices come from public [funds]. The Boethusians say: from private, as is written: </w:t>
      </w:r>
      <w:hyperlink r:id="rId8" w:tooltip="6213: taaSeh (V-Qal-Imperf-2ms) -- To do, make" w:history="1">
        <w:r w:rsidRPr="00136BFF">
          <w:rPr>
            <w:rFonts w:asciiTheme="majorBidi" w:hAnsiTheme="majorBidi" w:cstheme="majorBidi"/>
            <w:szCs w:val="24"/>
          </w:rPr>
          <w:t>You [in the singular] shall offer</w:t>
        </w:r>
      </w:hyperlink>
      <w:r w:rsidRPr="00136BFF">
        <w:rPr>
          <w:rFonts w:asciiTheme="majorBidi" w:hAnsiTheme="majorBidi" w:cstheme="majorBidi"/>
          <w:szCs w:val="24"/>
        </w:rPr>
        <w:t xml:space="preserve"> </w:t>
      </w:r>
      <w:hyperlink r:id="rId9" w:tooltip="259: eChad (Number-ms) -- United, one, first" w:history="1">
        <w:r w:rsidRPr="00136BFF">
          <w:rPr>
            <w:rFonts w:asciiTheme="majorBidi" w:hAnsiTheme="majorBidi" w:cstheme="majorBidi"/>
            <w:szCs w:val="24"/>
          </w:rPr>
          <w:t>one</w:t>
        </w:r>
      </w:hyperlink>
      <w:r w:rsidRPr="00136BFF">
        <w:rPr>
          <w:rFonts w:asciiTheme="majorBidi" w:hAnsiTheme="majorBidi" w:cstheme="majorBidi"/>
          <w:szCs w:val="24"/>
        </w:rPr>
        <w:t xml:space="preserve"> </w:t>
      </w:r>
      <w:hyperlink r:id="rId10" w:tooltip="3532: hakKeves (Art :: N-ms) -- A lamb" w:history="1">
        <w:r w:rsidRPr="00136BFF">
          <w:rPr>
            <w:rFonts w:asciiTheme="majorBidi" w:hAnsiTheme="majorBidi" w:cstheme="majorBidi"/>
            <w:szCs w:val="24"/>
          </w:rPr>
          <w:t>lamb</w:t>
        </w:r>
      </w:hyperlink>
      <w:r w:rsidRPr="00136BFF">
        <w:rPr>
          <w:rFonts w:asciiTheme="majorBidi" w:hAnsiTheme="majorBidi" w:cstheme="majorBidi"/>
          <w:szCs w:val="24"/>
        </w:rPr>
        <w:t xml:space="preserve"> </w:t>
      </w:r>
      <w:hyperlink r:id="rId11" w:tooltip="1242: vabBoker (Prep-b, Art :: N-ms) -- Dawn, morning" w:history="1">
        <w:r w:rsidRPr="00136BFF">
          <w:rPr>
            <w:rFonts w:asciiTheme="majorBidi" w:hAnsiTheme="majorBidi" w:cstheme="majorBidi"/>
            <w:szCs w:val="24"/>
          </w:rPr>
          <w:t>in the morning</w:t>
        </w:r>
      </w:hyperlink>
      <w:r w:rsidRPr="00136BFF">
        <w:rPr>
          <w:rFonts w:asciiTheme="majorBidi" w:hAnsiTheme="majorBidi" w:cstheme="majorBidi"/>
          <w:szCs w:val="24"/>
        </w:rPr>
        <w:t xml:space="preserve"> </w:t>
      </w:r>
      <w:hyperlink r:id="rId12" w:tooltip="8145: hashsheNi (Art :: Number-oms) -- Second (an ordinal number)" w:history="1">
        <w:r w:rsidRPr="00136BFF">
          <w:rPr>
            <w:rFonts w:asciiTheme="majorBidi" w:hAnsiTheme="majorBidi" w:cstheme="majorBidi"/>
            <w:szCs w:val="24"/>
          </w:rPr>
          <w:t>and the other</w:t>
        </w:r>
      </w:hyperlink>
      <w:r w:rsidRPr="00136BFF">
        <w:rPr>
          <w:rFonts w:asciiTheme="majorBidi" w:hAnsiTheme="majorBidi" w:cstheme="majorBidi"/>
          <w:szCs w:val="24"/>
        </w:rPr>
        <w:t xml:space="preserve"> lamb you shall offer </w:t>
      </w:r>
      <w:hyperlink r:id="rId13" w:tooltip="996: bein (Prep) -- An interval, space between" w:history="1">
        <w:r w:rsidRPr="00136BFF">
          <w:rPr>
            <w:rFonts w:asciiTheme="majorBidi" w:hAnsiTheme="majorBidi" w:cstheme="majorBidi"/>
            <w:szCs w:val="24"/>
          </w:rPr>
          <w:t>at</w:t>
        </w:r>
      </w:hyperlink>
      <w:r w:rsidRPr="00136BFF">
        <w:rPr>
          <w:rFonts w:asciiTheme="majorBidi" w:hAnsiTheme="majorBidi" w:cstheme="majorBidi"/>
          <w:szCs w:val="24"/>
        </w:rPr>
        <w:t xml:space="preserve"> </w:t>
      </w:r>
      <w:hyperlink r:id="rId14" w:tooltip="6153: HaarBayim (Art :: N-md) -- Evening" w:history="1">
        <w:r w:rsidRPr="00136BFF">
          <w:rPr>
            <w:rFonts w:asciiTheme="majorBidi" w:hAnsiTheme="majorBidi" w:cstheme="majorBidi"/>
            <w:szCs w:val="24"/>
          </w:rPr>
          <w:t>twilight [Numbers 28:4]</w:t>
        </w:r>
      </w:hyperlink>
      <w:r w:rsidRPr="00136BFF">
        <w:rPr>
          <w:rFonts w:asciiTheme="majorBidi" w:hAnsiTheme="majorBidi" w:cstheme="majorBidi"/>
          <w:szCs w:val="24"/>
        </w:rPr>
        <w:t>, implying a single [offerer]. And the Sages say: Be punctilious [in the plural] in presenting to Me at stated times the offering of food due Me, implying the many. They enacted that the individual weighs his</w:t>
      </w:r>
      <w:r w:rsidRPr="00136BFF">
        <w:rPr>
          <w:rFonts w:asciiTheme="majorBidi" w:hAnsiTheme="majorBidi" w:cstheme="majorBidi"/>
          <w:i/>
          <w:iCs/>
          <w:szCs w:val="24"/>
        </w:rPr>
        <w:t xml:space="preserve"> shekalim </w:t>
      </w:r>
      <w:r w:rsidRPr="00136BFF">
        <w:rPr>
          <w:rFonts w:asciiTheme="majorBidi" w:hAnsiTheme="majorBidi" w:cstheme="majorBidi"/>
          <w:szCs w:val="24"/>
        </w:rPr>
        <w:t>and donates them each and every year, and the daily sacrifice shall be offered using public funding</w:t>
      </w:r>
      <w:r w:rsidRPr="00136BFF">
        <w:rPr>
          <w:rFonts w:asciiTheme="majorBidi" w:hAnsiTheme="majorBidi" w:cstheme="majorBidi"/>
          <w:b/>
          <w:bCs/>
          <w:szCs w:val="24"/>
        </w:rPr>
        <w:t>,</w:t>
      </w:r>
      <w:r w:rsidRPr="00136BFF">
        <w:rPr>
          <w:rFonts w:asciiTheme="majorBidi" w:hAnsiTheme="majorBidi" w:cstheme="majorBidi"/>
          <w:szCs w:val="24"/>
        </w:rPr>
        <w:t xml:space="preserve"> as is said: the daily sacrifice was settled.</w:t>
      </w:r>
      <w:r w:rsidRPr="00136BFF">
        <w:rPr>
          <w:rStyle w:val="a5"/>
          <w:rFonts w:asciiTheme="majorBidi" w:hAnsiTheme="majorBidi" w:cstheme="majorBidi"/>
          <w:szCs w:val="24"/>
        </w:rPr>
        <w:footnoteReference w:id="8"/>
      </w:r>
      <w:r w:rsidRPr="00136BFF">
        <w:rPr>
          <w:rFonts w:asciiTheme="majorBidi" w:hAnsiTheme="majorBidi" w:cstheme="majorBidi"/>
          <w:szCs w:val="24"/>
        </w:rPr>
        <w:t xml:space="preserve"> </w:t>
      </w:r>
    </w:p>
    <w:p w14:paraId="568C5343" w14:textId="40EB3868" w:rsidR="00854EB8" w:rsidRPr="00136BFF" w:rsidRDefault="00854EB8" w:rsidP="00EB3C59">
      <w:pPr>
        <w:pStyle w:val="PS"/>
        <w:spacing w:line="480" w:lineRule="auto"/>
        <w:ind w:firstLine="0"/>
        <w:jc w:val="both"/>
        <w:rPr>
          <w:rFonts w:asciiTheme="majorBidi" w:hAnsiTheme="majorBidi" w:cstheme="majorBidi"/>
          <w:szCs w:val="24"/>
        </w:rPr>
      </w:pPr>
      <w:r w:rsidRPr="00136BFF">
        <w:rPr>
          <w:rFonts w:asciiTheme="majorBidi" w:hAnsiTheme="majorBidi" w:cstheme="majorBidi"/>
        </w:rPr>
        <w:tab/>
        <w:t>This observance is interpreted in the scholion as a victory of the Pharisees over the Sadducees in the dispute over the daily sacrifice.</w:t>
      </w:r>
      <w:r w:rsidRPr="00136BFF">
        <w:rPr>
          <w:rStyle w:val="a5"/>
          <w:rFonts w:asciiTheme="majorBidi" w:hAnsiTheme="majorBidi" w:cstheme="majorBidi"/>
        </w:rPr>
        <w:footnoteReference w:id="9"/>
      </w:r>
      <w:r w:rsidRPr="00136BFF">
        <w:rPr>
          <w:rFonts w:asciiTheme="majorBidi" w:hAnsiTheme="majorBidi" w:cstheme="majorBidi"/>
        </w:rPr>
        <w:t xml:space="preserve"> That is, should the sacrifice be funded solely from </w:t>
      </w:r>
      <w:r w:rsidRPr="00136BFF">
        <w:rPr>
          <w:rFonts w:asciiTheme="majorBidi" w:hAnsiTheme="majorBidi" w:cstheme="majorBidi"/>
          <w:i/>
          <w:iCs/>
        </w:rPr>
        <w:t xml:space="preserve">terumat ha-lishkah </w:t>
      </w:r>
      <w:r w:rsidRPr="00136BFF">
        <w:rPr>
          <w:rFonts w:asciiTheme="majorBidi" w:hAnsiTheme="majorBidi" w:cstheme="majorBidi"/>
        </w:rPr>
        <w:t>(the public exchequer) or from the individual? According to the scholion, the Sages enacted the half-shekel rule in order to fund the daily sacrifices. By implication, Eyal Regev claims,</w:t>
      </w:r>
      <w:r w:rsidRPr="00136BFF">
        <w:rPr>
          <w:rStyle w:val="a5"/>
          <w:rFonts w:asciiTheme="majorBidi" w:hAnsiTheme="majorBidi" w:cstheme="majorBidi"/>
        </w:rPr>
        <w:footnoteReference w:id="10"/>
      </w:r>
      <w:r w:rsidRPr="00136BFF">
        <w:rPr>
          <w:rFonts w:asciiTheme="majorBidi" w:hAnsiTheme="majorBidi" w:cstheme="majorBidi"/>
        </w:rPr>
        <w:t xml:space="preserve"> the context in which the exchange of words appears is a sweeping Sadducee-Boethusian objection to the half-shekel </w:t>
      </w:r>
      <w:r w:rsidRPr="00136BFF">
        <w:rPr>
          <w:rFonts w:asciiTheme="majorBidi" w:hAnsiTheme="majorBidi" w:cstheme="majorBidi"/>
        </w:rPr>
        <w:lastRenderedPageBreak/>
        <w:t>enactment, by which all of Israel participates in funding the daily sacrifices.</w:t>
      </w:r>
      <w:r w:rsidRPr="00136BFF">
        <w:rPr>
          <w:rStyle w:val="a5"/>
          <w:rFonts w:asciiTheme="majorBidi" w:hAnsiTheme="majorBidi" w:cstheme="majorBidi"/>
        </w:rPr>
        <w:footnoteReference w:id="11"/>
      </w:r>
      <w:r w:rsidRPr="00136BFF">
        <w:rPr>
          <w:rFonts w:asciiTheme="majorBidi" w:hAnsiTheme="majorBidi" w:cstheme="majorBidi"/>
        </w:rPr>
        <w:t xml:space="preserve"> The dispute had practical implications for the performance of the daily rite in the Temple and for the symbolic public meaning of the sacrificial service.</w:t>
      </w:r>
      <w:r w:rsidRPr="00136BFF">
        <w:rPr>
          <w:rStyle w:val="a5"/>
          <w:rFonts w:asciiTheme="majorBidi" w:hAnsiTheme="majorBidi" w:cstheme="majorBidi"/>
        </w:rPr>
        <w:footnoteReference w:id="12"/>
      </w:r>
      <w:r w:rsidRPr="00136BFF">
        <w:rPr>
          <w:rFonts w:asciiTheme="majorBidi" w:hAnsiTheme="majorBidi" w:cstheme="majorBidi"/>
          <w:szCs w:val="24"/>
        </w:rPr>
        <w:t xml:space="preserve"> </w:t>
      </w:r>
    </w:p>
    <w:p w14:paraId="60631D3C" w14:textId="6EBD24E9" w:rsidR="00854EB8" w:rsidRPr="00136BFF" w:rsidRDefault="00854EB8" w:rsidP="00506F73">
      <w:pPr>
        <w:pStyle w:val="PS"/>
        <w:spacing w:line="480" w:lineRule="auto"/>
        <w:ind w:firstLine="720"/>
        <w:jc w:val="both"/>
        <w:rPr>
          <w:rFonts w:asciiTheme="majorBidi" w:hAnsiTheme="majorBidi" w:cstheme="majorBidi"/>
          <w:szCs w:val="24"/>
          <w:lang w:bidi="he-IL"/>
        </w:rPr>
      </w:pPr>
      <w:r w:rsidRPr="00136BFF">
        <w:rPr>
          <w:rFonts w:asciiTheme="majorBidi" w:hAnsiTheme="majorBidi" w:cstheme="majorBidi"/>
          <w:szCs w:val="24"/>
        </w:rPr>
        <w:t xml:space="preserve">In view of these remarks, let us observe M. Shekalim. The first two chapters of the tractate deal with commandments relating to giving the half-shekel and the ways in which it is to be collected. The first chapter seems to be built on two textual strata. The </w:t>
      </w:r>
      <w:r w:rsidRPr="00136BFF">
        <w:rPr>
          <w:rFonts w:asciiTheme="majorBidi" w:hAnsiTheme="majorBidi" w:cstheme="majorBidi"/>
          <w:i/>
          <w:iCs/>
          <w:szCs w:val="24"/>
        </w:rPr>
        <w:t>stam mishnah</w:t>
      </w:r>
      <w:r w:rsidRPr="00136BFF">
        <w:rPr>
          <w:rFonts w:asciiTheme="majorBidi" w:hAnsiTheme="majorBidi" w:cstheme="majorBidi"/>
          <w:szCs w:val="24"/>
        </w:rPr>
        <w:t xml:space="preserve"> describes a chronological sequence—“On the first of Adar they make a public announcement […] On the fifteenth they read the </w:t>
      </w:r>
      <w:r w:rsidRPr="00136BFF">
        <w:rPr>
          <w:rFonts w:asciiTheme="majorBidi" w:hAnsiTheme="majorBidi" w:cstheme="majorBidi"/>
          <w:i/>
          <w:iCs/>
          <w:szCs w:val="24"/>
        </w:rPr>
        <w:t>megilah</w:t>
      </w:r>
      <w:r w:rsidRPr="00136BFF">
        <w:rPr>
          <w:rFonts w:asciiTheme="majorBidi" w:hAnsiTheme="majorBidi" w:cstheme="majorBidi"/>
          <w:szCs w:val="24"/>
        </w:rPr>
        <w:t xml:space="preserve"> [Esther] […].” Two notes by R. Yehudah are arranged inside the chronological sequence and add a dimension of historical depth to the description. In the second, R. Yehudah testifies about the dispute between Ben Bukhrei and R. Yoḥanan Ben Zakkai regarding the exemption of the priests from the half-shekel tax (1:4); and I discuss it below. </w:t>
      </w:r>
      <w:r w:rsidRPr="00136BFF">
        <w:rPr>
          <w:rFonts w:asciiTheme="majorBidi" w:hAnsiTheme="majorBidi" w:cstheme="majorBidi"/>
          <w:szCs w:val="24"/>
          <w:lang w:bidi="he-IL"/>
        </w:rPr>
        <w:t>Prior to this Mishnah—in Mishnah 3—we find the reason: “for the ways of peace.”</w:t>
      </w:r>
    </w:p>
    <w:p w14:paraId="55657637" w14:textId="77777777" w:rsidR="00854EB8" w:rsidRPr="00136BFF" w:rsidRDefault="00854EB8" w:rsidP="00506F73">
      <w:pPr>
        <w:pStyle w:val="IQ"/>
        <w:spacing w:line="480" w:lineRule="auto"/>
        <w:jc w:val="both"/>
        <w:rPr>
          <w:rFonts w:asciiTheme="majorBidi" w:hAnsiTheme="majorBidi" w:cstheme="majorBidi"/>
          <w:b/>
          <w:bCs/>
          <w:szCs w:val="24"/>
        </w:rPr>
      </w:pPr>
      <w:r w:rsidRPr="00136BFF">
        <w:rPr>
          <w:rFonts w:asciiTheme="majorBidi" w:hAnsiTheme="majorBidi" w:cstheme="majorBidi"/>
          <w:szCs w:val="24"/>
        </w:rPr>
        <w:lastRenderedPageBreak/>
        <w:t>On the 15th [of Adar] tables would be set up [in order to exchange money] throughout the land. On the 25th they would set up in the Temple. When they moved to the Temple, they began to mortgage [property and other valuables for coins]. From whom did they take mortgages? Levites, Israelites, converts, and freed slaves. They did not take mortgages from women, slaves and children. Any child whose father has begun to pay the shekel for him, [the father] cannot stop paying the half-shekel on his behalf. They did not take mortgages from priests, for the sake of peace.</w:t>
      </w:r>
      <w:r w:rsidRPr="00136BFF">
        <w:rPr>
          <w:rStyle w:val="a5"/>
          <w:rFonts w:asciiTheme="majorBidi" w:hAnsiTheme="majorBidi" w:cstheme="majorBidi"/>
          <w:szCs w:val="24"/>
        </w:rPr>
        <w:footnoteReference w:id="13"/>
      </w:r>
    </w:p>
    <w:p w14:paraId="3074F9A4" w14:textId="77777777" w:rsidR="00854EB8" w:rsidRPr="00136BFF" w:rsidRDefault="00854EB8" w:rsidP="00506F73">
      <w:pPr>
        <w:pStyle w:val="PS"/>
        <w:spacing w:line="480" w:lineRule="auto"/>
        <w:ind w:firstLine="0"/>
        <w:jc w:val="both"/>
        <w:rPr>
          <w:rFonts w:asciiTheme="majorBidi" w:hAnsiTheme="majorBidi" w:cstheme="majorBidi"/>
          <w:szCs w:val="24"/>
        </w:rPr>
      </w:pPr>
      <w:r w:rsidRPr="00136BFF">
        <w:rPr>
          <w:rFonts w:asciiTheme="majorBidi" w:hAnsiTheme="majorBidi" w:cstheme="majorBidi"/>
          <w:szCs w:val="24"/>
        </w:rPr>
        <w:tab/>
        <w:t>The Mishnah describes an assertive system that collected shekalim from the public, one that seemingly enjoyed social backing—the setting up of “tables.”</w:t>
      </w:r>
      <w:r w:rsidRPr="00136BFF">
        <w:rPr>
          <w:rStyle w:val="a5"/>
          <w:rFonts w:asciiTheme="majorBidi" w:hAnsiTheme="majorBidi" w:cstheme="majorBidi"/>
          <w:szCs w:val="24"/>
        </w:rPr>
        <w:footnoteReference w:id="14"/>
      </w:r>
      <w:r w:rsidRPr="00136BFF">
        <w:rPr>
          <w:rFonts w:asciiTheme="majorBidi" w:hAnsiTheme="majorBidi" w:cstheme="majorBidi"/>
          <w:szCs w:val="24"/>
        </w:rPr>
        <w:t xml:space="preserve"> One may see that the Jewish institutions did not settle for “tables” that taxpayers should approach on their own; instead, they also sent tax collectors into the public domain. Furthermore, those who failed to donate their half-shekel mortgaged their property. Evidently, only the priests refrained from mortgaging.</w:t>
      </w:r>
      <w:r w:rsidRPr="00136BFF">
        <w:rPr>
          <w:rStyle w:val="a5"/>
          <w:rFonts w:asciiTheme="majorBidi" w:hAnsiTheme="majorBidi" w:cstheme="majorBidi"/>
          <w:szCs w:val="24"/>
        </w:rPr>
        <w:footnoteReference w:id="15"/>
      </w:r>
      <w:r w:rsidRPr="00136BFF">
        <w:rPr>
          <w:rFonts w:asciiTheme="majorBidi" w:hAnsiTheme="majorBidi" w:cstheme="majorBidi"/>
          <w:szCs w:val="24"/>
        </w:rPr>
        <w:t xml:space="preserve"> The historical documentation and previous scholarship on the half-shekel suggest that the priests, who may well have been Sadducees or vestiges of the same, objected to the half-shekel tax and therefore refrained from cooperating with the Sages and the public institution that enforced </w:t>
      </w:r>
      <w:r w:rsidRPr="00136BFF">
        <w:rPr>
          <w:rFonts w:asciiTheme="majorBidi" w:hAnsiTheme="majorBidi" w:cstheme="majorBidi"/>
          <w:szCs w:val="24"/>
        </w:rPr>
        <w:lastRenderedPageBreak/>
        <w:t xml:space="preserve">payment. The existence of Sages who believed that priests, too, should remit the half-shekel is insinuated by the absence of an exemption for priests at the beginning of the Mishnaic passage. This conclusion is reinforced by additional sources in this chapter. The first is Mishnah 5, which does not include the priests among those exempted from the pledge. The second is Mishnah 6, </w:t>
      </w:r>
      <w:r w:rsidRPr="00136BFF">
        <w:rPr>
          <w:rFonts w:asciiTheme="majorBidi" w:hAnsiTheme="majorBidi" w:cstheme="majorBidi"/>
          <w:szCs w:val="24"/>
          <w:lang w:bidi="he-IL"/>
        </w:rPr>
        <w:t>which determines who owes and who is exempt from the</w:t>
      </w:r>
      <w:r w:rsidRPr="00136BFF">
        <w:rPr>
          <w:rFonts w:asciiTheme="majorBidi" w:hAnsiTheme="majorBidi" w:cstheme="majorBidi"/>
          <w:i/>
          <w:iCs/>
          <w:szCs w:val="24"/>
        </w:rPr>
        <w:t xml:space="preserve"> kolobon </w:t>
      </w:r>
      <w:r w:rsidRPr="00136BFF">
        <w:rPr>
          <w:rFonts w:asciiTheme="majorBidi" w:hAnsiTheme="majorBidi" w:cstheme="majorBidi"/>
          <w:szCs w:val="24"/>
        </w:rPr>
        <w:t>(κολοός), a small coin used as a desk fee for the moneychanger. Anyone who owes the half-shekel also owes the kolobon, but those whose duty is not clearly established are exempt from it:</w:t>
      </w:r>
    </w:p>
    <w:p w14:paraId="1299E45E" w14:textId="77777777" w:rsidR="00854EB8" w:rsidRPr="00136BFF" w:rsidRDefault="00854EB8" w:rsidP="00506F73">
      <w:pPr>
        <w:pStyle w:val="PS"/>
        <w:spacing w:line="480" w:lineRule="auto"/>
        <w:ind w:left="720" w:firstLine="0"/>
        <w:jc w:val="both"/>
        <w:rPr>
          <w:rFonts w:asciiTheme="majorBidi" w:hAnsiTheme="majorBidi" w:cstheme="majorBidi"/>
          <w:szCs w:val="24"/>
          <w:lang w:bidi="he-IL"/>
        </w:rPr>
      </w:pPr>
      <w:r w:rsidRPr="00136BFF">
        <w:rPr>
          <w:rFonts w:asciiTheme="majorBidi" w:hAnsiTheme="majorBidi" w:cstheme="majorBidi"/>
          <w:szCs w:val="24"/>
          <w:lang w:bidi="he-IL"/>
        </w:rPr>
        <w:t xml:space="preserve">The following are liable [to pay] the </w:t>
      </w:r>
      <w:r w:rsidRPr="00136BFF">
        <w:rPr>
          <w:rFonts w:asciiTheme="majorBidi" w:hAnsiTheme="majorBidi" w:cstheme="majorBidi"/>
          <w:szCs w:val="24"/>
        </w:rPr>
        <w:t>kol</w:t>
      </w:r>
      <w:r w:rsidRPr="00136BFF">
        <w:rPr>
          <w:rFonts w:asciiTheme="majorBidi" w:hAnsiTheme="majorBidi" w:cstheme="majorBidi"/>
          <w:szCs w:val="24"/>
          <w:lang w:bidi="he-IL"/>
        </w:rPr>
        <w:t>o</w:t>
      </w:r>
      <w:r w:rsidRPr="00136BFF">
        <w:rPr>
          <w:rFonts w:asciiTheme="majorBidi" w:hAnsiTheme="majorBidi" w:cstheme="majorBidi"/>
          <w:szCs w:val="24"/>
        </w:rPr>
        <w:t>bon</w:t>
      </w:r>
      <w:r w:rsidRPr="00136BFF">
        <w:rPr>
          <w:rFonts w:asciiTheme="majorBidi" w:hAnsiTheme="majorBidi" w:cstheme="majorBidi"/>
          <w:szCs w:val="24"/>
          <w:lang w:bidi="he-IL"/>
        </w:rPr>
        <w:t xml:space="preserve"> (surcharge): Levites and Israelites and converts and freed slaves; but not priests or women or slaves or minors.</w:t>
      </w:r>
    </w:p>
    <w:p w14:paraId="34DAB12E" w14:textId="5C4AFBDD" w:rsidR="00854EB8" w:rsidRPr="00136BFF" w:rsidRDefault="00854EB8" w:rsidP="00D06CA6">
      <w:pPr>
        <w:pStyle w:val="PS"/>
        <w:spacing w:line="480" w:lineRule="auto"/>
        <w:ind w:firstLine="0"/>
        <w:jc w:val="both"/>
        <w:rPr>
          <w:rFonts w:asciiTheme="majorBidi" w:hAnsiTheme="majorBidi" w:cstheme="majorBidi"/>
          <w:szCs w:val="24"/>
          <w:lang w:bidi="he-IL"/>
        </w:rPr>
      </w:pPr>
      <w:r w:rsidRPr="00136BFF">
        <w:rPr>
          <w:rFonts w:asciiTheme="majorBidi" w:hAnsiTheme="majorBidi" w:cstheme="majorBidi"/>
          <w:szCs w:val="24"/>
          <w:lang w:bidi="he-IL"/>
        </w:rPr>
        <w:tab/>
        <w:t>However, in most manuscripts of the Mishnah—Kaufmann, Parma (De Rossi 138), Cambridge (Ms. Add.470.1), and Naples—the word “priests” is missing. Obviously, if only Levites and Israelites are ordered to oblige, priests are exempt. However, there seems to have been someone who did not wish to state this explicitly, probably as part of the controversy surrounding the issue.</w:t>
      </w:r>
      <w:r w:rsidRPr="00136BFF">
        <w:rPr>
          <w:rStyle w:val="a5"/>
          <w:rFonts w:asciiTheme="majorBidi" w:hAnsiTheme="majorBidi" w:cstheme="majorBidi"/>
          <w:szCs w:val="24"/>
          <w:lang w:bidi="he-IL"/>
        </w:rPr>
        <w:footnoteReference w:id="16"/>
      </w:r>
    </w:p>
    <w:p w14:paraId="44CC130B" w14:textId="77777777" w:rsidR="00854EB8" w:rsidRPr="00136BFF" w:rsidRDefault="00854EB8" w:rsidP="00506F73">
      <w:pPr>
        <w:pStyle w:val="PS"/>
        <w:spacing w:line="480" w:lineRule="auto"/>
        <w:ind w:firstLine="0"/>
        <w:jc w:val="both"/>
        <w:rPr>
          <w:rFonts w:asciiTheme="majorBidi" w:hAnsiTheme="majorBidi" w:cstheme="majorBidi"/>
          <w:szCs w:val="24"/>
        </w:rPr>
      </w:pPr>
      <w:r w:rsidRPr="00136BFF">
        <w:rPr>
          <w:rFonts w:asciiTheme="majorBidi" w:hAnsiTheme="majorBidi" w:cstheme="majorBidi"/>
          <w:szCs w:val="24"/>
        </w:rPr>
        <w:tab/>
        <w:t xml:space="preserve">Contrary to the foregoing mishnayot, in which the priests’ exemption from the half-shekel tax is rationalized on the grounds of “ways of peace,” or in which one finds, albeit implicitly, that the Sages believe the priests should also remit the half-shekel tax, </w:t>
      </w:r>
      <w:r w:rsidRPr="00136BFF">
        <w:rPr>
          <w:rFonts w:asciiTheme="majorBidi" w:hAnsiTheme="majorBidi" w:cstheme="majorBidi"/>
          <w:szCs w:val="24"/>
        </w:rPr>
        <w:lastRenderedPageBreak/>
        <w:t xml:space="preserve">R. Yoḥanan </w:t>
      </w:r>
      <w:r>
        <w:rPr>
          <w:rFonts w:asciiTheme="majorBidi" w:hAnsiTheme="majorBidi" w:cstheme="majorBidi"/>
          <w:szCs w:val="24"/>
        </w:rPr>
        <w:t>ben Zakkai</w:t>
      </w:r>
      <w:r w:rsidRPr="00136BFF">
        <w:rPr>
          <w:rFonts w:asciiTheme="majorBidi" w:hAnsiTheme="majorBidi" w:cstheme="majorBidi"/>
          <w:szCs w:val="24"/>
        </w:rPr>
        <w:t xml:space="preserve"> in Mishnah 4 takes an explicit position against exempting the priests from the tax:</w:t>
      </w:r>
    </w:p>
    <w:p w14:paraId="640364F6" w14:textId="77777777" w:rsidR="00854EB8" w:rsidRPr="00136BFF" w:rsidRDefault="00854EB8" w:rsidP="00506F73">
      <w:pPr>
        <w:pStyle w:val="IQ"/>
        <w:spacing w:line="480" w:lineRule="auto"/>
        <w:jc w:val="both"/>
        <w:rPr>
          <w:rFonts w:asciiTheme="majorBidi" w:hAnsiTheme="majorBidi" w:cstheme="majorBidi"/>
          <w:szCs w:val="24"/>
        </w:rPr>
      </w:pPr>
      <w:r w:rsidRPr="00136BFF">
        <w:rPr>
          <w:rFonts w:asciiTheme="majorBidi" w:hAnsiTheme="majorBidi" w:cstheme="majorBidi"/>
          <w:szCs w:val="24"/>
        </w:rPr>
        <w:t>Rabbi Yehudah said: Ben Bukhrei testified in Yavneh saying that a priest that contributes the half-shekel is not sinning.</w:t>
      </w:r>
    </w:p>
    <w:p w14:paraId="714514A5" w14:textId="77777777" w:rsidR="00854EB8" w:rsidRPr="00136BFF" w:rsidRDefault="00854EB8" w:rsidP="00506F73">
      <w:pPr>
        <w:pStyle w:val="IQ"/>
        <w:spacing w:line="480" w:lineRule="auto"/>
        <w:jc w:val="both"/>
        <w:rPr>
          <w:rFonts w:asciiTheme="majorBidi" w:hAnsiTheme="majorBidi" w:cstheme="majorBidi"/>
          <w:szCs w:val="24"/>
        </w:rPr>
      </w:pPr>
      <w:r w:rsidRPr="00136BFF">
        <w:rPr>
          <w:rFonts w:asciiTheme="majorBidi" w:hAnsiTheme="majorBidi" w:cstheme="majorBidi"/>
          <w:szCs w:val="24"/>
        </w:rPr>
        <w:t xml:space="preserve">Rabbi </w:t>
      </w:r>
      <w:bookmarkStart w:id="6" w:name="_Hlk30685344"/>
      <w:r w:rsidRPr="00136BFF">
        <w:rPr>
          <w:rFonts w:asciiTheme="majorBidi" w:hAnsiTheme="majorBidi" w:cstheme="majorBidi"/>
          <w:szCs w:val="24"/>
        </w:rPr>
        <w:t xml:space="preserve">Yoḥanan ben Zakkai </w:t>
      </w:r>
      <w:bookmarkEnd w:id="6"/>
      <w:r w:rsidRPr="00136BFF">
        <w:rPr>
          <w:rFonts w:asciiTheme="majorBidi" w:hAnsiTheme="majorBidi" w:cstheme="majorBidi"/>
          <w:szCs w:val="24"/>
        </w:rPr>
        <w:t xml:space="preserve">said to him: This is not true. In fact, any priest who does not give a half-shekel is sinning. Rather, the priests interpreted the verse for their own benefit, “And every meal-offering of a priest shall be wholly made to smoke; it shall not be eaten” (Leviticus 6:16): If the </w:t>
      </w:r>
      <w:r w:rsidRPr="00136BFF">
        <w:rPr>
          <w:rFonts w:asciiTheme="majorBidi" w:hAnsiTheme="majorBidi" w:cstheme="majorBidi"/>
          <w:i/>
          <w:iCs/>
          <w:szCs w:val="24"/>
        </w:rPr>
        <w:t>‘omer</w:t>
      </w:r>
      <w:r w:rsidRPr="00136BFF">
        <w:rPr>
          <w:rFonts w:asciiTheme="majorBidi" w:hAnsiTheme="majorBidi" w:cstheme="majorBidi"/>
          <w:szCs w:val="24"/>
        </w:rPr>
        <w:t xml:space="preserve"> [barley measure] offering and the </w:t>
      </w:r>
      <w:r w:rsidRPr="00136BFF">
        <w:rPr>
          <w:rFonts w:asciiTheme="majorBidi" w:hAnsiTheme="majorBidi" w:cstheme="majorBidi"/>
          <w:i/>
          <w:iCs/>
          <w:szCs w:val="24"/>
        </w:rPr>
        <w:t>leḥem ha-panim</w:t>
      </w:r>
      <w:r w:rsidRPr="00136BFF">
        <w:rPr>
          <w:rFonts w:asciiTheme="majorBidi" w:hAnsiTheme="majorBidi" w:cstheme="majorBidi"/>
          <w:szCs w:val="24"/>
        </w:rPr>
        <w:t xml:space="preserve"> [the showbread, displayed in the Temple] offering are ours, how can they be eaten</w:t>
      </w:r>
      <w:r w:rsidRPr="00136BFF">
        <w:rPr>
          <w:rFonts w:asciiTheme="majorBidi" w:hAnsiTheme="majorBidi" w:cstheme="majorBidi"/>
          <w:szCs w:val="24"/>
          <w:rtl/>
        </w:rPr>
        <w:t>?</w:t>
      </w:r>
    </w:p>
    <w:p w14:paraId="0235F1A3" w14:textId="77777777" w:rsidR="00854EB8" w:rsidRPr="00136BFF" w:rsidRDefault="00854EB8" w:rsidP="00506F73">
      <w:pPr>
        <w:pStyle w:val="PS"/>
        <w:spacing w:line="480" w:lineRule="auto"/>
        <w:ind w:firstLine="0"/>
        <w:jc w:val="both"/>
        <w:rPr>
          <w:rFonts w:asciiTheme="majorBidi" w:hAnsiTheme="majorBidi" w:cstheme="majorBidi"/>
          <w:szCs w:val="24"/>
          <w:lang w:bidi="he-IL"/>
        </w:rPr>
      </w:pPr>
      <w:r w:rsidRPr="00136BFF">
        <w:rPr>
          <w:rFonts w:asciiTheme="majorBidi" w:hAnsiTheme="majorBidi" w:cstheme="majorBidi"/>
          <w:szCs w:val="24"/>
        </w:rPr>
        <w:tab/>
        <w:t>Ben Bukhrei’s testimony indicates that a priest who remits the half-shekel although exempt from doing so makes the donation voluntarily. By so doing, he may show that public sacrifices are funded by personal voluntary contributions—the very thing that the Pharisees oppose. Nevertheless, Ben Bukhrei does not see this as a sin (in Pharisaic eyes) because the priest is assumed to have presented his shekel to the public as a no-strings-attached gift. This subsumes his contribution to the total pool of donated shekalim, meaning that the public sacrifices are funded by the public and not by the individual priest.</w:t>
      </w:r>
      <w:r w:rsidRPr="00136BFF">
        <w:rPr>
          <w:rStyle w:val="a5"/>
          <w:rFonts w:asciiTheme="majorBidi" w:hAnsiTheme="majorBidi" w:cstheme="majorBidi"/>
          <w:szCs w:val="24"/>
        </w:rPr>
        <w:footnoteReference w:id="17"/>
      </w:r>
      <w:r w:rsidRPr="00136BFF">
        <w:rPr>
          <w:rFonts w:asciiTheme="majorBidi" w:hAnsiTheme="majorBidi" w:cstheme="majorBidi"/>
          <w:szCs w:val="24"/>
        </w:rPr>
        <w:t xml:space="preserve"> R. Yoḥanan ben Zakkai objects to this vehemently, unwilling to leave the decision to donate to the priest’s personal (voluntary) inclination. He </w:t>
      </w:r>
      <w:r w:rsidRPr="00136BFF">
        <w:rPr>
          <w:rFonts w:asciiTheme="majorBidi" w:hAnsiTheme="majorBidi" w:cstheme="majorBidi"/>
          <w:szCs w:val="24"/>
        </w:rPr>
        <w:lastRenderedPageBreak/>
        <w:t>reformulates the argument and reconciles it with that of the Sages: The priests’ tax avoidance and non-participation in the public’s practice, he says, is a sin. In the same breath, he presents the rationale behind the priests’ way of thinking: The priests interpret Leviticus 6:16—“So, too, every meal</w:t>
      </w:r>
      <w:r>
        <w:rPr>
          <w:rFonts w:asciiTheme="majorBidi" w:hAnsiTheme="majorBidi" w:cstheme="majorBidi"/>
          <w:szCs w:val="24"/>
        </w:rPr>
        <w:t>-</w:t>
      </w:r>
      <w:r w:rsidRPr="00136BFF">
        <w:rPr>
          <w:rFonts w:asciiTheme="majorBidi" w:hAnsiTheme="majorBidi" w:cstheme="majorBidi"/>
          <w:szCs w:val="24"/>
        </w:rPr>
        <w:t>offering of a priest shall be a whole offering: it shall not be eaten.” According to the verse, priests’ meal offerings that are funded by public shekalim, e.g., “the first sheaf of your harvest,” “the two loaves of bread,” and “the bread of display” (Exodus 25:30, Leviticus 23:10–11, 16–17), may be eaten by the priests. The fact that the verse defines these public sacrifices as intended for priests’ consumption is, by their reasoning, proof that priests need not pay the half-shekel tax and have no share in the public’s meal offerings (= sacrifices). By extension, a priest who gifts his shekel to the public relinquishes the shekel and therefore, according to the thinking of the Sages</w:t>
      </w:r>
      <w:r w:rsidRPr="00136BFF">
        <w:rPr>
          <w:rFonts w:asciiTheme="majorBidi" w:hAnsiTheme="majorBidi" w:cstheme="majorBidi"/>
          <w:i/>
          <w:iCs/>
          <w:szCs w:val="24"/>
        </w:rPr>
        <w:t xml:space="preserve">, </w:t>
      </w:r>
      <w:r w:rsidRPr="00136BFF">
        <w:rPr>
          <w:rFonts w:asciiTheme="majorBidi" w:hAnsiTheme="majorBidi" w:cstheme="majorBidi"/>
          <w:szCs w:val="24"/>
        </w:rPr>
        <w:t>does not sin (by eating a priestly meal-offering, which should be totally “made to smoke” on the altar). R. Yoḥanan ben Zakkai takes exception to this exegesis: “Rather, the priests interpreted the verse for their own benefit,” i.e., in their self-interest.</w:t>
      </w:r>
      <w:r w:rsidRPr="00136BFF">
        <w:rPr>
          <w:rStyle w:val="a5"/>
          <w:rFonts w:asciiTheme="majorBidi" w:hAnsiTheme="majorBidi" w:cstheme="majorBidi"/>
          <w:szCs w:val="24"/>
          <w:rtl/>
          <w:lang w:bidi="he-IL"/>
        </w:rPr>
        <w:footnoteReference w:id="18"/>
      </w:r>
    </w:p>
    <w:p w14:paraId="6A8398B5" w14:textId="3C99CB6F" w:rsidR="00854EB8" w:rsidRPr="00136BFF" w:rsidRDefault="00854EB8" w:rsidP="00506F73">
      <w:pPr>
        <w:pStyle w:val="PS"/>
        <w:spacing w:line="480" w:lineRule="auto"/>
        <w:ind w:firstLine="0"/>
        <w:jc w:val="both"/>
        <w:rPr>
          <w:rFonts w:asciiTheme="majorBidi" w:hAnsiTheme="majorBidi" w:cstheme="majorBidi"/>
          <w:szCs w:val="24"/>
          <w:rtl/>
          <w:lang w:bidi="he-IL"/>
        </w:rPr>
      </w:pPr>
      <w:r w:rsidRPr="00136BFF">
        <w:rPr>
          <w:rFonts w:asciiTheme="majorBidi" w:hAnsiTheme="majorBidi" w:cstheme="majorBidi"/>
          <w:szCs w:val="24"/>
        </w:rPr>
        <w:lastRenderedPageBreak/>
        <w:tab/>
        <w:t xml:space="preserve">Thus, these Mishnaic passages reflect the fact that, even though the Pharisees defeated the Sadducees and introduced public funding for public sacrifices, and despite their success in entrenching the half-shekel payment among Jewish communities, they </w:t>
      </w:r>
      <w:r w:rsidRPr="00197019">
        <w:rPr>
          <w:rFonts w:asciiTheme="majorBidi" w:hAnsiTheme="majorBidi" w:cstheme="majorBidi"/>
          <w:szCs w:val="24"/>
        </w:rPr>
        <w:t>(</w:t>
      </w:r>
      <w:r w:rsidR="00197019" w:rsidRPr="00197019">
        <w:rPr>
          <w:rFonts w:asciiTheme="majorBidi" w:hAnsiTheme="majorBidi" w:cstheme="majorBidi"/>
          <w:szCs w:val="24"/>
        </w:rPr>
        <w:t>or their</w:t>
      </w:r>
      <w:r w:rsidRPr="00197019">
        <w:rPr>
          <w:rFonts w:asciiTheme="majorBidi" w:hAnsiTheme="majorBidi" w:cstheme="majorBidi"/>
          <w:szCs w:val="24"/>
        </w:rPr>
        <w:t xml:space="preserve"> </w:t>
      </w:r>
      <w:r w:rsidR="00197019" w:rsidRPr="00197019">
        <w:rPr>
          <w:rFonts w:asciiTheme="majorBidi" w:hAnsiTheme="majorBidi" w:cstheme="majorBidi"/>
          <w:szCs w:val="24"/>
        </w:rPr>
        <w:t xml:space="preserve">successors - </w:t>
      </w:r>
      <w:r w:rsidRPr="00197019">
        <w:rPr>
          <w:rFonts w:asciiTheme="majorBidi" w:hAnsiTheme="majorBidi" w:cstheme="majorBidi"/>
          <w:szCs w:val="24"/>
        </w:rPr>
        <w:t>the Sages)</w:t>
      </w:r>
      <w:r>
        <w:rPr>
          <w:rFonts w:asciiTheme="majorBidi" w:hAnsiTheme="majorBidi" w:cstheme="majorBidi" w:hint="cs"/>
          <w:szCs w:val="24"/>
          <w:rtl/>
          <w:lang w:bidi="he-IL"/>
        </w:rPr>
        <w:t xml:space="preserve"> </w:t>
      </w:r>
      <w:r w:rsidRPr="00136BFF">
        <w:rPr>
          <w:rFonts w:asciiTheme="majorBidi" w:hAnsiTheme="majorBidi" w:cstheme="majorBidi"/>
          <w:szCs w:val="24"/>
        </w:rPr>
        <w:t>failed to realize the idea fully and to induce the priests to join the public in this pecuniary duty.</w:t>
      </w:r>
      <w:r w:rsidRPr="00136BFF">
        <w:rPr>
          <w:rStyle w:val="a5"/>
          <w:rFonts w:asciiTheme="majorBidi" w:hAnsiTheme="majorBidi" w:cstheme="majorBidi"/>
          <w:szCs w:val="24"/>
        </w:rPr>
        <w:footnoteReference w:id="19"/>
      </w:r>
      <w:r w:rsidRPr="00136BFF">
        <w:rPr>
          <w:rFonts w:asciiTheme="majorBidi" w:hAnsiTheme="majorBidi" w:cstheme="majorBidi"/>
          <w:szCs w:val="24"/>
        </w:rPr>
        <w:t xml:space="preserve"> Had the Sages managed to impose their straightforward religious-ideological stance, they would have formulated the matter as a halakhah, as R. Yoḥanan ben Zakkai proposed. Clearly, then, the explanation of “ways of peace” for exempting the priests from the half-shekel tax—by de facto non-enforcement—serves as a justification for the Sages’ retreat from the principle of universal participation in remitting the tax to the Temple and flows entirely from the realia of the political balance of forces. This retreat may have originated in the Sages’ concern that a more determined struggle against the priests would have shredded the internal fabric of Jewish society. It may also reflect their understanding of the limits of their political power in confrontation with the priests, who enjoyed broad public prestige generally, and certainly in the domain that the Torah bequeaths to them, the Temple service. </w:t>
      </w:r>
    </w:p>
    <w:p w14:paraId="5586552F" w14:textId="66325752" w:rsidR="00854EB8" w:rsidRDefault="00854EB8" w:rsidP="00506F73">
      <w:pPr>
        <w:pStyle w:val="PS"/>
        <w:spacing w:line="480" w:lineRule="auto"/>
        <w:jc w:val="both"/>
        <w:rPr>
          <w:rFonts w:asciiTheme="majorBidi" w:hAnsiTheme="majorBidi" w:cstheme="majorBidi"/>
          <w:szCs w:val="24"/>
          <w:lang w:bidi="he-IL"/>
        </w:rPr>
      </w:pPr>
      <w:r w:rsidRPr="00136BFF">
        <w:rPr>
          <w:rFonts w:asciiTheme="majorBidi" w:hAnsiTheme="majorBidi" w:cstheme="majorBidi"/>
          <w:szCs w:val="24"/>
          <w:lang w:bidi="he-IL"/>
        </w:rPr>
        <w:lastRenderedPageBreak/>
        <w:tab/>
      </w:r>
      <w:r w:rsidR="00A4451D">
        <w:rPr>
          <w:rFonts w:asciiTheme="majorBidi" w:hAnsiTheme="majorBidi" w:cstheme="majorBidi"/>
          <w:szCs w:val="24"/>
          <w:lang w:bidi="he-IL"/>
        </w:rPr>
        <w:t xml:space="preserve">As we </w:t>
      </w:r>
      <w:r w:rsidR="00A4451D" w:rsidRPr="00A4451D">
        <w:rPr>
          <w:rFonts w:asciiTheme="majorBidi" w:hAnsiTheme="majorBidi" w:cstheme="majorBidi"/>
          <w:szCs w:val="24"/>
          <w:lang w:bidi="he-IL"/>
        </w:rPr>
        <w:t>have seen</w:t>
      </w:r>
      <w:r w:rsidR="00A4451D">
        <w:rPr>
          <w:rFonts w:asciiTheme="majorBidi" w:hAnsiTheme="majorBidi" w:cstheme="majorBidi"/>
          <w:szCs w:val="24"/>
          <w:lang w:bidi="he-IL"/>
        </w:rPr>
        <w:t>,</w:t>
      </w:r>
      <w:r w:rsidR="00A4451D" w:rsidRPr="00A4451D">
        <w:rPr>
          <w:rFonts w:asciiTheme="majorBidi" w:hAnsiTheme="majorBidi" w:cstheme="majorBidi"/>
          <w:szCs w:val="24"/>
          <w:lang w:bidi="he-IL"/>
        </w:rPr>
        <w:t xml:space="preserve"> </w:t>
      </w:r>
      <w:r w:rsidR="00A4451D">
        <w:rPr>
          <w:rFonts w:asciiTheme="majorBidi" w:hAnsiTheme="majorBidi" w:cstheme="majorBidi"/>
          <w:szCs w:val="24"/>
          <w:lang w:bidi="he-IL"/>
        </w:rPr>
        <w:t>t</w:t>
      </w:r>
      <w:r w:rsidRPr="00D57A1D">
        <w:rPr>
          <w:rFonts w:asciiTheme="majorBidi" w:hAnsiTheme="majorBidi" w:cstheme="majorBidi"/>
          <w:szCs w:val="24"/>
          <w:lang w:bidi="he-IL"/>
        </w:rPr>
        <w:t xml:space="preserve">he “for the ways of peace” reasoning appears not in the words of R. Yoḥanan Ben Zakkai but in those of the </w:t>
      </w:r>
      <w:r w:rsidRPr="00D57A1D">
        <w:rPr>
          <w:rFonts w:asciiTheme="majorBidi" w:hAnsiTheme="majorBidi" w:cstheme="majorBidi"/>
          <w:i/>
          <w:iCs/>
          <w:szCs w:val="24"/>
          <w:lang w:bidi="he-IL"/>
        </w:rPr>
        <w:t>stam Mishnah</w:t>
      </w:r>
      <w:r w:rsidRPr="00D57A1D">
        <w:rPr>
          <w:rFonts w:asciiTheme="majorBidi" w:hAnsiTheme="majorBidi" w:cstheme="majorBidi"/>
          <w:szCs w:val="24"/>
          <w:lang w:bidi="he-IL"/>
        </w:rPr>
        <w:t xml:space="preserve">. </w:t>
      </w:r>
      <w:r w:rsidRPr="00AF3089">
        <w:rPr>
          <w:rFonts w:asciiTheme="majorBidi" w:hAnsiTheme="majorBidi" w:cstheme="majorBidi"/>
          <w:szCs w:val="24"/>
          <w:highlight w:val="yellow"/>
          <w:lang w:bidi="he-IL"/>
        </w:rPr>
        <w:t>How should the content and role of the phrase in this position be understood? One possibility is to assume that the editor uses a familiar phrase at the time</w:t>
      </w:r>
      <w:r w:rsidR="00A35165">
        <w:rPr>
          <w:rFonts w:asciiTheme="majorBidi" w:hAnsiTheme="majorBidi" w:cstheme="majorBidi"/>
          <w:szCs w:val="24"/>
          <w:highlight w:val="yellow"/>
          <w:lang w:bidi="he-IL"/>
        </w:rPr>
        <w:t>,</w:t>
      </w:r>
      <w:r w:rsidRPr="00AF3089">
        <w:rPr>
          <w:rFonts w:asciiTheme="majorBidi" w:hAnsiTheme="majorBidi" w:cstheme="majorBidi"/>
          <w:szCs w:val="24"/>
          <w:highlight w:val="yellow"/>
          <w:lang w:bidi="he-IL"/>
        </w:rPr>
        <w:t xml:space="preserve"> to soften - and perhaps even convert - the words of Rabban Yochanan ben Zakkai, by using a broad halakhic principle </w:t>
      </w:r>
      <w:r w:rsidR="00C870CC">
        <w:rPr>
          <w:rFonts w:asciiTheme="majorBidi" w:hAnsiTheme="majorBidi" w:cstheme="majorBidi"/>
          <w:szCs w:val="24"/>
          <w:highlight w:val="yellow"/>
          <w:lang w:bidi="he-IL"/>
        </w:rPr>
        <w:t>–</w:t>
      </w:r>
      <w:r w:rsidRPr="00AF3089">
        <w:rPr>
          <w:rFonts w:asciiTheme="majorBidi" w:hAnsiTheme="majorBidi" w:cstheme="majorBidi"/>
          <w:szCs w:val="24"/>
          <w:highlight w:val="yellow"/>
          <w:lang w:bidi="he-IL"/>
        </w:rPr>
        <w:t xml:space="preserve"> </w:t>
      </w:r>
      <w:r w:rsidR="00C870CC">
        <w:rPr>
          <w:rFonts w:ascii="SBL Greek" w:hAnsi="SBL Greek" w:cstheme="majorBidi"/>
          <w:szCs w:val="24"/>
          <w:highlight w:val="yellow"/>
          <w:lang w:bidi="he-IL"/>
        </w:rPr>
        <w:t>‘</w:t>
      </w:r>
      <w:r w:rsidR="00C870CC">
        <w:rPr>
          <w:rFonts w:asciiTheme="majorBidi" w:hAnsiTheme="majorBidi" w:cstheme="majorBidi"/>
          <w:szCs w:val="24"/>
          <w:highlight w:val="yellow"/>
          <w:lang w:bidi="he-IL"/>
        </w:rPr>
        <w:t>ways of peace</w:t>
      </w:r>
      <w:r w:rsidR="00C870CC">
        <w:rPr>
          <w:rFonts w:ascii="SBL Greek" w:hAnsi="SBL Greek" w:cstheme="majorBidi"/>
          <w:szCs w:val="24"/>
          <w:highlight w:val="yellow"/>
          <w:lang w:bidi="he-IL"/>
        </w:rPr>
        <w:t>’</w:t>
      </w:r>
      <w:r w:rsidRPr="00AF3089">
        <w:rPr>
          <w:rFonts w:asciiTheme="majorBidi" w:hAnsiTheme="majorBidi" w:cstheme="majorBidi"/>
          <w:szCs w:val="24"/>
          <w:highlight w:val="yellow"/>
          <w:lang w:bidi="he-IL"/>
        </w:rPr>
        <w:t xml:space="preserve">- as a justifiable reason to bend the specific law that also requires priests to pay half a shekel. Another possibility is to interpret the tone that accompanies the use of the expression a critical aphid, or at least as an expression of acceptance – involuntarily - with the necessity to deviate from </w:t>
      </w:r>
      <w:r w:rsidRPr="004712A7">
        <w:rPr>
          <w:rFonts w:asciiTheme="majorBidi" w:hAnsiTheme="majorBidi" w:cstheme="majorBidi"/>
          <w:szCs w:val="24"/>
          <w:highlight w:val="yellow"/>
          <w:lang w:bidi="he-IL"/>
        </w:rPr>
        <w:t xml:space="preserve">the </w:t>
      </w:r>
      <w:r w:rsidR="004712A7" w:rsidRPr="004712A7">
        <w:rPr>
          <w:rFonts w:asciiTheme="majorBidi" w:hAnsiTheme="majorBidi" w:cstheme="majorBidi"/>
          <w:szCs w:val="24"/>
          <w:highlight w:val="yellow"/>
          <w:lang w:bidi="he-IL"/>
        </w:rPr>
        <w:t xml:space="preserve">strict </w:t>
      </w:r>
      <w:r w:rsidRPr="004712A7">
        <w:rPr>
          <w:rFonts w:asciiTheme="majorBidi" w:hAnsiTheme="majorBidi" w:cstheme="majorBidi"/>
          <w:szCs w:val="24"/>
          <w:highlight w:val="yellow"/>
          <w:lang w:bidi="he-IL"/>
        </w:rPr>
        <w:t>law</w:t>
      </w:r>
      <w:r w:rsidRPr="00C16EFB">
        <w:rPr>
          <w:rFonts w:asciiTheme="majorBidi" w:hAnsiTheme="majorBidi" w:cstheme="majorBidi"/>
          <w:szCs w:val="24"/>
          <w:highlight w:val="yellow"/>
          <w:lang w:bidi="he-IL"/>
        </w:rPr>
        <w:t xml:space="preserve">. However, the redaction of this reason at the end of Mishnah 3 (as an introduction to the dispute between Ben Bukhrei and Ben Zakkai in Mishnah 4) along with several other sources in the chapter that reflect the Sages’ resistance to exempting priests from the tax, hints </w:t>
      </w:r>
      <w:r w:rsidRPr="00C16EFB">
        <w:rPr>
          <w:rFonts w:asciiTheme="majorBidi" w:hAnsiTheme="majorBidi" w:cstheme="majorBidi"/>
          <w:szCs w:val="24"/>
          <w:highlight w:val="yellow"/>
        </w:rPr>
        <w:t xml:space="preserve">that the Mishnah’s </w:t>
      </w:r>
      <w:r w:rsidRPr="00C16EFB">
        <w:rPr>
          <w:rFonts w:asciiTheme="majorBidi" w:hAnsiTheme="majorBidi"/>
          <w:highlight w:val="yellow"/>
        </w:rPr>
        <w:t>redactor</w:t>
      </w:r>
      <w:r w:rsidRPr="00C16EFB">
        <w:rPr>
          <w:rFonts w:asciiTheme="majorBidi" w:hAnsiTheme="majorBidi" w:cstheme="majorBidi"/>
          <w:szCs w:val="24"/>
          <w:highlight w:val="yellow"/>
          <w:lang w:bidi="he-IL"/>
        </w:rPr>
        <w:t xml:space="preserve"> understood the rationale on the basis of Ben Zakkai’s halakhic concept. If this is indeed the case, </w:t>
      </w:r>
      <w:r w:rsidRPr="00C16EFB">
        <w:rPr>
          <w:rFonts w:asciiTheme="majorBidi" w:hAnsiTheme="majorBidi"/>
          <w:highlight w:val="yellow"/>
        </w:rPr>
        <w:t xml:space="preserve">it </w:t>
      </w:r>
      <w:r w:rsidRPr="00C16EFB">
        <w:rPr>
          <w:rFonts w:asciiTheme="majorBidi" w:hAnsiTheme="majorBidi" w:cstheme="majorBidi"/>
          <w:szCs w:val="24"/>
          <w:highlight w:val="yellow"/>
          <w:lang w:bidi="he-IL"/>
        </w:rPr>
        <w:t>becomes</w:t>
      </w:r>
      <w:r w:rsidRPr="00C16EFB">
        <w:rPr>
          <w:rFonts w:asciiTheme="majorBidi" w:hAnsiTheme="majorBidi"/>
          <w:highlight w:val="yellow"/>
        </w:rPr>
        <w:t xml:space="preserve"> clear that</w:t>
      </w:r>
      <w:r w:rsidRPr="00C16EFB">
        <w:rPr>
          <w:rFonts w:asciiTheme="majorBidi" w:hAnsiTheme="majorBidi" w:cstheme="majorBidi"/>
          <w:szCs w:val="24"/>
          <w:highlight w:val="yellow"/>
          <w:lang w:bidi="he-IL"/>
        </w:rPr>
        <w:t>,</w:t>
      </w:r>
      <w:r w:rsidRPr="00C16EFB">
        <w:rPr>
          <w:rFonts w:asciiTheme="majorBidi" w:hAnsiTheme="majorBidi"/>
          <w:highlight w:val="yellow"/>
        </w:rPr>
        <w:t xml:space="preserve"> </w:t>
      </w:r>
      <w:r w:rsidRPr="00C16EFB">
        <w:rPr>
          <w:rFonts w:asciiTheme="majorBidi" w:hAnsiTheme="majorBidi" w:cstheme="majorBidi"/>
          <w:szCs w:val="24"/>
          <w:highlight w:val="yellow"/>
          <w:lang w:bidi="he-IL"/>
        </w:rPr>
        <w:t>in this chapter, the “ways of peace” reasoning</w:t>
      </w:r>
      <w:r w:rsidR="00C16EFB" w:rsidRPr="00C16EFB">
        <w:rPr>
          <w:rFonts w:asciiTheme="majorBidi" w:hAnsiTheme="majorBidi" w:cstheme="majorBidi"/>
          <w:szCs w:val="24"/>
          <w:highlight w:val="yellow"/>
          <w:lang w:bidi="he-IL"/>
        </w:rPr>
        <w:t xml:space="preserve"> used</w:t>
      </w:r>
      <w:r w:rsidRPr="00C16EFB">
        <w:rPr>
          <w:rFonts w:asciiTheme="majorBidi" w:hAnsiTheme="majorBidi" w:cstheme="majorBidi"/>
          <w:szCs w:val="24"/>
          <w:highlight w:val="yellow"/>
          <w:lang w:bidi="he-IL"/>
        </w:rPr>
        <w:t xml:space="preserve"> </w:t>
      </w:r>
      <w:r w:rsidR="00C16EFB" w:rsidRPr="00C16EFB">
        <w:rPr>
          <w:rFonts w:asciiTheme="majorBidi" w:hAnsiTheme="majorBidi" w:cstheme="majorBidi"/>
          <w:szCs w:val="24"/>
          <w:highlight w:val="yellow"/>
          <w:lang w:bidi="he-IL"/>
        </w:rPr>
        <w:t xml:space="preserve">as </w:t>
      </w:r>
      <w:r w:rsidRPr="00C16EFB">
        <w:rPr>
          <w:rFonts w:asciiTheme="majorBidi" w:hAnsiTheme="majorBidi" w:cstheme="majorBidi"/>
          <w:szCs w:val="24"/>
          <w:highlight w:val="yellow"/>
          <w:lang w:bidi="he-IL"/>
        </w:rPr>
        <w:t xml:space="preserve">a justification for the Sages’ retreat from their halakhic opinion and not </w:t>
      </w:r>
      <w:r w:rsidRPr="000A1D8E">
        <w:rPr>
          <w:rFonts w:asciiTheme="majorBidi" w:hAnsiTheme="majorBidi" w:cstheme="majorBidi"/>
          <w:szCs w:val="24"/>
          <w:highlight w:val="yellow"/>
          <w:lang w:bidi="he-IL"/>
        </w:rPr>
        <w:t>necessarily as a halachic principle of positive value.</w:t>
      </w:r>
      <w:bookmarkStart w:id="7" w:name="_Ref56072453"/>
    </w:p>
    <w:p w14:paraId="1D7EDF77" w14:textId="77777777" w:rsidR="00854EB8" w:rsidRPr="00AD4EE6" w:rsidRDefault="00854EB8" w:rsidP="00506F73">
      <w:pPr>
        <w:pStyle w:val="PS"/>
        <w:spacing w:line="480" w:lineRule="auto"/>
        <w:ind w:firstLine="720"/>
        <w:jc w:val="both"/>
        <w:rPr>
          <w:rFonts w:asciiTheme="majorBidi" w:hAnsiTheme="majorBidi" w:cstheme="majorBidi"/>
          <w:szCs w:val="24"/>
          <w:highlight w:val="yellow"/>
        </w:rPr>
      </w:pPr>
      <w:r w:rsidRPr="00714173">
        <w:rPr>
          <w:rFonts w:asciiTheme="majorBidi" w:hAnsiTheme="majorBidi" w:cstheme="majorBidi"/>
          <w:szCs w:val="24"/>
          <w:highlight w:val="yellow"/>
        </w:rPr>
        <w:t xml:space="preserve">Another rule that reflects this nuance in the perception of reasoning “for reason of ways of peace,” can </w:t>
      </w:r>
      <w:r w:rsidRPr="00AD4EE6">
        <w:rPr>
          <w:rFonts w:asciiTheme="majorBidi" w:hAnsiTheme="majorBidi" w:cstheme="majorBidi"/>
          <w:szCs w:val="24"/>
          <w:highlight w:val="yellow"/>
        </w:rPr>
        <w:t>be seen in the following example</w:t>
      </w:r>
      <w:r>
        <w:rPr>
          <w:rFonts w:asciiTheme="majorBidi" w:hAnsiTheme="majorBidi" w:cstheme="majorBidi"/>
          <w:szCs w:val="24"/>
          <w:highlight w:val="yellow"/>
        </w:rPr>
        <w:t xml:space="preserve"> from </w:t>
      </w:r>
      <w:r w:rsidRPr="00AD4EE6">
        <w:rPr>
          <w:rFonts w:asciiTheme="majorBidi" w:hAnsiTheme="majorBidi" w:cstheme="majorBidi"/>
          <w:szCs w:val="24"/>
          <w:highlight w:val="yellow"/>
        </w:rPr>
        <w:t xml:space="preserve">T. Pe’ah 3:1. Here, too, there is a halakhah whose formulation - corresponding to the wording of the halakhah in the Tractate Shekelim - can be felt in the apologetic tone of the sages, due to a certain relinquishment of their halakhic conception: </w:t>
      </w:r>
    </w:p>
    <w:p w14:paraId="274FA795" w14:textId="77777777" w:rsidR="00854EB8" w:rsidRPr="00AD4EE6" w:rsidRDefault="00854EB8" w:rsidP="00506F73">
      <w:pPr>
        <w:pStyle w:val="PS"/>
        <w:spacing w:line="480" w:lineRule="auto"/>
        <w:ind w:left="720" w:firstLine="0"/>
        <w:jc w:val="both"/>
        <w:rPr>
          <w:rFonts w:asciiTheme="majorBidi" w:hAnsiTheme="majorBidi" w:cstheme="majorBidi"/>
          <w:szCs w:val="24"/>
          <w:highlight w:val="yellow"/>
        </w:rPr>
      </w:pPr>
      <w:r w:rsidRPr="00AD4EE6">
        <w:rPr>
          <w:rFonts w:asciiTheme="majorBidi" w:hAnsiTheme="majorBidi" w:cstheme="majorBidi"/>
          <w:szCs w:val="24"/>
          <w:highlight w:val="yellow"/>
        </w:rPr>
        <w:t xml:space="preserve">If there are [in the field] poor people who are not fit [to be allowed] to glean [the gifts to the poor, then] if the owner of the field can prevent them [from gleaning], he is allowed to do so, but if [he is] not [able to prevent them from </w:t>
      </w:r>
      <w:r w:rsidRPr="00AD4EE6">
        <w:rPr>
          <w:rFonts w:asciiTheme="majorBidi" w:hAnsiTheme="majorBidi" w:cstheme="majorBidi"/>
          <w:szCs w:val="24"/>
          <w:highlight w:val="yellow"/>
        </w:rPr>
        <w:lastRenderedPageBreak/>
        <w:t xml:space="preserve">gleaning, then] he should leave them alone [and let them glean anyway] because of peaceful relations [between people]. </w:t>
      </w:r>
    </w:p>
    <w:p w14:paraId="35DCC051" w14:textId="4DA181F4" w:rsidR="00854EB8" w:rsidRDefault="00854EB8" w:rsidP="005C6F29">
      <w:pPr>
        <w:pStyle w:val="PS"/>
        <w:spacing w:line="480" w:lineRule="auto"/>
        <w:ind w:firstLine="0"/>
        <w:jc w:val="both"/>
        <w:rPr>
          <w:rFonts w:asciiTheme="majorBidi" w:hAnsiTheme="majorBidi" w:cstheme="majorBidi"/>
          <w:szCs w:val="24"/>
          <w:lang w:bidi="he-IL"/>
        </w:rPr>
      </w:pPr>
      <w:r w:rsidRPr="00AD4EE6">
        <w:rPr>
          <w:rFonts w:asciiTheme="majorBidi" w:hAnsiTheme="majorBidi" w:cstheme="majorBidi"/>
          <w:szCs w:val="24"/>
          <w:highlight w:val="yellow"/>
        </w:rPr>
        <w:t xml:space="preserve">Unlike the exemption for priests, which regulated the operation of a public institution, here is an installation for the private person, stipulating that the landowner must try to resist the entry of unworthy people into the field to keep the poor gifts to those who are entitled to them. The phrase ‘not fit’ was interpreted in two ways: poor but dishonest; Or they have two hundred </w:t>
      </w:r>
      <w:r w:rsidRPr="00AD4EE6">
        <w:rPr>
          <w:rFonts w:asciiTheme="majorBidi" w:hAnsiTheme="majorBidi" w:cstheme="majorBidi"/>
          <w:i/>
          <w:iCs/>
          <w:szCs w:val="24"/>
          <w:highlight w:val="yellow"/>
        </w:rPr>
        <w:t>zuz</w:t>
      </w:r>
      <w:r w:rsidRPr="00AD4EE6">
        <w:rPr>
          <w:rFonts w:asciiTheme="majorBidi" w:hAnsiTheme="majorBidi" w:cstheme="majorBidi"/>
          <w:szCs w:val="24"/>
          <w:highlight w:val="yellow"/>
        </w:rPr>
        <w:t xml:space="preserve"> in their hands, and therefore do not fall into the 'poor' fence. For both interpretations these people are not allowed to gather the crop that has fallen in the field, since they are robbing from the hands of the decent (or real) poor what belongs to them. Plainly the enactment attempts to strike a balance between the landowner’s practical abilities and the requirements of the halakhah. After all, can the landlord check individually what the nature or financial situation of each person who comes to collect in his field? Such an obligation could take valuable work time from him, cause great embarrassment to both parties, and even cause a violent confrontation between them. For these reasons it seems that the halachah stipulates that if the landlord does not have the power to protest with these people, he must let them gather in his field. The enactment, however, does not totally set aside the Sages’ halakhic reasoning (which allows only the deserving poor to glean) because it states explicitly that if the landowner can prevent abuse of the gleaning privilege, he should do so. Thus, here, too, the rationale of </w:t>
      </w:r>
      <w:r w:rsidRPr="00D70461">
        <w:rPr>
          <w:rFonts w:asciiTheme="majorBidi" w:hAnsiTheme="majorBidi" w:cstheme="majorBidi"/>
          <w:szCs w:val="24"/>
          <w:highlight w:val="yellow"/>
        </w:rPr>
        <w:t xml:space="preserve">maintaining “Ways of Peace” </w:t>
      </w:r>
      <w:r w:rsidRPr="00AD4EE6">
        <w:rPr>
          <w:rFonts w:asciiTheme="majorBidi" w:hAnsiTheme="majorBidi" w:cstheme="majorBidi"/>
          <w:szCs w:val="24"/>
          <w:highlight w:val="yellow"/>
        </w:rPr>
        <w:t>explains the waiving of a halakhic principle for realpolitik reasons and not for the sake of a value that the Sages are interested in promoting.</w:t>
      </w:r>
      <w:r w:rsidRPr="00AD4EE6">
        <w:rPr>
          <w:rStyle w:val="a5"/>
          <w:rFonts w:asciiTheme="majorBidi" w:hAnsiTheme="majorBidi" w:cstheme="majorBidi"/>
          <w:szCs w:val="24"/>
          <w:highlight w:val="yellow"/>
          <w:lang w:bidi="he-IL"/>
        </w:rPr>
        <w:footnoteReference w:id="20"/>
      </w:r>
      <w:bookmarkEnd w:id="7"/>
    </w:p>
    <w:p w14:paraId="4F9E5B77" w14:textId="77777777" w:rsidR="00AD5AD5" w:rsidRPr="003F5159" w:rsidRDefault="00AD5AD5" w:rsidP="00506F73">
      <w:pPr>
        <w:pStyle w:val="FH"/>
        <w:spacing w:line="480" w:lineRule="auto"/>
        <w:jc w:val="both"/>
        <w:rPr>
          <w:rFonts w:ascii="Times New Roman" w:hAnsi="Times New Roman"/>
          <w:sz w:val="24"/>
          <w:szCs w:val="24"/>
        </w:rPr>
      </w:pPr>
      <w:r w:rsidRPr="003F5159">
        <w:rPr>
          <w:rFonts w:ascii="Times New Roman" w:hAnsi="Times New Roman"/>
          <w:sz w:val="24"/>
          <w:szCs w:val="24"/>
        </w:rPr>
        <w:lastRenderedPageBreak/>
        <w:t>II. The Pragmatic Approach: “Ways of Peace” as Justification for Enactments That Fill Halakhic Lacunae</w:t>
      </w:r>
    </w:p>
    <w:p w14:paraId="0927D65A" w14:textId="2C5DC749" w:rsidR="00AD5AD5" w:rsidRPr="00E05D7A" w:rsidRDefault="00AD5AD5" w:rsidP="00506F73">
      <w:pPr>
        <w:pStyle w:val="PC"/>
        <w:spacing w:line="480" w:lineRule="auto"/>
        <w:jc w:val="both"/>
        <w:rPr>
          <w:szCs w:val="24"/>
          <w:lang w:bidi="he-IL"/>
        </w:rPr>
      </w:pPr>
      <w:r w:rsidRPr="00407E56">
        <w:rPr>
          <w:szCs w:val="24"/>
        </w:rPr>
        <w:t xml:space="preserve">In other Tannaitic sources, different attitudes toward the </w:t>
      </w:r>
      <w:r w:rsidRPr="00407E56">
        <w:rPr>
          <w:rFonts w:ascii="SBL Greek" w:hAnsi="SBL Greek"/>
          <w:szCs w:val="24"/>
        </w:rPr>
        <w:t>“</w:t>
      </w:r>
      <w:r w:rsidRPr="00407E56">
        <w:rPr>
          <w:szCs w:val="24"/>
        </w:rPr>
        <w:t>ways of peace” rationale</w:t>
      </w:r>
      <w:r>
        <w:rPr>
          <w:szCs w:val="24"/>
        </w:rPr>
        <w:t xml:space="preserve"> are expressed</w:t>
      </w:r>
      <w:r w:rsidRPr="00407E56">
        <w:rPr>
          <w:szCs w:val="24"/>
        </w:rPr>
        <w:t xml:space="preserve">. One </w:t>
      </w:r>
      <w:r>
        <w:rPr>
          <w:szCs w:val="24"/>
        </w:rPr>
        <w:t xml:space="preserve">of them </w:t>
      </w:r>
      <w:r w:rsidRPr="00407E56">
        <w:rPr>
          <w:szCs w:val="24"/>
        </w:rPr>
        <w:t xml:space="preserve">sees the rationale as justification for enactments that fill halakhic lacunae. In a large majority of these halakhot, unlike those reviewed above, no explicit theological or ideological dispute exists; the Sages appear to take a pragmatic and practical </w:t>
      </w:r>
      <w:r w:rsidRPr="000D0CF3">
        <w:rPr>
          <w:szCs w:val="24"/>
        </w:rPr>
        <w:t>approach to them.</w:t>
      </w:r>
    </w:p>
    <w:p w14:paraId="2B40E08A" w14:textId="7E0B3EF7" w:rsidR="0047176E" w:rsidRDefault="001E1F47" w:rsidP="00694F48">
      <w:pPr>
        <w:pStyle w:val="PS"/>
        <w:bidi/>
        <w:spacing w:line="480" w:lineRule="auto"/>
        <w:ind w:firstLine="720"/>
        <w:jc w:val="both"/>
        <w:rPr>
          <w:rFonts w:ascii="David" w:hAnsi="David" w:cs="David"/>
          <w:szCs w:val="24"/>
          <w:rtl/>
        </w:rPr>
      </w:pPr>
      <w:r>
        <w:rPr>
          <w:rFonts w:ascii="David" w:hAnsi="David" w:cs="David" w:hint="cs"/>
          <w:szCs w:val="24"/>
          <w:rtl/>
          <w:lang w:bidi="he-IL"/>
        </w:rPr>
        <w:t xml:space="preserve">דוגמה בולטת לכך ניתן לראות </w:t>
      </w:r>
      <w:r w:rsidR="00D031D6">
        <w:rPr>
          <w:rFonts w:ascii="David" w:hAnsi="David" w:cs="David" w:hint="cs"/>
          <w:szCs w:val="24"/>
          <w:rtl/>
          <w:lang w:bidi="he-IL"/>
        </w:rPr>
        <w:t>בתקנה שעוסקת בדיני עירוב</w:t>
      </w:r>
      <w:r w:rsidR="00694F48">
        <w:rPr>
          <w:rFonts w:ascii="David" w:hAnsi="David" w:cs="David" w:hint="cs"/>
          <w:szCs w:val="24"/>
          <w:rtl/>
          <w:lang w:bidi="he-IL"/>
        </w:rPr>
        <w:t>.</w:t>
      </w:r>
      <w:r w:rsidR="003F5BE1">
        <w:rPr>
          <w:rFonts w:ascii="David" w:hAnsi="David" w:cs="David" w:hint="cs"/>
          <w:szCs w:val="24"/>
          <w:rtl/>
          <w:lang w:bidi="he-IL"/>
        </w:rPr>
        <w:t xml:space="preserve"> </w:t>
      </w:r>
      <w:r w:rsidR="00823DD0">
        <w:rPr>
          <w:rFonts w:ascii="David" w:hAnsi="David" w:cs="David" w:hint="cs"/>
          <w:szCs w:val="24"/>
          <w:rtl/>
        </w:rPr>
        <w:t xml:space="preserve">הלכות </w:t>
      </w:r>
      <w:r w:rsidR="00C13B68" w:rsidRPr="0067184F">
        <w:rPr>
          <w:rFonts w:ascii="David" w:hAnsi="David" w:cs="David"/>
          <w:szCs w:val="24"/>
          <w:rtl/>
        </w:rPr>
        <w:t>'עירוב' ה</w:t>
      </w:r>
      <w:r w:rsidR="00823DD0">
        <w:rPr>
          <w:rFonts w:ascii="David" w:hAnsi="David" w:cs="David" w:hint="cs"/>
          <w:szCs w:val="24"/>
          <w:rtl/>
        </w:rPr>
        <w:t>ן</w:t>
      </w:r>
      <w:r w:rsidR="00C13B68" w:rsidRPr="0067184F">
        <w:rPr>
          <w:rFonts w:ascii="David" w:hAnsi="David" w:cs="David"/>
          <w:szCs w:val="24"/>
          <w:rtl/>
        </w:rPr>
        <w:t xml:space="preserve"> תקנות והסדרים הלכתיים שנוגעים באופן שמירת </w:t>
      </w:r>
      <w:r w:rsidR="00823DD0">
        <w:rPr>
          <w:rFonts w:ascii="David" w:hAnsi="David" w:cs="David" w:hint="cs"/>
          <w:szCs w:val="24"/>
          <w:rtl/>
        </w:rPr>
        <w:t xml:space="preserve">קדושת </w:t>
      </w:r>
      <w:r w:rsidR="00C13B68" w:rsidRPr="0067184F">
        <w:rPr>
          <w:rFonts w:ascii="David" w:hAnsi="David" w:cs="David"/>
          <w:szCs w:val="24"/>
          <w:rtl/>
        </w:rPr>
        <w:t>השבת.</w:t>
      </w:r>
      <w:r w:rsidR="0047176E" w:rsidRPr="0067184F">
        <w:rPr>
          <w:rFonts w:ascii="David" w:hAnsi="David" w:cs="David"/>
          <w:szCs w:val="24"/>
          <w:rtl/>
        </w:rPr>
        <w:t xml:space="preserve"> חכמים אסרו לטלטל בשבת מרשות לרשות (כגון מרשות היחיד לרשות הרבים) וייחסו איסור זה לתורה.</w:t>
      </w:r>
      <w:r w:rsidR="0047176E" w:rsidRPr="0067184F">
        <w:rPr>
          <w:rStyle w:val="a5"/>
          <w:rFonts w:ascii="David" w:hAnsi="David" w:cs="David"/>
          <w:szCs w:val="24"/>
          <w:rtl/>
        </w:rPr>
        <w:footnoteReference w:id="21"/>
      </w:r>
      <w:r w:rsidR="0067184F">
        <w:rPr>
          <w:rFonts w:ascii="David" w:hAnsi="David" w:cs="David" w:hint="cs"/>
          <w:szCs w:val="24"/>
          <w:rtl/>
        </w:rPr>
        <w:t xml:space="preserve"> </w:t>
      </w:r>
      <w:r w:rsidR="008E5D2E">
        <w:rPr>
          <w:rFonts w:ascii="David" w:hAnsi="David" w:cs="David" w:hint="cs"/>
          <w:szCs w:val="24"/>
          <w:rtl/>
        </w:rPr>
        <w:t>לעומת זאת, בהוצאה מן הבית לחצר הם ראו איסור חמור פחות, וסברו כי הוא אסור אך ורק מדברי סופרים (כלומר תקנות שניתקנו בתחילת תקופת הבית השני ועברו במסורת שבעל פה).</w:t>
      </w:r>
      <w:r w:rsidR="008E5D2E">
        <w:rPr>
          <w:rStyle w:val="a5"/>
          <w:rFonts w:ascii="David" w:hAnsi="David" w:cs="David"/>
          <w:szCs w:val="24"/>
          <w:rtl/>
        </w:rPr>
        <w:footnoteReference w:id="22"/>
      </w:r>
      <w:r w:rsidR="00FF02A5">
        <w:rPr>
          <w:rFonts w:ascii="David" w:hAnsi="David" w:cs="David" w:hint="cs"/>
          <w:szCs w:val="24"/>
          <w:rtl/>
        </w:rPr>
        <w:t xml:space="preserve"> בעבור רבים בעת העתיקה, </w:t>
      </w:r>
      <w:r w:rsidR="005C30E2">
        <w:rPr>
          <w:rFonts w:ascii="David" w:hAnsi="David" w:cs="David" w:hint="cs"/>
          <w:szCs w:val="24"/>
          <w:rtl/>
        </w:rPr>
        <w:t>ש</w:t>
      </w:r>
      <w:r w:rsidR="00FF02A5">
        <w:rPr>
          <w:rFonts w:ascii="David" w:hAnsi="David" w:cs="David" w:hint="cs"/>
          <w:szCs w:val="24"/>
          <w:rtl/>
        </w:rPr>
        <w:t>בתיהם היו מרוכזים סביב חצר גדולה, הקשה מאוד איס</w:t>
      </w:r>
      <w:r w:rsidR="0072288B">
        <w:rPr>
          <w:rFonts w:ascii="David" w:hAnsi="David" w:cs="David" w:hint="cs"/>
          <w:szCs w:val="24"/>
          <w:rtl/>
        </w:rPr>
        <w:t>ו</w:t>
      </w:r>
      <w:r w:rsidR="00FF02A5">
        <w:rPr>
          <w:rFonts w:ascii="David" w:hAnsi="David" w:cs="David" w:hint="cs"/>
          <w:szCs w:val="24"/>
          <w:rtl/>
        </w:rPr>
        <w:t>ר זה את חיי היום יום. הקושי נבע מן העובדה שהחצר הייתה רכוש משותף של כל הדיירים, ויוצא אפוא שלאדם אסור לטלטל מן הבית לחצר</w:t>
      </w:r>
      <w:r w:rsidR="00711DFE">
        <w:rPr>
          <w:rFonts w:ascii="David" w:hAnsi="David" w:cs="David" w:hint="cs"/>
          <w:szCs w:val="24"/>
          <w:rtl/>
        </w:rPr>
        <w:t>,</w:t>
      </w:r>
      <w:r w:rsidR="00FF02A5">
        <w:rPr>
          <w:rFonts w:ascii="David" w:hAnsi="David" w:cs="David" w:hint="cs"/>
          <w:szCs w:val="24"/>
          <w:rtl/>
        </w:rPr>
        <w:t xml:space="preserve"> שהיא חלק </w:t>
      </w:r>
      <w:r w:rsidR="004A37CA">
        <w:rPr>
          <w:rFonts w:ascii="David" w:hAnsi="David" w:cs="David" w:hint="cs"/>
          <w:szCs w:val="24"/>
          <w:rtl/>
        </w:rPr>
        <w:t>ממרחב מגוריו</w:t>
      </w:r>
      <w:r w:rsidR="00FF02A5">
        <w:rPr>
          <w:rFonts w:ascii="David" w:hAnsi="David" w:cs="David" w:hint="cs"/>
          <w:szCs w:val="24"/>
          <w:rtl/>
        </w:rPr>
        <w:t>. כדי לפתור מצב לא נוח זה הותקנה התקנה המתירה להוציא מן הבית ולהכניס לחצר ולהפך, בתנאי שביצעו הדיירים עירוב</w:t>
      </w:r>
      <w:r w:rsidR="00FF02A5">
        <w:rPr>
          <w:rFonts w:ascii="David" w:hAnsi="David" w:cs="David" w:hint="cs"/>
          <w:szCs w:val="24"/>
        </w:rPr>
        <w:t xml:space="preserve"> </w:t>
      </w:r>
      <w:r w:rsidR="00FF02A5">
        <w:rPr>
          <w:rFonts w:ascii="David" w:hAnsi="David" w:cs="David" w:hint="cs"/>
          <w:szCs w:val="24"/>
          <w:rtl/>
        </w:rPr>
        <w:t>(או שיתוף) חצרות. העירוב היה פעולה שסימלה כי החצר היא רכושם המשותף של כל הדיירים סביבה</w:t>
      </w:r>
      <w:r w:rsidR="008A063A">
        <w:rPr>
          <w:rFonts w:ascii="David" w:hAnsi="David" w:cs="David" w:hint="cs"/>
          <w:szCs w:val="24"/>
          <w:rtl/>
        </w:rPr>
        <w:t>.</w:t>
      </w:r>
      <w:r w:rsidR="00FF02A5">
        <w:rPr>
          <w:rFonts w:ascii="David" w:hAnsi="David" w:cs="David" w:hint="cs"/>
          <w:szCs w:val="24"/>
          <w:rtl/>
        </w:rPr>
        <w:t xml:space="preserve"> הוא בא לידי ביטוי בהצבת מזון</w:t>
      </w:r>
      <w:r w:rsidR="00711DFE">
        <w:rPr>
          <w:rFonts w:ascii="David" w:hAnsi="David" w:cs="David" w:hint="cs"/>
          <w:szCs w:val="24"/>
          <w:rtl/>
        </w:rPr>
        <w:t xml:space="preserve"> </w:t>
      </w:r>
      <w:r w:rsidR="00711DFE">
        <w:rPr>
          <w:rFonts w:ascii="David" w:hAnsi="David" w:cs="David"/>
          <w:szCs w:val="24"/>
          <w:rtl/>
          <w:lang w:bidi="he-IL"/>
        </w:rPr>
        <w:t>–</w:t>
      </w:r>
      <w:r w:rsidR="00711DFE">
        <w:rPr>
          <w:rFonts w:ascii="David" w:hAnsi="David" w:cs="David" w:hint="cs"/>
          <w:szCs w:val="24"/>
          <w:rtl/>
        </w:rPr>
        <w:t xml:space="preserve"> שניתן על ידי כל אחד מן הבתים השותפים בחצר -</w:t>
      </w:r>
      <w:r w:rsidR="00FF02A5">
        <w:rPr>
          <w:rFonts w:ascii="David" w:hAnsi="David" w:cs="David" w:hint="cs"/>
          <w:szCs w:val="24"/>
          <w:rtl/>
        </w:rPr>
        <w:t xml:space="preserve"> </w:t>
      </w:r>
      <w:r w:rsidR="00EF5CFF">
        <w:rPr>
          <w:rFonts w:ascii="David" w:hAnsi="David" w:cs="David" w:hint="cs"/>
          <w:szCs w:val="24"/>
          <w:rtl/>
        </w:rPr>
        <w:t>בחצר</w:t>
      </w:r>
      <w:r w:rsidR="001D4005">
        <w:rPr>
          <w:rFonts w:ascii="David" w:hAnsi="David" w:cs="David" w:hint="cs"/>
          <w:szCs w:val="24"/>
          <w:rtl/>
        </w:rPr>
        <w:t xml:space="preserve"> או באחד הבתים השותפים לה</w:t>
      </w:r>
      <w:r w:rsidR="00EF5CFF">
        <w:rPr>
          <w:rFonts w:ascii="David" w:hAnsi="David" w:cs="David" w:hint="cs"/>
          <w:szCs w:val="24"/>
          <w:rtl/>
        </w:rPr>
        <w:t xml:space="preserve">. </w:t>
      </w:r>
      <w:r w:rsidR="003E6A6B">
        <w:rPr>
          <w:rFonts w:ascii="David" w:hAnsi="David" w:cs="David" w:hint="cs"/>
          <w:szCs w:val="24"/>
          <w:rtl/>
        </w:rPr>
        <w:t xml:space="preserve">באופן זה </w:t>
      </w:r>
      <w:r w:rsidR="00EF5CFF">
        <w:rPr>
          <w:rFonts w:ascii="David" w:hAnsi="David" w:cs="David" w:hint="cs"/>
          <w:szCs w:val="24"/>
          <w:rtl/>
        </w:rPr>
        <w:t>הופך המזון ל'רכוש משותף' ש</w:t>
      </w:r>
      <w:r w:rsidR="00FF02A5">
        <w:rPr>
          <w:rFonts w:ascii="David" w:hAnsi="David" w:cs="David" w:hint="cs"/>
          <w:szCs w:val="24"/>
          <w:rtl/>
        </w:rPr>
        <w:t xml:space="preserve">ל </w:t>
      </w:r>
      <w:r w:rsidR="00EF5CFF">
        <w:rPr>
          <w:rFonts w:ascii="David" w:hAnsi="David" w:cs="David" w:hint="cs"/>
          <w:szCs w:val="24"/>
          <w:rtl/>
        </w:rPr>
        <w:t xml:space="preserve">כלל </w:t>
      </w:r>
      <w:r w:rsidR="00FF02A5">
        <w:rPr>
          <w:rFonts w:ascii="David" w:hAnsi="David" w:cs="David" w:hint="cs"/>
          <w:szCs w:val="24"/>
          <w:rtl/>
        </w:rPr>
        <w:t>הדיירים</w:t>
      </w:r>
      <w:r w:rsidR="00EF5CFF">
        <w:rPr>
          <w:rFonts w:ascii="David" w:hAnsi="David" w:cs="David" w:hint="cs"/>
          <w:szCs w:val="24"/>
          <w:rtl/>
        </w:rPr>
        <w:t>, ומסמל כי הבתים והחצר גם יחד הם רשות אחת</w:t>
      </w:r>
      <w:r w:rsidR="004627F2">
        <w:rPr>
          <w:rFonts w:ascii="David" w:hAnsi="David" w:cs="David" w:hint="cs"/>
          <w:szCs w:val="24"/>
          <w:rtl/>
        </w:rPr>
        <w:t>:</w:t>
      </w:r>
      <w:r w:rsidR="00EF5CFF">
        <w:rPr>
          <w:rFonts w:ascii="David" w:hAnsi="David" w:cs="David" w:hint="cs"/>
          <w:szCs w:val="24"/>
          <w:rtl/>
        </w:rPr>
        <w:t xml:space="preserve"> רשות יחיד של כל אחד ואחד מן השותפים</w:t>
      </w:r>
      <w:r w:rsidR="00FF02A5">
        <w:rPr>
          <w:rFonts w:ascii="David" w:hAnsi="David" w:cs="David" w:hint="cs"/>
          <w:szCs w:val="24"/>
          <w:rtl/>
        </w:rPr>
        <w:t>.</w:t>
      </w:r>
      <w:r w:rsidR="00EF5CFF">
        <w:rPr>
          <w:rFonts w:ascii="David" w:hAnsi="David" w:cs="David" w:hint="cs"/>
          <w:szCs w:val="24"/>
          <w:rtl/>
        </w:rPr>
        <w:t xml:space="preserve"> כך ניתן להוציא ולהכניס חפצים מן הבתים אל החצר, וכן מבית לבית מבלי לעבור</w:t>
      </w:r>
      <w:r w:rsidR="00CF3E48">
        <w:rPr>
          <w:rFonts w:ascii="David" w:hAnsi="David" w:cs="David" w:hint="cs"/>
          <w:szCs w:val="24"/>
          <w:rtl/>
        </w:rPr>
        <w:t>,</w:t>
      </w:r>
      <w:r w:rsidR="00B462B6">
        <w:rPr>
          <w:rFonts w:ascii="David" w:hAnsi="David" w:cs="David" w:hint="cs"/>
          <w:szCs w:val="24"/>
          <w:rtl/>
        </w:rPr>
        <w:t xml:space="preserve"> </w:t>
      </w:r>
      <w:r w:rsidR="00CF3E48">
        <w:rPr>
          <w:rFonts w:ascii="David" w:hAnsi="David" w:cs="David" w:hint="cs"/>
          <w:szCs w:val="24"/>
          <w:rtl/>
        </w:rPr>
        <w:t>לכאורה,</w:t>
      </w:r>
      <w:r w:rsidR="00EF5CFF">
        <w:rPr>
          <w:rFonts w:ascii="David" w:hAnsi="David" w:cs="David" w:hint="cs"/>
          <w:szCs w:val="24"/>
          <w:rtl/>
        </w:rPr>
        <w:t xml:space="preserve"> דרך רשות ה</w:t>
      </w:r>
      <w:r w:rsidR="00C9556F">
        <w:rPr>
          <w:rFonts w:ascii="David" w:hAnsi="David" w:cs="David" w:hint="cs"/>
          <w:szCs w:val="24"/>
          <w:rtl/>
        </w:rPr>
        <w:t>רבים</w:t>
      </w:r>
      <w:r w:rsidR="00EF5CFF">
        <w:rPr>
          <w:rFonts w:ascii="David" w:hAnsi="David" w:cs="David" w:hint="cs"/>
          <w:szCs w:val="24"/>
          <w:rtl/>
        </w:rPr>
        <w:t>.</w:t>
      </w:r>
    </w:p>
    <w:p w14:paraId="56D7F83F" w14:textId="7A192728" w:rsidR="00A7470A" w:rsidRDefault="006758A2" w:rsidP="00E2381A">
      <w:pPr>
        <w:autoSpaceDE w:val="0"/>
        <w:autoSpaceDN w:val="0"/>
        <w:adjustRightInd w:val="0"/>
        <w:spacing w:after="0" w:line="480" w:lineRule="auto"/>
        <w:ind w:firstLine="720"/>
        <w:jc w:val="both"/>
        <w:rPr>
          <w:rFonts w:ascii="David" w:hAnsi="David" w:cs="David"/>
          <w:sz w:val="24"/>
          <w:szCs w:val="24"/>
          <w:rtl/>
        </w:rPr>
      </w:pPr>
      <w:r>
        <w:rPr>
          <w:rFonts w:ascii="David" w:hAnsi="David" w:cs="David" w:hint="cs"/>
          <w:szCs w:val="24"/>
          <w:rtl/>
        </w:rPr>
        <w:t xml:space="preserve">יש </w:t>
      </w:r>
      <w:r w:rsidR="00EF5CFF">
        <w:rPr>
          <w:rFonts w:ascii="David" w:hAnsi="David" w:cs="David" w:hint="cs"/>
          <w:szCs w:val="24"/>
          <w:rtl/>
        </w:rPr>
        <w:t xml:space="preserve">לציין כי שיטת העירוב כולה </w:t>
      </w:r>
      <w:r w:rsidR="00835EEB">
        <w:rPr>
          <w:rFonts w:ascii="David" w:hAnsi="David" w:cs="David" w:hint="cs"/>
          <w:szCs w:val="24"/>
          <w:rtl/>
        </w:rPr>
        <w:t>היא שיטה פרושית. קבוצות אחרות שפעלו במציאות ההיסטורית של סוף תקופת הבית השני</w:t>
      </w:r>
      <w:r w:rsidR="00030551">
        <w:rPr>
          <w:rFonts w:ascii="David" w:hAnsi="David" w:cs="David" w:hint="cs"/>
          <w:szCs w:val="24"/>
          <w:rtl/>
        </w:rPr>
        <w:t>,</w:t>
      </w:r>
      <w:r w:rsidR="00835EEB">
        <w:rPr>
          <w:rFonts w:ascii="David" w:hAnsi="David" w:cs="David" w:hint="cs"/>
          <w:szCs w:val="24"/>
          <w:rtl/>
        </w:rPr>
        <w:t xml:space="preserve"> </w:t>
      </w:r>
      <w:r w:rsidR="00C20D93">
        <w:rPr>
          <w:rFonts w:ascii="David" w:hAnsi="David" w:cs="David" w:hint="cs"/>
          <w:szCs w:val="24"/>
          <w:rtl/>
        </w:rPr>
        <w:t>ובמהלך תקופת המשנה</w:t>
      </w:r>
      <w:r w:rsidR="00030551">
        <w:rPr>
          <w:rFonts w:ascii="David" w:hAnsi="David" w:cs="David" w:hint="cs"/>
          <w:szCs w:val="24"/>
          <w:rtl/>
        </w:rPr>
        <w:t>,</w:t>
      </w:r>
      <w:r w:rsidR="001A5F19">
        <w:rPr>
          <w:rFonts w:ascii="David" w:hAnsi="David" w:cs="David" w:hint="cs"/>
          <w:szCs w:val="24"/>
          <w:rtl/>
        </w:rPr>
        <w:t xml:space="preserve"> </w:t>
      </w:r>
      <w:r w:rsidR="00835EEB">
        <w:rPr>
          <w:rFonts w:ascii="David" w:hAnsi="David" w:cs="David" w:hint="cs"/>
          <w:szCs w:val="24"/>
          <w:rtl/>
        </w:rPr>
        <w:t xml:space="preserve">אסרו הוצאת חפץ מן הבית לחצר </w:t>
      </w:r>
      <w:r w:rsidR="00835EEB">
        <w:rPr>
          <w:rFonts w:ascii="David" w:hAnsi="David" w:cs="David" w:hint="cs"/>
          <w:szCs w:val="24"/>
          <w:rtl/>
        </w:rPr>
        <w:lastRenderedPageBreak/>
        <w:t xml:space="preserve">באופן מוחלט, ודחו את </w:t>
      </w:r>
      <w:r w:rsidR="00B462B6">
        <w:rPr>
          <w:rFonts w:ascii="David" w:hAnsi="David" w:cs="David" w:hint="cs"/>
          <w:szCs w:val="24"/>
          <w:rtl/>
        </w:rPr>
        <w:t xml:space="preserve">אפשרות </w:t>
      </w:r>
      <w:r w:rsidR="00835EEB">
        <w:rPr>
          <w:rFonts w:ascii="David" w:hAnsi="David" w:cs="David" w:hint="cs"/>
          <w:szCs w:val="24"/>
          <w:rtl/>
        </w:rPr>
        <w:t>עירוב החצרות.</w:t>
      </w:r>
      <w:r w:rsidR="003C743A">
        <w:rPr>
          <w:rStyle w:val="a5"/>
          <w:rFonts w:ascii="David" w:hAnsi="David" w:cs="David"/>
          <w:szCs w:val="24"/>
          <w:rtl/>
        </w:rPr>
        <w:footnoteReference w:id="23"/>
      </w:r>
      <w:r w:rsidR="00336A40">
        <w:rPr>
          <w:rFonts w:ascii="David" w:hAnsi="David" w:cs="David" w:hint="cs"/>
          <w:szCs w:val="24"/>
          <w:rtl/>
        </w:rPr>
        <w:t xml:space="preserve"> </w:t>
      </w:r>
      <w:r w:rsidRPr="006758A2">
        <w:rPr>
          <w:rFonts w:ascii="David" w:hAnsi="David" w:cs="David"/>
          <w:sz w:val="24"/>
          <w:szCs w:val="24"/>
          <w:rtl/>
        </w:rPr>
        <w:t xml:space="preserve">על רקע דברים אלו </w:t>
      </w:r>
      <w:r>
        <w:rPr>
          <w:rFonts w:ascii="David" w:hAnsi="David" w:cs="David" w:hint="cs"/>
          <w:sz w:val="24"/>
          <w:szCs w:val="24"/>
          <w:rtl/>
        </w:rPr>
        <w:t>נכון לשים לב</w:t>
      </w:r>
      <w:r w:rsidR="009C7E9D">
        <w:rPr>
          <w:rFonts w:ascii="David" w:hAnsi="David" w:cs="David" w:hint="cs"/>
          <w:sz w:val="24"/>
          <w:szCs w:val="24"/>
          <w:rtl/>
        </w:rPr>
        <w:t xml:space="preserve"> כי </w:t>
      </w:r>
      <w:r>
        <w:rPr>
          <w:rFonts w:ascii="David" w:hAnsi="David" w:cs="David" w:hint="cs"/>
          <w:sz w:val="24"/>
          <w:szCs w:val="24"/>
          <w:rtl/>
        </w:rPr>
        <w:t>ה</w:t>
      </w:r>
      <w:r w:rsidR="00BA6F36">
        <w:rPr>
          <w:rFonts w:ascii="David" w:hAnsi="David" w:cs="David" w:hint="cs"/>
          <w:sz w:val="24"/>
          <w:szCs w:val="24"/>
          <w:rtl/>
        </w:rPr>
        <w:t>תקנ</w:t>
      </w:r>
      <w:r>
        <w:rPr>
          <w:rFonts w:ascii="David" w:hAnsi="David" w:cs="David" w:hint="cs"/>
          <w:sz w:val="24"/>
          <w:szCs w:val="24"/>
          <w:rtl/>
        </w:rPr>
        <w:t xml:space="preserve">ה </w:t>
      </w:r>
      <w:r w:rsidR="007777D4">
        <w:rPr>
          <w:rFonts w:ascii="David" w:hAnsi="David" w:cs="David" w:hint="cs"/>
          <w:sz w:val="24"/>
          <w:szCs w:val="24"/>
          <w:rtl/>
        </w:rPr>
        <w:t>ש</w:t>
      </w:r>
      <w:r w:rsidR="000C0927">
        <w:rPr>
          <w:rFonts w:ascii="David" w:hAnsi="David" w:cs="David" w:hint="cs"/>
          <w:sz w:val="24"/>
          <w:szCs w:val="24"/>
          <w:rtl/>
        </w:rPr>
        <w:t>נעסוק בה</w:t>
      </w:r>
      <w:r w:rsidR="007777D4">
        <w:rPr>
          <w:rFonts w:ascii="David" w:hAnsi="David" w:cs="David" w:hint="cs"/>
          <w:sz w:val="24"/>
          <w:szCs w:val="24"/>
          <w:rtl/>
        </w:rPr>
        <w:t xml:space="preserve"> </w:t>
      </w:r>
      <w:r>
        <w:rPr>
          <w:rFonts w:ascii="David" w:hAnsi="David" w:cs="David" w:hint="cs"/>
          <w:sz w:val="24"/>
          <w:szCs w:val="24"/>
          <w:rtl/>
        </w:rPr>
        <w:t xml:space="preserve">איננה מכוונת למצבים </w:t>
      </w:r>
      <w:r w:rsidR="0016691E">
        <w:rPr>
          <w:rFonts w:ascii="David" w:hAnsi="David" w:cs="David" w:hint="cs"/>
          <w:sz w:val="24"/>
          <w:szCs w:val="24"/>
          <w:rtl/>
        </w:rPr>
        <w:t>ש</w:t>
      </w:r>
      <w:r>
        <w:rPr>
          <w:rFonts w:ascii="David" w:hAnsi="David" w:cs="David" w:hint="cs"/>
          <w:sz w:val="24"/>
          <w:szCs w:val="24"/>
          <w:rtl/>
        </w:rPr>
        <w:t xml:space="preserve">בהם חלק מהשותפים לחצר מחזיקים בדעה הלכתית </w:t>
      </w:r>
      <w:r w:rsidR="000C6A57">
        <w:rPr>
          <w:rFonts w:ascii="David" w:hAnsi="David" w:cs="David" w:hint="cs"/>
          <w:sz w:val="24"/>
          <w:szCs w:val="24"/>
          <w:rtl/>
        </w:rPr>
        <w:t xml:space="preserve">או דתית </w:t>
      </w:r>
      <w:r>
        <w:rPr>
          <w:rFonts w:ascii="David" w:hAnsi="David" w:cs="David" w:hint="cs"/>
          <w:sz w:val="24"/>
          <w:szCs w:val="24"/>
          <w:rtl/>
        </w:rPr>
        <w:t>אחרת</w:t>
      </w:r>
      <w:r w:rsidR="000C6A57">
        <w:rPr>
          <w:rFonts w:ascii="David" w:hAnsi="David" w:cs="David" w:hint="cs"/>
          <w:sz w:val="24"/>
          <w:szCs w:val="24"/>
          <w:rtl/>
        </w:rPr>
        <w:t>.</w:t>
      </w:r>
      <w:r w:rsidR="00CB597E">
        <w:rPr>
          <w:rStyle w:val="a5"/>
          <w:rFonts w:ascii="David" w:hAnsi="David" w:cs="David"/>
          <w:szCs w:val="24"/>
          <w:rtl/>
        </w:rPr>
        <w:footnoteReference w:id="24"/>
      </w:r>
      <w:r>
        <w:rPr>
          <w:rFonts w:ascii="David" w:hAnsi="David" w:cs="David" w:hint="cs"/>
          <w:sz w:val="24"/>
          <w:szCs w:val="24"/>
          <w:rtl/>
        </w:rPr>
        <w:t xml:space="preserve"> להפך, ניסוח התקנה </w:t>
      </w:r>
      <w:r w:rsidR="00DE6A58">
        <w:rPr>
          <w:rFonts w:ascii="David" w:hAnsi="David" w:cs="David" w:hint="cs"/>
          <w:sz w:val="24"/>
          <w:szCs w:val="24"/>
          <w:rtl/>
        </w:rPr>
        <w:t xml:space="preserve">משמיע </w:t>
      </w:r>
      <w:r w:rsidR="003A38B7">
        <w:rPr>
          <w:rFonts w:ascii="David" w:hAnsi="David" w:cs="David" w:hint="cs"/>
          <w:sz w:val="24"/>
          <w:szCs w:val="24"/>
          <w:rtl/>
        </w:rPr>
        <w:t>כי מי שבביתו מוחזק העירוב נהנה מ</w:t>
      </w:r>
      <w:r w:rsidR="001B7048">
        <w:rPr>
          <w:rFonts w:ascii="David" w:hAnsi="David" w:cs="David" w:hint="cs"/>
          <w:sz w:val="24"/>
          <w:szCs w:val="24"/>
          <w:rtl/>
        </w:rPr>
        <w:t>הון חברתי</w:t>
      </w:r>
      <w:r w:rsidR="003A38B7">
        <w:rPr>
          <w:rFonts w:ascii="David" w:hAnsi="David" w:cs="David" w:hint="cs"/>
          <w:sz w:val="24"/>
          <w:szCs w:val="24"/>
          <w:rtl/>
        </w:rPr>
        <w:t>, ו</w:t>
      </w:r>
      <w:r w:rsidR="003249C5">
        <w:rPr>
          <w:rFonts w:ascii="David" w:hAnsi="David" w:cs="David" w:hint="cs"/>
          <w:sz w:val="24"/>
          <w:szCs w:val="24"/>
          <w:rtl/>
        </w:rPr>
        <w:t xml:space="preserve">דווקא </w:t>
      </w:r>
      <w:r w:rsidR="00896221">
        <w:rPr>
          <w:rFonts w:ascii="David" w:hAnsi="David" w:cs="David" w:hint="cs"/>
          <w:sz w:val="24"/>
          <w:szCs w:val="24"/>
          <w:rtl/>
        </w:rPr>
        <w:t>הון חברתי זה הוא שע</w:t>
      </w:r>
      <w:r w:rsidR="00DE6A58">
        <w:rPr>
          <w:rFonts w:ascii="David" w:hAnsi="David" w:cs="David" w:hint="cs"/>
          <w:sz w:val="24"/>
          <w:szCs w:val="24"/>
          <w:rtl/>
        </w:rPr>
        <w:t>לול</w:t>
      </w:r>
      <w:r w:rsidR="00896221">
        <w:rPr>
          <w:rFonts w:ascii="David" w:hAnsi="David" w:cs="David" w:hint="cs"/>
          <w:sz w:val="24"/>
          <w:szCs w:val="24"/>
          <w:rtl/>
        </w:rPr>
        <w:t xml:space="preserve"> לייצר</w:t>
      </w:r>
      <w:r w:rsidR="0010667D">
        <w:rPr>
          <w:rFonts w:ascii="David" w:hAnsi="David" w:cs="David" w:hint="cs"/>
          <w:sz w:val="24"/>
          <w:szCs w:val="24"/>
          <w:rtl/>
        </w:rPr>
        <w:t xml:space="preserve"> קונפליקט</w:t>
      </w:r>
      <w:r w:rsidR="00896221">
        <w:rPr>
          <w:rFonts w:ascii="David" w:hAnsi="David" w:cs="David" w:hint="cs"/>
          <w:sz w:val="24"/>
          <w:szCs w:val="24"/>
          <w:rtl/>
        </w:rPr>
        <w:t xml:space="preserve"> </w:t>
      </w:r>
      <w:r w:rsidR="00DE6A58">
        <w:rPr>
          <w:rFonts w:ascii="David" w:hAnsi="David" w:cs="David" w:hint="cs"/>
          <w:sz w:val="24"/>
          <w:szCs w:val="24"/>
          <w:rtl/>
        </w:rPr>
        <w:t>ש</w:t>
      </w:r>
      <w:r w:rsidR="00896221">
        <w:rPr>
          <w:rFonts w:ascii="David" w:hAnsi="David" w:cs="David" w:hint="cs"/>
          <w:sz w:val="24"/>
          <w:szCs w:val="24"/>
          <w:rtl/>
        </w:rPr>
        <w:t>אותו באה</w:t>
      </w:r>
      <w:r w:rsidR="00DE6A58">
        <w:rPr>
          <w:rFonts w:ascii="David" w:hAnsi="David" w:cs="David" w:hint="cs"/>
          <w:sz w:val="24"/>
          <w:szCs w:val="24"/>
          <w:rtl/>
        </w:rPr>
        <w:t xml:space="preserve"> </w:t>
      </w:r>
      <w:r w:rsidR="00B30AA5">
        <w:rPr>
          <w:rFonts w:ascii="David" w:hAnsi="David" w:cs="David" w:hint="cs"/>
          <w:sz w:val="24"/>
          <w:szCs w:val="24"/>
          <w:rtl/>
        </w:rPr>
        <w:t xml:space="preserve">התקנה </w:t>
      </w:r>
      <w:r w:rsidR="00DE6A58">
        <w:rPr>
          <w:rFonts w:ascii="David" w:hAnsi="David" w:cs="David" w:hint="cs"/>
          <w:sz w:val="24"/>
          <w:szCs w:val="24"/>
          <w:rtl/>
        </w:rPr>
        <w:t>למנוע</w:t>
      </w:r>
      <w:r w:rsidR="000C0927">
        <w:rPr>
          <w:rFonts w:ascii="David" w:hAnsi="David" w:cs="David" w:hint="cs"/>
          <w:sz w:val="24"/>
          <w:szCs w:val="24"/>
          <w:rtl/>
        </w:rPr>
        <w:t xml:space="preserve">. וכך אנו מוצאים </w:t>
      </w:r>
      <w:r w:rsidR="00E34EBB">
        <w:rPr>
          <w:rFonts w:ascii="David" w:hAnsi="David" w:cs="David" w:hint="cs"/>
          <w:sz w:val="24"/>
          <w:szCs w:val="24"/>
          <w:rtl/>
        </w:rPr>
        <w:t>במשנה, גיטין</w:t>
      </w:r>
      <w:r w:rsidR="00DB1190">
        <w:rPr>
          <w:rFonts w:ascii="David" w:hAnsi="David" w:cs="David" w:hint="cs"/>
          <w:sz w:val="24"/>
          <w:szCs w:val="24"/>
          <w:rtl/>
        </w:rPr>
        <w:t xml:space="preserve"> ה, ח</w:t>
      </w:r>
      <w:r w:rsidR="003E290B">
        <w:rPr>
          <w:rFonts w:ascii="David" w:hAnsi="David" w:cs="David" w:hint="cs"/>
          <w:sz w:val="24"/>
          <w:szCs w:val="24"/>
          <w:rtl/>
        </w:rPr>
        <w:t>:</w:t>
      </w:r>
    </w:p>
    <w:p w14:paraId="00B9180A" w14:textId="77777777" w:rsidR="00694F48" w:rsidRPr="003F2FAB" w:rsidRDefault="00694F48" w:rsidP="00694F48">
      <w:pPr>
        <w:pStyle w:val="PS"/>
        <w:spacing w:line="480" w:lineRule="auto"/>
        <w:ind w:left="432" w:firstLine="0"/>
        <w:rPr>
          <w:rFonts w:asciiTheme="majorBidi" w:hAnsiTheme="majorBidi" w:cstheme="majorBidi"/>
          <w:szCs w:val="24"/>
          <w:lang w:bidi="he-IL"/>
        </w:rPr>
      </w:pPr>
      <w:r w:rsidRPr="003F2FAB">
        <w:rPr>
          <w:rFonts w:asciiTheme="majorBidi" w:hAnsiTheme="majorBidi" w:cstheme="majorBidi"/>
          <w:szCs w:val="24"/>
          <w:lang w:bidi="he-IL"/>
        </w:rPr>
        <w:t xml:space="preserve">They prepare an </w:t>
      </w:r>
      <w:r w:rsidRPr="00C13B68">
        <w:rPr>
          <w:rFonts w:asciiTheme="majorBidi" w:hAnsiTheme="majorBidi" w:cstheme="majorBidi"/>
          <w:i/>
          <w:iCs/>
          <w:szCs w:val="24"/>
          <w:lang w:bidi="he-IL"/>
        </w:rPr>
        <w:t>eruv</w:t>
      </w:r>
      <w:r w:rsidRPr="003F2FAB">
        <w:rPr>
          <w:rFonts w:asciiTheme="majorBidi" w:hAnsiTheme="majorBidi" w:cstheme="majorBidi"/>
          <w:szCs w:val="24"/>
          <w:lang w:bidi="he-IL"/>
        </w:rPr>
        <w:t xml:space="preserve"> in the house where it was first placed,</w:t>
      </w:r>
      <w:r>
        <w:rPr>
          <w:rFonts w:asciiTheme="majorBidi" w:hAnsiTheme="majorBidi" w:cstheme="majorBidi"/>
          <w:szCs w:val="24"/>
          <w:lang w:bidi="he-IL"/>
        </w:rPr>
        <w:t xml:space="preserve"> </w:t>
      </w:r>
      <w:r w:rsidRPr="000803B1">
        <w:rPr>
          <w:rFonts w:asciiTheme="majorBidi" w:hAnsiTheme="majorBidi" w:cstheme="majorBidi"/>
          <w:szCs w:val="24"/>
        </w:rPr>
        <w:t>“for reason of ways of peace</w:t>
      </w:r>
      <w:r>
        <w:rPr>
          <w:rFonts w:asciiTheme="majorBidi" w:hAnsiTheme="majorBidi" w:cstheme="majorBidi"/>
          <w:szCs w:val="24"/>
        </w:rPr>
        <w:t>.</w:t>
      </w:r>
      <w:r w:rsidRPr="000803B1">
        <w:rPr>
          <w:rFonts w:asciiTheme="majorBidi" w:hAnsiTheme="majorBidi" w:cstheme="majorBidi"/>
          <w:szCs w:val="24"/>
        </w:rPr>
        <w:t>”</w:t>
      </w:r>
    </w:p>
    <w:p w14:paraId="41EB7375" w14:textId="77777777" w:rsidR="00694F48" w:rsidRDefault="00694F48" w:rsidP="00694F48">
      <w:pPr>
        <w:autoSpaceDE w:val="0"/>
        <w:autoSpaceDN w:val="0"/>
        <w:bidi w:val="0"/>
        <w:adjustRightInd w:val="0"/>
        <w:spacing w:after="0" w:line="480" w:lineRule="auto"/>
        <w:ind w:firstLine="720"/>
        <w:jc w:val="both"/>
        <w:rPr>
          <w:rFonts w:ascii="David" w:hAnsi="David" w:cs="David"/>
          <w:sz w:val="24"/>
          <w:szCs w:val="24"/>
        </w:rPr>
      </w:pPr>
    </w:p>
    <w:p w14:paraId="595B5521" w14:textId="17C937D5" w:rsidR="0072288B" w:rsidRDefault="00CF7CE3" w:rsidP="00C57DE1">
      <w:pPr>
        <w:autoSpaceDE w:val="0"/>
        <w:autoSpaceDN w:val="0"/>
        <w:adjustRightInd w:val="0"/>
        <w:spacing w:after="0" w:line="480" w:lineRule="auto"/>
        <w:ind w:firstLine="720"/>
        <w:jc w:val="both"/>
        <w:rPr>
          <w:rFonts w:ascii="David" w:hAnsi="David" w:cs="David"/>
          <w:sz w:val="24"/>
          <w:szCs w:val="24"/>
          <w:rtl/>
        </w:rPr>
      </w:pPr>
      <w:r>
        <w:rPr>
          <w:rFonts w:ascii="David" w:hAnsi="David" w:cs="David" w:hint="cs"/>
          <w:sz w:val="24"/>
          <w:szCs w:val="24"/>
          <w:rtl/>
        </w:rPr>
        <w:t xml:space="preserve">על מה בדיוק נסוב </w:t>
      </w:r>
      <w:r w:rsidR="003A38B7">
        <w:rPr>
          <w:rFonts w:ascii="David" w:hAnsi="David" w:cs="David" w:hint="cs"/>
          <w:sz w:val="24"/>
          <w:szCs w:val="24"/>
          <w:rtl/>
        </w:rPr>
        <w:t>ה</w:t>
      </w:r>
      <w:r w:rsidR="0072288B">
        <w:rPr>
          <w:rFonts w:ascii="David" w:hAnsi="David" w:cs="David" w:hint="cs"/>
          <w:sz w:val="24"/>
          <w:szCs w:val="24"/>
          <w:rtl/>
        </w:rPr>
        <w:t>קונפליקט? המשנה עצמה לא</w:t>
      </w:r>
      <w:r>
        <w:rPr>
          <w:rFonts w:ascii="David" w:hAnsi="David" w:cs="David" w:hint="cs"/>
          <w:sz w:val="24"/>
          <w:szCs w:val="24"/>
          <w:rtl/>
        </w:rPr>
        <w:t xml:space="preserve"> מסבירה זאת</w:t>
      </w:r>
      <w:r w:rsidR="0072288B">
        <w:rPr>
          <w:rFonts w:ascii="David" w:hAnsi="David" w:cs="David" w:hint="cs"/>
          <w:sz w:val="24"/>
          <w:szCs w:val="24"/>
          <w:rtl/>
        </w:rPr>
        <w:t>.</w:t>
      </w:r>
      <w:r w:rsidR="00A7470A">
        <w:rPr>
          <w:rFonts w:ascii="David" w:hAnsi="David" w:cs="David" w:hint="cs"/>
          <w:sz w:val="24"/>
          <w:szCs w:val="24"/>
          <w:rtl/>
        </w:rPr>
        <w:t xml:space="preserve"> שני התלמודים</w:t>
      </w:r>
      <w:r w:rsidR="002E772C">
        <w:rPr>
          <w:rFonts w:ascii="David" w:hAnsi="David" w:cs="David" w:hint="cs"/>
          <w:sz w:val="24"/>
          <w:szCs w:val="24"/>
          <w:rtl/>
        </w:rPr>
        <w:t xml:space="preserve"> </w:t>
      </w:r>
      <w:r w:rsidR="00A7470A">
        <w:rPr>
          <w:rFonts w:ascii="David" w:hAnsi="David" w:cs="David" w:hint="cs"/>
          <w:sz w:val="24"/>
          <w:szCs w:val="24"/>
          <w:rtl/>
        </w:rPr>
        <w:t>מציגים סיטואציות שונות שיכולות לעמוד ברקע התקנה. התלמוד הבבלי גורס כך:</w:t>
      </w:r>
      <w:r w:rsidR="00BF70B0">
        <w:rPr>
          <w:rStyle w:val="a5"/>
          <w:rFonts w:ascii="David" w:hAnsi="David" w:cs="David"/>
          <w:sz w:val="24"/>
          <w:szCs w:val="24"/>
          <w:rtl/>
        </w:rPr>
        <w:footnoteReference w:id="25"/>
      </w:r>
    </w:p>
    <w:p w14:paraId="335B737A" w14:textId="77777777" w:rsidR="0043694D" w:rsidRDefault="00522501" w:rsidP="0043694D">
      <w:pPr>
        <w:autoSpaceDE w:val="0"/>
        <w:autoSpaceDN w:val="0"/>
        <w:bidi w:val="0"/>
        <w:adjustRightInd w:val="0"/>
        <w:spacing w:after="0" w:line="480" w:lineRule="auto"/>
        <w:ind w:left="720"/>
        <w:rPr>
          <w:rFonts w:asciiTheme="majorBidi" w:hAnsiTheme="majorBidi" w:cstheme="majorBidi"/>
          <w:sz w:val="24"/>
          <w:szCs w:val="24"/>
        </w:rPr>
      </w:pPr>
      <w:r w:rsidRPr="00CC1492">
        <w:rPr>
          <w:rFonts w:asciiTheme="majorBidi" w:hAnsiTheme="majorBidi" w:cstheme="majorBidi"/>
          <w:sz w:val="24"/>
          <w:szCs w:val="24"/>
        </w:rPr>
        <w:lastRenderedPageBreak/>
        <w:t xml:space="preserve">An </w:t>
      </w:r>
      <w:r w:rsidRPr="00CC1492">
        <w:rPr>
          <w:rFonts w:asciiTheme="majorBidi" w:hAnsiTheme="majorBidi" w:cstheme="majorBidi"/>
          <w:i/>
          <w:iCs/>
          <w:sz w:val="24"/>
          <w:szCs w:val="24"/>
        </w:rPr>
        <w:t>eruv</w:t>
      </w:r>
      <w:r w:rsidRPr="00CC1492">
        <w:rPr>
          <w:rFonts w:asciiTheme="majorBidi" w:hAnsiTheme="majorBidi" w:cstheme="majorBidi"/>
          <w:sz w:val="24"/>
          <w:szCs w:val="24"/>
        </w:rPr>
        <w:t xml:space="preserve"> should be placed in the room where it has always been placed,</w:t>
      </w:r>
      <w:r w:rsidR="00CC1492" w:rsidRPr="00CC1492">
        <w:rPr>
          <w:rFonts w:asciiTheme="majorBidi" w:hAnsiTheme="majorBidi" w:cstheme="majorBidi"/>
          <w:sz w:val="24"/>
          <w:szCs w:val="24"/>
        </w:rPr>
        <w:t xml:space="preserve"> </w:t>
      </w:r>
      <w:r w:rsidR="00CC1492" w:rsidRPr="000803B1">
        <w:rPr>
          <w:rFonts w:asciiTheme="majorBidi" w:hAnsiTheme="majorBidi" w:cstheme="majorBidi"/>
          <w:sz w:val="24"/>
          <w:szCs w:val="24"/>
        </w:rPr>
        <w:t>“for reason of ways of peace</w:t>
      </w:r>
      <w:r w:rsidR="00CC1492">
        <w:rPr>
          <w:rFonts w:asciiTheme="majorBidi" w:hAnsiTheme="majorBidi" w:cstheme="majorBidi"/>
          <w:sz w:val="24"/>
          <w:szCs w:val="24"/>
        </w:rPr>
        <w:t>.</w:t>
      </w:r>
      <w:r w:rsidR="00CC1492" w:rsidRPr="000803B1">
        <w:rPr>
          <w:rFonts w:asciiTheme="majorBidi" w:hAnsiTheme="majorBidi" w:cstheme="majorBidi"/>
          <w:sz w:val="24"/>
          <w:szCs w:val="24"/>
        </w:rPr>
        <w:t>”</w:t>
      </w:r>
      <w:r w:rsidRPr="00CC1492">
        <w:rPr>
          <w:rFonts w:asciiTheme="majorBidi" w:hAnsiTheme="majorBidi" w:cstheme="majorBidi"/>
          <w:sz w:val="24"/>
          <w:szCs w:val="24"/>
        </w:rPr>
        <w:t xml:space="preserve"> ‘What is the precise reason? Shall we say it is out of respect?</w:t>
      </w:r>
      <w:r w:rsidR="005A42C3">
        <w:rPr>
          <w:rStyle w:val="a5"/>
          <w:rFonts w:asciiTheme="majorBidi" w:hAnsiTheme="majorBidi" w:cstheme="majorBidi"/>
          <w:sz w:val="24"/>
          <w:szCs w:val="24"/>
        </w:rPr>
        <w:footnoteReference w:id="26"/>
      </w:r>
      <w:r w:rsidR="00AD1CFC" w:rsidRPr="00CC1492">
        <w:rPr>
          <w:rFonts w:asciiTheme="majorBidi" w:hAnsiTheme="majorBidi" w:cstheme="majorBidi"/>
          <w:sz w:val="24"/>
          <w:szCs w:val="24"/>
        </w:rPr>
        <w:t xml:space="preserve"> </w:t>
      </w:r>
    </w:p>
    <w:p w14:paraId="387E976E" w14:textId="77777777" w:rsidR="0043694D" w:rsidRDefault="00522501" w:rsidP="0043694D">
      <w:pPr>
        <w:autoSpaceDE w:val="0"/>
        <w:autoSpaceDN w:val="0"/>
        <w:bidi w:val="0"/>
        <w:adjustRightInd w:val="0"/>
        <w:spacing w:after="0" w:line="480" w:lineRule="auto"/>
        <w:ind w:left="720"/>
        <w:rPr>
          <w:rFonts w:asciiTheme="majorBidi" w:hAnsiTheme="majorBidi" w:cstheme="majorBidi"/>
          <w:sz w:val="24"/>
          <w:szCs w:val="24"/>
        </w:rPr>
      </w:pPr>
      <w:r w:rsidRPr="00CC1492">
        <w:rPr>
          <w:rFonts w:asciiTheme="majorBidi" w:hAnsiTheme="majorBidi" w:cstheme="majorBidi"/>
          <w:sz w:val="24"/>
          <w:szCs w:val="24"/>
        </w:rPr>
        <w:t xml:space="preserve">Then what of the </w:t>
      </w:r>
      <w:r w:rsidRPr="00CC1492">
        <w:rPr>
          <w:rFonts w:asciiTheme="majorBidi" w:hAnsiTheme="majorBidi" w:cstheme="majorBidi"/>
          <w:i/>
          <w:iCs/>
          <w:sz w:val="24"/>
          <w:szCs w:val="24"/>
        </w:rPr>
        <w:t>shofar</w:t>
      </w:r>
      <w:r w:rsidRPr="00CC1492">
        <w:rPr>
          <w:rFonts w:asciiTheme="majorBidi" w:hAnsiTheme="majorBidi" w:cstheme="majorBidi"/>
          <w:sz w:val="24"/>
          <w:szCs w:val="24"/>
        </w:rPr>
        <w:t xml:space="preserve"> which at first was in</w:t>
      </w:r>
      <w:r w:rsidR="00AD1CFC" w:rsidRPr="00CC1492">
        <w:rPr>
          <w:rFonts w:asciiTheme="majorBidi" w:hAnsiTheme="majorBidi" w:cstheme="majorBidi"/>
          <w:sz w:val="24"/>
          <w:szCs w:val="24"/>
        </w:rPr>
        <w:t xml:space="preserve"> </w:t>
      </w:r>
      <w:r w:rsidRPr="00CC1492">
        <w:rPr>
          <w:rFonts w:asciiTheme="majorBidi" w:hAnsiTheme="majorBidi" w:cstheme="majorBidi"/>
          <w:sz w:val="24"/>
          <w:szCs w:val="24"/>
        </w:rPr>
        <w:t>the house of Rab Judah and later in that of</w:t>
      </w:r>
      <w:r w:rsidR="00AD1CFC" w:rsidRPr="00CC1492">
        <w:rPr>
          <w:rFonts w:asciiTheme="majorBidi" w:hAnsiTheme="majorBidi" w:cstheme="majorBidi"/>
          <w:sz w:val="24"/>
          <w:szCs w:val="24"/>
        </w:rPr>
        <w:t xml:space="preserve"> </w:t>
      </w:r>
      <w:r w:rsidRPr="00CC1492">
        <w:rPr>
          <w:rFonts w:asciiTheme="majorBidi" w:hAnsiTheme="majorBidi" w:cstheme="majorBidi"/>
          <w:sz w:val="24"/>
          <w:szCs w:val="24"/>
        </w:rPr>
        <w:t>Rabbah and then in the house of R. Joseph and</w:t>
      </w:r>
      <w:r w:rsidR="00AD1CFC" w:rsidRPr="00CC1492">
        <w:rPr>
          <w:rFonts w:asciiTheme="majorBidi" w:hAnsiTheme="majorBidi" w:cstheme="majorBidi"/>
          <w:sz w:val="24"/>
          <w:szCs w:val="24"/>
        </w:rPr>
        <w:t xml:space="preserve"> </w:t>
      </w:r>
      <w:r w:rsidRPr="00CC1492">
        <w:rPr>
          <w:rFonts w:asciiTheme="majorBidi" w:hAnsiTheme="majorBidi" w:cstheme="majorBidi"/>
          <w:sz w:val="24"/>
          <w:szCs w:val="24"/>
        </w:rPr>
        <w:t>then in the house of Abaye and finally in the</w:t>
      </w:r>
      <w:r w:rsidR="00CC1492">
        <w:rPr>
          <w:rFonts w:asciiTheme="majorBidi" w:hAnsiTheme="majorBidi" w:cstheme="majorBidi"/>
          <w:sz w:val="24"/>
          <w:szCs w:val="24"/>
        </w:rPr>
        <w:t xml:space="preserve"> </w:t>
      </w:r>
      <w:r w:rsidRPr="00CC1492">
        <w:rPr>
          <w:rFonts w:asciiTheme="majorBidi" w:hAnsiTheme="majorBidi" w:cstheme="majorBidi"/>
          <w:sz w:val="24"/>
          <w:szCs w:val="24"/>
        </w:rPr>
        <w:t xml:space="preserve">house of Rava? </w:t>
      </w:r>
    </w:p>
    <w:p w14:paraId="21357DDE" w14:textId="2A0380D2" w:rsidR="00522501" w:rsidRDefault="00522501" w:rsidP="0043694D">
      <w:pPr>
        <w:autoSpaceDE w:val="0"/>
        <w:autoSpaceDN w:val="0"/>
        <w:bidi w:val="0"/>
        <w:adjustRightInd w:val="0"/>
        <w:spacing w:after="0" w:line="480" w:lineRule="auto"/>
        <w:ind w:left="720"/>
        <w:rPr>
          <w:rFonts w:asciiTheme="majorBidi" w:hAnsiTheme="majorBidi" w:cstheme="majorBidi"/>
          <w:sz w:val="24"/>
          <w:szCs w:val="24"/>
        </w:rPr>
      </w:pPr>
      <w:r w:rsidRPr="00CC1492">
        <w:rPr>
          <w:rFonts w:asciiTheme="majorBidi" w:hAnsiTheme="majorBidi" w:cstheme="majorBidi"/>
          <w:sz w:val="24"/>
          <w:szCs w:val="24"/>
        </w:rPr>
        <w:t>The real reason is so as not to arouse</w:t>
      </w:r>
      <w:r w:rsidR="00AD1CFC" w:rsidRPr="00CC1492">
        <w:rPr>
          <w:rFonts w:asciiTheme="majorBidi" w:hAnsiTheme="majorBidi" w:cstheme="majorBidi"/>
          <w:sz w:val="24"/>
          <w:szCs w:val="24"/>
        </w:rPr>
        <w:t xml:space="preserve"> </w:t>
      </w:r>
      <w:r w:rsidRPr="00CC1492">
        <w:rPr>
          <w:rFonts w:asciiTheme="majorBidi" w:hAnsiTheme="majorBidi" w:cstheme="majorBidi"/>
          <w:sz w:val="24"/>
          <w:szCs w:val="24"/>
        </w:rPr>
        <w:t>suspicion.</w:t>
      </w:r>
    </w:p>
    <w:p w14:paraId="1AF081C8" w14:textId="77777777" w:rsidR="00CC1492" w:rsidRPr="00CC1492" w:rsidRDefault="00CC1492" w:rsidP="00CC1492">
      <w:pPr>
        <w:autoSpaceDE w:val="0"/>
        <w:autoSpaceDN w:val="0"/>
        <w:bidi w:val="0"/>
        <w:adjustRightInd w:val="0"/>
        <w:spacing w:after="0" w:line="480" w:lineRule="auto"/>
        <w:ind w:left="720"/>
        <w:rPr>
          <w:rFonts w:asciiTheme="majorBidi" w:hAnsiTheme="majorBidi" w:cstheme="majorBidi"/>
          <w:sz w:val="24"/>
          <w:szCs w:val="24"/>
        </w:rPr>
      </w:pPr>
    </w:p>
    <w:p w14:paraId="15C917DD" w14:textId="08CBE8D7" w:rsidR="0072288B" w:rsidRPr="009A5B76" w:rsidRDefault="00D86AE6" w:rsidP="00C57DE1">
      <w:pPr>
        <w:autoSpaceDE w:val="0"/>
        <w:autoSpaceDN w:val="0"/>
        <w:adjustRightInd w:val="0"/>
        <w:spacing w:after="0" w:line="480" w:lineRule="auto"/>
        <w:jc w:val="both"/>
        <w:rPr>
          <w:rFonts w:ascii="David" w:hAnsi="David" w:cs="David"/>
          <w:sz w:val="24"/>
          <w:szCs w:val="24"/>
          <w:rtl/>
        </w:rPr>
      </w:pPr>
      <w:r>
        <w:rPr>
          <w:rFonts w:ascii="David" w:hAnsi="David" w:cs="David" w:hint="cs"/>
          <w:sz w:val="24"/>
          <w:szCs w:val="24"/>
          <w:rtl/>
        </w:rPr>
        <w:t>התלמוד הבבלי מעלה שני טעמים</w:t>
      </w:r>
      <w:r w:rsidR="00D5220B">
        <w:rPr>
          <w:rFonts w:ascii="David" w:hAnsi="David" w:cs="David" w:hint="cs"/>
          <w:sz w:val="24"/>
          <w:szCs w:val="24"/>
          <w:rtl/>
        </w:rPr>
        <w:t xml:space="preserve"> אפשריים </w:t>
      </w:r>
      <w:r w:rsidR="007375B1">
        <w:rPr>
          <w:rFonts w:ascii="David" w:hAnsi="David" w:cs="David" w:hint="cs"/>
          <w:sz w:val="24"/>
          <w:szCs w:val="24"/>
          <w:rtl/>
        </w:rPr>
        <w:t>לתקנה</w:t>
      </w:r>
      <w:r>
        <w:rPr>
          <w:rFonts w:ascii="David" w:hAnsi="David" w:cs="David" w:hint="cs"/>
          <w:sz w:val="24"/>
          <w:szCs w:val="24"/>
          <w:rtl/>
        </w:rPr>
        <w:t>: 'מפני הכבוד' ו'מפני החשד'.</w:t>
      </w:r>
      <w:r w:rsidR="008B29D8" w:rsidRPr="008B29D8">
        <w:rPr>
          <w:rStyle w:val="a5"/>
          <w:rFonts w:asciiTheme="majorBidi" w:hAnsiTheme="majorBidi" w:cstheme="majorBidi"/>
          <w:sz w:val="24"/>
          <w:szCs w:val="24"/>
        </w:rPr>
        <w:t xml:space="preserve"> </w:t>
      </w:r>
      <w:r w:rsidR="008B29D8">
        <w:rPr>
          <w:rStyle w:val="a5"/>
          <w:rFonts w:asciiTheme="majorBidi" w:hAnsiTheme="majorBidi" w:cstheme="majorBidi"/>
          <w:sz w:val="24"/>
          <w:szCs w:val="24"/>
        </w:rPr>
        <w:footnoteReference w:id="27"/>
      </w:r>
      <w:r>
        <w:rPr>
          <w:rFonts w:ascii="David" w:hAnsi="David" w:cs="David" w:hint="cs"/>
          <w:sz w:val="24"/>
          <w:szCs w:val="24"/>
          <w:rtl/>
        </w:rPr>
        <w:t xml:space="preserve"> </w:t>
      </w:r>
      <w:r w:rsidR="00236E70">
        <w:rPr>
          <w:rFonts w:ascii="David" w:hAnsi="David" w:cs="David" w:hint="cs"/>
          <w:sz w:val="24"/>
          <w:szCs w:val="24"/>
          <w:rtl/>
        </w:rPr>
        <w:t xml:space="preserve">על פי הטעם הראשון </w:t>
      </w:r>
      <w:r w:rsidR="00E52C5A">
        <w:rPr>
          <w:rFonts w:ascii="David" w:hAnsi="David" w:cs="David" w:hint="cs"/>
          <w:sz w:val="24"/>
          <w:szCs w:val="24"/>
          <w:rtl/>
        </w:rPr>
        <w:t>העירוב</w:t>
      </w:r>
      <w:r w:rsidR="00236E70">
        <w:rPr>
          <w:rFonts w:ascii="David" w:hAnsi="David" w:cs="David" w:hint="cs"/>
          <w:sz w:val="24"/>
          <w:szCs w:val="24"/>
          <w:rtl/>
        </w:rPr>
        <w:t xml:space="preserve"> </w:t>
      </w:r>
      <w:r w:rsidR="007828D2">
        <w:rPr>
          <w:rFonts w:ascii="David" w:hAnsi="David" w:cs="David" w:hint="cs"/>
          <w:sz w:val="24"/>
          <w:szCs w:val="24"/>
          <w:rtl/>
        </w:rPr>
        <w:t xml:space="preserve">מזכה את הבית בו הוא מוחזק בכבוד רב בעיני הציבור. </w:t>
      </w:r>
      <w:r w:rsidR="00E52C5A">
        <w:rPr>
          <w:rFonts w:ascii="David" w:hAnsi="David" w:cs="David" w:hint="cs"/>
          <w:sz w:val="24"/>
          <w:szCs w:val="24"/>
          <w:rtl/>
        </w:rPr>
        <w:t xml:space="preserve">עם כניסתו של דייר חדש </w:t>
      </w:r>
      <w:r w:rsidR="00236E70">
        <w:rPr>
          <w:rFonts w:ascii="David" w:hAnsi="David" w:cs="David" w:hint="cs"/>
          <w:sz w:val="24"/>
          <w:szCs w:val="24"/>
          <w:rtl/>
        </w:rPr>
        <w:t>עשוי לה</w:t>
      </w:r>
      <w:r w:rsidR="00E52C5A">
        <w:rPr>
          <w:rFonts w:ascii="David" w:hAnsi="David" w:cs="David" w:hint="cs"/>
          <w:sz w:val="24"/>
          <w:szCs w:val="24"/>
          <w:rtl/>
        </w:rPr>
        <w:t>תגלע ריב בין דיירי החצר מי ראוי להחזיק את העירוב בביתו.</w:t>
      </w:r>
      <w:r w:rsidR="007828D2">
        <w:rPr>
          <w:rFonts w:ascii="David" w:hAnsi="David" w:cs="David" w:hint="cs"/>
          <w:sz w:val="24"/>
          <w:szCs w:val="24"/>
          <w:rtl/>
        </w:rPr>
        <w:t xml:space="preserve"> התקנה </w:t>
      </w:r>
      <w:r w:rsidR="00A5777F">
        <w:rPr>
          <w:rFonts w:ascii="David" w:hAnsi="David" w:cs="David" w:hint="cs"/>
          <w:sz w:val="24"/>
          <w:szCs w:val="24"/>
          <w:rtl/>
        </w:rPr>
        <w:t xml:space="preserve">קובעת </w:t>
      </w:r>
      <w:r w:rsidR="007828D2">
        <w:rPr>
          <w:rFonts w:ascii="David" w:hAnsi="David" w:cs="David" w:hint="cs"/>
          <w:sz w:val="24"/>
          <w:szCs w:val="24"/>
          <w:rtl/>
        </w:rPr>
        <w:t>כי העירוב י</w:t>
      </w:r>
      <w:r w:rsidR="00263553">
        <w:rPr>
          <w:rFonts w:ascii="David" w:hAnsi="David" w:cs="David" w:hint="cs"/>
          <w:sz w:val="24"/>
          <w:szCs w:val="24"/>
          <w:rtl/>
        </w:rPr>
        <w:t>י</w:t>
      </w:r>
      <w:r w:rsidR="007828D2">
        <w:rPr>
          <w:rFonts w:ascii="David" w:hAnsi="David" w:cs="David" w:hint="cs"/>
          <w:sz w:val="24"/>
          <w:szCs w:val="24"/>
          <w:rtl/>
        </w:rPr>
        <w:t>שאר בבית שבו נהגו בני החצר להניח את העירוב, כדי שלא לפגוע בכבודו של בעל הבית החדש</w:t>
      </w:r>
      <w:r w:rsidR="00A64C1D">
        <w:rPr>
          <w:rFonts w:ascii="David" w:hAnsi="David" w:cs="David" w:hint="cs"/>
          <w:sz w:val="24"/>
          <w:szCs w:val="24"/>
          <w:rtl/>
        </w:rPr>
        <w:t>. התלמוד דוחה טעם זה</w:t>
      </w:r>
      <w:r w:rsidR="003416CC">
        <w:rPr>
          <w:rFonts w:ascii="David" w:hAnsi="David" w:cs="David" w:hint="cs"/>
          <w:sz w:val="24"/>
          <w:szCs w:val="24"/>
          <w:rtl/>
        </w:rPr>
        <w:t xml:space="preserve"> </w:t>
      </w:r>
      <w:r w:rsidR="00A64C1D">
        <w:rPr>
          <w:rFonts w:ascii="David" w:hAnsi="David" w:cs="David" w:hint="cs"/>
          <w:sz w:val="24"/>
          <w:szCs w:val="24"/>
          <w:rtl/>
        </w:rPr>
        <w:t xml:space="preserve">בהבאת דוגמה </w:t>
      </w:r>
      <w:r w:rsidR="00236E70">
        <w:rPr>
          <w:rFonts w:ascii="David" w:hAnsi="David" w:cs="David" w:hint="cs"/>
          <w:sz w:val="24"/>
          <w:szCs w:val="24"/>
          <w:rtl/>
        </w:rPr>
        <w:t>מנדודיו של שופר - שהוא הכלי ש</w:t>
      </w:r>
      <w:r w:rsidR="006067C1">
        <w:rPr>
          <w:rFonts w:ascii="David" w:hAnsi="David" w:cs="David" w:hint="cs"/>
          <w:sz w:val="24"/>
          <w:szCs w:val="24"/>
          <w:rtl/>
        </w:rPr>
        <w:t>שימש לצרכים ריטואליים</w:t>
      </w:r>
      <w:r w:rsidR="004F4BD7">
        <w:rPr>
          <w:rFonts w:ascii="David" w:hAnsi="David" w:cs="David" w:hint="cs"/>
          <w:sz w:val="24"/>
          <w:szCs w:val="24"/>
          <w:rtl/>
        </w:rPr>
        <w:t>, או כ</w:t>
      </w:r>
      <w:r w:rsidR="00660179">
        <w:rPr>
          <w:rFonts w:ascii="David" w:hAnsi="David" w:cs="David" w:hint="cs"/>
          <w:sz w:val="24"/>
          <w:szCs w:val="24"/>
          <w:rtl/>
        </w:rPr>
        <w:t>קופה</w:t>
      </w:r>
      <w:r w:rsidR="004F4BD7">
        <w:rPr>
          <w:rFonts w:ascii="David" w:hAnsi="David" w:cs="David" w:hint="cs"/>
          <w:sz w:val="24"/>
          <w:szCs w:val="24"/>
          <w:rtl/>
        </w:rPr>
        <w:t xml:space="preserve"> לאיסוף תרומות</w:t>
      </w:r>
      <w:r w:rsidR="00660179">
        <w:rPr>
          <w:rFonts w:ascii="David" w:hAnsi="David" w:cs="David" w:hint="cs"/>
          <w:sz w:val="24"/>
          <w:szCs w:val="24"/>
          <w:rtl/>
        </w:rPr>
        <w:t xml:space="preserve"> לצדקה</w:t>
      </w:r>
      <w:r w:rsidR="004F4BD7">
        <w:rPr>
          <w:rFonts w:ascii="David" w:hAnsi="David" w:cs="David" w:hint="cs"/>
          <w:sz w:val="24"/>
          <w:szCs w:val="24"/>
          <w:rtl/>
        </w:rPr>
        <w:t xml:space="preserve"> (כפי שהיה בבית המקדש) </w:t>
      </w:r>
      <w:r w:rsidR="00236E70">
        <w:rPr>
          <w:rFonts w:ascii="David" w:hAnsi="David" w:cs="David" w:hint="cs"/>
          <w:sz w:val="24"/>
          <w:szCs w:val="24"/>
          <w:rtl/>
        </w:rPr>
        <w:t>- מביתו של חכם</w:t>
      </w:r>
      <w:r w:rsidR="00144738">
        <w:rPr>
          <w:rFonts w:ascii="David" w:hAnsi="David" w:cs="David" w:hint="cs"/>
          <w:sz w:val="24"/>
          <w:szCs w:val="24"/>
          <w:rtl/>
        </w:rPr>
        <w:t xml:space="preserve">, ששימש </w:t>
      </w:r>
      <w:r w:rsidR="006067C1">
        <w:rPr>
          <w:rFonts w:ascii="David" w:hAnsi="David" w:cs="David" w:hint="cs"/>
          <w:sz w:val="24"/>
          <w:szCs w:val="24"/>
          <w:rtl/>
        </w:rPr>
        <w:t>כראש</w:t>
      </w:r>
      <w:r w:rsidR="004F4BD7">
        <w:rPr>
          <w:rFonts w:ascii="David" w:hAnsi="David" w:cs="David" w:hint="cs"/>
          <w:sz w:val="24"/>
          <w:szCs w:val="24"/>
          <w:rtl/>
        </w:rPr>
        <w:t xml:space="preserve"> ישיבת פומבדיתא</w:t>
      </w:r>
      <w:r w:rsidR="006067C1">
        <w:rPr>
          <w:rFonts w:ascii="David" w:hAnsi="David" w:cs="David" w:hint="cs"/>
          <w:sz w:val="24"/>
          <w:szCs w:val="24"/>
          <w:rtl/>
        </w:rPr>
        <w:t>,</w:t>
      </w:r>
      <w:r w:rsidR="00144738">
        <w:rPr>
          <w:rFonts w:ascii="David" w:hAnsi="David" w:cs="David" w:hint="cs"/>
          <w:sz w:val="24"/>
          <w:szCs w:val="24"/>
          <w:rtl/>
        </w:rPr>
        <w:t xml:space="preserve"> </w:t>
      </w:r>
      <w:r w:rsidR="004F4BD7">
        <w:rPr>
          <w:rFonts w:ascii="David" w:hAnsi="David" w:cs="David" w:hint="cs"/>
          <w:sz w:val="24"/>
          <w:szCs w:val="24"/>
          <w:rtl/>
        </w:rPr>
        <w:t xml:space="preserve">לבית מחליפו </w:t>
      </w:r>
      <w:r w:rsidR="00A5777F">
        <w:rPr>
          <w:rFonts w:ascii="David" w:hAnsi="David" w:cs="David" w:hint="cs"/>
          <w:sz w:val="24"/>
          <w:szCs w:val="24"/>
          <w:rtl/>
        </w:rPr>
        <w:t>(לאחר מותו)</w:t>
      </w:r>
      <w:r w:rsidR="004F4BD7">
        <w:rPr>
          <w:rFonts w:ascii="David" w:hAnsi="David" w:cs="David" w:hint="cs"/>
          <w:sz w:val="24"/>
          <w:szCs w:val="24"/>
          <w:rtl/>
        </w:rPr>
        <w:t xml:space="preserve"> וכן הלאה</w:t>
      </w:r>
      <w:r w:rsidR="00236E70">
        <w:rPr>
          <w:rFonts w:ascii="David" w:hAnsi="David" w:cs="David" w:hint="cs"/>
          <w:sz w:val="24"/>
          <w:szCs w:val="24"/>
          <w:rtl/>
        </w:rPr>
        <w:t>.</w:t>
      </w:r>
      <w:r w:rsidR="00660179">
        <w:rPr>
          <w:rStyle w:val="a5"/>
          <w:rFonts w:ascii="David" w:hAnsi="David" w:cs="David"/>
          <w:sz w:val="24"/>
          <w:szCs w:val="24"/>
          <w:rtl/>
        </w:rPr>
        <w:footnoteReference w:id="28"/>
      </w:r>
      <w:r w:rsidR="00236E70">
        <w:rPr>
          <w:rFonts w:ascii="David" w:hAnsi="David" w:cs="David" w:hint="cs"/>
          <w:sz w:val="24"/>
          <w:szCs w:val="24"/>
          <w:rtl/>
        </w:rPr>
        <w:t xml:space="preserve"> </w:t>
      </w:r>
      <w:r w:rsidR="007E6B5C">
        <w:rPr>
          <w:rFonts w:ascii="David" w:hAnsi="David" w:cs="David" w:hint="cs"/>
          <w:sz w:val="24"/>
          <w:szCs w:val="24"/>
          <w:rtl/>
        </w:rPr>
        <w:t xml:space="preserve">תיאור העברת השופר מעיד על כך </w:t>
      </w:r>
      <w:r w:rsidR="003628AC">
        <w:rPr>
          <w:rFonts w:ascii="David" w:hAnsi="David" w:cs="David" w:hint="cs"/>
          <w:sz w:val="24"/>
          <w:szCs w:val="24"/>
          <w:rtl/>
        </w:rPr>
        <w:t xml:space="preserve">שהיו </w:t>
      </w:r>
      <w:r w:rsidR="00263553">
        <w:rPr>
          <w:rFonts w:ascii="David" w:hAnsi="David" w:cs="David" w:hint="cs"/>
          <w:sz w:val="24"/>
          <w:szCs w:val="24"/>
          <w:rtl/>
        </w:rPr>
        <w:lastRenderedPageBreak/>
        <w:t xml:space="preserve">מקרים </w:t>
      </w:r>
      <w:r w:rsidR="00EA334D">
        <w:rPr>
          <w:rFonts w:ascii="David" w:hAnsi="David" w:cs="David" w:hint="cs"/>
          <w:sz w:val="24"/>
          <w:szCs w:val="24"/>
          <w:rtl/>
        </w:rPr>
        <w:t xml:space="preserve">שבהם עבר </w:t>
      </w:r>
      <w:r w:rsidR="00263553">
        <w:rPr>
          <w:rFonts w:ascii="David" w:hAnsi="David" w:cs="David" w:hint="cs"/>
          <w:sz w:val="24"/>
          <w:szCs w:val="24"/>
          <w:rtl/>
        </w:rPr>
        <w:t xml:space="preserve">האובייקט </w:t>
      </w:r>
      <w:r w:rsidR="00EA334D">
        <w:rPr>
          <w:rFonts w:ascii="David" w:hAnsi="David" w:cs="David" w:hint="cs"/>
          <w:sz w:val="24"/>
          <w:szCs w:val="24"/>
          <w:rtl/>
        </w:rPr>
        <w:t xml:space="preserve">מבית לבית </w:t>
      </w:r>
      <w:r w:rsidR="00263553">
        <w:rPr>
          <w:rFonts w:ascii="David" w:hAnsi="David" w:cs="David" w:hint="cs"/>
          <w:sz w:val="24"/>
          <w:szCs w:val="24"/>
          <w:rtl/>
        </w:rPr>
        <w:t>מבלי ש</w:t>
      </w:r>
      <w:r w:rsidR="003628AC">
        <w:rPr>
          <w:rFonts w:ascii="David" w:hAnsi="David" w:cs="David" w:hint="cs"/>
          <w:sz w:val="24"/>
          <w:szCs w:val="24"/>
          <w:rtl/>
        </w:rPr>
        <w:t>ני</w:t>
      </w:r>
      <w:r w:rsidR="00263553">
        <w:rPr>
          <w:rFonts w:ascii="David" w:hAnsi="David" w:cs="David" w:hint="cs"/>
          <w:sz w:val="24"/>
          <w:szCs w:val="24"/>
          <w:rtl/>
        </w:rPr>
        <w:t>לוו לכך</w:t>
      </w:r>
      <w:r w:rsidR="007E6B5C">
        <w:rPr>
          <w:rFonts w:ascii="David" w:hAnsi="David" w:cs="David" w:hint="cs"/>
          <w:sz w:val="24"/>
          <w:szCs w:val="24"/>
          <w:rtl/>
        </w:rPr>
        <w:t xml:space="preserve"> מאבקי כבוד</w:t>
      </w:r>
      <w:r w:rsidR="00A64C1D">
        <w:rPr>
          <w:rFonts w:ascii="David" w:hAnsi="David" w:cs="David" w:hint="cs"/>
          <w:sz w:val="24"/>
          <w:szCs w:val="24"/>
          <w:rtl/>
        </w:rPr>
        <w:t xml:space="preserve">. </w:t>
      </w:r>
      <w:r w:rsidR="00B66754">
        <w:rPr>
          <w:rFonts w:ascii="David" w:hAnsi="David" w:cs="David" w:hint="cs"/>
          <w:sz w:val="24"/>
          <w:szCs w:val="24"/>
          <w:rtl/>
        </w:rPr>
        <w:t xml:space="preserve">הבבלי מסיק מכך </w:t>
      </w:r>
      <w:r w:rsidR="003628AC">
        <w:rPr>
          <w:rFonts w:ascii="David" w:hAnsi="David" w:cs="David" w:hint="cs"/>
          <w:sz w:val="24"/>
          <w:szCs w:val="24"/>
          <w:rtl/>
        </w:rPr>
        <w:t>ש</w:t>
      </w:r>
      <w:r w:rsidR="00A64C1D">
        <w:rPr>
          <w:rFonts w:ascii="David" w:hAnsi="David" w:cs="David" w:hint="cs"/>
          <w:sz w:val="24"/>
          <w:szCs w:val="24"/>
          <w:rtl/>
        </w:rPr>
        <w:t xml:space="preserve">מזון העירוב יכול לעבור מבית אחד לאחר מבלי </w:t>
      </w:r>
      <w:r w:rsidR="00B66754">
        <w:rPr>
          <w:rFonts w:ascii="David" w:hAnsi="David" w:cs="David" w:hint="cs"/>
          <w:sz w:val="24"/>
          <w:szCs w:val="24"/>
          <w:rtl/>
        </w:rPr>
        <w:t>שי</w:t>
      </w:r>
      <w:r w:rsidR="00144738">
        <w:rPr>
          <w:rFonts w:ascii="David" w:hAnsi="David" w:cs="David" w:hint="cs"/>
          <w:sz w:val="24"/>
          <w:szCs w:val="24"/>
          <w:rtl/>
        </w:rPr>
        <w:t>י</w:t>
      </w:r>
      <w:r w:rsidR="00B66754">
        <w:rPr>
          <w:rFonts w:ascii="David" w:hAnsi="David" w:cs="David" w:hint="cs"/>
          <w:sz w:val="24"/>
          <w:szCs w:val="24"/>
          <w:rtl/>
        </w:rPr>
        <w:t xml:space="preserve">ווצר </w:t>
      </w:r>
      <w:r w:rsidR="00A64C1D">
        <w:rPr>
          <w:rFonts w:ascii="David" w:hAnsi="David" w:cs="David" w:hint="cs"/>
          <w:sz w:val="24"/>
          <w:szCs w:val="24"/>
          <w:rtl/>
        </w:rPr>
        <w:t>קונפליקט (או שמא מבלי ש</w:t>
      </w:r>
      <w:r w:rsidR="00EA334D">
        <w:rPr>
          <w:rFonts w:ascii="David" w:hAnsi="David" w:cs="David" w:hint="cs"/>
          <w:sz w:val="24"/>
          <w:szCs w:val="24"/>
          <w:rtl/>
        </w:rPr>
        <w:t>רגשותיו ותיסכולו</w:t>
      </w:r>
      <w:r w:rsidR="00A64C1D">
        <w:rPr>
          <w:rFonts w:ascii="David" w:hAnsi="David" w:cs="David" w:hint="cs"/>
          <w:sz w:val="24"/>
          <w:szCs w:val="24"/>
          <w:rtl/>
        </w:rPr>
        <w:t xml:space="preserve"> של בעל הבית החדש </w:t>
      </w:r>
      <w:r w:rsidR="00EA334D">
        <w:rPr>
          <w:rFonts w:ascii="David" w:hAnsi="David" w:cs="David" w:hint="cs"/>
          <w:sz w:val="24"/>
          <w:szCs w:val="24"/>
          <w:rtl/>
        </w:rPr>
        <w:t xml:space="preserve">יזכו </w:t>
      </w:r>
      <w:r w:rsidR="00A64C1D">
        <w:rPr>
          <w:rFonts w:ascii="David" w:hAnsi="David" w:cs="David" w:hint="cs"/>
          <w:sz w:val="24"/>
          <w:szCs w:val="24"/>
          <w:rtl/>
        </w:rPr>
        <w:t xml:space="preserve">אותו בהכרח בהחזקת העירוב). </w:t>
      </w:r>
      <w:r w:rsidR="00B66754">
        <w:rPr>
          <w:rFonts w:ascii="David" w:hAnsi="David" w:cs="David" w:hint="cs"/>
          <w:sz w:val="24"/>
          <w:szCs w:val="24"/>
          <w:rtl/>
        </w:rPr>
        <w:t xml:space="preserve">לאחר דחיית הטעם הראשון </w:t>
      </w:r>
      <w:r w:rsidR="00A64C1D">
        <w:rPr>
          <w:rFonts w:ascii="David" w:hAnsi="David" w:cs="David" w:hint="cs"/>
          <w:sz w:val="24"/>
          <w:szCs w:val="24"/>
          <w:rtl/>
        </w:rPr>
        <w:t>מציע הבבלי הסבר אחר</w:t>
      </w:r>
      <w:r w:rsidR="00D2713D">
        <w:rPr>
          <w:rFonts w:ascii="David" w:hAnsi="David" w:cs="David" w:hint="cs"/>
          <w:sz w:val="24"/>
          <w:szCs w:val="24"/>
          <w:rtl/>
        </w:rPr>
        <w:t>:</w:t>
      </w:r>
      <w:r w:rsidR="00A64C1D">
        <w:rPr>
          <w:rFonts w:ascii="David" w:hAnsi="David" w:cs="David" w:hint="cs"/>
          <w:sz w:val="24"/>
          <w:szCs w:val="24"/>
          <w:rtl/>
        </w:rPr>
        <w:t xml:space="preserve"> </w:t>
      </w:r>
      <w:r w:rsidR="00907B84">
        <w:rPr>
          <w:rFonts w:ascii="David" w:hAnsi="David" w:cs="David" w:hint="cs"/>
          <w:sz w:val="24"/>
          <w:szCs w:val="24"/>
          <w:rtl/>
        </w:rPr>
        <w:t xml:space="preserve">העברת העירוב עלולה לגרום לחשד לא מבוסס </w:t>
      </w:r>
      <w:r w:rsidR="005F4655">
        <w:rPr>
          <w:rFonts w:ascii="David" w:hAnsi="David" w:cs="David" w:hint="cs"/>
          <w:sz w:val="24"/>
          <w:szCs w:val="24"/>
          <w:rtl/>
        </w:rPr>
        <w:t xml:space="preserve">של חברי הקהילה </w:t>
      </w:r>
      <w:r w:rsidR="00907B84">
        <w:rPr>
          <w:rFonts w:ascii="David" w:hAnsi="David" w:cs="David" w:hint="cs"/>
          <w:sz w:val="24"/>
          <w:szCs w:val="24"/>
          <w:rtl/>
        </w:rPr>
        <w:t>בכשרות</w:t>
      </w:r>
      <w:r w:rsidR="00796CF1">
        <w:rPr>
          <w:rFonts w:ascii="David" w:hAnsi="David" w:cs="David" w:hint="cs"/>
          <w:sz w:val="24"/>
          <w:szCs w:val="24"/>
          <w:rtl/>
        </w:rPr>
        <w:t>ם</w:t>
      </w:r>
      <w:r w:rsidR="00563C26">
        <w:rPr>
          <w:rFonts w:ascii="David" w:hAnsi="David" w:cs="David" w:hint="cs"/>
          <w:sz w:val="24"/>
          <w:szCs w:val="24"/>
          <w:rtl/>
        </w:rPr>
        <w:t xml:space="preserve"> </w:t>
      </w:r>
      <w:r w:rsidR="00281F69">
        <w:rPr>
          <w:rFonts w:ascii="David" w:hAnsi="David" w:cs="David" w:hint="cs"/>
          <w:sz w:val="24"/>
          <w:szCs w:val="24"/>
          <w:rtl/>
        </w:rPr>
        <w:t>של בני הבית</w:t>
      </w:r>
      <w:r w:rsidR="00FE05FB">
        <w:rPr>
          <w:rFonts w:ascii="David" w:hAnsi="David" w:cs="David" w:hint="cs"/>
          <w:sz w:val="24"/>
          <w:szCs w:val="24"/>
          <w:rtl/>
        </w:rPr>
        <w:t xml:space="preserve"> מ</w:t>
      </w:r>
      <w:r w:rsidR="00896286">
        <w:rPr>
          <w:rFonts w:ascii="David" w:hAnsi="David" w:cs="David" w:hint="cs"/>
          <w:sz w:val="24"/>
          <w:szCs w:val="24"/>
          <w:rtl/>
        </w:rPr>
        <w:t xml:space="preserve">בחינה </w:t>
      </w:r>
      <w:r w:rsidR="00563C26">
        <w:rPr>
          <w:rFonts w:ascii="David" w:hAnsi="David" w:cs="David" w:hint="cs"/>
          <w:sz w:val="24"/>
          <w:szCs w:val="24"/>
          <w:rtl/>
        </w:rPr>
        <w:t>דתית</w:t>
      </w:r>
      <w:r w:rsidR="00796CF1">
        <w:rPr>
          <w:rFonts w:ascii="David" w:hAnsi="David" w:cs="David" w:hint="cs"/>
          <w:sz w:val="24"/>
          <w:szCs w:val="24"/>
          <w:rtl/>
        </w:rPr>
        <w:t xml:space="preserve"> (שבני הבית מטלטלים חפצים מרשות לרשות ללא עירוב)</w:t>
      </w:r>
      <w:r w:rsidR="00281F69">
        <w:rPr>
          <w:rStyle w:val="a5"/>
          <w:rFonts w:ascii="David" w:hAnsi="David" w:cs="David"/>
          <w:sz w:val="24"/>
          <w:szCs w:val="24"/>
          <w:rtl/>
        </w:rPr>
        <w:footnoteReference w:id="29"/>
      </w:r>
      <w:r w:rsidR="00281F69">
        <w:rPr>
          <w:rFonts w:ascii="David" w:hAnsi="David" w:cs="David" w:hint="cs"/>
          <w:sz w:val="24"/>
          <w:szCs w:val="24"/>
          <w:rtl/>
        </w:rPr>
        <w:t xml:space="preserve"> </w:t>
      </w:r>
      <w:r w:rsidR="00563C26">
        <w:rPr>
          <w:rFonts w:ascii="David" w:hAnsi="David" w:cs="David" w:hint="cs"/>
          <w:sz w:val="24"/>
          <w:szCs w:val="24"/>
          <w:rtl/>
        </w:rPr>
        <w:t xml:space="preserve"> </w:t>
      </w:r>
      <w:r w:rsidR="00FE05FB">
        <w:rPr>
          <w:rFonts w:ascii="David" w:hAnsi="David" w:cs="David" w:hint="cs"/>
          <w:sz w:val="24"/>
          <w:szCs w:val="24"/>
          <w:rtl/>
        </w:rPr>
        <w:t xml:space="preserve">או </w:t>
      </w:r>
      <w:r w:rsidR="00563C26">
        <w:rPr>
          <w:rFonts w:ascii="David" w:hAnsi="David" w:cs="David" w:hint="cs"/>
          <w:sz w:val="24"/>
          <w:szCs w:val="24"/>
          <w:rtl/>
        </w:rPr>
        <w:t xml:space="preserve">מוסרית </w:t>
      </w:r>
      <w:r w:rsidR="00281F69">
        <w:rPr>
          <w:rFonts w:ascii="David" w:hAnsi="David" w:cs="David" w:hint="cs"/>
          <w:sz w:val="24"/>
          <w:szCs w:val="24"/>
          <w:rtl/>
        </w:rPr>
        <w:t>(שבני הבית גנבו את המזון המשותף לעצמם)</w:t>
      </w:r>
      <w:r w:rsidR="00907B84">
        <w:rPr>
          <w:rFonts w:ascii="David" w:hAnsi="David" w:cs="David" w:hint="cs"/>
          <w:sz w:val="24"/>
          <w:szCs w:val="24"/>
          <w:rtl/>
        </w:rPr>
        <w:t>.</w:t>
      </w:r>
      <w:r w:rsidR="007D3BD3">
        <w:rPr>
          <w:rStyle w:val="a5"/>
          <w:rFonts w:ascii="David" w:hAnsi="David" w:cs="David"/>
          <w:sz w:val="24"/>
          <w:szCs w:val="24"/>
          <w:rtl/>
        </w:rPr>
        <w:footnoteReference w:id="30"/>
      </w:r>
      <w:r w:rsidR="00907B84">
        <w:rPr>
          <w:rFonts w:ascii="David" w:hAnsi="David" w:cs="David" w:hint="cs"/>
          <w:sz w:val="24"/>
          <w:szCs w:val="24"/>
          <w:rtl/>
        </w:rPr>
        <w:t xml:space="preserve"> </w:t>
      </w:r>
      <w:r w:rsidR="009A5B76">
        <w:rPr>
          <w:rFonts w:ascii="David" w:hAnsi="David" w:cs="David" w:hint="cs"/>
          <w:sz w:val="24"/>
          <w:szCs w:val="24"/>
          <w:rtl/>
        </w:rPr>
        <w:t xml:space="preserve">לשיטת הבבלי </w:t>
      </w:r>
      <w:r w:rsidR="00457963">
        <w:rPr>
          <w:rFonts w:ascii="David" w:hAnsi="David" w:cs="David" w:hint="cs"/>
          <w:sz w:val="24"/>
          <w:szCs w:val="24"/>
          <w:rtl/>
        </w:rPr>
        <w:t xml:space="preserve">מטרתה של התקנה </w:t>
      </w:r>
      <w:r w:rsidR="00D72C1E">
        <w:rPr>
          <w:rFonts w:ascii="David" w:hAnsi="David" w:cs="David" w:hint="cs"/>
          <w:sz w:val="24"/>
          <w:szCs w:val="24"/>
          <w:rtl/>
        </w:rPr>
        <w:t>היא איפ</w:t>
      </w:r>
      <w:r w:rsidR="00186CA0">
        <w:rPr>
          <w:rFonts w:ascii="David" w:hAnsi="David" w:cs="David" w:hint="cs"/>
          <w:sz w:val="24"/>
          <w:szCs w:val="24"/>
          <w:rtl/>
        </w:rPr>
        <w:t>א</w:t>
      </w:r>
      <w:r w:rsidR="00D72C1E">
        <w:rPr>
          <w:rFonts w:ascii="David" w:hAnsi="David" w:cs="David" w:hint="cs"/>
          <w:sz w:val="24"/>
          <w:szCs w:val="24"/>
          <w:rtl/>
        </w:rPr>
        <w:t xml:space="preserve"> </w:t>
      </w:r>
      <w:r w:rsidR="00457963">
        <w:rPr>
          <w:rFonts w:ascii="David" w:hAnsi="David" w:cs="David" w:hint="cs"/>
          <w:sz w:val="24"/>
          <w:szCs w:val="24"/>
          <w:rtl/>
        </w:rPr>
        <w:t xml:space="preserve">למנוע </w:t>
      </w:r>
      <w:r w:rsidR="00EA334D">
        <w:rPr>
          <w:rFonts w:ascii="David" w:hAnsi="David" w:cs="David" w:hint="cs"/>
          <w:sz w:val="24"/>
          <w:szCs w:val="24"/>
          <w:rtl/>
        </w:rPr>
        <w:t xml:space="preserve">אפשרות של </w:t>
      </w:r>
      <w:r w:rsidR="009A5B76" w:rsidRPr="009A5B76">
        <w:rPr>
          <w:rFonts w:ascii="FrankRuehl" w:hAnsi="FrankRuehl" w:cs="FrankRuehl"/>
          <w:sz w:val="24"/>
          <w:szCs w:val="24"/>
        </w:rPr>
        <w:t>shaming</w:t>
      </w:r>
      <w:r w:rsidR="00457963">
        <w:rPr>
          <w:rFonts w:ascii="David" w:hAnsi="David" w:cs="David" w:hint="cs"/>
          <w:sz w:val="24"/>
          <w:szCs w:val="24"/>
          <w:rtl/>
        </w:rPr>
        <w:t xml:space="preserve"> לא מוצדק</w:t>
      </w:r>
      <w:r w:rsidR="009A5B76" w:rsidRPr="009A5B76">
        <w:rPr>
          <w:rFonts w:ascii="David" w:hAnsi="David" w:cs="David"/>
          <w:sz w:val="24"/>
          <w:szCs w:val="24"/>
          <w:rtl/>
        </w:rPr>
        <w:t>.</w:t>
      </w:r>
    </w:p>
    <w:p w14:paraId="3444121B" w14:textId="22F98414" w:rsidR="006312BF" w:rsidRDefault="003416CC" w:rsidP="009A5B76">
      <w:pPr>
        <w:autoSpaceDE w:val="0"/>
        <w:autoSpaceDN w:val="0"/>
        <w:adjustRightInd w:val="0"/>
        <w:spacing w:after="0" w:line="480" w:lineRule="auto"/>
        <w:ind w:firstLine="720"/>
        <w:rPr>
          <w:rFonts w:ascii="David" w:hAnsi="David" w:cs="David"/>
          <w:sz w:val="24"/>
          <w:szCs w:val="24"/>
          <w:rtl/>
        </w:rPr>
      </w:pPr>
      <w:r>
        <w:rPr>
          <w:rFonts w:ascii="David" w:hAnsi="David" w:cs="David" w:hint="cs"/>
          <w:sz w:val="24"/>
          <w:szCs w:val="24"/>
          <w:rtl/>
        </w:rPr>
        <w:t>ב</w:t>
      </w:r>
      <w:r w:rsidR="006312BF">
        <w:rPr>
          <w:rFonts w:ascii="David" w:hAnsi="David" w:cs="David" w:hint="cs"/>
          <w:sz w:val="24"/>
          <w:szCs w:val="24"/>
          <w:rtl/>
        </w:rPr>
        <w:t>תלמוד</w:t>
      </w:r>
      <w:r w:rsidR="009A5B76">
        <w:rPr>
          <w:rFonts w:ascii="David" w:hAnsi="David" w:cs="David" w:hint="cs"/>
          <w:sz w:val="24"/>
          <w:szCs w:val="24"/>
          <w:rtl/>
        </w:rPr>
        <w:t xml:space="preserve"> הירושלמי מציע</w:t>
      </w:r>
      <w:r w:rsidR="00041F26">
        <w:rPr>
          <w:rFonts w:ascii="David" w:hAnsi="David" w:cs="David" w:hint="cs"/>
          <w:sz w:val="24"/>
          <w:szCs w:val="24"/>
          <w:rtl/>
        </w:rPr>
        <w:t xml:space="preserve"> </w:t>
      </w:r>
      <w:r>
        <w:rPr>
          <w:rFonts w:ascii="David" w:hAnsi="David" w:cs="David" w:hint="cs"/>
          <w:sz w:val="24"/>
          <w:szCs w:val="24"/>
          <w:rtl/>
        </w:rPr>
        <w:t xml:space="preserve">רבי אבין </w:t>
      </w:r>
      <w:r w:rsidR="00041F26">
        <w:rPr>
          <w:rFonts w:ascii="David" w:hAnsi="David" w:cs="David" w:hint="cs"/>
          <w:sz w:val="24"/>
          <w:szCs w:val="24"/>
          <w:rtl/>
        </w:rPr>
        <w:t>דיוק בדברי המשנה</w:t>
      </w:r>
      <w:r w:rsidR="009A5B76">
        <w:rPr>
          <w:rFonts w:ascii="David" w:hAnsi="David" w:cs="David" w:hint="cs"/>
          <w:sz w:val="24"/>
          <w:szCs w:val="24"/>
          <w:rtl/>
        </w:rPr>
        <w:t>:</w:t>
      </w:r>
      <w:r w:rsidR="00354961" w:rsidRPr="00354961">
        <w:rPr>
          <w:rStyle w:val="a5"/>
          <w:rFonts w:ascii="David" w:hAnsi="David" w:cs="David"/>
          <w:sz w:val="24"/>
          <w:szCs w:val="24"/>
        </w:rPr>
        <w:t xml:space="preserve"> </w:t>
      </w:r>
      <w:r w:rsidR="00354961" w:rsidRPr="006B3338">
        <w:rPr>
          <w:rStyle w:val="a5"/>
          <w:rFonts w:ascii="David" w:hAnsi="David" w:cs="David"/>
          <w:sz w:val="24"/>
          <w:szCs w:val="24"/>
        </w:rPr>
        <w:footnoteReference w:id="31"/>
      </w:r>
      <w:r w:rsidR="00971318">
        <w:rPr>
          <w:rFonts w:ascii="David" w:hAnsi="David" w:cs="David" w:hint="cs"/>
          <w:sz w:val="24"/>
          <w:szCs w:val="24"/>
          <w:rtl/>
        </w:rPr>
        <w:t xml:space="preserve"> </w:t>
      </w:r>
    </w:p>
    <w:p w14:paraId="7F4F9B8E" w14:textId="1035F2C6" w:rsidR="00AE71F8" w:rsidRPr="006B3338" w:rsidRDefault="00AE71F8" w:rsidP="00AE71F8">
      <w:pPr>
        <w:autoSpaceDE w:val="0"/>
        <w:autoSpaceDN w:val="0"/>
        <w:bidi w:val="0"/>
        <w:adjustRightInd w:val="0"/>
        <w:spacing w:after="0" w:line="240" w:lineRule="auto"/>
        <w:ind w:firstLine="720"/>
        <w:rPr>
          <w:rFonts w:ascii="David" w:hAnsi="David" w:cs="David"/>
          <w:sz w:val="24"/>
          <w:szCs w:val="24"/>
        </w:rPr>
      </w:pPr>
      <w:r w:rsidRPr="006B3338">
        <w:rPr>
          <w:rFonts w:ascii="Times New Roman" w:hAnsi="Times New Roman" w:cs="Times New Roman"/>
          <w:sz w:val="24"/>
          <w:szCs w:val="24"/>
        </w:rPr>
        <w:t xml:space="preserve">Rebbi Abin said, the Mishnah speaks of a prior </w:t>
      </w:r>
      <w:bookmarkStart w:id="8" w:name="_Hlk86308674"/>
      <w:r w:rsidRPr="006B3338">
        <w:rPr>
          <w:rFonts w:ascii="Times New Roman" w:hAnsi="Times New Roman" w:cs="Times New Roman"/>
          <w:sz w:val="24"/>
          <w:szCs w:val="24"/>
        </w:rPr>
        <w:t>dweller</w:t>
      </w:r>
      <w:bookmarkEnd w:id="8"/>
      <w:r w:rsidRPr="006B3338">
        <w:rPr>
          <w:rFonts w:ascii="Times New Roman" w:hAnsi="Times New Roman" w:cs="Times New Roman"/>
          <w:sz w:val="24"/>
          <w:szCs w:val="24"/>
        </w:rPr>
        <w:t>.</w:t>
      </w:r>
    </w:p>
    <w:p w14:paraId="3F098464" w14:textId="77777777" w:rsidR="00FB1E2C" w:rsidRDefault="00FB1E2C" w:rsidP="006B3338">
      <w:pPr>
        <w:autoSpaceDE w:val="0"/>
        <w:autoSpaceDN w:val="0"/>
        <w:adjustRightInd w:val="0"/>
        <w:spacing w:after="0" w:line="480" w:lineRule="auto"/>
        <w:rPr>
          <w:rFonts w:ascii="David" w:hAnsi="David" w:cs="David"/>
          <w:sz w:val="24"/>
          <w:szCs w:val="24"/>
          <w:rtl/>
        </w:rPr>
      </w:pPr>
    </w:p>
    <w:p w14:paraId="0F98A74B" w14:textId="440850A5" w:rsidR="00EF1492" w:rsidRPr="00EF1492" w:rsidRDefault="00EF1492" w:rsidP="0099676E">
      <w:pPr>
        <w:pStyle w:val="a3"/>
        <w:bidi/>
        <w:jc w:val="both"/>
        <w:rPr>
          <w:rFonts w:ascii="David" w:hAnsi="David" w:cs="David"/>
          <w:sz w:val="24"/>
          <w:szCs w:val="24"/>
          <w:rtl/>
          <w:lang w:bidi="he-IL"/>
        </w:rPr>
      </w:pPr>
      <w:r>
        <w:rPr>
          <w:rFonts w:ascii="David" w:hAnsi="David" w:cs="David" w:hint="cs"/>
          <w:sz w:val="24"/>
          <w:szCs w:val="24"/>
          <w:rtl/>
        </w:rPr>
        <w:t>מדוע יש לדייק את לשון המשנה</w:t>
      </w:r>
      <w:r w:rsidRPr="00EF1492">
        <w:rPr>
          <w:rFonts w:ascii="David" w:hAnsi="David" w:cs="David"/>
          <w:sz w:val="24"/>
          <w:szCs w:val="24"/>
          <w:rtl/>
        </w:rPr>
        <w:t>?</w:t>
      </w:r>
      <w:r w:rsidR="0055423A">
        <w:rPr>
          <w:rFonts w:ascii="David" w:hAnsi="David" w:cs="David" w:hint="cs"/>
          <w:sz w:val="24"/>
          <w:szCs w:val="24"/>
          <w:rtl/>
          <w:lang w:bidi="he-IL"/>
        </w:rPr>
        <w:t xml:space="preserve"> ההסבר עולה מכך ש</w:t>
      </w:r>
      <w:r w:rsidRPr="00EF1492">
        <w:rPr>
          <w:rFonts w:ascii="David" w:hAnsi="David" w:cs="David"/>
          <w:sz w:val="24"/>
          <w:szCs w:val="24"/>
          <w:rtl/>
          <w:lang w:bidi="he-IL"/>
        </w:rPr>
        <w:t xml:space="preserve">תקנה זו מופיעה בשתי סוגיות מקבילות </w:t>
      </w:r>
      <w:r w:rsidR="007825D1">
        <w:rPr>
          <w:rFonts w:ascii="David" w:hAnsi="David" w:cs="David" w:hint="cs"/>
          <w:sz w:val="24"/>
          <w:szCs w:val="24"/>
          <w:rtl/>
          <w:lang w:bidi="he-IL"/>
        </w:rPr>
        <w:t xml:space="preserve">- </w:t>
      </w:r>
      <w:r w:rsidRPr="00EF1492">
        <w:rPr>
          <w:rFonts w:ascii="David" w:hAnsi="David" w:cs="David"/>
          <w:sz w:val="24"/>
          <w:szCs w:val="24"/>
          <w:rtl/>
          <w:lang w:bidi="he-IL"/>
        </w:rPr>
        <w:t xml:space="preserve">במסכת גיטין ובמסכת עירובין. במסכת עירובין נוסח התקנה הוא </w:t>
      </w:r>
    </w:p>
    <w:p w14:paraId="0D8F43A3" w14:textId="555DF1A0" w:rsidR="00EF1492" w:rsidRPr="00EF1492" w:rsidRDefault="00EF1492" w:rsidP="00EF1492">
      <w:pPr>
        <w:pStyle w:val="a3"/>
        <w:jc w:val="both"/>
        <w:rPr>
          <w:rFonts w:ascii="David" w:hAnsi="David" w:cs="David"/>
          <w:sz w:val="24"/>
          <w:szCs w:val="24"/>
          <w:lang w:bidi="he-IL"/>
        </w:rPr>
      </w:pPr>
      <w:r w:rsidRPr="00EF1492">
        <w:rPr>
          <w:rFonts w:ascii="David" w:hAnsi="David" w:cs="David"/>
          <w:sz w:val="24"/>
          <w:szCs w:val="24"/>
          <w:lang w:bidi="he-IL"/>
        </w:rPr>
        <w:t>diur</w:t>
      </w:r>
    </w:p>
    <w:p w14:paraId="50C617C2" w14:textId="5A8A3D20" w:rsidR="00EF1492" w:rsidRPr="00EF1492" w:rsidRDefault="00EF1492" w:rsidP="00EF1492">
      <w:pPr>
        <w:pStyle w:val="a3"/>
        <w:jc w:val="both"/>
        <w:rPr>
          <w:rFonts w:ascii="David" w:hAnsi="David" w:cs="David"/>
          <w:sz w:val="24"/>
          <w:szCs w:val="24"/>
          <w:rtl/>
          <w:lang w:bidi="he-IL"/>
        </w:rPr>
      </w:pPr>
      <w:r w:rsidRPr="00EF1492">
        <w:rPr>
          <w:rFonts w:ascii="David" w:hAnsi="David" w:cs="David"/>
          <w:sz w:val="24"/>
          <w:szCs w:val="24"/>
          <w:rtl/>
          <w:lang w:bidi="he-IL"/>
        </w:rPr>
        <w:t xml:space="preserve"> ולידה נוספה המילה </w:t>
      </w:r>
    </w:p>
    <w:p w14:paraId="0457D1B1" w14:textId="75436821" w:rsidR="00EF1492" w:rsidRPr="00EF1492" w:rsidRDefault="00EF1492" w:rsidP="00EF1492">
      <w:pPr>
        <w:pStyle w:val="a3"/>
        <w:jc w:val="both"/>
        <w:rPr>
          <w:rFonts w:ascii="David" w:hAnsi="David" w:cs="David"/>
          <w:sz w:val="24"/>
          <w:szCs w:val="24"/>
          <w:lang w:bidi="he-IL"/>
        </w:rPr>
      </w:pPr>
      <w:r w:rsidRPr="00EF1492">
        <w:rPr>
          <w:rFonts w:ascii="David" w:hAnsi="David" w:cs="David"/>
          <w:sz w:val="24"/>
          <w:szCs w:val="24"/>
          <w:lang w:bidi="he-IL"/>
        </w:rPr>
        <w:t>dayar</w:t>
      </w:r>
    </w:p>
    <w:p w14:paraId="77541BAE" w14:textId="3D1A900B" w:rsidR="00142C55" w:rsidRDefault="00EF1492" w:rsidP="00722781">
      <w:pPr>
        <w:pStyle w:val="a3"/>
        <w:bidi/>
        <w:jc w:val="both"/>
        <w:rPr>
          <w:rFonts w:ascii="David" w:hAnsi="David" w:cs="David"/>
          <w:sz w:val="24"/>
          <w:szCs w:val="24"/>
          <w:rtl/>
          <w:lang w:bidi="he-IL"/>
        </w:rPr>
      </w:pPr>
      <w:r w:rsidRPr="00EF1492">
        <w:rPr>
          <w:rFonts w:ascii="David" w:hAnsi="David" w:cs="David"/>
          <w:sz w:val="24"/>
          <w:szCs w:val="24"/>
          <w:rtl/>
          <w:lang w:bidi="he-IL"/>
        </w:rPr>
        <w:t xml:space="preserve">על ידי מגיה. הנוסח השונה </w:t>
      </w:r>
      <w:r w:rsidR="003B3ADD">
        <w:rPr>
          <w:rFonts w:ascii="David" w:hAnsi="David" w:cs="David" w:hint="cs"/>
          <w:sz w:val="24"/>
          <w:szCs w:val="24"/>
          <w:rtl/>
          <w:lang w:bidi="he-IL"/>
        </w:rPr>
        <w:t xml:space="preserve">קובע </w:t>
      </w:r>
      <w:r w:rsidRPr="00EF1492">
        <w:rPr>
          <w:rFonts w:ascii="David" w:hAnsi="David" w:cs="David"/>
          <w:sz w:val="24"/>
          <w:szCs w:val="24"/>
          <w:rtl/>
          <w:lang w:bidi="he-IL"/>
        </w:rPr>
        <w:t>האם מדובר בבית (דיור) או באדם (דייר).</w:t>
      </w:r>
      <w:r w:rsidR="00041F26" w:rsidRPr="00EF1492">
        <w:rPr>
          <w:rFonts w:ascii="David" w:hAnsi="David" w:cs="David"/>
          <w:sz w:val="24"/>
          <w:szCs w:val="24"/>
          <w:rtl/>
        </w:rPr>
        <w:t>אולם מהי הסיטואציה</w:t>
      </w:r>
      <w:r w:rsidR="00041F26">
        <w:rPr>
          <w:rFonts w:ascii="David" w:hAnsi="David" w:cs="David" w:hint="cs"/>
          <w:sz w:val="24"/>
          <w:szCs w:val="24"/>
          <w:rtl/>
        </w:rPr>
        <w:t xml:space="preserve"> שאותה רואה רבי אבין לנגד עיניו</w:t>
      </w:r>
      <w:r w:rsidR="003C08DA">
        <w:rPr>
          <w:rFonts w:ascii="David" w:hAnsi="David" w:cs="David" w:hint="cs"/>
          <w:sz w:val="24"/>
          <w:szCs w:val="24"/>
          <w:rtl/>
        </w:rPr>
        <w:t>?</w:t>
      </w:r>
      <w:r w:rsidR="00100AFA">
        <w:rPr>
          <w:rFonts w:ascii="David" w:hAnsi="David" w:cs="David" w:hint="cs"/>
          <w:sz w:val="24"/>
          <w:szCs w:val="24"/>
          <w:rtl/>
        </w:rPr>
        <w:t xml:space="preserve"> </w:t>
      </w:r>
      <w:r w:rsidR="003847B9">
        <w:rPr>
          <w:rFonts w:ascii="David" w:hAnsi="David" w:cs="David" w:hint="cs"/>
          <w:sz w:val="24"/>
          <w:szCs w:val="24"/>
          <w:rtl/>
        </w:rPr>
        <w:t>פרשני התלמוד הירושלמי מציעים</w:t>
      </w:r>
      <w:r w:rsidR="00CC33C3">
        <w:rPr>
          <w:rFonts w:ascii="David" w:hAnsi="David" w:cs="David" w:hint="cs"/>
          <w:sz w:val="24"/>
          <w:szCs w:val="24"/>
          <w:rtl/>
          <w:lang w:bidi="he-IL"/>
        </w:rPr>
        <w:t xml:space="preserve"> לכך</w:t>
      </w:r>
      <w:r w:rsidR="003847B9">
        <w:rPr>
          <w:rFonts w:ascii="David" w:hAnsi="David" w:cs="David" w:hint="cs"/>
          <w:sz w:val="24"/>
          <w:szCs w:val="24"/>
          <w:rtl/>
        </w:rPr>
        <w:t xml:space="preserve"> שתי</w:t>
      </w:r>
      <w:r w:rsidR="00CC33C3">
        <w:rPr>
          <w:rFonts w:ascii="David" w:hAnsi="David" w:cs="David" w:hint="cs"/>
          <w:sz w:val="24"/>
          <w:szCs w:val="24"/>
          <w:rtl/>
          <w:lang w:bidi="he-IL"/>
        </w:rPr>
        <w:t xml:space="preserve"> אפשרויות</w:t>
      </w:r>
      <w:r w:rsidR="003847B9">
        <w:rPr>
          <w:rFonts w:ascii="David" w:hAnsi="David" w:cs="David" w:hint="cs"/>
          <w:sz w:val="24"/>
          <w:szCs w:val="24"/>
          <w:rtl/>
        </w:rPr>
        <w:t>. בעל פירוש</w:t>
      </w:r>
    </w:p>
    <w:p w14:paraId="009B4C7D" w14:textId="743AC0AC" w:rsidR="00142C55" w:rsidRPr="00142C55" w:rsidRDefault="00142C55" w:rsidP="00142C55">
      <w:pPr>
        <w:pStyle w:val="a3"/>
        <w:jc w:val="both"/>
        <w:rPr>
          <w:rFonts w:asciiTheme="majorBidi" w:hAnsiTheme="majorBidi" w:cstheme="majorBidi"/>
          <w:sz w:val="24"/>
          <w:szCs w:val="24"/>
        </w:rPr>
      </w:pPr>
      <w:r w:rsidRPr="00142C55">
        <w:rPr>
          <w:rFonts w:asciiTheme="majorBidi" w:hAnsiTheme="majorBidi" w:cstheme="majorBidi"/>
          <w:sz w:val="24"/>
          <w:szCs w:val="24"/>
          <w:lang w:bidi="he-IL"/>
        </w:rPr>
        <w:t>Korban Ha-Eda,</w:t>
      </w:r>
      <w:r w:rsidRPr="00142C55">
        <w:rPr>
          <w:rStyle w:val="a5"/>
          <w:rFonts w:asciiTheme="majorBidi" w:hAnsiTheme="majorBidi" w:cstheme="majorBidi"/>
          <w:sz w:val="24"/>
          <w:szCs w:val="24"/>
        </w:rPr>
        <w:footnoteReference w:id="32"/>
      </w:r>
      <w:r w:rsidRPr="00142C55">
        <w:rPr>
          <w:rFonts w:asciiTheme="majorBidi" w:hAnsiTheme="majorBidi" w:cstheme="majorBidi"/>
          <w:sz w:val="24"/>
          <w:szCs w:val="24"/>
          <w:rtl/>
        </w:rPr>
        <w:t xml:space="preserve"> </w:t>
      </w:r>
    </w:p>
    <w:p w14:paraId="0F7F592A" w14:textId="190D362C" w:rsidR="006619AC" w:rsidRDefault="003847B9" w:rsidP="00F37CB9">
      <w:pPr>
        <w:pStyle w:val="a3"/>
        <w:bidi/>
        <w:jc w:val="both"/>
        <w:rPr>
          <w:rFonts w:ascii="David" w:hAnsi="David" w:cs="David"/>
          <w:sz w:val="24"/>
          <w:szCs w:val="24"/>
          <w:rtl/>
          <w:lang w:bidi="he-IL"/>
        </w:rPr>
      </w:pPr>
      <w:r>
        <w:rPr>
          <w:rFonts w:ascii="David" w:hAnsi="David" w:cs="David" w:hint="cs"/>
          <w:sz w:val="24"/>
          <w:szCs w:val="24"/>
          <w:rtl/>
        </w:rPr>
        <w:t>סבור</w:t>
      </w:r>
      <w:r w:rsidR="00041F26">
        <w:rPr>
          <w:rFonts w:ascii="David" w:hAnsi="David" w:cs="David" w:hint="cs"/>
          <w:sz w:val="24"/>
          <w:szCs w:val="24"/>
          <w:rtl/>
        </w:rPr>
        <w:t xml:space="preserve"> ש</w:t>
      </w:r>
      <w:r>
        <w:rPr>
          <w:rFonts w:ascii="David" w:hAnsi="David" w:cs="David" w:hint="cs"/>
          <w:sz w:val="24"/>
          <w:szCs w:val="24"/>
          <w:rtl/>
        </w:rPr>
        <w:t xml:space="preserve">רבי אבין </w:t>
      </w:r>
      <w:r w:rsidR="00041F26">
        <w:rPr>
          <w:rFonts w:ascii="David" w:hAnsi="David" w:cs="David" w:hint="cs"/>
          <w:sz w:val="24"/>
          <w:szCs w:val="24"/>
          <w:rtl/>
        </w:rPr>
        <w:t>מבין את הסיטואציה כמייצרת ח</w:t>
      </w:r>
      <w:r w:rsidR="00373BC1">
        <w:rPr>
          <w:rFonts w:ascii="David" w:hAnsi="David" w:cs="David" w:hint="cs"/>
          <w:sz w:val="24"/>
          <w:szCs w:val="24"/>
          <w:rtl/>
        </w:rPr>
        <w:t>שד</w:t>
      </w:r>
      <w:r w:rsidR="00041F26">
        <w:rPr>
          <w:rFonts w:ascii="David" w:hAnsi="David" w:cs="David" w:hint="cs"/>
          <w:sz w:val="24"/>
          <w:szCs w:val="24"/>
          <w:rtl/>
        </w:rPr>
        <w:t xml:space="preserve"> </w:t>
      </w:r>
      <w:r>
        <w:rPr>
          <w:rFonts w:ascii="David" w:hAnsi="David" w:cs="David" w:hint="cs"/>
          <w:sz w:val="24"/>
          <w:szCs w:val="24"/>
          <w:rtl/>
        </w:rPr>
        <w:t xml:space="preserve">שמא </w:t>
      </w:r>
      <w:r w:rsidR="006906DA">
        <w:rPr>
          <w:rFonts w:ascii="David" w:hAnsi="David" w:cs="David" w:hint="cs"/>
          <w:sz w:val="24"/>
          <w:szCs w:val="24"/>
          <w:rtl/>
          <w:lang w:bidi="he-IL"/>
        </w:rPr>
        <w:t xml:space="preserve">בעל הבית </w:t>
      </w:r>
      <w:r>
        <w:rPr>
          <w:rFonts w:ascii="David" w:hAnsi="David" w:cs="David" w:hint="cs"/>
          <w:sz w:val="24"/>
          <w:szCs w:val="24"/>
          <w:rtl/>
        </w:rPr>
        <w:t>גונב את המזון</w:t>
      </w:r>
      <w:r w:rsidR="00F2562E">
        <w:rPr>
          <w:rFonts w:ascii="David" w:hAnsi="David" w:cs="David" w:hint="cs"/>
          <w:sz w:val="24"/>
          <w:szCs w:val="24"/>
          <w:rtl/>
        </w:rPr>
        <w:t>.</w:t>
      </w:r>
      <w:r w:rsidR="0064424E">
        <w:rPr>
          <w:rFonts w:ascii="David" w:hAnsi="David" w:cs="David" w:hint="cs"/>
          <w:sz w:val="24"/>
          <w:szCs w:val="24"/>
          <w:rtl/>
        </w:rPr>
        <w:t xml:space="preserve"> הדיוק 'בדייר ישן' נחוץ מפני</w:t>
      </w:r>
      <w:r w:rsidR="00041F26">
        <w:rPr>
          <w:rFonts w:ascii="David" w:hAnsi="David" w:cs="David" w:hint="cs"/>
          <w:sz w:val="24"/>
          <w:szCs w:val="24"/>
          <w:rtl/>
        </w:rPr>
        <w:t xml:space="preserve"> </w:t>
      </w:r>
      <w:r w:rsidR="00896286">
        <w:rPr>
          <w:rFonts w:ascii="David" w:hAnsi="David" w:cs="David" w:hint="cs"/>
          <w:sz w:val="24"/>
          <w:szCs w:val="24"/>
          <w:rtl/>
        </w:rPr>
        <w:t>ש</w:t>
      </w:r>
      <w:r w:rsidR="00041F26">
        <w:rPr>
          <w:rFonts w:ascii="David" w:hAnsi="David" w:cs="David" w:hint="cs"/>
          <w:sz w:val="24"/>
          <w:szCs w:val="24"/>
          <w:rtl/>
        </w:rPr>
        <w:t xml:space="preserve">כשמדובר בדייר חדש </w:t>
      </w:r>
      <w:r w:rsidR="00373BC1">
        <w:rPr>
          <w:rFonts w:ascii="David" w:hAnsi="David" w:cs="David" w:hint="cs"/>
          <w:sz w:val="24"/>
          <w:szCs w:val="24"/>
          <w:rtl/>
        </w:rPr>
        <w:t xml:space="preserve">ממילא אין סיבה להניח את העירוב דווקא אצלו </w:t>
      </w:r>
      <w:r w:rsidR="00F1581D">
        <w:rPr>
          <w:rFonts w:ascii="David" w:hAnsi="David" w:cs="David" w:hint="cs"/>
          <w:sz w:val="24"/>
          <w:szCs w:val="24"/>
          <w:rtl/>
          <w:lang w:bidi="he-IL"/>
        </w:rPr>
        <w:t>(ו</w:t>
      </w:r>
      <w:r w:rsidR="00373BC1">
        <w:rPr>
          <w:rFonts w:ascii="David" w:hAnsi="David" w:cs="David" w:hint="cs"/>
          <w:sz w:val="24"/>
          <w:szCs w:val="24"/>
          <w:rtl/>
        </w:rPr>
        <w:t xml:space="preserve">אולי זו </w:t>
      </w:r>
      <w:r w:rsidR="00F37CB9">
        <w:rPr>
          <w:rFonts w:ascii="David" w:hAnsi="David" w:cs="David" w:hint="cs"/>
          <w:sz w:val="24"/>
          <w:szCs w:val="24"/>
          <w:rtl/>
          <w:lang w:bidi="he-IL"/>
        </w:rPr>
        <w:t xml:space="preserve">דווקא </w:t>
      </w:r>
      <w:r w:rsidR="00373BC1">
        <w:rPr>
          <w:rFonts w:ascii="David" w:hAnsi="David" w:cs="David" w:hint="cs"/>
          <w:sz w:val="24"/>
          <w:szCs w:val="24"/>
          <w:rtl/>
        </w:rPr>
        <w:t xml:space="preserve">הזדמנות טובה </w:t>
      </w:r>
      <w:r w:rsidR="004F5619">
        <w:rPr>
          <w:rFonts w:ascii="David" w:hAnsi="David" w:cs="David" w:hint="cs"/>
          <w:sz w:val="24"/>
          <w:szCs w:val="24"/>
          <w:rtl/>
        </w:rPr>
        <w:t xml:space="preserve">להעביר את העירוב לבית אחר </w:t>
      </w:r>
      <w:r w:rsidR="00373BC1">
        <w:rPr>
          <w:rFonts w:ascii="David" w:hAnsi="David" w:cs="David" w:hint="cs"/>
          <w:sz w:val="24"/>
          <w:szCs w:val="24"/>
          <w:rtl/>
        </w:rPr>
        <w:t xml:space="preserve">מבלי שהמהלך יקשר </w:t>
      </w:r>
      <w:r w:rsidR="00373BC1">
        <w:rPr>
          <w:rFonts w:ascii="David" w:hAnsi="David" w:cs="David"/>
          <w:sz w:val="24"/>
          <w:szCs w:val="24"/>
          <w:rtl/>
        </w:rPr>
        <w:t>–</w:t>
      </w:r>
      <w:r w:rsidR="00373BC1">
        <w:rPr>
          <w:rFonts w:ascii="David" w:hAnsi="David" w:cs="David" w:hint="cs"/>
          <w:sz w:val="24"/>
          <w:szCs w:val="24"/>
          <w:rtl/>
        </w:rPr>
        <w:t xml:space="preserve"> לטוב או לרע </w:t>
      </w:r>
      <w:r w:rsidR="00373BC1">
        <w:rPr>
          <w:rFonts w:ascii="David" w:hAnsi="David" w:cs="David"/>
          <w:sz w:val="24"/>
          <w:szCs w:val="24"/>
          <w:rtl/>
        </w:rPr>
        <w:t>–</w:t>
      </w:r>
      <w:r w:rsidR="00373BC1">
        <w:rPr>
          <w:rFonts w:ascii="David" w:hAnsi="David" w:cs="David" w:hint="cs"/>
          <w:sz w:val="24"/>
          <w:szCs w:val="24"/>
          <w:rtl/>
        </w:rPr>
        <w:t xml:space="preserve"> ל</w:t>
      </w:r>
      <w:r w:rsidR="00F2562E">
        <w:rPr>
          <w:rFonts w:ascii="David" w:hAnsi="David" w:cs="David" w:hint="cs"/>
          <w:sz w:val="24"/>
          <w:szCs w:val="24"/>
          <w:rtl/>
        </w:rPr>
        <w:t xml:space="preserve">שמם של </w:t>
      </w:r>
      <w:r w:rsidR="00373BC1">
        <w:rPr>
          <w:rFonts w:ascii="David" w:hAnsi="David" w:cs="David" w:hint="cs"/>
          <w:sz w:val="24"/>
          <w:szCs w:val="24"/>
          <w:rtl/>
        </w:rPr>
        <w:t>שותפים אחרים בחצר</w:t>
      </w:r>
      <w:r w:rsidR="00F1581D">
        <w:rPr>
          <w:rFonts w:ascii="David" w:hAnsi="David" w:cs="David" w:hint="cs"/>
          <w:sz w:val="24"/>
          <w:szCs w:val="24"/>
          <w:rtl/>
          <w:lang w:bidi="he-IL"/>
        </w:rPr>
        <w:t>)</w:t>
      </w:r>
      <w:r w:rsidR="00373BC1">
        <w:rPr>
          <w:rFonts w:ascii="David" w:hAnsi="David" w:cs="David" w:hint="cs"/>
          <w:sz w:val="24"/>
          <w:szCs w:val="24"/>
          <w:rtl/>
        </w:rPr>
        <w:t>.</w:t>
      </w:r>
      <w:r w:rsidR="00D87F33">
        <w:rPr>
          <w:rFonts w:ascii="David" w:hAnsi="David" w:cs="David" w:hint="cs"/>
          <w:sz w:val="24"/>
          <w:szCs w:val="24"/>
          <w:rtl/>
        </w:rPr>
        <w:t xml:space="preserve"> </w:t>
      </w:r>
      <w:r w:rsidR="004F5619">
        <w:rPr>
          <w:rFonts w:ascii="David" w:hAnsi="David" w:cs="David" w:hint="cs"/>
          <w:sz w:val="24"/>
          <w:szCs w:val="24"/>
          <w:rtl/>
        </w:rPr>
        <w:t xml:space="preserve">לעומת זאת, </w:t>
      </w:r>
      <w:r w:rsidR="00DD3A24">
        <w:rPr>
          <w:rFonts w:ascii="David" w:hAnsi="David" w:cs="David" w:hint="cs"/>
          <w:sz w:val="24"/>
          <w:szCs w:val="24"/>
          <w:rtl/>
        </w:rPr>
        <w:t xml:space="preserve">בעל פירוש </w:t>
      </w:r>
      <w:r w:rsidR="006619AC">
        <w:rPr>
          <w:rFonts w:asciiTheme="majorBidi" w:hAnsiTheme="majorBidi" w:cstheme="majorBidi"/>
          <w:sz w:val="24"/>
          <w:szCs w:val="24"/>
        </w:rPr>
        <w:t xml:space="preserve"> </w:t>
      </w:r>
    </w:p>
    <w:p w14:paraId="103B2FD0" w14:textId="6B7A7DBD" w:rsidR="006619AC" w:rsidRDefault="006619AC" w:rsidP="006619AC">
      <w:pPr>
        <w:pStyle w:val="a3"/>
        <w:bidi/>
        <w:jc w:val="both"/>
        <w:rPr>
          <w:rFonts w:ascii="David" w:hAnsi="David" w:cs="David"/>
          <w:sz w:val="24"/>
          <w:szCs w:val="24"/>
          <w:rtl/>
          <w:lang w:bidi="he-IL"/>
        </w:rPr>
      </w:pPr>
      <w:r>
        <w:rPr>
          <w:rFonts w:asciiTheme="majorBidi" w:hAnsiTheme="majorBidi" w:cstheme="majorBidi"/>
          <w:sz w:val="24"/>
          <w:szCs w:val="24"/>
        </w:rPr>
        <w:lastRenderedPageBreak/>
        <w:t>P</w:t>
      </w:r>
      <w:r w:rsidRPr="00DD3A24">
        <w:rPr>
          <w:rFonts w:asciiTheme="majorBidi" w:hAnsiTheme="majorBidi" w:cstheme="majorBidi"/>
          <w:sz w:val="24"/>
          <w:szCs w:val="24"/>
        </w:rPr>
        <w:t>ney Moshe</w:t>
      </w:r>
    </w:p>
    <w:p w14:paraId="2CBBAE1D" w14:textId="27B01E5F" w:rsidR="009A5B76" w:rsidRPr="00142C55" w:rsidRDefault="00DD3A24" w:rsidP="003F6863">
      <w:pPr>
        <w:pStyle w:val="a3"/>
        <w:bidi/>
        <w:rPr>
          <w:rFonts w:asciiTheme="minorHAnsi" w:hAnsiTheme="minorHAnsi" w:cs="David"/>
          <w:sz w:val="24"/>
          <w:szCs w:val="24"/>
          <w:rtl/>
          <w:lang w:bidi="he-IL"/>
        </w:rPr>
      </w:pPr>
      <w:r w:rsidRPr="00DD3A24">
        <w:rPr>
          <w:rFonts w:ascii="David" w:hAnsi="David" w:cs="David"/>
          <w:sz w:val="24"/>
          <w:szCs w:val="24"/>
          <w:rtl/>
        </w:rPr>
        <w:t>מ</w:t>
      </w:r>
      <w:r w:rsidR="004F5619">
        <w:rPr>
          <w:rFonts w:ascii="David" w:hAnsi="David" w:cs="David" w:hint="cs"/>
          <w:sz w:val="24"/>
          <w:szCs w:val="24"/>
          <w:rtl/>
        </w:rPr>
        <w:t xml:space="preserve">פרש </w:t>
      </w:r>
      <w:r w:rsidRPr="00DD3A24">
        <w:rPr>
          <w:rFonts w:ascii="David" w:hAnsi="David" w:cs="David"/>
          <w:sz w:val="24"/>
          <w:szCs w:val="24"/>
          <w:rtl/>
        </w:rPr>
        <w:t>את דברי רבי אבין ב</w:t>
      </w:r>
      <w:r w:rsidR="004F5619">
        <w:rPr>
          <w:rFonts w:ascii="David" w:hAnsi="David" w:cs="David" w:hint="cs"/>
          <w:sz w:val="24"/>
          <w:szCs w:val="24"/>
          <w:rtl/>
        </w:rPr>
        <w:t>אופ</w:t>
      </w:r>
      <w:r w:rsidR="003F6863">
        <w:rPr>
          <w:rFonts w:ascii="David" w:hAnsi="David" w:cs="David" w:hint="cs"/>
          <w:sz w:val="24"/>
          <w:szCs w:val="24"/>
          <w:rtl/>
          <w:lang w:bidi="he-IL"/>
        </w:rPr>
        <w:t>ן</w:t>
      </w:r>
      <w:r w:rsidR="004F5619">
        <w:rPr>
          <w:rFonts w:ascii="David" w:hAnsi="David" w:cs="David" w:hint="cs"/>
          <w:sz w:val="24"/>
          <w:szCs w:val="24"/>
          <w:rtl/>
        </w:rPr>
        <w:t xml:space="preserve"> שונ</w:t>
      </w:r>
      <w:r w:rsidR="003F6863">
        <w:rPr>
          <w:rFonts w:ascii="David" w:hAnsi="David" w:cs="David" w:hint="cs"/>
          <w:sz w:val="24"/>
          <w:szCs w:val="24"/>
          <w:rtl/>
          <w:lang w:bidi="he-IL"/>
        </w:rPr>
        <w:t>ה</w:t>
      </w:r>
      <w:r w:rsidR="004F5619">
        <w:rPr>
          <w:rFonts w:ascii="David" w:hAnsi="David" w:cs="David" w:hint="cs"/>
          <w:sz w:val="24"/>
          <w:szCs w:val="24"/>
          <w:rtl/>
        </w:rPr>
        <w:t xml:space="preserve"> ב</w:t>
      </w:r>
      <w:r w:rsidR="003F6863">
        <w:rPr>
          <w:rFonts w:ascii="David" w:hAnsi="David" w:cs="David" w:hint="cs"/>
          <w:sz w:val="24"/>
          <w:szCs w:val="24"/>
          <w:rtl/>
          <w:lang w:bidi="he-IL"/>
        </w:rPr>
        <w:t>כל אחד מ</w:t>
      </w:r>
      <w:r w:rsidRPr="00DD3A24">
        <w:rPr>
          <w:rFonts w:ascii="David" w:hAnsi="David" w:cs="David"/>
          <w:sz w:val="24"/>
          <w:szCs w:val="24"/>
          <w:rtl/>
        </w:rPr>
        <w:t>שני המקורות</w:t>
      </w:r>
      <w:r w:rsidR="00792445">
        <w:rPr>
          <w:rFonts w:ascii="David" w:hAnsi="David" w:cs="David" w:hint="cs"/>
          <w:sz w:val="24"/>
          <w:szCs w:val="24"/>
          <w:rtl/>
          <w:lang w:bidi="he-IL"/>
        </w:rPr>
        <w:t>.</w:t>
      </w:r>
      <w:r w:rsidRPr="00DD3A24">
        <w:rPr>
          <w:rFonts w:ascii="David" w:hAnsi="David" w:cs="David"/>
          <w:sz w:val="24"/>
          <w:szCs w:val="24"/>
          <w:rtl/>
        </w:rPr>
        <w:t xml:space="preserve"> </w:t>
      </w:r>
    </w:p>
    <w:p w14:paraId="0C872EF3" w14:textId="1C216909" w:rsidR="009C7AEE" w:rsidRDefault="00DD3A24" w:rsidP="00AA17EA">
      <w:pPr>
        <w:autoSpaceDE w:val="0"/>
        <w:autoSpaceDN w:val="0"/>
        <w:bidi w:val="0"/>
        <w:adjustRightInd w:val="0"/>
        <w:spacing w:after="0" w:line="480" w:lineRule="auto"/>
        <w:jc w:val="both"/>
      </w:pPr>
      <w:r w:rsidRPr="00C12877">
        <w:rPr>
          <w:rFonts w:asciiTheme="majorBidi" w:hAnsiTheme="majorBidi" w:cstheme="majorBidi"/>
          <w:sz w:val="24"/>
          <w:szCs w:val="24"/>
        </w:rPr>
        <w:t xml:space="preserve">In Gittin he understood </w:t>
      </w:r>
      <w:r w:rsidR="00F37CB9">
        <w:rPr>
          <w:rFonts w:asciiTheme="majorBidi" w:hAnsiTheme="majorBidi" w:cstheme="majorBidi"/>
          <w:sz w:val="24"/>
          <w:szCs w:val="24"/>
        </w:rPr>
        <w:t xml:space="preserve">that </w:t>
      </w:r>
      <w:r w:rsidRPr="00C12877">
        <w:rPr>
          <w:rFonts w:asciiTheme="majorBidi" w:hAnsiTheme="majorBidi" w:cstheme="majorBidi"/>
          <w:sz w:val="24"/>
          <w:szCs w:val="24"/>
        </w:rPr>
        <w:t xml:space="preserve">if someone did not see the </w:t>
      </w:r>
      <w:r w:rsidRPr="00C12877">
        <w:rPr>
          <w:rFonts w:asciiTheme="majorBidi" w:hAnsiTheme="majorBidi" w:cstheme="majorBidi"/>
          <w:i/>
          <w:iCs/>
          <w:sz w:val="24"/>
          <w:szCs w:val="24"/>
        </w:rPr>
        <w:t xml:space="preserve">eruv </w:t>
      </w:r>
      <w:r w:rsidRPr="00C12877">
        <w:rPr>
          <w:rFonts w:asciiTheme="majorBidi" w:hAnsiTheme="majorBidi" w:cstheme="majorBidi"/>
          <w:sz w:val="24"/>
          <w:szCs w:val="24"/>
        </w:rPr>
        <w:t xml:space="preserve">in its usual place, they would suspect the people of carrying without an </w:t>
      </w:r>
      <w:r w:rsidRPr="00C12877">
        <w:rPr>
          <w:rFonts w:asciiTheme="majorBidi" w:hAnsiTheme="majorBidi" w:cstheme="majorBidi"/>
          <w:i/>
          <w:iCs/>
          <w:sz w:val="24"/>
          <w:szCs w:val="24"/>
        </w:rPr>
        <w:t>eruv</w:t>
      </w:r>
      <w:r w:rsidRPr="00C12877">
        <w:rPr>
          <w:rFonts w:asciiTheme="majorBidi" w:hAnsiTheme="majorBidi" w:cstheme="majorBidi"/>
          <w:sz w:val="24"/>
          <w:szCs w:val="24"/>
        </w:rPr>
        <w:t>, a transgression of the Sabbath law.</w:t>
      </w:r>
      <w:r w:rsidR="00E5531A" w:rsidRPr="00C12877">
        <w:rPr>
          <w:rFonts w:asciiTheme="majorBidi" w:hAnsiTheme="majorBidi" w:cstheme="majorBidi"/>
          <w:sz w:val="24"/>
          <w:szCs w:val="24"/>
        </w:rPr>
        <w:t xml:space="preserve"> In Eruvin he understood the mishnah to mean that one shouldn’t put the</w:t>
      </w:r>
      <w:r w:rsidR="00E5531A" w:rsidRPr="00C12877">
        <w:rPr>
          <w:rFonts w:asciiTheme="majorBidi" w:hAnsiTheme="majorBidi" w:cstheme="majorBidi"/>
          <w:i/>
          <w:iCs/>
          <w:sz w:val="24"/>
          <w:szCs w:val="24"/>
        </w:rPr>
        <w:t xml:space="preserve"> eruv </w:t>
      </w:r>
      <w:r w:rsidR="00E5531A" w:rsidRPr="00C12877">
        <w:rPr>
          <w:rFonts w:asciiTheme="majorBidi" w:hAnsiTheme="majorBidi" w:cstheme="majorBidi"/>
          <w:sz w:val="24"/>
          <w:szCs w:val="24"/>
        </w:rPr>
        <w:t xml:space="preserve">in a different house, because whosever house the </w:t>
      </w:r>
      <w:r w:rsidR="00E5531A" w:rsidRPr="00C12877">
        <w:rPr>
          <w:rFonts w:asciiTheme="majorBidi" w:hAnsiTheme="majorBidi" w:cstheme="majorBidi"/>
          <w:i/>
          <w:iCs/>
          <w:sz w:val="24"/>
          <w:szCs w:val="24"/>
        </w:rPr>
        <w:t xml:space="preserve">eruv </w:t>
      </w:r>
      <w:r w:rsidR="00E5531A" w:rsidRPr="00C12877">
        <w:rPr>
          <w:rFonts w:asciiTheme="majorBidi" w:hAnsiTheme="majorBidi" w:cstheme="majorBidi"/>
          <w:sz w:val="24"/>
          <w:szCs w:val="24"/>
        </w:rPr>
        <w:t xml:space="preserve">was in, they did not have to contribute any food to it. If the </w:t>
      </w:r>
      <w:r w:rsidR="00E5531A" w:rsidRPr="00C12877">
        <w:rPr>
          <w:rFonts w:asciiTheme="majorBidi" w:hAnsiTheme="majorBidi" w:cstheme="majorBidi"/>
          <w:i/>
          <w:iCs/>
          <w:sz w:val="24"/>
          <w:szCs w:val="24"/>
        </w:rPr>
        <w:t xml:space="preserve">eruv </w:t>
      </w:r>
      <w:r w:rsidR="00E5531A" w:rsidRPr="00C12877">
        <w:rPr>
          <w:rFonts w:asciiTheme="majorBidi" w:hAnsiTheme="majorBidi" w:cstheme="majorBidi"/>
          <w:sz w:val="24"/>
          <w:szCs w:val="24"/>
        </w:rPr>
        <w:t>was now put in a different house, then the people whose home it used to be in would now have to contribute food.</w:t>
      </w:r>
      <w:r w:rsidR="00C12877" w:rsidRPr="00C12877">
        <w:rPr>
          <w:rStyle w:val="a5"/>
          <w:rFonts w:asciiTheme="majorBidi" w:hAnsiTheme="majorBidi" w:cstheme="majorBidi"/>
          <w:sz w:val="24"/>
          <w:szCs w:val="24"/>
        </w:rPr>
        <w:footnoteReference w:id="33"/>
      </w:r>
      <w:r w:rsidR="00C12877" w:rsidRPr="00C12877">
        <w:rPr>
          <w:rFonts w:asciiTheme="majorBidi" w:hAnsiTheme="majorBidi" w:cstheme="majorBidi"/>
          <w:sz w:val="24"/>
          <w:szCs w:val="24"/>
        </w:rPr>
        <w:t xml:space="preserve"> </w:t>
      </w:r>
    </w:p>
    <w:p w14:paraId="423A4ECD" w14:textId="145BADA6" w:rsidR="00D23346" w:rsidRPr="00474F0D" w:rsidRDefault="002E2977" w:rsidP="0089374E">
      <w:pPr>
        <w:autoSpaceDE w:val="0"/>
        <w:autoSpaceDN w:val="0"/>
        <w:adjustRightInd w:val="0"/>
        <w:spacing w:after="0" w:line="480" w:lineRule="auto"/>
        <w:jc w:val="both"/>
        <w:rPr>
          <w:rFonts w:ascii="David" w:hAnsi="David" w:cs="David"/>
          <w:sz w:val="24"/>
          <w:szCs w:val="24"/>
          <w:rtl/>
        </w:rPr>
      </w:pPr>
      <w:r>
        <w:rPr>
          <w:rFonts w:ascii="David" w:hAnsi="David" w:cs="David" w:hint="cs"/>
          <w:sz w:val="24"/>
          <w:szCs w:val="24"/>
          <w:rtl/>
        </w:rPr>
        <w:t>דבר</w:t>
      </w:r>
      <w:r w:rsidR="00547B74">
        <w:rPr>
          <w:rFonts w:ascii="David" w:hAnsi="David" w:cs="David" w:hint="cs"/>
          <w:sz w:val="24"/>
          <w:szCs w:val="24"/>
          <w:rtl/>
        </w:rPr>
        <w:t xml:space="preserve"> זה</w:t>
      </w:r>
      <w:r>
        <w:rPr>
          <w:rFonts w:ascii="David" w:hAnsi="David" w:cs="David" w:hint="cs"/>
          <w:sz w:val="24"/>
          <w:szCs w:val="24"/>
          <w:rtl/>
        </w:rPr>
        <w:t xml:space="preserve"> יגרום לו </w:t>
      </w:r>
      <w:r w:rsidR="00474F0D" w:rsidRPr="00474F0D">
        <w:rPr>
          <w:rFonts w:ascii="David" w:hAnsi="David" w:cs="David"/>
          <w:sz w:val="24"/>
          <w:szCs w:val="24"/>
          <w:rtl/>
        </w:rPr>
        <w:t>להפסד כלכלי</w:t>
      </w:r>
      <w:r w:rsidR="0089374E">
        <w:rPr>
          <w:rFonts w:ascii="David" w:hAnsi="David" w:cs="David" w:hint="cs"/>
          <w:sz w:val="24"/>
          <w:szCs w:val="24"/>
          <w:rtl/>
        </w:rPr>
        <w:t>,</w:t>
      </w:r>
      <w:r w:rsidR="0028311D">
        <w:rPr>
          <w:rFonts w:ascii="David" w:hAnsi="David" w:cs="David" w:hint="cs"/>
          <w:sz w:val="24"/>
          <w:szCs w:val="24"/>
          <w:rtl/>
        </w:rPr>
        <w:t xml:space="preserve"> </w:t>
      </w:r>
      <w:r w:rsidR="0089374E">
        <w:rPr>
          <w:rFonts w:ascii="David" w:hAnsi="David" w:cs="David" w:hint="cs"/>
          <w:sz w:val="24"/>
          <w:szCs w:val="24"/>
          <w:rtl/>
        </w:rPr>
        <w:t>ש</w:t>
      </w:r>
      <w:r w:rsidR="0028311D">
        <w:rPr>
          <w:rFonts w:ascii="David" w:hAnsi="David" w:cs="David" w:hint="cs"/>
          <w:sz w:val="24"/>
          <w:szCs w:val="24"/>
          <w:rtl/>
        </w:rPr>
        <w:t xml:space="preserve">עלול </w:t>
      </w:r>
      <w:r w:rsidR="00474F0D" w:rsidRPr="00474F0D">
        <w:rPr>
          <w:rFonts w:ascii="David" w:hAnsi="David" w:cs="David"/>
          <w:sz w:val="24"/>
          <w:szCs w:val="24"/>
          <w:rtl/>
        </w:rPr>
        <w:t>ל</w:t>
      </w:r>
      <w:r w:rsidR="0028311D">
        <w:rPr>
          <w:rFonts w:ascii="David" w:hAnsi="David" w:cs="David" w:hint="cs"/>
          <w:sz w:val="24"/>
          <w:szCs w:val="24"/>
          <w:rtl/>
        </w:rPr>
        <w:t>הביא ל</w:t>
      </w:r>
      <w:r w:rsidR="00474F0D" w:rsidRPr="00474F0D">
        <w:rPr>
          <w:rFonts w:ascii="David" w:hAnsi="David" w:cs="David"/>
          <w:sz w:val="24"/>
          <w:szCs w:val="24"/>
          <w:rtl/>
        </w:rPr>
        <w:t xml:space="preserve">מאבקי כוח על החזקת העירוב. </w:t>
      </w:r>
    </w:p>
    <w:p w14:paraId="28EC102D" w14:textId="7174BBC5" w:rsidR="00EB3EBC" w:rsidRDefault="00230B3C" w:rsidP="005B6924">
      <w:pPr>
        <w:autoSpaceDE w:val="0"/>
        <w:autoSpaceDN w:val="0"/>
        <w:adjustRightInd w:val="0"/>
        <w:spacing w:after="0" w:line="480" w:lineRule="auto"/>
        <w:ind w:firstLine="720"/>
        <w:jc w:val="both"/>
        <w:rPr>
          <w:rFonts w:ascii="David" w:hAnsi="David" w:cs="David"/>
          <w:sz w:val="24"/>
          <w:szCs w:val="24"/>
          <w:rtl/>
        </w:rPr>
      </w:pPr>
      <w:r w:rsidRPr="00ED4BBF">
        <w:rPr>
          <w:rFonts w:ascii="David" w:hAnsi="David" w:cs="David"/>
          <w:sz w:val="24"/>
          <w:szCs w:val="24"/>
          <w:rtl/>
        </w:rPr>
        <w:t xml:space="preserve">ריבוי הסיטואציות האפשריות </w:t>
      </w:r>
      <w:r w:rsidR="00EE7B0E">
        <w:rPr>
          <w:rFonts w:ascii="David" w:hAnsi="David" w:cs="David" w:hint="cs"/>
          <w:sz w:val="24"/>
          <w:szCs w:val="24"/>
          <w:rtl/>
        </w:rPr>
        <w:t>ששימשו כ</w:t>
      </w:r>
      <w:r w:rsidRPr="00ED4BBF">
        <w:rPr>
          <w:rFonts w:ascii="David" w:hAnsi="David" w:cs="David"/>
          <w:sz w:val="24"/>
          <w:szCs w:val="24"/>
          <w:rtl/>
        </w:rPr>
        <w:t>בסיס לתקנה, והסבתו של הנימוק בתלמוד ה</w:t>
      </w:r>
      <w:r w:rsidR="008F5836">
        <w:rPr>
          <w:rFonts w:ascii="David" w:hAnsi="David" w:cs="David" w:hint="cs"/>
          <w:sz w:val="24"/>
          <w:szCs w:val="24"/>
          <w:rtl/>
        </w:rPr>
        <w:t xml:space="preserve">בבלי </w:t>
      </w:r>
      <w:r w:rsidRPr="00ED4BBF">
        <w:rPr>
          <w:rFonts w:ascii="David" w:hAnsi="David" w:cs="David"/>
          <w:sz w:val="24"/>
          <w:szCs w:val="24"/>
          <w:rtl/>
        </w:rPr>
        <w:t>מ'דרכי שלום' ל'משום חשד'</w:t>
      </w:r>
      <w:r w:rsidR="00EE7B0E">
        <w:rPr>
          <w:rFonts w:ascii="David" w:hAnsi="David" w:cs="David" w:hint="cs"/>
          <w:sz w:val="24"/>
          <w:szCs w:val="24"/>
          <w:rtl/>
        </w:rPr>
        <w:t>,</w:t>
      </w:r>
      <w:r w:rsidR="006E3702">
        <w:rPr>
          <w:rFonts w:ascii="David" w:hAnsi="David" w:cs="David" w:hint="cs"/>
          <w:sz w:val="24"/>
          <w:szCs w:val="24"/>
          <w:rtl/>
        </w:rPr>
        <w:t xml:space="preserve"> ה</w:t>
      </w:r>
      <w:r w:rsidRPr="00ED4BBF">
        <w:rPr>
          <w:rFonts w:ascii="David" w:hAnsi="David" w:cs="David"/>
          <w:sz w:val="24"/>
          <w:szCs w:val="24"/>
          <w:rtl/>
        </w:rPr>
        <w:t>על</w:t>
      </w:r>
      <w:r w:rsidR="00EE7B0E">
        <w:rPr>
          <w:rFonts w:ascii="David" w:hAnsi="David" w:cs="David" w:hint="cs"/>
          <w:sz w:val="24"/>
          <w:szCs w:val="24"/>
          <w:rtl/>
        </w:rPr>
        <w:t>ו</w:t>
      </w:r>
      <w:r w:rsidRPr="00ED4BBF">
        <w:rPr>
          <w:rFonts w:ascii="David" w:hAnsi="David" w:cs="David"/>
          <w:sz w:val="24"/>
          <w:szCs w:val="24"/>
          <w:rtl/>
        </w:rPr>
        <w:t xml:space="preserve"> את האפשרות שהנימוק 'מפני דרכי השלום' לא היה חלק מן התקנה במקורה, אלא הוסף לה בידי עורך המשנה.</w:t>
      </w:r>
      <w:r w:rsidRPr="00ED4BBF">
        <w:rPr>
          <w:rStyle w:val="a5"/>
          <w:rFonts w:ascii="David" w:hAnsi="David" w:cs="David"/>
          <w:sz w:val="24"/>
          <w:szCs w:val="24"/>
          <w:rtl/>
        </w:rPr>
        <w:footnoteReference w:id="34"/>
      </w:r>
      <w:r w:rsidR="008957C2" w:rsidRPr="00ED4BBF">
        <w:rPr>
          <w:rFonts w:ascii="David" w:hAnsi="David" w:cs="David"/>
          <w:sz w:val="24"/>
          <w:szCs w:val="24"/>
        </w:rPr>
        <w:t xml:space="preserve"> </w:t>
      </w:r>
      <w:r w:rsidR="008957C2" w:rsidRPr="00ED4BBF">
        <w:rPr>
          <w:rFonts w:ascii="David" w:hAnsi="David" w:cs="David"/>
          <w:sz w:val="24"/>
          <w:szCs w:val="24"/>
          <w:rtl/>
        </w:rPr>
        <w:t xml:space="preserve">בין אם סברה זו נכונה ובין אם לאו, </w:t>
      </w:r>
      <w:r w:rsidR="00455A70">
        <w:rPr>
          <w:rFonts w:ascii="David" w:hAnsi="David" w:cs="David" w:hint="cs"/>
          <w:sz w:val="24"/>
          <w:szCs w:val="24"/>
          <w:rtl/>
        </w:rPr>
        <w:t xml:space="preserve">כדאי </w:t>
      </w:r>
      <w:r w:rsidR="00455A70">
        <w:rPr>
          <w:rFonts w:ascii="David" w:hAnsi="David" w:cs="David" w:hint="cs"/>
          <w:sz w:val="24"/>
          <w:szCs w:val="24"/>
          <w:rtl/>
        </w:rPr>
        <w:lastRenderedPageBreak/>
        <w:t xml:space="preserve">לחדד </w:t>
      </w:r>
      <w:r w:rsidR="008B2819">
        <w:rPr>
          <w:rFonts w:ascii="David" w:hAnsi="David" w:cs="David" w:hint="cs"/>
          <w:sz w:val="24"/>
          <w:szCs w:val="24"/>
          <w:rtl/>
        </w:rPr>
        <w:t xml:space="preserve">שני </w:t>
      </w:r>
      <w:r w:rsidR="00455A70">
        <w:rPr>
          <w:rFonts w:ascii="David" w:hAnsi="David" w:cs="David" w:hint="cs"/>
          <w:sz w:val="24"/>
          <w:szCs w:val="24"/>
          <w:rtl/>
        </w:rPr>
        <w:t xml:space="preserve">הבדלים בינה לבין הלכות </w:t>
      </w:r>
      <w:r w:rsidR="006D648F">
        <w:rPr>
          <w:rFonts w:ascii="David" w:hAnsi="David" w:cs="David" w:hint="cs"/>
          <w:sz w:val="24"/>
          <w:szCs w:val="24"/>
          <w:rtl/>
        </w:rPr>
        <w:t>שבהן דנו</w:t>
      </w:r>
      <w:r w:rsidR="003141F1">
        <w:rPr>
          <w:rFonts w:ascii="David" w:hAnsi="David" w:cs="David" w:hint="cs"/>
          <w:sz w:val="24"/>
          <w:szCs w:val="24"/>
          <w:rtl/>
        </w:rPr>
        <w:t xml:space="preserve"> בסעיף הקודם</w:t>
      </w:r>
      <w:r w:rsidR="008B2819">
        <w:rPr>
          <w:rFonts w:ascii="David" w:hAnsi="David" w:cs="David" w:hint="cs"/>
          <w:sz w:val="24"/>
          <w:szCs w:val="24"/>
          <w:rtl/>
        </w:rPr>
        <w:t>, האחד מבחינת הנימה שמתלווה לשימוש בנימוק 'מפני דרכי השלום' והשני ביחס ל</w:t>
      </w:r>
      <w:r w:rsidR="00282283">
        <w:rPr>
          <w:rFonts w:ascii="David" w:hAnsi="David" w:cs="David" w:hint="cs"/>
          <w:sz w:val="24"/>
          <w:szCs w:val="24"/>
          <w:rtl/>
        </w:rPr>
        <w:t>מאפיינים</w:t>
      </w:r>
      <w:r w:rsidR="00FF037A">
        <w:rPr>
          <w:rFonts w:ascii="David" w:hAnsi="David" w:cs="David" w:hint="cs"/>
          <w:sz w:val="24"/>
          <w:szCs w:val="24"/>
          <w:rtl/>
        </w:rPr>
        <w:t xml:space="preserve"> </w:t>
      </w:r>
      <w:r w:rsidR="008B2819">
        <w:rPr>
          <w:rFonts w:ascii="David" w:hAnsi="David" w:cs="David" w:hint="cs"/>
          <w:sz w:val="24"/>
          <w:szCs w:val="24"/>
          <w:rtl/>
        </w:rPr>
        <w:t>היוריספרודנטי</w:t>
      </w:r>
      <w:r w:rsidR="00282283">
        <w:rPr>
          <w:rFonts w:ascii="David" w:hAnsi="David" w:cs="David" w:hint="cs"/>
          <w:sz w:val="24"/>
          <w:szCs w:val="24"/>
          <w:rtl/>
        </w:rPr>
        <w:t>ים</w:t>
      </w:r>
      <w:r w:rsidR="008B2819">
        <w:rPr>
          <w:rFonts w:ascii="David" w:hAnsi="David" w:cs="David" w:hint="cs"/>
          <w:sz w:val="24"/>
          <w:szCs w:val="24"/>
          <w:rtl/>
        </w:rPr>
        <w:t xml:space="preserve"> של</w:t>
      </w:r>
      <w:r w:rsidR="00E93A84">
        <w:rPr>
          <w:rFonts w:ascii="David" w:hAnsi="David" w:cs="David" w:hint="cs"/>
          <w:sz w:val="24"/>
          <w:szCs w:val="24"/>
          <w:rtl/>
        </w:rPr>
        <w:t xml:space="preserve"> התקנה</w:t>
      </w:r>
      <w:r w:rsidR="00282283">
        <w:rPr>
          <w:rFonts w:ascii="David" w:hAnsi="David" w:cs="David" w:hint="cs"/>
          <w:sz w:val="24"/>
          <w:szCs w:val="24"/>
          <w:rtl/>
        </w:rPr>
        <w:t xml:space="preserve"> בתוך המערכת ההלכתית</w:t>
      </w:r>
      <w:r w:rsidR="006D648F">
        <w:rPr>
          <w:rFonts w:ascii="David" w:hAnsi="David" w:cs="David" w:hint="cs"/>
          <w:sz w:val="24"/>
          <w:szCs w:val="24"/>
          <w:rtl/>
        </w:rPr>
        <w:t xml:space="preserve">. </w:t>
      </w:r>
      <w:r w:rsidR="008D16C9">
        <w:rPr>
          <w:rFonts w:ascii="David" w:hAnsi="David" w:cs="David" w:hint="cs"/>
          <w:sz w:val="24"/>
          <w:szCs w:val="24"/>
          <w:rtl/>
        </w:rPr>
        <w:t xml:space="preserve">בדומה להלכות </w:t>
      </w:r>
      <w:r w:rsidR="00643999">
        <w:rPr>
          <w:rFonts w:ascii="David" w:hAnsi="David" w:cs="David" w:hint="cs"/>
          <w:sz w:val="24"/>
          <w:szCs w:val="24"/>
          <w:rtl/>
        </w:rPr>
        <w:t xml:space="preserve">במסכת </w:t>
      </w:r>
      <w:r w:rsidR="008D16C9">
        <w:rPr>
          <w:rFonts w:ascii="David" w:hAnsi="David" w:cs="David" w:hint="cs"/>
          <w:sz w:val="24"/>
          <w:szCs w:val="24"/>
          <w:rtl/>
        </w:rPr>
        <w:t xml:space="preserve">שקלים </w:t>
      </w:r>
      <w:r w:rsidR="006D648F">
        <w:rPr>
          <w:rFonts w:ascii="David" w:hAnsi="David" w:cs="David" w:hint="cs"/>
          <w:sz w:val="24"/>
          <w:szCs w:val="24"/>
          <w:rtl/>
        </w:rPr>
        <w:t xml:space="preserve">גם כאן </w:t>
      </w:r>
      <w:r w:rsidR="00643999">
        <w:rPr>
          <w:rFonts w:ascii="David" w:hAnsi="David" w:cs="David" w:hint="cs"/>
          <w:sz w:val="24"/>
          <w:szCs w:val="24"/>
          <w:rtl/>
        </w:rPr>
        <w:t>ה</w:t>
      </w:r>
      <w:r w:rsidR="006D648F">
        <w:rPr>
          <w:rFonts w:ascii="David" w:hAnsi="David" w:cs="David" w:hint="cs"/>
          <w:sz w:val="24"/>
          <w:szCs w:val="24"/>
          <w:rtl/>
        </w:rPr>
        <w:t>תקנה היא חלק מקטגוריה משפטית רחבת יריעה</w:t>
      </w:r>
      <w:r w:rsidR="008C1E46">
        <w:rPr>
          <w:rFonts w:ascii="David" w:hAnsi="David" w:cs="David" w:hint="cs"/>
          <w:sz w:val="24"/>
          <w:szCs w:val="24"/>
          <w:rtl/>
        </w:rPr>
        <w:t>,</w:t>
      </w:r>
      <w:r w:rsidR="006D648F">
        <w:rPr>
          <w:rFonts w:ascii="David" w:hAnsi="David" w:cs="David" w:hint="cs"/>
          <w:sz w:val="24"/>
          <w:szCs w:val="24"/>
          <w:rtl/>
        </w:rPr>
        <w:t xml:space="preserve"> שהיוותה יצירה משפטית חדשה </w:t>
      </w:r>
      <w:r w:rsidR="008D16C9">
        <w:rPr>
          <w:rFonts w:ascii="David" w:hAnsi="David" w:cs="David" w:hint="cs"/>
          <w:sz w:val="24"/>
          <w:szCs w:val="24"/>
          <w:rtl/>
        </w:rPr>
        <w:t xml:space="preserve">ועמדה במחלוקת עם תפיסתן הדתית של </w:t>
      </w:r>
      <w:r w:rsidR="00742214">
        <w:rPr>
          <w:rFonts w:ascii="David" w:hAnsi="David" w:cs="David" w:hint="cs"/>
          <w:sz w:val="24"/>
          <w:szCs w:val="24"/>
          <w:rtl/>
        </w:rPr>
        <w:t xml:space="preserve">קבוצות שונות </w:t>
      </w:r>
      <w:r w:rsidR="006D648F">
        <w:rPr>
          <w:rFonts w:ascii="David" w:hAnsi="David" w:cs="David" w:hint="cs"/>
          <w:sz w:val="24"/>
          <w:szCs w:val="24"/>
          <w:rtl/>
        </w:rPr>
        <w:t>בסוף תקופת הבית השני ובתקופת המשנה. אולם בעוד שבהלכות הקודמות ראינו ש'דרכי השלום' מהווה הצדקה</w:t>
      </w:r>
      <w:r w:rsidR="00742214">
        <w:rPr>
          <w:rFonts w:ascii="David" w:hAnsi="David" w:cs="David" w:hint="cs"/>
          <w:sz w:val="24"/>
          <w:szCs w:val="24"/>
          <w:rtl/>
        </w:rPr>
        <w:t xml:space="preserve"> </w:t>
      </w:r>
      <w:r w:rsidR="00742214">
        <w:rPr>
          <w:rFonts w:ascii="David" w:hAnsi="David" w:cs="David"/>
          <w:sz w:val="24"/>
          <w:szCs w:val="24"/>
          <w:rtl/>
        </w:rPr>
        <w:t>–</w:t>
      </w:r>
      <w:r w:rsidR="00742214">
        <w:rPr>
          <w:rFonts w:ascii="David" w:hAnsi="David" w:cs="David" w:hint="cs"/>
          <w:sz w:val="24"/>
          <w:szCs w:val="24"/>
          <w:rtl/>
        </w:rPr>
        <w:t xml:space="preserve"> גם אם בדיעבד</w:t>
      </w:r>
      <w:r w:rsidR="00AE3853">
        <w:rPr>
          <w:rFonts w:ascii="David" w:hAnsi="David" w:cs="David" w:hint="cs"/>
          <w:sz w:val="24"/>
          <w:szCs w:val="24"/>
          <w:rtl/>
        </w:rPr>
        <w:t xml:space="preserve"> -</w:t>
      </w:r>
      <w:r w:rsidR="006D648F">
        <w:rPr>
          <w:rFonts w:ascii="David" w:hAnsi="David" w:cs="David" w:hint="cs"/>
          <w:sz w:val="24"/>
          <w:szCs w:val="24"/>
          <w:rtl/>
        </w:rPr>
        <w:t xml:space="preserve"> להלכות שבהן </w:t>
      </w:r>
      <w:r w:rsidR="008D16C9">
        <w:rPr>
          <w:rFonts w:ascii="David" w:hAnsi="David" w:cs="David" w:hint="cs"/>
          <w:sz w:val="24"/>
          <w:szCs w:val="24"/>
          <w:rtl/>
        </w:rPr>
        <w:t xml:space="preserve">יש </w:t>
      </w:r>
      <w:r w:rsidR="006D648F">
        <w:rPr>
          <w:rFonts w:ascii="David" w:hAnsi="David" w:cs="David" w:hint="cs"/>
          <w:sz w:val="24"/>
          <w:szCs w:val="24"/>
          <w:rtl/>
        </w:rPr>
        <w:t xml:space="preserve">וויתור </w:t>
      </w:r>
      <w:r w:rsidR="008D16C9">
        <w:rPr>
          <w:rFonts w:ascii="David" w:hAnsi="David" w:cs="David" w:hint="cs"/>
          <w:sz w:val="24"/>
          <w:szCs w:val="24"/>
          <w:rtl/>
        </w:rPr>
        <w:t xml:space="preserve">מסוים </w:t>
      </w:r>
      <w:r w:rsidR="006D648F">
        <w:rPr>
          <w:rFonts w:ascii="David" w:hAnsi="David" w:cs="David" w:hint="cs"/>
          <w:sz w:val="24"/>
          <w:szCs w:val="24"/>
          <w:rtl/>
        </w:rPr>
        <w:t xml:space="preserve">על ההלכה אליבא דחכמים, </w:t>
      </w:r>
      <w:r w:rsidR="00082158">
        <w:rPr>
          <w:rFonts w:ascii="David" w:hAnsi="David" w:cs="David" w:hint="cs"/>
          <w:sz w:val="24"/>
          <w:szCs w:val="24"/>
          <w:rtl/>
        </w:rPr>
        <w:t>ועל כן הנימה שנתלוותה לקריאתה הי</w:t>
      </w:r>
      <w:r w:rsidR="001A7D95">
        <w:rPr>
          <w:rFonts w:ascii="David" w:hAnsi="David" w:cs="David" w:hint="cs"/>
          <w:sz w:val="24"/>
          <w:szCs w:val="24"/>
          <w:rtl/>
        </w:rPr>
        <w:t>י</w:t>
      </w:r>
      <w:r w:rsidR="00082158">
        <w:rPr>
          <w:rFonts w:ascii="David" w:hAnsi="David" w:cs="David" w:hint="cs"/>
          <w:sz w:val="24"/>
          <w:szCs w:val="24"/>
          <w:rtl/>
        </w:rPr>
        <w:t xml:space="preserve">תה נימה של הסתייגות, </w:t>
      </w:r>
      <w:r w:rsidR="005E2AFD">
        <w:rPr>
          <w:rFonts w:ascii="David" w:hAnsi="David" w:cs="David" w:hint="cs"/>
          <w:sz w:val="24"/>
          <w:szCs w:val="24"/>
          <w:rtl/>
        </w:rPr>
        <w:t xml:space="preserve">כאן </w:t>
      </w:r>
      <w:r w:rsidR="0088476C">
        <w:rPr>
          <w:rFonts w:ascii="David" w:hAnsi="David" w:cs="David" w:hint="cs"/>
          <w:sz w:val="24"/>
          <w:szCs w:val="24"/>
          <w:rtl/>
        </w:rPr>
        <w:t>מטרת</w:t>
      </w:r>
      <w:r w:rsidR="001A7D95">
        <w:rPr>
          <w:rFonts w:ascii="David" w:hAnsi="David" w:cs="David" w:hint="cs"/>
          <w:sz w:val="24"/>
          <w:szCs w:val="24"/>
          <w:rtl/>
        </w:rPr>
        <w:t xml:space="preserve"> </w:t>
      </w:r>
      <w:r w:rsidR="006342AF">
        <w:rPr>
          <w:rFonts w:ascii="David" w:hAnsi="David" w:cs="David" w:hint="cs"/>
          <w:sz w:val="24"/>
          <w:szCs w:val="24"/>
          <w:rtl/>
        </w:rPr>
        <w:t>התקנה היא</w:t>
      </w:r>
      <w:r w:rsidR="0088476C">
        <w:rPr>
          <w:rFonts w:ascii="David" w:hAnsi="David" w:cs="David" w:hint="cs"/>
          <w:sz w:val="24"/>
          <w:szCs w:val="24"/>
          <w:rtl/>
        </w:rPr>
        <w:t xml:space="preserve"> </w:t>
      </w:r>
      <w:r w:rsidR="008B2819">
        <w:rPr>
          <w:rFonts w:ascii="David" w:hAnsi="David" w:cs="David" w:hint="cs"/>
          <w:sz w:val="24"/>
          <w:szCs w:val="24"/>
          <w:rtl/>
        </w:rPr>
        <w:t xml:space="preserve">'לסתום' </w:t>
      </w:r>
      <w:r w:rsidR="00313869" w:rsidRPr="00ED4BBF">
        <w:rPr>
          <w:rFonts w:ascii="David" w:hAnsi="David" w:cs="David"/>
          <w:sz w:val="24"/>
          <w:szCs w:val="24"/>
          <w:rtl/>
        </w:rPr>
        <w:t>לאקונה משפטית</w:t>
      </w:r>
      <w:r w:rsidR="00F470AA">
        <w:rPr>
          <w:rFonts w:ascii="David" w:hAnsi="David" w:cs="David" w:hint="cs"/>
          <w:sz w:val="24"/>
          <w:szCs w:val="24"/>
          <w:rtl/>
        </w:rPr>
        <w:t xml:space="preserve"> </w:t>
      </w:r>
      <w:r w:rsidR="00917C05">
        <w:rPr>
          <w:rFonts w:ascii="David" w:hAnsi="David" w:cs="David" w:hint="cs"/>
          <w:sz w:val="24"/>
          <w:szCs w:val="24"/>
          <w:rtl/>
        </w:rPr>
        <w:t xml:space="preserve">דווקא עבור מי שכן מקבל </w:t>
      </w:r>
      <w:r w:rsidR="006342AF">
        <w:rPr>
          <w:rFonts w:ascii="David" w:hAnsi="David" w:cs="David" w:hint="cs"/>
          <w:sz w:val="24"/>
          <w:szCs w:val="24"/>
          <w:rtl/>
        </w:rPr>
        <w:t xml:space="preserve">את דיני העירוב </w:t>
      </w:r>
      <w:r w:rsidR="00917C05">
        <w:rPr>
          <w:rFonts w:ascii="David" w:hAnsi="David" w:cs="David" w:hint="cs"/>
          <w:sz w:val="24"/>
          <w:szCs w:val="24"/>
          <w:rtl/>
        </w:rPr>
        <w:t>וחי על פיהם</w:t>
      </w:r>
      <w:r w:rsidR="00EF6978">
        <w:rPr>
          <w:rFonts w:ascii="David" w:hAnsi="David" w:cs="David" w:hint="cs"/>
          <w:sz w:val="24"/>
          <w:szCs w:val="24"/>
          <w:rtl/>
        </w:rPr>
        <w:t>.</w:t>
      </w:r>
      <w:r w:rsidR="005B6924">
        <w:rPr>
          <w:rFonts w:ascii="David" w:hAnsi="David" w:cs="David" w:hint="cs"/>
          <w:sz w:val="24"/>
          <w:szCs w:val="24"/>
          <w:rtl/>
        </w:rPr>
        <w:t xml:space="preserve"> על כן הנימה שמתלווה ל'דרכי השלום' היא מאוד עניינית: </w:t>
      </w:r>
      <w:r w:rsidR="00643DA3">
        <w:rPr>
          <w:rFonts w:ascii="David" w:hAnsi="David" w:cs="David" w:hint="cs"/>
          <w:sz w:val="24"/>
          <w:szCs w:val="24"/>
          <w:rtl/>
        </w:rPr>
        <w:t>כ</w:t>
      </w:r>
      <w:r w:rsidR="005B6924">
        <w:rPr>
          <w:rFonts w:ascii="David" w:hAnsi="David" w:cs="David" w:hint="cs"/>
          <w:sz w:val="24"/>
          <w:szCs w:val="24"/>
          <w:rtl/>
        </w:rPr>
        <w:t xml:space="preserve">תיאור נטרלי שמסביר את הצורך בתקנה. </w:t>
      </w:r>
    </w:p>
    <w:p w14:paraId="57576596" w14:textId="25F06945" w:rsidR="00EC0EAF" w:rsidRPr="00136BFF" w:rsidRDefault="00EC0EAF" w:rsidP="00EC0EAF">
      <w:pPr>
        <w:pStyle w:val="PS"/>
        <w:spacing w:line="480" w:lineRule="auto"/>
        <w:ind w:firstLine="0"/>
        <w:jc w:val="both"/>
        <w:rPr>
          <w:rFonts w:asciiTheme="majorBidi" w:hAnsiTheme="majorBidi" w:cstheme="majorBidi"/>
          <w:szCs w:val="24"/>
        </w:rPr>
      </w:pPr>
      <w:r w:rsidRPr="00136BFF">
        <w:rPr>
          <w:rFonts w:asciiTheme="majorBidi" w:hAnsiTheme="majorBidi" w:cstheme="majorBidi"/>
          <w:szCs w:val="24"/>
        </w:rPr>
        <w:tab/>
      </w:r>
      <w:r w:rsidRPr="00EC0EAF">
        <w:rPr>
          <w:rFonts w:asciiTheme="majorBidi" w:hAnsiTheme="majorBidi" w:cstheme="majorBidi"/>
          <w:szCs w:val="24"/>
        </w:rPr>
        <w:t xml:space="preserve">The next example I will discuss also reflects a pragmatic and unapologetic approach </w:t>
      </w:r>
      <w:r>
        <w:rPr>
          <w:rFonts w:asciiTheme="majorBidi" w:hAnsiTheme="majorBidi" w:cstheme="majorBidi"/>
          <w:szCs w:val="24"/>
        </w:rPr>
        <w:t xml:space="preserve">in </w:t>
      </w:r>
      <w:r w:rsidRPr="00EC0EAF">
        <w:rPr>
          <w:rFonts w:asciiTheme="majorBidi" w:hAnsiTheme="majorBidi" w:cstheme="majorBidi"/>
          <w:szCs w:val="24"/>
        </w:rPr>
        <w:t xml:space="preserve">using the rationale </w:t>
      </w:r>
      <w:r w:rsidR="00B65FDF">
        <w:rPr>
          <w:rFonts w:ascii="SBL Greek" w:hAnsi="SBL Greek" w:cstheme="majorBidi"/>
          <w:szCs w:val="24"/>
        </w:rPr>
        <w:t>‘</w:t>
      </w:r>
      <w:r w:rsidRPr="00EC0EAF">
        <w:rPr>
          <w:rFonts w:asciiTheme="majorBidi" w:hAnsiTheme="majorBidi" w:cstheme="majorBidi"/>
          <w:szCs w:val="24"/>
        </w:rPr>
        <w:t>for ways of peace</w:t>
      </w:r>
      <w:r w:rsidR="00B65FDF">
        <w:rPr>
          <w:rFonts w:ascii="SBL Greek" w:hAnsi="SBL Greek" w:cstheme="majorBidi"/>
          <w:szCs w:val="24"/>
        </w:rPr>
        <w:t>’</w:t>
      </w:r>
      <w:r w:rsidRPr="00EC0EAF">
        <w:rPr>
          <w:rFonts w:asciiTheme="majorBidi" w:hAnsiTheme="majorBidi" w:cstheme="majorBidi"/>
          <w:szCs w:val="24"/>
        </w:rPr>
        <w:t>. Yet</w:t>
      </w:r>
      <w:r>
        <w:rPr>
          <w:rFonts w:asciiTheme="majorBidi" w:hAnsiTheme="majorBidi" w:cstheme="majorBidi"/>
          <w:szCs w:val="24"/>
        </w:rPr>
        <w:t xml:space="preserve">, </w:t>
      </w:r>
      <w:r w:rsidRPr="00136BFF">
        <w:rPr>
          <w:rFonts w:asciiTheme="majorBidi" w:hAnsiTheme="majorBidi" w:cstheme="majorBidi"/>
          <w:szCs w:val="24"/>
        </w:rPr>
        <w:t>From the jurisprudential standpoint, however, the practical power of these halakhot seems limited relative to other legal categories. As the following example demonstrates, the Sages believed that an enactment based on the “ways of peace” reasoning cannot impose a sanction on its transgressor.</w:t>
      </w:r>
      <w:r w:rsidRPr="00136BFF">
        <w:rPr>
          <w:rStyle w:val="a5"/>
          <w:rFonts w:asciiTheme="majorBidi" w:hAnsiTheme="majorBidi" w:cstheme="majorBidi"/>
          <w:szCs w:val="24"/>
        </w:rPr>
        <w:footnoteReference w:id="35"/>
      </w:r>
      <w:r w:rsidRPr="00136BFF">
        <w:rPr>
          <w:rFonts w:asciiTheme="majorBidi" w:hAnsiTheme="majorBidi" w:cstheme="majorBidi"/>
          <w:szCs w:val="24"/>
        </w:rPr>
        <w:t xml:space="preserve"> In M. Gittin 5:9, the following halakhot are presented, </w:t>
      </w:r>
      <w:r w:rsidRPr="00136BFF">
        <w:rPr>
          <w:rFonts w:asciiTheme="majorBidi" w:hAnsiTheme="majorBidi" w:cstheme="majorBidi"/>
          <w:i/>
          <w:iCs/>
          <w:szCs w:val="24"/>
        </w:rPr>
        <w:t>inter alia</w:t>
      </w:r>
      <w:r w:rsidRPr="00136BFF">
        <w:rPr>
          <w:rFonts w:asciiTheme="majorBidi" w:hAnsiTheme="majorBidi" w:cstheme="majorBidi"/>
          <w:szCs w:val="24"/>
        </w:rPr>
        <w:t>:</w:t>
      </w:r>
    </w:p>
    <w:p w14:paraId="4EE10CE6" w14:textId="77777777" w:rsidR="00EC0EAF" w:rsidRPr="00136BFF" w:rsidRDefault="00EC0EAF" w:rsidP="00EC0EAF">
      <w:pPr>
        <w:pStyle w:val="a6"/>
        <w:numPr>
          <w:ilvl w:val="0"/>
          <w:numId w:val="6"/>
        </w:numPr>
        <w:bidi w:val="0"/>
        <w:spacing w:line="480" w:lineRule="auto"/>
        <w:ind w:left="1440" w:hanging="720"/>
        <w:jc w:val="both"/>
        <w:rPr>
          <w:rFonts w:asciiTheme="majorBidi" w:hAnsiTheme="majorBidi" w:cstheme="majorBidi"/>
          <w:szCs w:val="24"/>
        </w:rPr>
      </w:pPr>
      <w:r w:rsidRPr="00136BFF">
        <w:rPr>
          <w:rFonts w:asciiTheme="majorBidi" w:hAnsiTheme="majorBidi" w:cstheme="majorBidi"/>
          <w:szCs w:val="24"/>
        </w:rPr>
        <w:lastRenderedPageBreak/>
        <w:t>[Taking] objects found by a deaf-mute, an idiot, or a minor is reckoned as a kind of robbery—in the interests of peace. R. Yose says: it is actual robbery</w:t>
      </w:r>
      <w:r w:rsidRPr="00136BFF">
        <w:rPr>
          <w:rFonts w:asciiTheme="majorBidi" w:hAnsiTheme="majorBidi" w:cstheme="majorBidi"/>
          <w:szCs w:val="24"/>
          <w:rtl/>
        </w:rPr>
        <w:t>.</w:t>
      </w:r>
    </w:p>
    <w:p w14:paraId="2AB8B27E" w14:textId="77777777" w:rsidR="00EC0EAF" w:rsidRPr="00136BFF" w:rsidRDefault="00EC0EAF" w:rsidP="00EC0EAF">
      <w:pPr>
        <w:pStyle w:val="a6"/>
        <w:numPr>
          <w:ilvl w:val="0"/>
          <w:numId w:val="6"/>
        </w:numPr>
        <w:bidi w:val="0"/>
        <w:spacing w:line="480" w:lineRule="auto"/>
        <w:ind w:left="1440" w:hanging="720"/>
        <w:jc w:val="both"/>
        <w:rPr>
          <w:rFonts w:asciiTheme="majorBidi" w:hAnsiTheme="majorBidi" w:cstheme="majorBidi"/>
          <w:szCs w:val="24"/>
        </w:rPr>
      </w:pPr>
      <w:r w:rsidRPr="00136BFF">
        <w:rPr>
          <w:rFonts w:asciiTheme="majorBidi" w:hAnsiTheme="majorBidi" w:cstheme="majorBidi"/>
          <w:szCs w:val="24"/>
        </w:rPr>
        <w:t>[Taking] beasts, birds and fishes from snares [set by others] is reckoned as a kind of robbery—in the interests of peace. R. Yose says: it is actual robbery</w:t>
      </w:r>
      <w:r w:rsidRPr="00136BFF">
        <w:rPr>
          <w:rFonts w:asciiTheme="majorBidi" w:hAnsiTheme="majorBidi" w:cstheme="majorBidi"/>
          <w:szCs w:val="24"/>
          <w:rtl/>
        </w:rPr>
        <w:t>.</w:t>
      </w:r>
    </w:p>
    <w:p w14:paraId="0AA44493" w14:textId="77777777" w:rsidR="00EC0EAF" w:rsidRPr="00136BFF" w:rsidRDefault="00EC0EAF" w:rsidP="00EC0EAF">
      <w:pPr>
        <w:pStyle w:val="a6"/>
        <w:numPr>
          <w:ilvl w:val="0"/>
          <w:numId w:val="6"/>
        </w:numPr>
        <w:bidi w:val="0"/>
        <w:spacing w:line="480" w:lineRule="auto"/>
        <w:ind w:left="1440" w:hanging="720"/>
        <w:jc w:val="both"/>
        <w:rPr>
          <w:rFonts w:asciiTheme="majorBidi" w:hAnsiTheme="majorBidi" w:cstheme="majorBidi"/>
          <w:szCs w:val="24"/>
        </w:rPr>
      </w:pPr>
      <w:r w:rsidRPr="00136BFF">
        <w:rPr>
          <w:rFonts w:asciiTheme="majorBidi" w:hAnsiTheme="majorBidi" w:cstheme="majorBidi"/>
          <w:szCs w:val="24"/>
        </w:rPr>
        <w:t>If a poor man gleans on the top of an olive tree, [taking the fruit] beneath him is counted as a kind of robbery. R. Yose says: it is actual robbery.</w:t>
      </w:r>
      <w:r w:rsidRPr="00136BFF">
        <w:rPr>
          <w:rStyle w:val="a5"/>
          <w:rFonts w:asciiTheme="majorBidi" w:hAnsiTheme="majorBidi" w:cstheme="majorBidi"/>
          <w:szCs w:val="24"/>
        </w:rPr>
        <w:footnoteReference w:id="36"/>
      </w:r>
    </w:p>
    <w:p w14:paraId="5AE762BD" w14:textId="77777777" w:rsidR="00EC0EAF" w:rsidRPr="00136BFF" w:rsidRDefault="00EC0EAF" w:rsidP="00EC0EAF">
      <w:pPr>
        <w:pStyle w:val="PS"/>
        <w:spacing w:line="480" w:lineRule="auto"/>
        <w:ind w:firstLine="0"/>
        <w:jc w:val="both"/>
        <w:rPr>
          <w:rFonts w:asciiTheme="majorBidi" w:hAnsiTheme="majorBidi" w:cstheme="majorBidi"/>
          <w:szCs w:val="24"/>
        </w:rPr>
      </w:pPr>
      <w:r w:rsidRPr="00136BFF">
        <w:rPr>
          <w:rFonts w:asciiTheme="majorBidi" w:hAnsiTheme="majorBidi" w:cstheme="majorBidi"/>
          <w:color w:val="000000"/>
          <w:szCs w:val="24"/>
        </w:rPr>
        <w:tab/>
        <w:t>These three</w:t>
      </w:r>
      <w:r w:rsidRPr="00136BFF">
        <w:rPr>
          <w:rFonts w:asciiTheme="majorBidi" w:hAnsiTheme="majorBidi" w:cstheme="majorBidi"/>
          <w:szCs w:val="24"/>
        </w:rPr>
        <w:t xml:space="preserve"> halakhot</w:t>
      </w:r>
      <w:r w:rsidRPr="00136BFF">
        <w:rPr>
          <w:rFonts w:asciiTheme="majorBidi" w:hAnsiTheme="majorBidi" w:cstheme="majorBidi"/>
          <w:i/>
          <w:iCs/>
          <w:szCs w:val="24"/>
        </w:rPr>
        <w:t xml:space="preserve"> </w:t>
      </w:r>
      <w:r w:rsidRPr="00136BFF">
        <w:rPr>
          <w:rFonts w:asciiTheme="majorBidi" w:hAnsiTheme="majorBidi" w:cstheme="majorBidi"/>
          <w:szCs w:val="24"/>
        </w:rPr>
        <w:t xml:space="preserve">are connected by their shared subject matter and all include a dispute between the Tannaitic tradition that quotes the halakhah (the </w:t>
      </w:r>
      <w:r w:rsidRPr="00136BFF">
        <w:rPr>
          <w:rFonts w:asciiTheme="majorBidi" w:hAnsiTheme="majorBidi" w:cstheme="majorBidi"/>
          <w:i/>
          <w:iCs/>
          <w:szCs w:val="24"/>
        </w:rPr>
        <w:t>tanna kamma</w:t>
      </w:r>
      <w:r w:rsidRPr="00136BFF">
        <w:rPr>
          <w:rFonts w:asciiTheme="majorBidi" w:hAnsiTheme="majorBidi" w:cstheme="majorBidi"/>
          <w:szCs w:val="24"/>
        </w:rPr>
        <w:t>) and the opinion of R. Yose. They regulate</w:t>
      </w:r>
      <w:r w:rsidRPr="00136BFF">
        <w:rPr>
          <w:rFonts w:asciiTheme="majorBidi" w:hAnsiTheme="majorBidi" w:cstheme="majorBidi"/>
          <w:i/>
          <w:iCs/>
          <w:szCs w:val="24"/>
        </w:rPr>
        <w:t xml:space="preserve"> </w:t>
      </w:r>
      <w:r w:rsidRPr="00136BFF">
        <w:rPr>
          <w:rFonts w:asciiTheme="majorBidi" w:hAnsiTheme="majorBidi" w:cstheme="majorBidi"/>
          <w:szCs w:val="24"/>
        </w:rPr>
        <w:t>prop</w:t>
      </w:r>
      <w:r w:rsidRPr="00136BFF">
        <w:rPr>
          <w:rFonts w:asciiTheme="majorBidi" w:hAnsiTheme="majorBidi" w:cstheme="majorBidi"/>
          <w:color w:val="000000"/>
          <w:szCs w:val="24"/>
        </w:rPr>
        <w:t xml:space="preserve">erty rights in cases where ownership of the property is considered unclear. </w:t>
      </w:r>
      <w:r w:rsidRPr="00136BFF">
        <w:rPr>
          <w:rFonts w:asciiTheme="majorBidi" w:hAnsiTheme="majorBidi" w:cstheme="majorBidi"/>
          <w:szCs w:val="24"/>
        </w:rPr>
        <w:t xml:space="preserve">Halakhah 1 deals with people—a deaf-mute, an idiot, or a minor—whom the Sages often considered incompetent to uphold halakhic norms including </w:t>
      </w:r>
      <w:r w:rsidRPr="00136BFF">
        <w:rPr>
          <w:rFonts w:asciiTheme="majorBidi" w:hAnsiTheme="majorBidi" w:cstheme="majorBidi"/>
          <w:color w:val="000000"/>
          <w:szCs w:val="24"/>
        </w:rPr>
        <w:t>holding</w:t>
      </w:r>
      <w:r w:rsidRPr="00136BFF">
        <w:rPr>
          <w:rFonts w:asciiTheme="majorBidi" w:hAnsiTheme="majorBidi" w:cstheme="majorBidi"/>
          <w:szCs w:val="24"/>
        </w:rPr>
        <w:t xml:space="preserve"> property.</w:t>
      </w:r>
      <w:r w:rsidRPr="00136BFF">
        <w:rPr>
          <w:rStyle w:val="a5"/>
          <w:rFonts w:asciiTheme="majorBidi" w:hAnsiTheme="majorBidi" w:cstheme="majorBidi"/>
          <w:szCs w:val="24"/>
        </w:rPr>
        <w:footnoteReference w:id="37"/>
      </w:r>
      <w:r w:rsidRPr="00136BFF">
        <w:rPr>
          <w:rFonts w:asciiTheme="majorBidi" w:hAnsiTheme="majorBidi" w:cstheme="majorBidi"/>
          <w:szCs w:val="24"/>
        </w:rPr>
        <w:t xml:space="preserve"> Halakhot</w:t>
      </w:r>
      <w:r w:rsidRPr="00136BFF">
        <w:rPr>
          <w:rFonts w:asciiTheme="majorBidi" w:hAnsiTheme="majorBidi" w:cstheme="majorBidi"/>
          <w:i/>
          <w:iCs/>
          <w:szCs w:val="24"/>
        </w:rPr>
        <w:t xml:space="preserve"> </w:t>
      </w:r>
      <w:r w:rsidRPr="00136BFF">
        <w:rPr>
          <w:rFonts w:asciiTheme="majorBidi" w:hAnsiTheme="majorBidi" w:cstheme="majorBidi"/>
          <w:szCs w:val="24"/>
        </w:rPr>
        <w:t>2 and 3, in contrast, concern situations in which a person acts to obtain some object—by setting traps to catch animals or by shaking olive branches to gather the olives that fall from the tree—but have yet to take possession of it.</w:t>
      </w:r>
      <w:r>
        <w:rPr>
          <w:rStyle w:val="a5"/>
          <w:rFonts w:asciiTheme="majorBidi" w:hAnsiTheme="majorBidi" w:cstheme="majorBidi"/>
          <w:szCs w:val="24"/>
        </w:rPr>
        <w:footnoteReference w:id="38"/>
      </w:r>
      <w:r w:rsidRPr="00136BFF">
        <w:rPr>
          <w:rFonts w:asciiTheme="majorBidi" w:hAnsiTheme="majorBidi" w:cstheme="majorBidi"/>
          <w:szCs w:val="24"/>
        </w:rPr>
        <w:t xml:space="preserve"> Hence, according to the usual laws of property, they have not yet </w:t>
      </w:r>
      <w:r w:rsidRPr="00136BFF">
        <w:rPr>
          <w:rFonts w:asciiTheme="majorBidi" w:hAnsiTheme="majorBidi" w:cstheme="majorBidi"/>
          <w:szCs w:val="24"/>
        </w:rPr>
        <w:lastRenderedPageBreak/>
        <w:t>acquired the object.</w:t>
      </w:r>
      <w:r w:rsidRPr="00136BFF">
        <w:rPr>
          <w:rStyle w:val="a5"/>
          <w:rFonts w:asciiTheme="majorBidi" w:hAnsiTheme="majorBidi" w:cstheme="majorBidi"/>
          <w:szCs w:val="24"/>
        </w:rPr>
        <w:footnoteReference w:id="39"/>
      </w:r>
      <w:r w:rsidRPr="00136BFF">
        <w:rPr>
          <w:rFonts w:asciiTheme="majorBidi" w:hAnsiTheme="majorBidi" w:cstheme="majorBidi"/>
          <w:szCs w:val="24"/>
        </w:rPr>
        <w:t xml:space="preserve"> During this liminal phase, the object is seized by another. Now the question is: Did this second person steal the object, or</w:t>
      </w:r>
      <w:r w:rsidRPr="00136BFF">
        <w:rPr>
          <w:rFonts w:asciiTheme="majorBidi" w:hAnsiTheme="majorBidi" w:cstheme="majorBidi"/>
          <w:color w:val="000000"/>
          <w:szCs w:val="24"/>
        </w:rPr>
        <w:t xml:space="preserve"> is he or she now</w:t>
      </w:r>
      <w:r w:rsidRPr="00136BFF">
        <w:rPr>
          <w:rFonts w:asciiTheme="majorBidi" w:hAnsiTheme="majorBidi" w:cstheme="majorBidi"/>
          <w:szCs w:val="24"/>
        </w:rPr>
        <w:t xml:space="preserve"> its legal owner? In all three cases, the Sages, including R. Yose, rule that the object belongs to the first person, even if he or she is not competent to hold various property rights </w:t>
      </w:r>
      <w:r w:rsidRPr="00136BFF">
        <w:rPr>
          <w:rFonts w:asciiTheme="majorBidi" w:hAnsiTheme="majorBidi" w:cstheme="majorBidi"/>
          <w:color w:val="000000"/>
          <w:szCs w:val="24"/>
        </w:rPr>
        <w:t>or has not</w:t>
      </w:r>
      <w:r w:rsidRPr="00136BFF">
        <w:rPr>
          <w:rFonts w:asciiTheme="majorBidi" w:hAnsiTheme="majorBidi" w:cstheme="majorBidi"/>
          <w:szCs w:val="24"/>
        </w:rPr>
        <w:t xml:space="preserve"> yet obtained the item. The appropriation of an object by another—whether of “found objects,”</w:t>
      </w:r>
      <w:r w:rsidRPr="00136BFF">
        <w:rPr>
          <w:rStyle w:val="a5"/>
          <w:rFonts w:asciiTheme="majorBidi" w:hAnsiTheme="majorBidi" w:cstheme="majorBidi"/>
          <w:szCs w:val="24"/>
        </w:rPr>
        <w:footnoteReference w:id="40"/>
      </w:r>
      <w:r w:rsidRPr="00136BFF">
        <w:rPr>
          <w:rFonts w:asciiTheme="majorBidi" w:hAnsiTheme="majorBidi" w:cstheme="majorBidi"/>
          <w:szCs w:val="24"/>
        </w:rPr>
        <w:t xml:space="preserve"> an animal, or olives—is considered theft. The “ways of peace” justification, however, indicates that, in the mind of</w:t>
      </w:r>
      <w:r w:rsidRPr="00136BFF">
        <w:rPr>
          <w:rFonts w:asciiTheme="majorBidi" w:hAnsiTheme="majorBidi" w:cstheme="majorBidi"/>
          <w:i/>
          <w:iCs/>
          <w:szCs w:val="24"/>
        </w:rPr>
        <w:t xml:space="preserve"> </w:t>
      </w:r>
      <w:r w:rsidRPr="00136BFF">
        <w:rPr>
          <w:rFonts w:asciiTheme="majorBidi" w:hAnsiTheme="majorBidi" w:cstheme="majorBidi"/>
          <w:szCs w:val="24"/>
          <w:lang w:val="en-AU" w:bidi="ar-EG"/>
        </w:rPr>
        <w:t xml:space="preserve">the </w:t>
      </w:r>
      <w:r w:rsidRPr="00136BFF">
        <w:rPr>
          <w:rFonts w:asciiTheme="majorBidi" w:hAnsiTheme="majorBidi" w:cstheme="majorBidi"/>
          <w:i/>
          <w:iCs/>
          <w:szCs w:val="24"/>
        </w:rPr>
        <w:t>tanna kamma</w:t>
      </w:r>
      <w:r w:rsidRPr="00136BFF">
        <w:rPr>
          <w:rFonts w:asciiTheme="majorBidi" w:hAnsiTheme="majorBidi" w:cstheme="majorBidi"/>
          <w:szCs w:val="24"/>
        </w:rPr>
        <w:t xml:space="preserve"> (the first opinion in each of the three halakhot), the material (ontological) definition of possession of the object (olives, fowl, fish, etc.) has not changed; the object essentially remains ownerless. In other words, the </w:t>
      </w:r>
      <w:r w:rsidRPr="00136BFF">
        <w:rPr>
          <w:rFonts w:asciiTheme="majorBidi" w:hAnsiTheme="majorBidi" w:cstheme="majorBidi"/>
          <w:i/>
          <w:iCs/>
          <w:szCs w:val="24"/>
        </w:rPr>
        <w:t>tanna kamma</w:t>
      </w:r>
      <w:r w:rsidRPr="00136BFF">
        <w:rPr>
          <w:rFonts w:asciiTheme="majorBidi" w:hAnsiTheme="majorBidi" w:cstheme="majorBidi"/>
          <w:szCs w:val="24"/>
        </w:rPr>
        <w:t xml:space="preserve"> does not assign these cases to the legal category of acquisition rights; instead, he acknowledges them for reasons of ethics or public policy. R. Yose, in contrast, believes that found objects should become the legal property of the deaf-mute, etc., or the first person who has made an effort to obtain them. One may assume that R. Yose, by reasoning that an active move to obtain an object totally excludes the case from mere “intent,” transfers this move to the category of an “act” that confers ownership (at a stronger level, at least, than that of those who have not actually taken possession). </w:t>
      </w:r>
    </w:p>
    <w:p w14:paraId="79C3D45C" w14:textId="77777777" w:rsidR="00EC0EAF" w:rsidRPr="00136BFF" w:rsidRDefault="00EC0EAF" w:rsidP="00EC0EAF">
      <w:pPr>
        <w:pStyle w:val="PS"/>
        <w:tabs>
          <w:tab w:val="left" w:pos="720"/>
          <w:tab w:val="left" w:pos="5220"/>
        </w:tabs>
        <w:spacing w:line="480" w:lineRule="auto"/>
        <w:ind w:firstLine="0"/>
        <w:jc w:val="both"/>
        <w:rPr>
          <w:rFonts w:asciiTheme="majorBidi" w:hAnsiTheme="majorBidi" w:cstheme="majorBidi"/>
          <w:szCs w:val="24"/>
        </w:rPr>
      </w:pPr>
      <w:r w:rsidRPr="00136BFF">
        <w:rPr>
          <w:rFonts w:asciiTheme="majorBidi" w:hAnsiTheme="majorBidi" w:cstheme="majorBidi"/>
          <w:szCs w:val="24"/>
        </w:rPr>
        <w:tab/>
        <w:t xml:space="preserve">Do these divergent definitions have divergent normative outcomes? The Talmudic discourse answers this question in the affirmative. In both Talmuds, it is argued that, according to the </w:t>
      </w:r>
      <w:r w:rsidRPr="00136BFF">
        <w:rPr>
          <w:rFonts w:asciiTheme="majorBidi" w:hAnsiTheme="majorBidi" w:cstheme="majorBidi"/>
          <w:i/>
          <w:iCs/>
          <w:szCs w:val="24"/>
        </w:rPr>
        <w:t>tanna kamma</w:t>
      </w:r>
      <w:r w:rsidRPr="00136BFF">
        <w:rPr>
          <w:rFonts w:asciiTheme="majorBidi" w:hAnsiTheme="majorBidi" w:cstheme="majorBidi"/>
          <w:szCs w:val="24"/>
        </w:rPr>
        <w:t xml:space="preserve">, one who appropriates these objects should not be sanctioned because one has not transgressed Torah law (evidently because the objects have not ontologically changed hands). R. Yose, in contrast, placing the case in </w:t>
      </w:r>
      <w:r w:rsidRPr="00136BFF">
        <w:rPr>
          <w:rFonts w:asciiTheme="majorBidi" w:hAnsiTheme="majorBidi" w:cstheme="majorBidi"/>
          <w:szCs w:val="24"/>
        </w:rPr>
        <w:lastRenderedPageBreak/>
        <w:t>the legal category of acquisition law, allows the aggrieved party to seek restitution in rabbinical court.</w:t>
      </w:r>
      <w:r w:rsidRPr="00136BFF">
        <w:rPr>
          <w:rStyle w:val="a5"/>
          <w:rFonts w:asciiTheme="majorBidi" w:hAnsiTheme="majorBidi" w:cstheme="majorBidi"/>
          <w:szCs w:val="24"/>
        </w:rPr>
        <w:footnoteReference w:id="41"/>
      </w:r>
      <w:r w:rsidRPr="00136BFF">
        <w:rPr>
          <w:rFonts w:asciiTheme="majorBidi" w:hAnsiTheme="majorBidi" w:cstheme="majorBidi"/>
          <w:szCs w:val="24"/>
        </w:rPr>
        <w:t xml:space="preserve"> It is likely, then, that in these cases, according to R. Yose, adherence to the formal rule (i.e., absent ontological acquisition, no offense exists) would result in an injustice (not only an offense to the victim’s feelings or to the public welfare). Accordingly, he broadens the category of acquisition law by creating an additional rule</w:t>
      </w:r>
      <w:r w:rsidRPr="00136BFF">
        <w:rPr>
          <w:rStyle w:val="a5"/>
          <w:rFonts w:asciiTheme="majorBidi" w:hAnsiTheme="majorBidi" w:cstheme="majorBidi"/>
          <w:szCs w:val="24"/>
        </w:rPr>
        <w:footnoteReference w:id="42"/>
      </w:r>
      <w:r w:rsidRPr="00136BFF">
        <w:rPr>
          <w:rFonts w:asciiTheme="majorBidi" w:hAnsiTheme="majorBidi" w:cstheme="majorBidi"/>
          <w:szCs w:val="24"/>
        </w:rPr>
        <w:t>—thereby attaining a just outcome not only on the moral level but on the normative plane as well.</w:t>
      </w:r>
      <w:r w:rsidRPr="00136BFF">
        <w:rPr>
          <w:rStyle w:val="a5"/>
          <w:rFonts w:asciiTheme="majorBidi" w:hAnsiTheme="majorBidi" w:cstheme="majorBidi"/>
          <w:szCs w:val="24"/>
        </w:rPr>
        <w:footnoteReference w:id="43"/>
      </w:r>
      <w:r w:rsidRPr="00136BFF">
        <w:rPr>
          <w:rFonts w:asciiTheme="majorBidi" w:hAnsiTheme="majorBidi" w:cstheme="majorBidi"/>
          <w:szCs w:val="24"/>
        </w:rPr>
        <w:t xml:space="preserve"> </w:t>
      </w:r>
    </w:p>
    <w:p w14:paraId="3E8A39B9" w14:textId="63038EF6" w:rsidR="00C47FE3" w:rsidRDefault="00EC0EAF" w:rsidP="00C47FE3">
      <w:pPr>
        <w:pStyle w:val="PS"/>
        <w:tabs>
          <w:tab w:val="left" w:pos="720"/>
          <w:tab w:val="left" w:pos="5220"/>
        </w:tabs>
        <w:spacing w:line="480" w:lineRule="auto"/>
        <w:ind w:firstLine="0"/>
        <w:jc w:val="both"/>
        <w:rPr>
          <w:rFonts w:asciiTheme="majorBidi" w:hAnsiTheme="majorBidi" w:cstheme="majorBidi"/>
          <w:szCs w:val="24"/>
        </w:rPr>
      </w:pPr>
      <w:r w:rsidRPr="00136BFF">
        <w:rPr>
          <w:rFonts w:asciiTheme="majorBidi" w:hAnsiTheme="majorBidi" w:cstheme="majorBidi"/>
          <w:szCs w:val="24"/>
        </w:rPr>
        <w:tab/>
        <w:t>Thus, it is found in these cases that the Tannaim—all of them—believe that the “ways of peace” legal category, evidently based on a rationale external to the legal category of the halakhot of which it is composed, has less normative force than have legal categories predicated on judicial rules and structures of Torah origin, at least where applying legal sanctions is concerned.</w:t>
      </w:r>
      <w:r w:rsidR="00636DF4">
        <w:rPr>
          <w:rStyle w:val="a5"/>
          <w:szCs w:val="24"/>
          <w:rtl/>
          <w:lang w:bidi="he-IL"/>
        </w:rPr>
        <w:footnoteReference w:id="44"/>
      </w:r>
    </w:p>
    <w:p w14:paraId="1A906423" w14:textId="77777777" w:rsidR="00427527" w:rsidRDefault="00427527" w:rsidP="00C47FE3">
      <w:pPr>
        <w:pStyle w:val="PS"/>
        <w:tabs>
          <w:tab w:val="left" w:pos="720"/>
          <w:tab w:val="left" w:pos="5220"/>
        </w:tabs>
        <w:spacing w:line="480" w:lineRule="auto"/>
        <w:ind w:firstLine="0"/>
        <w:jc w:val="both"/>
        <w:rPr>
          <w:rFonts w:asciiTheme="majorBidi" w:hAnsiTheme="majorBidi" w:cstheme="majorBidi"/>
          <w:szCs w:val="24"/>
        </w:rPr>
      </w:pPr>
    </w:p>
    <w:p w14:paraId="4C8F8F10" w14:textId="57D54174" w:rsidR="00D77E41" w:rsidRPr="00C47FE3" w:rsidRDefault="00D77E41" w:rsidP="00C47FE3">
      <w:pPr>
        <w:pStyle w:val="PS"/>
        <w:tabs>
          <w:tab w:val="left" w:pos="720"/>
          <w:tab w:val="left" w:pos="5220"/>
        </w:tabs>
        <w:spacing w:line="480" w:lineRule="auto"/>
        <w:ind w:firstLine="0"/>
        <w:jc w:val="both"/>
        <w:rPr>
          <w:rFonts w:asciiTheme="majorBidi" w:hAnsiTheme="majorBidi" w:cstheme="majorBidi"/>
          <w:b/>
          <w:bCs/>
          <w:szCs w:val="24"/>
        </w:rPr>
      </w:pPr>
      <w:r w:rsidRPr="00C47FE3">
        <w:rPr>
          <w:rFonts w:asciiTheme="majorBidi" w:hAnsiTheme="majorBidi" w:cstheme="majorBidi"/>
          <w:b/>
          <w:bCs/>
          <w:szCs w:val="24"/>
        </w:rPr>
        <w:t>III. A Positive Approach to the “Ways of Peace” Enactments</w:t>
      </w:r>
    </w:p>
    <w:p w14:paraId="3A702E3B" w14:textId="77777777" w:rsidR="00D77E41" w:rsidRPr="00136BFF" w:rsidRDefault="00D77E41" w:rsidP="00D77E41">
      <w:pPr>
        <w:pStyle w:val="PC"/>
        <w:spacing w:line="480" w:lineRule="auto"/>
        <w:jc w:val="both"/>
        <w:rPr>
          <w:rFonts w:asciiTheme="majorBidi" w:eastAsia="Calibri" w:hAnsiTheme="majorBidi" w:cstheme="majorBidi"/>
          <w:szCs w:val="24"/>
          <w:shd w:val="clear" w:color="auto" w:fill="FFFFFF"/>
        </w:rPr>
      </w:pPr>
      <w:r w:rsidRPr="00136BFF">
        <w:rPr>
          <w:rFonts w:asciiTheme="majorBidi" w:hAnsiTheme="majorBidi" w:cstheme="majorBidi"/>
          <w:szCs w:val="24"/>
          <w:lang w:bidi="he-IL"/>
        </w:rPr>
        <w:t xml:space="preserve">A third approach </w:t>
      </w:r>
      <w:r w:rsidRPr="00136BFF">
        <w:rPr>
          <w:rFonts w:asciiTheme="majorBidi" w:hAnsiTheme="majorBidi" w:cstheme="majorBidi"/>
          <w:szCs w:val="24"/>
        </w:rPr>
        <w:t>appears to have taken shape as the Mishnaic era wound down. From the value perspective, this approach considers these halakhot consistent with the Sages’ halakhic “should.” I base this conclusion on two aspects. The first is the decision of the redactor of the Mishnah to create a complete collection of halakhot that are explained on “ways of peace” grounds (M. Gittin 5:8–9)</w:t>
      </w:r>
      <w:r>
        <w:rPr>
          <w:rFonts w:asciiTheme="majorBidi" w:hAnsiTheme="majorBidi" w:cstheme="majorBidi"/>
          <w:szCs w:val="24"/>
        </w:rPr>
        <w:t>.</w:t>
      </w:r>
      <w:r w:rsidRPr="00136BFF">
        <w:rPr>
          <w:rStyle w:val="a5"/>
          <w:rFonts w:asciiTheme="majorBidi" w:hAnsiTheme="majorBidi" w:cstheme="majorBidi"/>
          <w:szCs w:val="24"/>
        </w:rPr>
        <w:footnoteReference w:id="45"/>
      </w:r>
      <w:r w:rsidRPr="00136BFF">
        <w:rPr>
          <w:rFonts w:asciiTheme="majorBidi" w:hAnsiTheme="majorBidi" w:cstheme="majorBidi"/>
          <w:szCs w:val="24"/>
        </w:rPr>
        <w:t xml:space="preserve"> The second aspect is the existence of a perspective on “ways of peace” as a meta-halakhic principle that reflects the purpose and worldview of the entire Torah. This radical point of departure may be detected in an exegesis offered by R. Shimon and presented in a passage in </w:t>
      </w:r>
      <w:r w:rsidRPr="00136BFF">
        <w:rPr>
          <w:rFonts w:asciiTheme="majorBidi" w:hAnsiTheme="majorBidi" w:cstheme="majorBidi"/>
          <w:i/>
          <w:iCs/>
          <w:szCs w:val="24"/>
        </w:rPr>
        <w:t>Mekhilta de-Rabbi Shimon Bar Yoḥai</w:t>
      </w:r>
      <w:r w:rsidRPr="00136BFF">
        <w:rPr>
          <w:rFonts w:asciiTheme="majorBidi" w:hAnsiTheme="majorBidi" w:cstheme="majorBidi"/>
          <w:szCs w:val="24"/>
        </w:rPr>
        <w:t xml:space="preserve"> found in the Cairo Genizah.</w:t>
      </w:r>
      <w:r w:rsidRPr="00136BFF">
        <w:rPr>
          <w:rStyle w:val="a5"/>
          <w:rFonts w:asciiTheme="majorBidi" w:hAnsiTheme="majorBidi" w:cstheme="majorBidi"/>
          <w:szCs w:val="24"/>
        </w:rPr>
        <w:footnoteReference w:id="46"/>
      </w:r>
      <w:r w:rsidRPr="00136BFF">
        <w:rPr>
          <w:rFonts w:asciiTheme="majorBidi" w:hAnsiTheme="majorBidi" w:cstheme="majorBidi"/>
          <w:szCs w:val="24"/>
        </w:rPr>
        <w:t xml:space="preserve"> R. Shimon and additional </w:t>
      </w:r>
      <w:r>
        <w:rPr>
          <w:rFonts w:asciiTheme="majorBidi" w:hAnsiTheme="majorBidi" w:cstheme="majorBidi"/>
          <w:szCs w:val="24"/>
        </w:rPr>
        <w:t>sages</w:t>
      </w:r>
      <w:r w:rsidRPr="00136BFF">
        <w:rPr>
          <w:rFonts w:asciiTheme="majorBidi" w:hAnsiTheme="majorBidi" w:cstheme="majorBidi"/>
          <w:szCs w:val="24"/>
        </w:rPr>
        <w:t xml:space="preserve"> </w:t>
      </w:r>
      <w:r w:rsidRPr="00136BFF">
        <w:rPr>
          <w:rFonts w:asciiTheme="majorBidi" w:hAnsiTheme="majorBidi" w:cstheme="majorBidi"/>
          <w:szCs w:val="24"/>
        </w:rPr>
        <w:lastRenderedPageBreak/>
        <w:t>interpret the words “his neighbor” in Exodus 12: (</w:t>
      </w:r>
      <w:r w:rsidRPr="00136BFF">
        <w:rPr>
          <w:rFonts w:asciiTheme="majorBidi" w:eastAsia="Calibri" w:hAnsiTheme="majorBidi" w:cstheme="majorBidi"/>
          <w:szCs w:val="24"/>
          <w:shd w:val="clear" w:color="auto" w:fill="FFFFFF"/>
        </w:rPr>
        <w:t xml:space="preserve">“But if the household is too small for a lamb, let him share one with </w:t>
      </w:r>
      <w:bookmarkStart w:id="10" w:name="_Hlk14431742"/>
      <w:r w:rsidRPr="00136BFF">
        <w:rPr>
          <w:rFonts w:asciiTheme="majorBidi" w:eastAsia="Calibri" w:hAnsiTheme="majorBidi" w:cstheme="majorBidi"/>
          <w:szCs w:val="24"/>
          <w:shd w:val="clear" w:color="auto" w:fill="FFFFFF"/>
        </w:rPr>
        <w:t>a neighbor</w:t>
      </w:r>
      <w:r w:rsidRPr="00136BFF">
        <w:rPr>
          <w:rStyle w:val="a5"/>
          <w:rFonts w:asciiTheme="majorBidi" w:eastAsia="Calibri" w:hAnsiTheme="majorBidi" w:cstheme="majorBidi"/>
          <w:szCs w:val="24"/>
          <w:shd w:val="clear" w:color="auto" w:fill="FFFFFF"/>
        </w:rPr>
        <w:footnoteReference w:id="47"/>
      </w:r>
      <w:r w:rsidRPr="00136BFF">
        <w:rPr>
          <w:rFonts w:asciiTheme="majorBidi" w:eastAsia="Calibri" w:hAnsiTheme="majorBidi" w:cstheme="majorBidi"/>
          <w:szCs w:val="24"/>
          <w:shd w:val="clear" w:color="auto" w:fill="FFFFFF"/>
        </w:rPr>
        <w:t xml:space="preserve"> who dwells nearby</w:t>
      </w:r>
      <w:bookmarkEnd w:id="10"/>
      <w:r w:rsidRPr="00136BFF">
        <w:rPr>
          <w:rFonts w:asciiTheme="majorBidi" w:eastAsia="Calibri" w:hAnsiTheme="majorBidi" w:cstheme="majorBidi"/>
          <w:szCs w:val="24"/>
          <w:shd w:val="clear" w:color="auto" w:fill="FFFFFF"/>
        </w:rPr>
        <w:t>…”) as follows:</w:t>
      </w:r>
    </w:p>
    <w:p w14:paraId="7CAA69F7" w14:textId="77777777" w:rsidR="00D77E41" w:rsidRPr="00136BFF" w:rsidRDefault="00D77E41" w:rsidP="00D77E41">
      <w:pPr>
        <w:pStyle w:val="IQ"/>
        <w:spacing w:line="480" w:lineRule="auto"/>
        <w:jc w:val="both"/>
        <w:rPr>
          <w:rFonts w:asciiTheme="majorBidi" w:eastAsia="Calibri" w:hAnsiTheme="majorBidi" w:cstheme="majorBidi"/>
          <w:szCs w:val="24"/>
          <w:shd w:val="clear" w:color="auto" w:fill="FFFFFF"/>
        </w:rPr>
      </w:pPr>
      <w:r w:rsidRPr="00136BFF">
        <w:rPr>
          <w:rFonts w:asciiTheme="majorBidi" w:eastAsia="Calibri" w:hAnsiTheme="majorBidi" w:cstheme="majorBidi"/>
          <w:szCs w:val="24"/>
          <w:shd w:val="clear" w:color="auto" w:fill="FFFFFF"/>
        </w:rPr>
        <w:t>“And his neigh[bor”: Ben Bag Bag says, “I might assume [this includes] his neighbor] in a field. His neighbor on a ro[of] [he who dwells near his house, close to {his} door - whence [in the biblical text do we learn this]? Scripture states ‘next’ (Exodus 12:4), [meaning the one who dwells next] to his house door to door.”</w:t>
      </w:r>
    </w:p>
    <w:p w14:paraId="30B03572" w14:textId="77777777" w:rsidR="00D77E41" w:rsidRPr="00136BFF" w:rsidRDefault="00D77E41" w:rsidP="00D77E41">
      <w:pPr>
        <w:pStyle w:val="IQ"/>
        <w:spacing w:line="480" w:lineRule="auto"/>
        <w:jc w:val="both"/>
        <w:rPr>
          <w:rFonts w:asciiTheme="majorBidi" w:eastAsia="Calibri" w:hAnsiTheme="majorBidi" w:cstheme="majorBidi"/>
          <w:szCs w:val="24"/>
          <w:shd w:val="clear" w:color="auto" w:fill="FFFFFF"/>
        </w:rPr>
      </w:pPr>
      <w:r w:rsidRPr="00136BFF">
        <w:rPr>
          <w:rFonts w:asciiTheme="majorBidi" w:eastAsia="Calibri" w:hAnsiTheme="majorBidi" w:cstheme="majorBidi"/>
          <w:szCs w:val="24"/>
          <w:shd w:val="clear" w:color="auto" w:fill="FFFFFF"/>
        </w:rPr>
        <w:t xml:space="preserve">[Rabbi says three types of neighbors] are mentioned [here in Scripture]: “his neighbor”—this [refers to] his neighbor in the fields; “his neighbor”—this [also refers to] his neighbor on [a roof; “who dwells near”]—this [refers to] he who dwells near his house, </w:t>
      </w:r>
      <w:bookmarkStart w:id="11" w:name="_Hlk15302273"/>
      <w:r w:rsidRPr="00136BFF">
        <w:rPr>
          <w:rFonts w:asciiTheme="majorBidi" w:eastAsia="Calibri" w:hAnsiTheme="majorBidi" w:cstheme="majorBidi"/>
          <w:szCs w:val="24"/>
          <w:shd w:val="clear" w:color="auto" w:fill="FFFFFF"/>
        </w:rPr>
        <w:t>close to [his] door.</w:t>
      </w:r>
      <w:bookmarkEnd w:id="11"/>
    </w:p>
    <w:p w14:paraId="72FF350C" w14:textId="77777777" w:rsidR="00D77E41" w:rsidRPr="00136BFF" w:rsidRDefault="00D77E41" w:rsidP="00D77E41">
      <w:pPr>
        <w:pStyle w:val="IQ"/>
        <w:spacing w:line="480" w:lineRule="auto"/>
        <w:jc w:val="both"/>
        <w:rPr>
          <w:rFonts w:asciiTheme="majorBidi" w:eastAsia="Calibri" w:hAnsiTheme="majorBidi" w:cstheme="majorBidi"/>
          <w:szCs w:val="24"/>
          <w:shd w:val="clear" w:color="auto" w:fill="FFFFFF"/>
        </w:rPr>
      </w:pPr>
      <w:r w:rsidRPr="00136BFF">
        <w:rPr>
          <w:rFonts w:asciiTheme="majorBidi" w:eastAsia="Calibri" w:hAnsiTheme="majorBidi" w:cstheme="majorBidi"/>
          <w:szCs w:val="24"/>
          <w:shd w:val="clear" w:color="auto" w:fill="FFFFFF"/>
        </w:rPr>
        <w:t>[But only for] the paschal sacrifice of Egypt [does “his neighbor” [mean] he who dwells near his house, whereas [for] the paschal sacrifice of the [subsequent] generations “his neighbor” does not [mean] he who dwells near his house.</w:t>
      </w:r>
    </w:p>
    <w:p w14:paraId="43A2F702" w14:textId="77777777" w:rsidR="00D77E41" w:rsidRPr="00136BFF" w:rsidRDefault="00D77E41" w:rsidP="00D77E41">
      <w:pPr>
        <w:pStyle w:val="IQ"/>
        <w:spacing w:line="480" w:lineRule="auto"/>
        <w:jc w:val="both"/>
        <w:rPr>
          <w:rFonts w:asciiTheme="majorBidi" w:eastAsia="Calibri" w:hAnsiTheme="majorBidi" w:cstheme="majorBidi"/>
          <w:szCs w:val="24"/>
          <w:shd w:val="clear" w:color="auto" w:fill="FFFFFF"/>
        </w:rPr>
      </w:pPr>
      <w:r w:rsidRPr="00136BFF">
        <w:rPr>
          <w:rFonts w:asciiTheme="majorBidi" w:eastAsia="Calibri" w:hAnsiTheme="majorBidi" w:cstheme="majorBidi"/>
          <w:szCs w:val="24"/>
          <w:shd w:val="clear" w:color="auto" w:fill="FFFFFF"/>
        </w:rPr>
        <w:t>Rabbi Shimon says “‘His neighbor” [means] he who dwells near his house even for the paschal sacrifice of the [subsequent] generations</w:t>
      </w:r>
      <w:bookmarkStart w:id="12" w:name="_Hlk29297103"/>
      <w:r w:rsidRPr="00136BFF">
        <w:rPr>
          <w:rFonts w:asciiTheme="majorBidi" w:eastAsia="Calibri" w:hAnsiTheme="majorBidi" w:cstheme="majorBidi"/>
          <w:szCs w:val="24"/>
          <w:shd w:val="clear" w:color="auto" w:fill="FFFFFF"/>
        </w:rPr>
        <w:t xml:space="preserve">. </w:t>
      </w:r>
      <w:bookmarkStart w:id="13" w:name="_Hlk534893982"/>
      <w:r w:rsidRPr="00136BFF">
        <w:rPr>
          <w:rFonts w:asciiTheme="majorBidi" w:eastAsia="Calibri" w:hAnsiTheme="majorBidi" w:cstheme="majorBidi"/>
          <w:szCs w:val="24"/>
          <w:shd w:val="clear" w:color="auto" w:fill="FFFFFF"/>
        </w:rPr>
        <w:t xml:space="preserve">“For above all, the Torah spoke only because of the ways of peace </w:t>
      </w:r>
      <w:bookmarkEnd w:id="12"/>
      <w:bookmarkEnd w:id="13"/>
      <w:r w:rsidRPr="00136BFF">
        <w:rPr>
          <w:rFonts w:asciiTheme="majorBidi" w:eastAsia="Calibri" w:hAnsiTheme="majorBidi" w:cstheme="majorBidi"/>
          <w:szCs w:val="24"/>
          <w:shd w:val="clear" w:color="auto" w:fill="FFFFFF"/>
        </w:rPr>
        <w:t xml:space="preserve">[as illustrated here, where the Torah’s intention is] that one should not leave his beloved, his neighbors, acquaintance, close ones, or one of his town’s citizens and go off and perform the paschal sacrifice with others. As to fulfill what </w:t>
      </w:r>
      <w:r w:rsidRPr="00136BFF">
        <w:rPr>
          <w:rFonts w:asciiTheme="majorBidi" w:eastAsia="Calibri" w:hAnsiTheme="majorBidi" w:cstheme="majorBidi"/>
          <w:szCs w:val="24"/>
          <w:shd w:val="clear" w:color="auto" w:fill="FFFFFF"/>
        </w:rPr>
        <w:lastRenderedPageBreak/>
        <w:t xml:space="preserve">Scripture says: </w:t>
      </w:r>
      <w:bookmarkStart w:id="14" w:name="_Hlk535142367"/>
      <w:r w:rsidRPr="00136BFF">
        <w:rPr>
          <w:rFonts w:asciiTheme="majorBidi" w:eastAsia="Calibri" w:hAnsiTheme="majorBidi" w:cstheme="majorBidi"/>
          <w:szCs w:val="24"/>
          <w:shd w:val="clear" w:color="auto" w:fill="FFFFFF"/>
        </w:rPr>
        <w:t>‘A close neighbor is better than a distant brother’”</w:t>
      </w:r>
      <w:bookmarkEnd w:id="14"/>
      <w:r w:rsidRPr="00136BFF">
        <w:rPr>
          <w:rFonts w:asciiTheme="majorBidi" w:eastAsia="Calibri" w:hAnsiTheme="majorBidi" w:cstheme="majorBidi"/>
          <w:szCs w:val="24"/>
          <w:shd w:val="clear" w:color="auto" w:fill="FFFFFF"/>
        </w:rPr>
        <w:t xml:space="preserve"> (Proverbs 27:10).</w:t>
      </w:r>
      <w:r w:rsidRPr="00136BFF">
        <w:rPr>
          <w:rStyle w:val="a5"/>
          <w:rFonts w:asciiTheme="majorBidi" w:eastAsia="Calibri" w:hAnsiTheme="majorBidi" w:cstheme="majorBidi"/>
          <w:szCs w:val="24"/>
          <w:shd w:val="clear" w:color="auto" w:fill="FFFFFF"/>
        </w:rPr>
        <w:footnoteReference w:id="48"/>
      </w:r>
      <w:r w:rsidRPr="00136BFF">
        <w:rPr>
          <w:rFonts w:asciiTheme="majorBidi" w:eastAsia="Calibri" w:hAnsiTheme="majorBidi" w:cstheme="majorBidi"/>
          <w:szCs w:val="24"/>
          <w:shd w:val="clear" w:color="auto" w:fill="FFFFFF"/>
        </w:rPr>
        <w:t xml:space="preserve"> </w:t>
      </w:r>
    </w:p>
    <w:p w14:paraId="5DEAE60F" w14:textId="77777777" w:rsidR="00D77E41" w:rsidRPr="00136BFF" w:rsidRDefault="00D77E41" w:rsidP="00D77E41">
      <w:pPr>
        <w:pStyle w:val="PS"/>
        <w:spacing w:line="480" w:lineRule="auto"/>
        <w:ind w:firstLine="0"/>
        <w:jc w:val="both"/>
        <w:rPr>
          <w:rFonts w:asciiTheme="majorBidi" w:eastAsia="Calibri" w:hAnsiTheme="majorBidi" w:cstheme="majorBidi"/>
          <w:szCs w:val="24"/>
          <w:shd w:val="clear" w:color="auto" w:fill="FFFFFF"/>
        </w:rPr>
      </w:pPr>
      <w:r w:rsidRPr="00136BFF">
        <w:rPr>
          <w:rFonts w:asciiTheme="majorBidi" w:eastAsia="Calibri" w:hAnsiTheme="majorBidi" w:cstheme="majorBidi"/>
          <w:szCs w:val="24"/>
          <w:shd w:val="clear" w:color="auto" w:fill="FFFFFF"/>
        </w:rPr>
        <w:tab/>
        <w:t>The Sages ask to whom the expression “his neighbor who dwells nearby” applies. What troubles them, apparently, is the situation per se and not the wording of the verse. Namely, convening for the paschal meal may result in the exclusion of certain people, precipitating tension and offense. Ben Bag Bag and R. Yehudah ha-Nasi interpret the words as accommodative of different modes of neighborship: “his neighbor in the fields,”</w:t>
      </w:r>
      <w:r w:rsidRPr="00136BFF">
        <w:rPr>
          <w:rFonts w:asciiTheme="majorBidi" w:hAnsiTheme="majorBidi" w:cstheme="majorBidi"/>
          <w:szCs w:val="24"/>
        </w:rPr>
        <w:t xml:space="preserve"> </w:t>
      </w:r>
      <w:r w:rsidRPr="00136BFF">
        <w:rPr>
          <w:rFonts w:asciiTheme="majorBidi" w:eastAsia="Calibri" w:hAnsiTheme="majorBidi" w:cstheme="majorBidi"/>
          <w:szCs w:val="24"/>
          <w:shd w:val="clear" w:color="auto" w:fill="FFFFFF"/>
        </w:rPr>
        <w:t xml:space="preserve">“his neighbor on the roof,” and “he who dwells near his house, close to his door.” However, they resolve the difficulty by having the verse speak of the eating of the paschal sacrifice that took place upon the Exodus and not the </w:t>
      </w:r>
      <w:r w:rsidRPr="00136BFF">
        <w:rPr>
          <w:rFonts w:asciiTheme="majorBidi" w:eastAsia="Calibri" w:hAnsiTheme="majorBidi" w:cstheme="majorBidi"/>
          <w:i/>
          <w:iCs/>
          <w:szCs w:val="24"/>
          <w:shd w:val="clear" w:color="auto" w:fill="FFFFFF"/>
        </w:rPr>
        <w:t>pesaḥ le-dorot,</w:t>
      </w:r>
      <w:r w:rsidRPr="00136BFF">
        <w:rPr>
          <w:rFonts w:asciiTheme="majorBidi" w:eastAsia="Calibri" w:hAnsiTheme="majorBidi" w:cstheme="majorBidi"/>
          <w:szCs w:val="24"/>
          <w:shd w:val="clear" w:color="auto" w:fill="FFFFFF"/>
        </w:rPr>
        <w:t xml:space="preserve"> the regular annual Passover ritual.</w:t>
      </w:r>
      <w:r w:rsidRPr="00136BFF">
        <w:rPr>
          <w:rStyle w:val="a5"/>
          <w:rFonts w:asciiTheme="majorBidi" w:eastAsia="Calibri" w:hAnsiTheme="majorBidi" w:cstheme="majorBidi"/>
          <w:szCs w:val="24"/>
          <w:shd w:val="clear" w:color="auto" w:fill="FFFFFF"/>
        </w:rPr>
        <w:footnoteReference w:id="49"/>
      </w:r>
    </w:p>
    <w:p w14:paraId="1788C197" w14:textId="77777777" w:rsidR="00D77E41" w:rsidRPr="00136BFF" w:rsidRDefault="00D77E41" w:rsidP="00D77E41">
      <w:pPr>
        <w:pStyle w:val="PS"/>
        <w:spacing w:line="480" w:lineRule="auto"/>
        <w:ind w:firstLine="0"/>
        <w:jc w:val="both"/>
        <w:rPr>
          <w:rFonts w:asciiTheme="majorBidi" w:eastAsia="Calibri" w:hAnsiTheme="majorBidi" w:cstheme="majorBidi"/>
          <w:szCs w:val="24"/>
          <w:shd w:val="clear" w:color="auto" w:fill="FFFFFF"/>
        </w:rPr>
      </w:pPr>
      <w:r w:rsidRPr="00136BFF">
        <w:rPr>
          <w:rFonts w:asciiTheme="majorBidi" w:eastAsia="Calibri" w:hAnsiTheme="majorBidi" w:cstheme="majorBidi"/>
          <w:szCs w:val="24"/>
          <w:shd w:val="clear" w:color="auto" w:fill="FFFFFF"/>
        </w:rPr>
        <w:tab/>
        <w:t xml:space="preserve">R. Shimon takes issue with his colleagues, arguing that the commandment also applies to </w:t>
      </w:r>
      <w:r w:rsidRPr="00136BFF">
        <w:rPr>
          <w:rFonts w:asciiTheme="majorBidi" w:eastAsia="Calibri" w:hAnsiTheme="majorBidi" w:cstheme="majorBidi"/>
          <w:i/>
          <w:iCs/>
          <w:szCs w:val="24"/>
          <w:shd w:val="clear" w:color="auto" w:fill="FFFFFF"/>
        </w:rPr>
        <w:t>pesaḥ le-dorot</w:t>
      </w:r>
      <w:r w:rsidRPr="00136BFF">
        <w:rPr>
          <w:rFonts w:asciiTheme="majorBidi" w:eastAsia="Calibri" w:hAnsiTheme="majorBidi" w:cstheme="majorBidi"/>
          <w:szCs w:val="24"/>
          <w:shd w:val="clear" w:color="auto" w:fill="FFFFFF"/>
        </w:rPr>
        <w:t xml:space="preserve">. However, he proposes a different way of resolving the difficulty. The expression “his neighbor,” he says, should be construed inclusively, referring to the individual’s residential environment, i.e., those of his community with whom he interacts on a daily basis—“his beloved, his neighbors, acquaintance, close </w:t>
      </w:r>
      <w:r w:rsidRPr="00136BFF">
        <w:rPr>
          <w:rFonts w:asciiTheme="majorBidi" w:eastAsia="Calibri" w:hAnsiTheme="majorBidi" w:cstheme="majorBidi"/>
          <w:szCs w:val="24"/>
          <w:shd w:val="clear" w:color="auto" w:fill="FFFFFF"/>
        </w:rPr>
        <w:lastRenderedPageBreak/>
        <w:t>ones, or one of his town’s citizens”—as opposed to the inhabitants of another town, whom he calls collectively—in a manifestation of emotional estrangement—“others.” The purpose is to fulfill the adage in Proverbs 27:10: “Better a close neighbor than a distant brother.” Thus R. Shimon transforms the verse from the description of a situation or a point of practical advice in life into a binding norm.</w:t>
      </w:r>
    </w:p>
    <w:p w14:paraId="74778629" w14:textId="77777777" w:rsidR="00D77E41" w:rsidRPr="00136BFF" w:rsidRDefault="00D77E41" w:rsidP="00D77E41">
      <w:pPr>
        <w:pStyle w:val="PS"/>
        <w:spacing w:line="480" w:lineRule="auto"/>
        <w:ind w:firstLine="0"/>
        <w:jc w:val="both"/>
        <w:rPr>
          <w:rFonts w:asciiTheme="majorBidi" w:eastAsia="Calibri" w:hAnsiTheme="majorBidi" w:cstheme="majorBidi"/>
          <w:szCs w:val="24"/>
          <w:shd w:val="clear" w:color="auto" w:fill="FFFFFF"/>
          <w:lang w:bidi="he-IL"/>
        </w:rPr>
      </w:pPr>
      <w:r w:rsidRPr="00136BFF">
        <w:rPr>
          <w:rFonts w:asciiTheme="majorBidi" w:eastAsia="Calibri" w:hAnsiTheme="majorBidi" w:cstheme="majorBidi"/>
          <w:szCs w:val="24"/>
          <w:shd w:val="clear" w:color="auto" w:fill="FFFFFF"/>
        </w:rPr>
        <w:tab/>
      </w:r>
      <w:r w:rsidRPr="00136BFF">
        <w:rPr>
          <w:rFonts w:asciiTheme="majorBidi" w:eastAsia="Calibri" w:hAnsiTheme="majorBidi" w:cstheme="majorBidi"/>
          <w:szCs w:val="24"/>
          <w:shd w:val="clear" w:color="auto" w:fill="FFFFFF"/>
          <w:lang w:bidi="he-IL"/>
        </w:rPr>
        <w:t>It should be noted that R. Shimon’s exegesis also appears in T. Pesaḥim 8:13. There it appears without the rationale of “For above all, the Torah spoke only because of the ways of peace” and is more concise than the version in the Mekhilta:</w:t>
      </w:r>
    </w:p>
    <w:p w14:paraId="2862B79A" w14:textId="77777777" w:rsidR="00D77E41" w:rsidRPr="00136BFF" w:rsidRDefault="00D77E41" w:rsidP="00D77E41">
      <w:pPr>
        <w:pStyle w:val="PS"/>
        <w:spacing w:line="480" w:lineRule="auto"/>
        <w:ind w:left="1008" w:firstLine="0"/>
        <w:jc w:val="both"/>
        <w:rPr>
          <w:rFonts w:asciiTheme="majorBidi" w:eastAsia="Calibri" w:hAnsiTheme="majorBidi" w:cstheme="majorBidi"/>
          <w:szCs w:val="24"/>
          <w:shd w:val="clear" w:color="auto" w:fill="FFFFFF"/>
          <w:lang w:bidi="he-IL"/>
        </w:rPr>
      </w:pPr>
      <w:r w:rsidRPr="00136BFF">
        <w:rPr>
          <w:rFonts w:asciiTheme="majorBidi" w:eastAsia="Calibri" w:hAnsiTheme="majorBidi" w:cstheme="majorBidi"/>
          <w:szCs w:val="24"/>
          <w:shd w:val="clear" w:color="auto" w:fill="FFFFFF"/>
          <w:lang w:bidi="he-IL"/>
        </w:rPr>
        <w:t xml:space="preserve">R. Shimon says, “I say, ‘Also in regard to the Passover observed by the coming generations the same thing is stated.’ </w:t>
      </w:r>
    </w:p>
    <w:p w14:paraId="6E2A4737" w14:textId="77777777" w:rsidR="00D77E41" w:rsidRPr="00136BFF" w:rsidRDefault="00D77E41" w:rsidP="00D77E41">
      <w:pPr>
        <w:pStyle w:val="PS"/>
        <w:spacing w:line="480" w:lineRule="auto"/>
        <w:ind w:left="1008" w:firstLine="0"/>
        <w:jc w:val="both"/>
        <w:rPr>
          <w:rFonts w:asciiTheme="majorBidi" w:eastAsia="Calibri" w:hAnsiTheme="majorBidi" w:cstheme="majorBidi"/>
          <w:szCs w:val="24"/>
          <w:shd w:val="clear" w:color="auto" w:fill="FFFFFF"/>
          <w:lang w:bidi="he-IL"/>
        </w:rPr>
      </w:pPr>
      <w:r w:rsidRPr="00136BFF">
        <w:rPr>
          <w:rFonts w:asciiTheme="majorBidi" w:eastAsia="Calibri" w:hAnsiTheme="majorBidi" w:cstheme="majorBidi"/>
          <w:szCs w:val="24"/>
          <w:shd w:val="clear" w:color="auto" w:fill="FFFFFF"/>
          <w:lang w:bidi="he-IL"/>
        </w:rPr>
        <w:t>And why is all this so?</w:t>
      </w:r>
    </w:p>
    <w:p w14:paraId="66FAF2A1" w14:textId="77777777" w:rsidR="00D77E41" w:rsidRPr="00136BFF" w:rsidRDefault="00D77E41" w:rsidP="00D77E41">
      <w:pPr>
        <w:pStyle w:val="PS"/>
        <w:spacing w:line="480" w:lineRule="auto"/>
        <w:ind w:left="1008" w:firstLine="0"/>
        <w:jc w:val="both"/>
        <w:rPr>
          <w:rFonts w:asciiTheme="majorBidi" w:eastAsia="Calibri" w:hAnsiTheme="majorBidi" w:cstheme="majorBidi"/>
          <w:szCs w:val="24"/>
          <w:shd w:val="clear" w:color="auto" w:fill="FFFFFF"/>
          <w:lang w:bidi="he-IL"/>
        </w:rPr>
      </w:pPr>
      <w:r w:rsidRPr="00136BFF">
        <w:rPr>
          <w:rFonts w:asciiTheme="majorBidi" w:eastAsia="Calibri" w:hAnsiTheme="majorBidi" w:cstheme="majorBidi"/>
          <w:szCs w:val="24"/>
          <w:shd w:val="clear" w:color="auto" w:fill="FFFFFF"/>
          <w:lang w:bidi="he-IL"/>
        </w:rPr>
        <w:t xml:space="preserve">So that a man should not leave his neighbor, who lives next door, and go and prepare his Passover-offering with his friends. Thus is fulfilled the following verse: </w:t>
      </w:r>
      <w:r w:rsidRPr="00136BFF">
        <w:rPr>
          <w:rFonts w:asciiTheme="majorBidi" w:eastAsia="Calibri" w:hAnsiTheme="majorBidi" w:cstheme="majorBidi"/>
          <w:szCs w:val="24"/>
          <w:shd w:val="clear" w:color="auto" w:fill="FFFFFF"/>
        </w:rPr>
        <w:t>Better a close neighbor than a distant brother</w:t>
      </w:r>
      <w:r w:rsidRPr="00136BFF">
        <w:rPr>
          <w:rFonts w:asciiTheme="majorBidi" w:eastAsia="Calibri" w:hAnsiTheme="majorBidi" w:cstheme="majorBidi"/>
          <w:i/>
          <w:iCs/>
          <w:szCs w:val="24"/>
          <w:shd w:val="clear" w:color="auto" w:fill="FFFFFF"/>
        </w:rPr>
        <w:t xml:space="preserve"> </w:t>
      </w:r>
      <w:r w:rsidRPr="00136BFF">
        <w:rPr>
          <w:rFonts w:asciiTheme="majorBidi" w:eastAsia="Calibri" w:hAnsiTheme="majorBidi" w:cstheme="majorBidi"/>
          <w:szCs w:val="24"/>
          <w:shd w:val="clear" w:color="auto" w:fill="FFFFFF"/>
          <w:lang w:bidi="he-IL"/>
        </w:rPr>
        <w:t>[Proverbs 27:1].”</w:t>
      </w:r>
      <w:r w:rsidRPr="00136BFF">
        <w:rPr>
          <w:rStyle w:val="a5"/>
          <w:rFonts w:asciiTheme="majorBidi" w:eastAsia="Calibri" w:hAnsiTheme="majorBidi" w:cstheme="majorBidi"/>
          <w:szCs w:val="24"/>
          <w:shd w:val="clear" w:color="auto" w:fill="FFFFFF"/>
          <w:lang w:bidi="he-IL"/>
        </w:rPr>
        <w:footnoteReference w:id="50"/>
      </w:r>
    </w:p>
    <w:p w14:paraId="443AE8D3" w14:textId="764BCCAD" w:rsidR="00D77E41" w:rsidRDefault="00D77E41" w:rsidP="00B60348">
      <w:pPr>
        <w:pStyle w:val="PS"/>
        <w:spacing w:line="480" w:lineRule="auto"/>
        <w:ind w:firstLine="0"/>
        <w:jc w:val="both"/>
        <w:rPr>
          <w:rFonts w:asciiTheme="majorBidi" w:eastAsia="Calibri" w:hAnsiTheme="majorBidi" w:cstheme="majorBidi"/>
          <w:szCs w:val="24"/>
        </w:rPr>
      </w:pPr>
      <w:r w:rsidRPr="00136BFF">
        <w:rPr>
          <w:rFonts w:asciiTheme="majorBidi" w:eastAsia="Calibri" w:hAnsiTheme="majorBidi" w:cstheme="majorBidi"/>
          <w:szCs w:val="24"/>
          <w:shd w:val="clear" w:color="auto" w:fill="FFFFFF"/>
          <w:lang w:bidi="he-IL"/>
        </w:rPr>
        <w:tab/>
        <w:t>Rabbi Shimon’s dictum here is linked closely to</w:t>
      </w:r>
      <w:r w:rsidRPr="00136BFF">
        <w:rPr>
          <w:rFonts w:asciiTheme="majorBidi" w:hAnsiTheme="majorBidi" w:cstheme="majorBidi"/>
          <w:szCs w:val="24"/>
        </w:rPr>
        <w:t xml:space="preserve"> </w:t>
      </w:r>
      <w:r w:rsidRPr="00136BFF">
        <w:rPr>
          <w:rFonts w:asciiTheme="majorBidi" w:eastAsia="Calibri" w:hAnsiTheme="majorBidi" w:cstheme="majorBidi"/>
          <w:szCs w:val="24"/>
          <w:shd w:val="clear" w:color="auto" w:fill="FFFFFF"/>
          <w:lang w:bidi="he-IL"/>
        </w:rPr>
        <w:t>the version of the expression “his neighbor” that is contrasted to “his friend.” The question “and why is all this so?” is used to introduce the reasoning behind the interruption: “so that a man should not leave […].” In contrast to the Tosefta, the text of the Mekhlita, cited above, expands the word “neighbor” into a category that includes, as we have seen, all members of the community.</w:t>
      </w:r>
      <w:r w:rsidRPr="00136BFF">
        <w:rPr>
          <w:rFonts w:asciiTheme="majorBidi" w:eastAsia="Calibri" w:hAnsiTheme="majorBidi" w:cstheme="majorBidi"/>
          <w:szCs w:val="24"/>
          <w:shd w:val="clear" w:color="auto" w:fill="FFFFFF"/>
        </w:rPr>
        <w:t xml:space="preserve"> In addition, between R. Shimon’s statement that the commandment also applies to </w:t>
      </w:r>
      <w:r w:rsidRPr="00136BFF">
        <w:rPr>
          <w:rFonts w:asciiTheme="majorBidi" w:eastAsia="Calibri" w:hAnsiTheme="majorBidi" w:cstheme="majorBidi"/>
          <w:i/>
          <w:iCs/>
          <w:szCs w:val="24"/>
          <w:shd w:val="clear" w:color="auto" w:fill="FFFFFF"/>
        </w:rPr>
        <w:t>pesaḥ le-dorot</w:t>
      </w:r>
      <w:r w:rsidRPr="00136BFF">
        <w:rPr>
          <w:rFonts w:asciiTheme="majorBidi" w:eastAsia="Calibri" w:hAnsiTheme="majorBidi" w:cstheme="majorBidi"/>
          <w:szCs w:val="24"/>
        </w:rPr>
        <w:t xml:space="preserve"> and the exegetical treatment of the expression “his neighbor” </w:t>
      </w:r>
      <w:r w:rsidRPr="00136BFF">
        <w:rPr>
          <w:rFonts w:asciiTheme="majorBidi" w:eastAsia="Calibri" w:hAnsiTheme="majorBidi" w:cstheme="majorBidi"/>
          <w:szCs w:val="24"/>
        </w:rPr>
        <w:lastRenderedPageBreak/>
        <w:t xml:space="preserve">as an argument of principle, </w:t>
      </w:r>
      <w:r w:rsidRPr="00136BFF">
        <w:rPr>
          <w:rFonts w:asciiTheme="majorBidi" w:eastAsia="Calibri" w:hAnsiTheme="majorBidi" w:cstheme="majorBidi"/>
          <w:szCs w:val="24"/>
          <w:shd w:val="clear" w:color="auto" w:fill="FFFFFF"/>
        </w:rPr>
        <w:t xml:space="preserve">the Mekhilta </w:t>
      </w:r>
      <w:r w:rsidRPr="00136BFF">
        <w:rPr>
          <w:rFonts w:asciiTheme="majorBidi" w:eastAsia="Calibri" w:hAnsiTheme="majorBidi" w:cstheme="majorBidi"/>
          <w:szCs w:val="24"/>
        </w:rPr>
        <w:t xml:space="preserve">establishes the exegesis as such, and its support in Proverbs, as part of the purpose of the entire Torah: “For above all […].” Here, evidently, is another case akin to those presented by Liora </w:t>
      </w:r>
      <w:r w:rsidRPr="00136BFF">
        <w:rPr>
          <w:rFonts w:asciiTheme="majorBidi" w:eastAsia="Calibri" w:hAnsiTheme="majorBidi" w:cstheme="majorBidi"/>
          <w:szCs w:val="24"/>
          <w:lang w:bidi="he-IL"/>
        </w:rPr>
        <w:t xml:space="preserve">Elias Bar-Levav, </w:t>
      </w:r>
      <w:r w:rsidRPr="00136BFF">
        <w:rPr>
          <w:rFonts w:asciiTheme="majorBidi" w:eastAsia="Calibri" w:hAnsiTheme="majorBidi" w:cstheme="majorBidi"/>
          <w:szCs w:val="24"/>
        </w:rPr>
        <w:t xml:space="preserve">in which the redactor of the </w:t>
      </w:r>
      <w:r w:rsidRPr="00136BFF">
        <w:rPr>
          <w:rFonts w:asciiTheme="majorBidi" w:eastAsia="Calibri" w:hAnsiTheme="majorBidi" w:cstheme="majorBidi"/>
          <w:szCs w:val="24"/>
          <w:lang w:bidi="he-IL"/>
        </w:rPr>
        <w:t>M</w:t>
      </w:r>
      <w:r w:rsidRPr="00136BFF">
        <w:rPr>
          <w:rFonts w:asciiTheme="majorBidi" w:eastAsia="Calibri" w:hAnsiTheme="majorBidi" w:cstheme="majorBidi"/>
          <w:szCs w:val="24"/>
        </w:rPr>
        <w:t>ekhilta takes a</w:t>
      </w:r>
      <w:r w:rsidRPr="00136BFF">
        <w:rPr>
          <w:rFonts w:asciiTheme="majorBidi" w:hAnsiTheme="majorBidi" w:cstheme="majorBidi"/>
          <w:szCs w:val="24"/>
        </w:rPr>
        <w:t xml:space="preserve"> </w:t>
      </w:r>
      <w:r w:rsidRPr="00136BFF">
        <w:rPr>
          <w:rFonts w:asciiTheme="majorBidi" w:eastAsia="Calibri" w:hAnsiTheme="majorBidi" w:cstheme="majorBidi"/>
          <w:szCs w:val="24"/>
        </w:rPr>
        <w:t>tradition in his possession—in the Tosefta—and reworks it according to his worldview.</w:t>
      </w:r>
      <w:r w:rsidRPr="00136BFF">
        <w:rPr>
          <w:rStyle w:val="a5"/>
          <w:rFonts w:asciiTheme="majorBidi" w:eastAsia="Calibri" w:hAnsiTheme="majorBidi" w:cstheme="majorBidi"/>
          <w:szCs w:val="24"/>
        </w:rPr>
        <w:footnoteReference w:id="51"/>
      </w:r>
      <w:r w:rsidRPr="00136BFF">
        <w:rPr>
          <w:rFonts w:asciiTheme="majorBidi" w:eastAsia="Calibri" w:hAnsiTheme="majorBidi" w:cstheme="majorBidi"/>
          <w:szCs w:val="24"/>
        </w:rPr>
        <w:t xml:space="preserve"> First, he combines the expression “And why is all this so?” with another locution in the Talmudic literature—“the </w:t>
      </w:r>
      <w:r w:rsidRPr="00136BFF">
        <w:rPr>
          <w:rFonts w:asciiTheme="majorBidi" w:eastAsia="Calibri" w:hAnsiTheme="majorBidi" w:cstheme="majorBidi"/>
          <w:szCs w:val="24"/>
          <w:lang w:bidi="he-IL"/>
        </w:rPr>
        <w:t>verse/Mishnah/Rabbi […]</w:t>
      </w:r>
      <w:r>
        <w:rPr>
          <w:rFonts w:asciiTheme="majorBidi" w:eastAsia="Calibri" w:hAnsiTheme="majorBidi" w:cstheme="majorBidi"/>
          <w:szCs w:val="24"/>
        </w:rPr>
        <w:t xml:space="preserve"> </w:t>
      </w:r>
      <w:r w:rsidRPr="00136BFF">
        <w:rPr>
          <w:rFonts w:asciiTheme="majorBidi" w:eastAsia="Calibri" w:hAnsiTheme="majorBidi" w:cstheme="majorBidi"/>
          <w:szCs w:val="24"/>
        </w:rPr>
        <w:t xml:space="preserve">did not speak but…” </w:t>
      </w:r>
      <w:r w:rsidRPr="00136BFF">
        <w:rPr>
          <w:rFonts w:asciiTheme="majorBidi" w:eastAsia="Calibri" w:hAnsiTheme="majorBidi" w:cstheme="majorBidi"/>
          <w:szCs w:val="24"/>
          <w:lang w:bidi="he-IL"/>
        </w:rPr>
        <w:t>which usually reduces the meaning of the verse “to this case only”</w:t>
      </w:r>
      <w:r w:rsidRPr="00136BFF">
        <w:rPr>
          <w:rStyle w:val="a5"/>
          <w:rFonts w:asciiTheme="majorBidi" w:eastAsia="Calibri" w:hAnsiTheme="majorBidi" w:cstheme="majorBidi"/>
          <w:szCs w:val="24"/>
          <w:lang w:bidi="he-IL"/>
        </w:rPr>
        <w:footnoteReference w:id="52"/>
      </w:r>
      <w:r w:rsidRPr="00136BFF">
        <w:rPr>
          <w:rFonts w:asciiTheme="majorBidi" w:eastAsia="Calibri" w:hAnsiTheme="majorBidi" w:cstheme="majorBidi"/>
          <w:szCs w:val="24"/>
        </w:rPr>
        <w:t xml:space="preserve"> while converting the word of the source into the word “Torah.” Second, he expands the word “neighbor,” elaborates on it in various ways, and turns it into a category: “community.” Therefore, it appears that R. Shimon's granular homily omits the sentence “For above all, the Torah spoke only because of the ways of peace.</w:t>
      </w:r>
      <w:r w:rsidRPr="00136BFF">
        <w:rPr>
          <w:rFonts w:asciiTheme="majorBidi" w:eastAsia="Calibri" w:hAnsiTheme="majorBidi" w:cstheme="majorBidi"/>
          <w:szCs w:val="24"/>
          <w:lang w:bidi="he-IL"/>
        </w:rPr>
        <w:t>”</w:t>
      </w:r>
      <w:r w:rsidRPr="00136BFF">
        <w:rPr>
          <w:rFonts w:asciiTheme="majorBidi" w:eastAsia="Calibri" w:hAnsiTheme="majorBidi" w:cstheme="majorBidi"/>
          <w:szCs w:val="24"/>
        </w:rPr>
        <w:t xml:space="preserve"> To the best of my understanding, the redaction </w:t>
      </w:r>
      <w:r w:rsidRPr="00136BFF">
        <w:rPr>
          <w:rFonts w:asciiTheme="majorBidi" w:eastAsia="Calibri" w:hAnsiTheme="majorBidi" w:cstheme="majorBidi"/>
          <w:szCs w:val="24"/>
          <w:lang w:bidi="he-IL"/>
        </w:rPr>
        <w:t xml:space="preserve">changes the common meaning of the term ‘[the verse] did not speak but [that…]” and invests the exegesis with </w:t>
      </w:r>
      <w:r w:rsidRPr="00136BFF">
        <w:rPr>
          <w:rFonts w:asciiTheme="majorBidi" w:eastAsia="Calibri" w:hAnsiTheme="majorBidi" w:cstheme="majorBidi"/>
          <w:szCs w:val="24"/>
        </w:rPr>
        <w:t>a broader and more radical meaning. The new assertion, which turns the gaze from a specific verse (in Proverbs) to the entire work (the Torah) and from a specific rule (on how to celebrate Passover) to the ultimate goal of all the Torah’s commandments, reflects a new and positive perspective, perhaps even a meta-halakhic one, on the concept of “ways of peace.” seeing it as a crucial fundament for the society that the Torah seeks to establish.</w:t>
      </w:r>
    </w:p>
    <w:p w14:paraId="541DFB51" w14:textId="071E2399" w:rsidR="00B56761" w:rsidRDefault="00B56761" w:rsidP="00B56761">
      <w:pPr>
        <w:pStyle w:val="PS"/>
        <w:bidi/>
        <w:spacing w:line="480" w:lineRule="auto"/>
        <w:ind w:firstLine="283"/>
        <w:jc w:val="both"/>
        <w:rPr>
          <w:rFonts w:ascii="David" w:eastAsia="Calibri" w:hAnsi="David" w:cs="David"/>
          <w:szCs w:val="24"/>
          <w:rtl/>
          <w:lang w:bidi="he-IL"/>
        </w:rPr>
      </w:pPr>
      <w:r>
        <w:rPr>
          <w:rFonts w:ascii="David" w:eastAsia="Calibri" w:hAnsi="David" w:cs="David" w:hint="cs"/>
          <w:szCs w:val="24"/>
          <w:rtl/>
          <w:lang w:bidi="he-IL"/>
        </w:rPr>
        <w:t xml:space="preserve">דוגמה נוספת לגישה </w:t>
      </w:r>
      <w:r w:rsidR="00D30B36">
        <w:rPr>
          <w:rFonts w:ascii="David" w:eastAsia="Calibri" w:hAnsi="David" w:cs="David" w:hint="cs"/>
          <w:szCs w:val="24"/>
          <w:rtl/>
          <w:lang w:bidi="he-IL"/>
        </w:rPr>
        <w:t xml:space="preserve">פוזיטיבית </w:t>
      </w:r>
      <w:r>
        <w:rPr>
          <w:rFonts w:ascii="David" w:eastAsia="Calibri" w:hAnsi="David" w:cs="David" w:hint="cs"/>
          <w:szCs w:val="24"/>
          <w:rtl/>
          <w:lang w:bidi="he-IL"/>
        </w:rPr>
        <w:t>ניתן לראות</w:t>
      </w:r>
      <w:r w:rsidR="00B72B2F">
        <w:rPr>
          <w:rFonts w:ascii="David" w:eastAsia="Calibri" w:hAnsi="David" w:cs="David" w:hint="cs"/>
          <w:szCs w:val="24"/>
          <w:rtl/>
          <w:lang w:bidi="he-IL"/>
        </w:rPr>
        <w:t xml:space="preserve"> שוב בהקשר של עירוב חצרות</w:t>
      </w:r>
      <w:r>
        <w:rPr>
          <w:rFonts w:ascii="David" w:eastAsia="Calibri" w:hAnsi="David" w:cs="David" w:hint="cs"/>
          <w:szCs w:val="24"/>
          <w:rtl/>
          <w:lang w:bidi="he-IL"/>
        </w:rPr>
        <w:t>.</w:t>
      </w:r>
      <w:r w:rsidR="00451286">
        <w:rPr>
          <w:rFonts w:ascii="David" w:eastAsia="Calibri" w:hAnsi="David" w:cs="David" w:hint="cs"/>
          <w:szCs w:val="24"/>
          <w:rtl/>
          <w:lang w:bidi="he-IL"/>
        </w:rPr>
        <w:t xml:space="preserve"> </w:t>
      </w:r>
      <w:r w:rsidR="00BE0B68">
        <w:rPr>
          <w:rFonts w:ascii="David" w:eastAsia="Calibri" w:hAnsi="David" w:cs="David" w:hint="cs"/>
          <w:szCs w:val="24"/>
          <w:rtl/>
          <w:lang w:bidi="he-IL"/>
        </w:rPr>
        <w:t xml:space="preserve">כאן נראה </w:t>
      </w:r>
      <w:r>
        <w:rPr>
          <w:rFonts w:ascii="David" w:eastAsia="Calibri" w:hAnsi="David" w:cs="David" w:hint="cs"/>
          <w:szCs w:val="24"/>
          <w:rtl/>
          <w:lang w:bidi="he-IL"/>
        </w:rPr>
        <w:t>טענה מרחיקת לכת</w:t>
      </w:r>
      <w:r w:rsidR="00D30B36">
        <w:rPr>
          <w:rFonts w:ascii="David" w:eastAsia="Calibri" w:hAnsi="David" w:cs="David" w:hint="cs"/>
          <w:szCs w:val="24"/>
          <w:rtl/>
          <w:lang w:bidi="he-IL"/>
        </w:rPr>
        <w:t>,</w:t>
      </w:r>
      <w:r>
        <w:rPr>
          <w:rFonts w:ascii="David" w:eastAsia="Calibri" w:hAnsi="David" w:cs="David" w:hint="cs"/>
          <w:szCs w:val="24"/>
          <w:rtl/>
          <w:lang w:bidi="he-IL"/>
        </w:rPr>
        <w:t xml:space="preserve"> לפיה מטרתו של עירוב חצרות איננו שמירת השבת דווקא, אלא יצירת הזדמנויות </w:t>
      </w:r>
      <w:r>
        <w:rPr>
          <w:rFonts w:ascii="David" w:eastAsia="Calibri" w:hAnsi="David" w:cs="David" w:hint="cs"/>
          <w:szCs w:val="24"/>
          <w:rtl/>
          <w:lang w:bidi="he-IL"/>
        </w:rPr>
        <w:lastRenderedPageBreak/>
        <w:t xml:space="preserve">לתיקון יחסים עכורים בין שכנים. </w:t>
      </w:r>
      <w:r w:rsidR="00BE0B68">
        <w:rPr>
          <w:rFonts w:ascii="David" w:eastAsia="Calibri" w:hAnsi="David" w:cs="David" w:hint="cs"/>
          <w:szCs w:val="24"/>
          <w:rtl/>
          <w:lang w:bidi="he-IL"/>
        </w:rPr>
        <w:t xml:space="preserve">בתלמוד הירושלמי נמצאת </w:t>
      </w:r>
      <w:r w:rsidR="008F4F3D">
        <w:rPr>
          <w:rFonts w:ascii="David" w:eastAsia="Calibri" w:hAnsi="David" w:cs="David" w:hint="cs"/>
          <w:szCs w:val="24"/>
          <w:rtl/>
          <w:lang w:bidi="he-IL"/>
        </w:rPr>
        <w:t>סוגיה</w:t>
      </w:r>
      <w:r w:rsidR="00827336">
        <w:rPr>
          <w:rFonts w:ascii="David" w:eastAsia="Calibri" w:hAnsi="David" w:cs="David" w:hint="cs"/>
          <w:szCs w:val="24"/>
          <w:rtl/>
          <w:lang w:bidi="he-IL"/>
        </w:rPr>
        <w:t>,</w:t>
      </w:r>
      <w:r w:rsidR="008F4F3D">
        <w:rPr>
          <w:rFonts w:ascii="David" w:eastAsia="Calibri" w:hAnsi="David" w:cs="David" w:hint="cs"/>
          <w:szCs w:val="24"/>
          <w:rtl/>
          <w:lang w:bidi="he-IL"/>
        </w:rPr>
        <w:t xml:space="preserve"> </w:t>
      </w:r>
      <w:r w:rsidR="00BE0B68">
        <w:rPr>
          <w:rFonts w:ascii="David" w:eastAsia="Calibri" w:hAnsi="David" w:cs="David" w:hint="cs"/>
          <w:szCs w:val="24"/>
          <w:rtl/>
          <w:lang w:bidi="he-IL"/>
        </w:rPr>
        <w:t>ש</w:t>
      </w:r>
      <w:r w:rsidR="00C50BB0">
        <w:rPr>
          <w:rFonts w:ascii="David" w:eastAsia="Calibri" w:hAnsi="David" w:cs="David" w:hint="cs"/>
          <w:szCs w:val="24"/>
          <w:rtl/>
          <w:lang w:bidi="he-IL"/>
        </w:rPr>
        <w:t xml:space="preserve">מוסבת על משנה במסכת עירובין </w:t>
      </w:r>
      <w:r>
        <w:rPr>
          <w:rFonts w:ascii="David" w:eastAsia="Calibri" w:hAnsi="David" w:cs="David" w:hint="cs"/>
          <w:szCs w:val="24"/>
          <w:rtl/>
          <w:lang w:bidi="he-IL"/>
        </w:rPr>
        <w:t xml:space="preserve"> </w:t>
      </w:r>
      <w:r w:rsidR="001E2734">
        <w:rPr>
          <w:rFonts w:ascii="David" w:eastAsia="Calibri" w:hAnsi="David" w:cs="David" w:hint="cs"/>
          <w:szCs w:val="24"/>
          <w:rtl/>
          <w:lang w:bidi="he-IL"/>
        </w:rPr>
        <w:t>ג ב</w:t>
      </w:r>
      <w:r w:rsidR="00CE4998">
        <w:rPr>
          <w:rFonts w:ascii="David" w:eastAsia="Calibri" w:hAnsi="David" w:cs="David" w:hint="cs"/>
          <w:szCs w:val="24"/>
          <w:rtl/>
          <w:lang w:bidi="he-IL"/>
        </w:rPr>
        <w:t xml:space="preserve">, ויש לה נגיעה הן לדיני העירוב הן לדיני הקניין שעסקנו בהם בסעיף הקודם. </w:t>
      </w:r>
      <w:r w:rsidR="00CA5131">
        <w:rPr>
          <w:rFonts w:ascii="David" w:eastAsia="Calibri" w:hAnsi="David" w:cs="David" w:hint="cs"/>
          <w:szCs w:val="24"/>
          <w:rtl/>
          <w:lang w:bidi="he-IL"/>
        </w:rPr>
        <w:t xml:space="preserve">המשנה </w:t>
      </w:r>
      <w:r w:rsidR="00CE4998">
        <w:rPr>
          <w:rFonts w:ascii="David" w:eastAsia="Calibri" w:hAnsi="David" w:cs="David" w:hint="cs"/>
          <w:szCs w:val="24"/>
          <w:rtl/>
          <w:lang w:bidi="he-IL"/>
        </w:rPr>
        <w:t>שונה כך</w:t>
      </w:r>
      <w:r w:rsidR="001E2734">
        <w:rPr>
          <w:rFonts w:ascii="David" w:eastAsia="Calibri" w:hAnsi="David" w:cs="David" w:hint="cs"/>
          <w:szCs w:val="24"/>
          <w:rtl/>
          <w:lang w:bidi="he-IL"/>
        </w:rPr>
        <w:t>:</w:t>
      </w:r>
    </w:p>
    <w:p w14:paraId="42270E36" w14:textId="77777777" w:rsidR="00860D61" w:rsidRPr="00AC6B0A" w:rsidRDefault="00860D61" w:rsidP="00860D61">
      <w:pPr>
        <w:pStyle w:val="PS"/>
        <w:spacing w:line="480" w:lineRule="auto"/>
        <w:ind w:left="283" w:firstLine="0"/>
      </w:pPr>
      <w:r w:rsidRPr="00AC6B0A">
        <w:t xml:space="preserve">[If] one sends his </w:t>
      </w:r>
      <w:r w:rsidRPr="00AC6B0A">
        <w:rPr>
          <w:i/>
          <w:iCs/>
        </w:rPr>
        <w:t>eiruv</w:t>
      </w:r>
      <w:r w:rsidRPr="00AC6B0A">
        <w:t xml:space="preserve"> in the hands of a deaf-mute, an imbecile, or a minor or in the hands of one who does not accept [the principle of] </w:t>
      </w:r>
      <w:r w:rsidRPr="00AC6B0A">
        <w:rPr>
          <w:i/>
          <w:iCs/>
        </w:rPr>
        <w:t>eiruv</w:t>
      </w:r>
      <w:r w:rsidRPr="00AC6B0A">
        <w:t xml:space="preserve">, it is not [a valid] </w:t>
      </w:r>
      <w:r w:rsidRPr="00AC6B0A">
        <w:rPr>
          <w:i/>
          <w:iCs/>
        </w:rPr>
        <w:t>eiruv</w:t>
      </w:r>
      <w:r w:rsidRPr="00AC6B0A">
        <w:t xml:space="preserve">. </w:t>
      </w:r>
    </w:p>
    <w:p w14:paraId="6DADD881" w14:textId="1ED19FE3" w:rsidR="001E2734" w:rsidRDefault="00860D61" w:rsidP="00860D61">
      <w:pPr>
        <w:pStyle w:val="PS"/>
        <w:spacing w:line="480" w:lineRule="auto"/>
        <w:ind w:left="283" w:firstLine="0"/>
        <w:rPr>
          <w:rFonts w:asciiTheme="minorHAnsi" w:eastAsia="Calibri" w:hAnsiTheme="minorHAnsi" w:cs="David"/>
          <w:szCs w:val="24"/>
          <w:lang w:bidi="he-IL"/>
        </w:rPr>
      </w:pPr>
      <w:r w:rsidRPr="00AC6B0A">
        <w:t xml:space="preserve">[But] if one told another to receive it from him it is a [valid] </w:t>
      </w:r>
      <w:r w:rsidRPr="00AC6B0A">
        <w:rPr>
          <w:i/>
          <w:iCs/>
        </w:rPr>
        <w:t>eiruv</w:t>
      </w:r>
      <w:r w:rsidRPr="00AC6B0A">
        <w:t>.</w:t>
      </w:r>
    </w:p>
    <w:p w14:paraId="6AEF794A" w14:textId="77777777" w:rsidR="00AC6B0A" w:rsidRPr="00AC6B0A" w:rsidRDefault="00AC6B0A" w:rsidP="00860D61">
      <w:pPr>
        <w:pStyle w:val="PS"/>
        <w:spacing w:line="480" w:lineRule="auto"/>
        <w:ind w:left="283" w:firstLine="0"/>
        <w:rPr>
          <w:rFonts w:asciiTheme="minorHAnsi" w:eastAsia="Calibri" w:hAnsiTheme="minorHAnsi" w:cs="David"/>
          <w:szCs w:val="24"/>
          <w:lang w:bidi="he-IL"/>
        </w:rPr>
      </w:pPr>
    </w:p>
    <w:p w14:paraId="0447492D" w14:textId="4B3F1AEF" w:rsidR="00CA5131" w:rsidRDefault="00A8316F" w:rsidP="00443ABF">
      <w:pPr>
        <w:pStyle w:val="PS"/>
        <w:tabs>
          <w:tab w:val="left" w:pos="720"/>
          <w:tab w:val="left" w:pos="5220"/>
        </w:tabs>
        <w:bidi/>
        <w:spacing w:line="480" w:lineRule="auto"/>
        <w:ind w:firstLine="0"/>
        <w:jc w:val="both"/>
        <w:rPr>
          <w:rFonts w:ascii="David" w:hAnsi="David" w:cs="David"/>
          <w:szCs w:val="24"/>
          <w:rtl/>
          <w:lang w:bidi="he-IL"/>
        </w:rPr>
      </w:pPr>
      <w:r>
        <w:rPr>
          <w:rFonts w:ascii="David" w:hAnsi="David" w:cs="David" w:hint="cs"/>
          <w:szCs w:val="24"/>
          <w:rtl/>
          <w:lang w:bidi="he-IL"/>
        </w:rPr>
        <w:t>משנה זו מדגימה את המציאות שבה לא כל הקהילה היהודית הי</w:t>
      </w:r>
      <w:r w:rsidR="00CA5131">
        <w:rPr>
          <w:rFonts w:ascii="David" w:hAnsi="David" w:cs="David" w:hint="cs"/>
          <w:szCs w:val="24"/>
          <w:rtl/>
          <w:lang w:bidi="he-IL"/>
        </w:rPr>
        <w:t>י</w:t>
      </w:r>
      <w:r>
        <w:rPr>
          <w:rFonts w:ascii="David" w:hAnsi="David" w:cs="David" w:hint="cs"/>
          <w:szCs w:val="24"/>
          <w:rtl/>
          <w:lang w:bidi="he-IL"/>
        </w:rPr>
        <w:t xml:space="preserve">תה שותפה לחכמים בהסכמה לפתרון ההלכתי של העירוב. </w:t>
      </w:r>
      <w:r w:rsidR="00CA5131">
        <w:rPr>
          <w:rFonts w:ascii="David" w:hAnsi="David" w:cs="David" w:hint="cs"/>
          <w:szCs w:val="24"/>
          <w:rtl/>
          <w:lang w:bidi="he-IL"/>
        </w:rPr>
        <w:t>הדבר עולה מן ה</w:t>
      </w:r>
      <w:r w:rsidR="00271F4C">
        <w:rPr>
          <w:rFonts w:ascii="David" w:hAnsi="David" w:cs="David" w:hint="cs"/>
          <w:szCs w:val="24"/>
          <w:rtl/>
          <w:lang w:bidi="he-IL"/>
        </w:rPr>
        <w:t>הגדרה</w:t>
      </w:r>
      <w:r w:rsidR="00CA5131">
        <w:rPr>
          <w:rFonts w:ascii="David" w:hAnsi="David" w:cs="David" w:hint="cs"/>
          <w:szCs w:val="24"/>
          <w:rtl/>
          <w:lang w:bidi="he-IL"/>
        </w:rPr>
        <w:t xml:space="preserve"> </w:t>
      </w:r>
    </w:p>
    <w:p w14:paraId="45D1C5FE" w14:textId="2774A71B" w:rsidR="00CA5131" w:rsidRPr="00CA5131" w:rsidRDefault="00CA5131" w:rsidP="00A8316F">
      <w:pPr>
        <w:pStyle w:val="PS"/>
        <w:tabs>
          <w:tab w:val="left" w:pos="720"/>
          <w:tab w:val="left" w:pos="5220"/>
        </w:tabs>
        <w:spacing w:line="480" w:lineRule="auto"/>
        <w:ind w:firstLine="0"/>
        <w:jc w:val="right"/>
        <w:rPr>
          <w:rFonts w:ascii="David" w:hAnsi="David" w:cs="David"/>
          <w:szCs w:val="24"/>
          <w:rtl/>
          <w:lang w:bidi="he-IL"/>
        </w:rPr>
      </w:pPr>
      <w:r>
        <w:rPr>
          <w:rFonts w:cstheme="minorBidi" w:hint="cs"/>
          <w:rtl/>
          <w:lang w:bidi="he-IL"/>
        </w:rPr>
        <w:t>.</w:t>
      </w:r>
      <w:r w:rsidRPr="00AC6B0A">
        <w:t xml:space="preserve"> </w:t>
      </w:r>
      <w:r w:rsidR="005059EF">
        <w:rPr>
          <w:rFonts w:ascii="SBL Greek" w:hAnsi="SBL Greek"/>
        </w:rPr>
        <w:t>‘</w:t>
      </w:r>
      <w:r w:rsidRPr="00AC6B0A">
        <w:t xml:space="preserve">one who does not accept [the principle of] </w:t>
      </w:r>
      <w:r w:rsidRPr="00AC6B0A">
        <w:rPr>
          <w:i/>
          <w:iCs/>
        </w:rPr>
        <w:t>eiruv</w:t>
      </w:r>
      <w:r w:rsidR="005059EF">
        <w:rPr>
          <w:rFonts w:ascii="SBL Greek" w:hAnsi="SBL Greek"/>
          <w:i/>
          <w:iCs/>
        </w:rPr>
        <w:t>’</w:t>
      </w:r>
    </w:p>
    <w:p w14:paraId="4251F317" w14:textId="17D56BF1" w:rsidR="00020213" w:rsidRDefault="00CE4998" w:rsidP="00FE24D5">
      <w:pPr>
        <w:pStyle w:val="PS"/>
        <w:tabs>
          <w:tab w:val="left" w:pos="720"/>
          <w:tab w:val="left" w:pos="5220"/>
        </w:tabs>
        <w:bidi/>
        <w:spacing w:line="480" w:lineRule="auto"/>
        <w:ind w:firstLine="0"/>
        <w:jc w:val="both"/>
        <w:rPr>
          <w:rFonts w:ascii="David" w:hAnsi="David" w:cs="David"/>
          <w:szCs w:val="24"/>
          <w:rtl/>
          <w:lang w:bidi="he-IL"/>
        </w:rPr>
      </w:pPr>
      <w:r>
        <w:rPr>
          <w:rFonts w:ascii="David" w:hAnsi="David" w:cs="David" w:hint="cs"/>
          <w:szCs w:val="24"/>
          <w:rtl/>
          <w:lang w:bidi="he-IL"/>
        </w:rPr>
        <w:t xml:space="preserve">עוד משקפת </w:t>
      </w:r>
      <w:r w:rsidR="00CA5131">
        <w:rPr>
          <w:rFonts w:ascii="David" w:hAnsi="David" w:cs="David" w:hint="cs"/>
          <w:szCs w:val="24"/>
          <w:rtl/>
          <w:lang w:bidi="he-IL"/>
        </w:rPr>
        <w:t xml:space="preserve">המשנה </w:t>
      </w:r>
      <w:r>
        <w:rPr>
          <w:rFonts w:ascii="David" w:hAnsi="David" w:cs="David" w:hint="cs"/>
          <w:szCs w:val="24"/>
          <w:rtl/>
          <w:lang w:bidi="he-IL"/>
        </w:rPr>
        <w:t xml:space="preserve">את הראליה שבהתקנת העירוב, כאשר היא מראה כי בערב שבת שלחו הדיירים את העירוב לביתו של אחד מדיירי החצר. </w:t>
      </w:r>
      <w:r w:rsidR="00B22A11">
        <w:rPr>
          <w:rFonts w:ascii="David" w:hAnsi="David" w:cs="David" w:hint="cs"/>
          <w:szCs w:val="24"/>
          <w:rtl/>
          <w:lang w:bidi="he-IL"/>
        </w:rPr>
        <w:t>שמואל וזאב ספראי מציעים כי באופן כללי נראה שהתקנת העירוב עברה מספר שלבים. בשלב הראשון הייתה סעודה ממשית שהתקיימה בהשתתפותם של דיירי החצר</w:t>
      </w:r>
      <w:r w:rsidR="00032292">
        <w:rPr>
          <w:rFonts w:ascii="David" w:hAnsi="David" w:cs="David" w:hint="cs"/>
          <w:szCs w:val="24"/>
          <w:rtl/>
          <w:lang w:bidi="he-IL"/>
        </w:rPr>
        <w:t>, שהתבסס</w:t>
      </w:r>
      <w:r w:rsidR="00892F29">
        <w:rPr>
          <w:rFonts w:ascii="David" w:hAnsi="David" w:cs="David" w:hint="cs"/>
          <w:szCs w:val="24"/>
          <w:rtl/>
          <w:lang w:bidi="he-IL"/>
        </w:rPr>
        <w:t>ה</w:t>
      </w:r>
      <w:r w:rsidR="00032292">
        <w:rPr>
          <w:rFonts w:ascii="David" w:hAnsi="David" w:cs="David" w:hint="cs"/>
          <w:szCs w:val="24"/>
          <w:rtl/>
          <w:lang w:bidi="he-IL"/>
        </w:rPr>
        <w:t xml:space="preserve"> על משפחה מורחבת</w:t>
      </w:r>
      <w:r w:rsidR="00B22A11">
        <w:rPr>
          <w:rFonts w:ascii="David" w:hAnsi="David" w:cs="David" w:hint="cs"/>
          <w:szCs w:val="24"/>
          <w:rtl/>
          <w:lang w:bidi="he-IL"/>
        </w:rPr>
        <w:t xml:space="preserve"> </w:t>
      </w:r>
      <w:r w:rsidR="0069755B">
        <w:rPr>
          <w:rFonts w:ascii="David" w:hAnsi="David" w:cs="David" w:hint="cs"/>
          <w:szCs w:val="24"/>
          <w:rtl/>
          <w:lang w:bidi="he-IL"/>
        </w:rPr>
        <w:t>(</w:t>
      </w:r>
      <w:r w:rsidR="00032292">
        <w:rPr>
          <w:rFonts w:ascii="David" w:hAnsi="David" w:cs="David" w:hint="cs"/>
          <w:szCs w:val="24"/>
          <w:rtl/>
          <w:lang w:bidi="he-IL"/>
        </w:rPr>
        <w:t>כפי שראינו בסעיף הקודם</w:t>
      </w:r>
      <w:r w:rsidR="0069755B">
        <w:rPr>
          <w:rFonts w:ascii="David" w:hAnsi="David" w:cs="David" w:hint="cs"/>
          <w:szCs w:val="24"/>
          <w:rtl/>
          <w:lang w:bidi="he-IL"/>
        </w:rPr>
        <w:t>)</w:t>
      </w:r>
      <w:r w:rsidR="001223E0">
        <w:rPr>
          <w:rFonts w:ascii="David" w:hAnsi="David" w:cs="David" w:hint="cs"/>
          <w:szCs w:val="24"/>
          <w:rtl/>
          <w:lang w:bidi="he-IL"/>
        </w:rPr>
        <w:t>;</w:t>
      </w:r>
      <w:r w:rsidR="00032292">
        <w:rPr>
          <w:rFonts w:ascii="David" w:hAnsi="David" w:cs="David" w:hint="cs"/>
          <w:szCs w:val="24"/>
          <w:rtl/>
          <w:lang w:bidi="he-IL"/>
        </w:rPr>
        <w:t xml:space="preserve"> </w:t>
      </w:r>
      <w:r w:rsidR="00B22A11">
        <w:rPr>
          <w:rFonts w:ascii="David" w:hAnsi="David" w:cs="David" w:hint="cs"/>
          <w:szCs w:val="24"/>
          <w:rtl/>
          <w:lang w:bidi="he-IL"/>
        </w:rPr>
        <w:t>בשלב השני התערער המבנה המשפחתי, אך עדיין נותרה סעודה משותפת בתור סעודת חבורה. במקרה זה שלחו כל בני החצר בערב שבת מעט מזון לבית שבו התעתדו לאכול, ואת יתרת הסעודה הביאו בזמן הארוחה</w:t>
      </w:r>
      <w:r w:rsidR="001223E0">
        <w:rPr>
          <w:rFonts w:ascii="David" w:hAnsi="David" w:cs="David" w:hint="cs"/>
          <w:szCs w:val="24"/>
          <w:rtl/>
          <w:lang w:bidi="he-IL"/>
        </w:rPr>
        <w:t>;</w:t>
      </w:r>
      <w:r w:rsidR="00B22A11">
        <w:rPr>
          <w:rFonts w:ascii="David" w:hAnsi="David" w:cs="David" w:hint="cs"/>
          <w:szCs w:val="24"/>
          <w:rtl/>
          <w:lang w:bidi="he-IL"/>
        </w:rPr>
        <w:t xml:space="preserve"> בשלב השלישי הפכה הסעודה לסמלית, וכל אחד שלח לאחת הדירות סעודה סמלית</w:t>
      </w:r>
      <w:r w:rsidR="001223E0">
        <w:rPr>
          <w:rFonts w:ascii="David" w:hAnsi="David" w:cs="David" w:hint="cs"/>
          <w:szCs w:val="24"/>
          <w:rtl/>
          <w:lang w:bidi="he-IL"/>
        </w:rPr>
        <w:t>;</w:t>
      </w:r>
      <w:r w:rsidR="00B22A11">
        <w:rPr>
          <w:rFonts w:ascii="David" w:hAnsi="David" w:cs="David" w:hint="cs"/>
          <w:szCs w:val="24"/>
          <w:rtl/>
          <w:lang w:bidi="he-IL"/>
        </w:rPr>
        <w:t xml:space="preserve"> בשלב הרביעי הכין אחד הדיירים עירוב והקנה אותו לכל אחד מהדיירים</w:t>
      </w:r>
      <w:r w:rsidR="00D30B36">
        <w:rPr>
          <w:rFonts w:ascii="David" w:hAnsi="David" w:cs="David" w:hint="cs"/>
          <w:szCs w:val="24"/>
          <w:rtl/>
          <w:lang w:bidi="he-IL"/>
        </w:rPr>
        <w:t xml:space="preserve"> השותפים בחצר</w:t>
      </w:r>
      <w:r w:rsidR="00B22A11">
        <w:rPr>
          <w:rFonts w:ascii="David" w:hAnsi="David" w:cs="David" w:hint="cs"/>
          <w:szCs w:val="24"/>
          <w:rtl/>
          <w:lang w:bidi="he-IL"/>
        </w:rPr>
        <w:t>. משנתנו עוסקת בשלב השלישי</w:t>
      </w:r>
      <w:r w:rsidR="00CA5131">
        <w:rPr>
          <w:rFonts w:ascii="David" w:hAnsi="David" w:cs="David" w:hint="cs"/>
          <w:szCs w:val="24"/>
          <w:rtl/>
          <w:lang w:bidi="he-IL"/>
        </w:rPr>
        <w:t>,</w:t>
      </w:r>
      <w:r w:rsidR="00B22A11">
        <w:rPr>
          <w:rFonts w:ascii="David" w:hAnsi="David" w:cs="David" w:hint="cs"/>
          <w:szCs w:val="24"/>
          <w:rtl/>
          <w:lang w:bidi="he-IL"/>
        </w:rPr>
        <w:t xml:space="preserve"> שבו שולחים מעט מזון לביתו של הדייר שנקבע.</w:t>
      </w:r>
      <w:r w:rsidR="00B22A11">
        <w:rPr>
          <w:rStyle w:val="a5"/>
          <w:rFonts w:ascii="David" w:hAnsi="David" w:cs="David"/>
          <w:szCs w:val="24"/>
          <w:rtl/>
          <w:lang w:bidi="he-IL"/>
        </w:rPr>
        <w:footnoteReference w:id="53"/>
      </w:r>
      <w:r w:rsidR="00B22A11">
        <w:rPr>
          <w:rFonts w:ascii="David" w:hAnsi="David" w:cs="David" w:hint="cs"/>
          <w:szCs w:val="24"/>
          <w:rtl/>
          <w:lang w:bidi="he-IL"/>
        </w:rPr>
        <w:t xml:space="preserve"> </w:t>
      </w:r>
      <w:r w:rsidR="00A420F4">
        <w:rPr>
          <w:rFonts w:ascii="David" w:hAnsi="David" w:cs="David" w:hint="cs"/>
          <w:szCs w:val="24"/>
          <w:rtl/>
          <w:lang w:bidi="he-IL"/>
        </w:rPr>
        <w:t>כדי שהמזון יעבור מרשותו של השולח אל רשותו של הדייר שאצלו מונח העירוב</w:t>
      </w:r>
      <w:r w:rsidR="00892F29">
        <w:rPr>
          <w:rFonts w:ascii="David" w:hAnsi="David" w:cs="David" w:hint="cs"/>
          <w:szCs w:val="24"/>
          <w:rtl/>
          <w:lang w:bidi="he-IL"/>
        </w:rPr>
        <w:t>,</w:t>
      </w:r>
      <w:r w:rsidR="00A420F4">
        <w:rPr>
          <w:rFonts w:ascii="David" w:hAnsi="David" w:cs="David" w:hint="cs"/>
          <w:szCs w:val="24"/>
          <w:rtl/>
          <w:lang w:bidi="he-IL"/>
        </w:rPr>
        <w:t xml:space="preserve"> על השליח להיות בעל מעמד חוקתי</w:t>
      </w:r>
      <w:r w:rsidR="00CA5131">
        <w:rPr>
          <w:rFonts w:ascii="David" w:hAnsi="David" w:cs="David" w:hint="cs"/>
          <w:szCs w:val="24"/>
          <w:rtl/>
          <w:lang w:bidi="he-IL"/>
        </w:rPr>
        <w:t xml:space="preserve"> תקף כרשאי להחזיק בקניין ולהקנותו לאחר</w:t>
      </w:r>
      <w:r w:rsidR="00A420F4">
        <w:rPr>
          <w:rFonts w:ascii="David" w:hAnsi="David" w:cs="David" w:hint="cs"/>
          <w:szCs w:val="24"/>
          <w:rtl/>
          <w:lang w:bidi="he-IL"/>
        </w:rPr>
        <w:t>. כפי שראינו</w:t>
      </w:r>
      <w:r w:rsidR="00FB03BE">
        <w:rPr>
          <w:rFonts w:ascii="David" w:hAnsi="David" w:cs="David" w:hint="cs"/>
          <w:szCs w:val="24"/>
          <w:rtl/>
          <w:lang w:bidi="he-IL"/>
        </w:rPr>
        <w:t xml:space="preserve"> לעיל</w:t>
      </w:r>
      <w:r w:rsidR="003F48EE">
        <w:rPr>
          <w:rFonts w:ascii="David" w:hAnsi="David" w:cs="David" w:hint="cs"/>
          <w:szCs w:val="24"/>
          <w:rtl/>
          <w:lang w:bidi="he-IL"/>
        </w:rPr>
        <w:t>,</w:t>
      </w:r>
      <w:r w:rsidR="00A420F4">
        <w:rPr>
          <w:rFonts w:ascii="David" w:hAnsi="David" w:cs="David" w:hint="cs"/>
          <w:szCs w:val="24"/>
          <w:rtl/>
          <w:lang w:bidi="he-IL"/>
        </w:rPr>
        <w:t xml:space="preserve"> </w:t>
      </w:r>
      <w:r w:rsidR="00800971">
        <w:rPr>
          <w:rFonts w:ascii="David" w:hAnsi="David" w:cs="David" w:hint="cs"/>
          <w:szCs w:val="24"/>
          <w:rtl/>
          <w:lang w:bidi="he-IL"/>
        </w:rPr>
        <w:t>ל'</w:t>
      </w:r>
      <w:r w:rsidR="00A420F4">
        <w:rPr>
          <w:rFonts w:ascii="David" w:hAnsi="David" w:cs="David" w:hint="cs"/>
          <w:szCs w:val="24"/>
          <w:rtl/>
          <w:lang w:bidi="he-IL"/>
        </w:rPr>
        <w:t>חרש</w:t>
      </w:r>
      <w:r w:rsidR="00800971">
        <w:rPr>
          <w:rFonts w:ascii="David" w:hAnsi="David" w:cs="David" w:hint="cs"/>
          <w:szCs w:val="24"/>
          <w:rtl/>
          <w:lang w:bidi="he-IL"/>
        </w:rPr>
        <w:t>',</w:t>
      </w:r>
      <w:r w:rsidR="00A420F4">
        <w:rPr>
          <w:rFonts w:ascii="David" w:hAnsi="David" w:cs="David" w:hint="cs"/>
          <w:szCs w:val="24"/>
          <w:rtl/>
          <w:lang w:bidi="he-IL"/>
        </w:rPr>
        <w:t xml:space="preserve"> </w:t>
      </w:r>
      <w:r w:rsidR="00800971">
        <w:rPr>
          <w:rFonts w:ascii="David" w:hAnsi="David" w:cs="David" w:hint="cs"/>
          <w:szCs w:val="24"/>
          <w:rtl/>
          <w:lang w:bidi="he-IL"/>
        </w:rPr>
        <w:t>'</w:t>
      </w:r>
      <w:r w:rsidR="00A420F4">
        <w:rPr>
          <w:rFonts w:ascii="David" w:hAnsi="David" w:cs="David" w:hint="cs"/>
          <w:szCs w:val="24"/>
          <w:rtl/>
          <w:lang w:bidi="he-IL"/>
        </w:rPr>
        <w:t>שוטה</w:t>
      </w:r>
      <w:r w:rsidR="00800971">
        <w:rPr>
          <w:rFonts w:ascii="David" w:hAnsi="David" w:cs="David" w:hint="cs"/>
          <w:szCs w:val="24"/>
          <w:rtl/>
          <w:lang w:bidi="he-IL"/>
        </w:rPr>
        <w:t>'</w:t>
      </w:r>
      <w:r w:rsidR="00A420F4">
        <w:rPr>
          <w:rFonts w:ascii="David" w:hAnsi="David" w:cs="David" w:hint="cs"/>
          <w:szCs w:val="24"/>
          <w:rtl/>
          <w:lang w:bidi="he-IL"/>
        </w:rPr>
        <w:t xml:space="preserve"> ו</w:t>
      </w:r>
      <w:r w:rsidR="00800971">
        <w:rPr>
          <w:rFonts w:ascii="David" w:hAnsi="David" w:cs="David" w:hint="cs"/>
          <w:szCs w:val="24"/>
          <w:rtl/>
          <w:lang w:bidi="he-IL"/>
        </w:rPr>
        <w:t>'</w:t>
      </w:r>
      <w:r w:rsidR="00A420F4">
        <w:rPr>
          <w:rFonts w:ascii="David" w:hAnsi="David" w:cs="David" w:hint="cs"/>
          <w:szCs w:val="24"/>
          <w:rtl/>
          <w:lang w:bidi="he-IL"/>
        </w:rPr>
        <w:t>קטן</w:t>
      </w:r>
      <w:r w:rsidR="00800971">
        <w:rPr>
          <w:rFonts w:ascii="David" w:hAnsi="David" w:cs="David" w:hint="cs"/>
          <w:szCs w:val="24"/>
          <w:rtl/>
          <w:lang w:bidi="he-IL"/>
        </w:rPr>
        <w:t>'</w:t>
      </w:r>
      <w:r w:rsidR="00A420F4">
        <w:rPr>
          <w:rFonts w:ascii="David" w:hAnsi="David" w:cs="David" w:hint="cs"/>
          <w:szCs w:val="24"/>
          <w:rtl/>
          <w:lang w:bidi="he-IL"/>
        </w:rPr>
        <w:t xml:space="preserve"> </w:t>
      </w:r>
      <w:r w:rsidR="00800971">
        <w:rPr>
          <w:rFonts w:ascii="David" w:hAnsi="David" w:cs="David" w:hint="cs"/>
          <w:szCs w:val="24"/>
          <w:rtl/>
          <w:lang w:bidi="he-IL"/>
        </w:rPr>
        <w:t>אין</w:t>
      </w:r>
      <w:r w:rsidR="0019165F">
        <w:rPr>
          <w:rFonts w:ascii="David" w:hAnsi="David" w:cs="David" w:hint="cs"/>
          <w:szCs w:val="24"/>
          <w:rtl/>
          <w:lang w:bidi="he-IL"/>
        </w:rPr>
        <w:t xml:space="preserve"> </w:t>
      </w:r>
      <w:r w:rsidR="00800971">
        <w:rPr>
          <w:rFonts w:ascii="David" w:hAnsi="David" w:cs="David" w:hint="cs"/>
          <w:szCs w:val="24"/>
          <w:rtl/>
          <w:lang w:bidi="he-IL"/>
        </w:rPr>
        <w:t>זכו</w:t>
      </w:r>
      <w:r w:rsidR="0019165F">
        <w:rPr>
          <w:rFonts w:ascii="David" w:hAnsi="David" w:cs="David" w:hint="cs"/>
          <w:szCs w:val="24"/>
          <w:rtl/>
          <w:lang w:bidi="he-IL"/>
        </w:rPr>
        <w:t>יו</w:t>
      </w:r>
      <w:r w:rsidR="00800971">
        <w:rPr>
          <w:rFonts w:ascii="David" w:hAnsi="David" w:cs="David" w:hint="cs"/>
          <w:szCs w:val="24"/>
          <w:rtl/>
          <w:lang w:bidi="he-IL"/>
        </w:rPr>
        <w:t>ת קניין. על כן לשיטתה של משנה זו מי ששולח את אוכל העירוב הסמלי בידם לא הקנה אותו לידיו של המקבל, ולמעשה לא יצר את שותפותו בעירוב (ואף מנע את העירוב משאר הדיירים, שכן השאיר את החצר כ'בלתי משותפת'</w:t>
      </w:r>
      <w:r w:rsidR="00627F4C">
        <w:rPr>
          <w:rFonts w:ascii="David" w:hAnsi="David" w:cs="David" w:hint="cs"/>
          <w:szCs w:val="24"/>
          <w:rtl/>
          <w:lang w:bidi="he-IL"/>
        </w:rPr>
        <w:t xml:space="preserve"> עם כלל הדיירים</w:t>
      </w:r>
      <w:r w:rsidR="00800971">
        <w:rPr>
          <w:rFonts w:ascii="David" w:hAnsi="David" w:cs="David" w:hint="cs"/>
          <w:szCs w:val="24"/>
          <w:rtl/>
          <w:lang w:bidi="he-IL"/>
        </w:rPr>
        <w:t>).</w:t>
      </w:r>
      <w:r w:rsidR="00020213">
        <w:rPr>
          <w:rFonts w:ascii="David" w:hAnsi="David" w:cs="David" w:hint="cs"/>
          <w:szCs w:val="24"/>
          <w:rtl/>
          <w:lang w:bidi="he-IL"/>
        </w:rPr>
        <w:t xml:space="preserve"> אולם מהלכה</w:t>
      </w:r>
      <w:r w:rsidR="00563E93">
        <w:rPr>
          <w:rFonts w:ascii="David" w:hAnsi="David" w:cs="David" w:hint="cs"/>
          <w:szCs w:val="24"/>
          <w:rtl/>
          <w:lang w:bidi="he-IL"/>
        </w:rPr>
        <w:t xml:space="preserve"> מקבילה</w:t>
      </w:r>
      <w:r w:rsidR="00020213">
        <w:rPr>
          <w:rFonts w:ascii="David" w:hAnsi="David" w:cs="David" w:hint="cs"/>
          <w:szCs w:val="24"/>
          <w:rtl/>
          <w:lang w:bidi="he-IL"/>
        </w:rPr>
        <w:t xml:space="preserve"> בתוספתא עירובין ב [ג] יא</w:t>
      </w:r>
      <w:r w:rsidR="00563E93">
        <w:rPr>
          <w:rFonts w:ascii="David" w:hAnsi="David" w:cs="David" w:hint="cs"/>
          <w:szCs w:val="24"/>
          <w:rtl/>
          <w:lang w:bidi="he-IL"/>
        </w:rPr>
        <w:t>,</w:t>
      </w:r>
      <w:r w:rsidR="00020213">
        <w:rPr>
          <w:rFonts w:ascii="David" w:hAnsi="David" w:cs="David" w:hint="cs"/>
          <w:szCs w:val="24"/>
          <w:rtl/>
          <w:lang w:bidi="he-IL"/>
        </w:rPr>
        <w:t xml:space="preserve"> מסתבר כי נוהג רווח היה לשלוח את העירוב </w:t>
      </w:r>
      <w:r w:rsidR="003F48EE">
        <w:rPr>
          <w:rFonts w:ascii="David" w:hAnsi="David" w:cs="David" w:hint="cs"/>
          <w:szCs w:val="24"/>
          <w:rtl/>
          <w:lang w:bidi="he-IL"/>
        </w:rPr>
        <w:t xml:space="preserve">דווקא </w:t>
      </w:r>
      <w:r w:rsidR="00020213">
        <w:rPr>
          <w:rFonts w:ascii="David" w:hAnsi="David" w:cs="David" w:hint="cs"/>
          <w:szCs w:val="24"/>
          <w:rtl/>
          <w:lang w:bidi="he-IL"/>
        </w:rPr>
        <w:t>ביד קטנים:</w:t>
      </w:r>
    </w:p>
    <w:p w14:paraId="5EFD6106" w14:textId="0A1BE43C" w:rsidR="005A6EDB" w:rsidRDefault="005A6EDB" w:rsidP="00CC0084">
      <w:pPr>
        <w:pStyle w:val="PS"/>
        <w:tabs>
          <w:tab w:val="left" w:pos="720"/>
          <w:tab w:val="left" w:pos="5220"/>
        </w:tabs>
        <w:spacing w:line="360" w:lineRule="auto"/>
        <w:ind w:left="720" w:firstLine="0"/>
      </w:pPr>
      <w:r>
        <w:lastRenderedPageBreak/>
        <w:t xml:space="preserve">Said R. Meir: Jewish women did not hesitate to send their </w:t>
      </w:r>
      <w:r w:rsidRPr="00366639">
        <w:rPr>
          <w:i/>
          <w:iCs/>
        </w:rPr>
        <w:t>eruv</w:t>
      </w:r>
      <w:r>
        <w:t xml:space="preserve"> by means of their young sons and daughters in order to train them in the performance of mitzvot.</w:t>
      </w:r>
    </w:p>
    <w:p w14:paraId="2940F9CD" w14:textId="77777777" w:rsidR="00CC0084" w:rsidRDefault="005A6EDB" w:rsidP="00CC0084">
      <w:pPr>
        <w:pStyle w:val="PS"/>
        <w:tabs>
          <w:tab w:val="left" w:pos="720"/>
          <w:tab w:val="left" w:pos="5220"/>
        </w:tabs>
        <w:spacing w:line="360" w:lineRule="auto"/>
        <w:ind w:left="720" w:firstLine="0"/>
        <w:rPr>
          <w:rFonts w:ascii="David" w:hAnsi="David" w:cs="David"/>
          <w:szCs w:val="24"/>
          <w:lang w:bidi="he-IL"/>
        </w:rPr>
      </w:pPr>
      <w:r>
        <w:t xml:space="preserve">Said to him R. Yehuda: is that proof [that the messenger may be under age]?! Rather, </w:t>
      </w:r>
      <w:bookmarkStart w:id="15" w:name="_Hlk87007036"/>
      <w:r>
        <w:t>this is so [only] in a case of one woman saying to another, receive it from</w:t>
      </w:r>
      <w:r w:rsidR="00020213">
        <w:rPr>
          <w:rFonts w:ascii="David" w:hAnsi="David" w:cs="David" w:hint="cs"/>
          <w:szCs w:val="24"/>
          <w:rtl/>
          <w:lang w:bidi="he-IL"/>
        </w:rPr>
        <w:t xml:space="preserve"> </w:t>
      </w:r>
      <w:r w:rsidR="007204FB">
        <w:t>me</w:t>
      </w:r>
      <w:bookmarkEnd w:id="15"/>
      <w:r w:rsidR="007204FB">
        <w:t xml:space="preserve"> [i.e., via the child], or one man saying to another, receive it from me [i.e., via the child]</w:t>
      </w:r>
      <w:r w:rsidR="008A4E53">
        <w:rPr>
          <w:rFonts w:ascii="David" w:hAnsi="David" w:cs="David"/>
          <w:szCs w:val="24"/>
          <w:lang w:bidi="he-IL"/>
        </w:rPr>
        <w:t>.</w:t>
      </w:r>
    </w:p>
    <w:p w14:paraId="13B96204" w14:textId="77777777" w:rsidR="00CC0084" w:rsidRDefault="00CC0084" w:rsidP="00CC0084">
      <w:pPr>
        <w:pStyle w:val="PS"/>
        <w:tabs>
          <w:tab w:val="left" w:pos="720"/>
          <w:tab w:val="left" w:pos="5220"/>
        </w:tabs>
        <w:spacing w:line="360" w:lineRule="auto"/>
        <w:ind w:left="283" w:firstLine="0"/>
        <w:rPr>
          <w:rFonts w:ascii="David" w:hAnsi="David" w:cs="David"/>
          <w:szCs w:val="24"/>
          <w:lang w:bidi="he-IL"/>
        </w:rPr>
      </w:pPr>
    </w:p>
    <w:p w14:paraId="32C31123" w14:textId="3CBC0284" w:rsidR="00162D23" w:rsidRDefault="00162D23" w:rsidP="00CC0084">
      <w:pPr>
        <w:pStyle w:val="PS"/>
        <w:tabs>
          <w:tab w:val="left" w:pos="720"/>
          <w:tab w:val="left" w:pos="5220"/>
        </w:tabs>
        <w:spacing w:line="360" w:lineRule="auto"/>
        <w:ind w:left="283" w:firstLine="0"/>
        <w:rPr>
          <w:rFonts w:ascii="David" w:hAnsi="David" w:cs="David"/>
          <w:szCs w:val="24"/>
          <w:lang w:bidi="he-IL"/>
        </w:rPr>
      </w:pPr>
      <w:r>
        <w:t xml:space="preserve">R. Meir describes an established practice, that of women sending the </w:t>
      </w:r>
      <w:r w:rsidRPr="003C00A8">
        <w:rPr>
          <w:i/>
          <w:iCs/>
        </w:rPr>
        <w:t>eruv</w:t>
      </w:r>
      <w:r>
        <w:t xml:space="preserve"> food to the collection point by means of a small son or daughter. A woman makes her child a messenger, according to this tana, in order to train him or her in mitzvot.</w:t>
      </w:r>
      <w:r w:rsidR="003548B1">
        <w:rPr>
          <w:rStyle w:val="a5"/>
        </w:rPr>
        <w:footnoteReference w:id="54"/>
      </w:r>
    </w:p>
    <w:p w14:paraId="3EAE1542" w14:textId="77777777" w:rsidR="00885A34" w:rsidRDefault="00885A34" w:rsidP="0030112F">
      <w:pPr>
        <w:pStyle w:val="PS"/>
        <w:tabs>
          <w:tab w:val="left" w:pos="720"/>
          <w:tab w:val="left" w:pos="5220"/>
        </w:tabs>
        <w:spacing w:line="360" w:lineRule="auto"/>
        <w:jc w:val="right"/>
        <w:rPr>
          <w:rFonts w:ascii="David" w:hAnsi="David" w:cs="David"/>
          <w:szCs w:val="24"/>
          <w:rtl/>
          <w:lang w:bidi="he-IL"/>
        </w:rPr>
      </w:pPr>
    </w:p>
    <w:p w14:paraId="78BB59B4" w14:textId="0564E878" w:rsidR="0030112F" w:rsidRPr="004B2976" w:rsidRDefault="0030112F" w:rsidP="00885A34">
      <w:pPr>
        <w:pStyle w:val="PS"/>
        <w:tabs>
          <w:tab w:val="left" w:pos="720"/>
          <w:tab w:val="left" w:pos="5220"/>
        </w:tabs>
        <w:spacing w:line="480" w:lineRule="auto"/>
        <w:jc w:val="right"/>
        <w:rPr>
          <w:rFonts w:ascii="David" w:hAnsi="David" w:cs="David"/>
          <w:szCs w:val="24"/>
          <w:rtl/>
          <w:lang w:bidi="he-IL"/>
        </w:rPr>
      </w:pPr>
      <w:r w:rsidRPr="004B2976">
        <w:rPr>
          <w:rFonts w:ascii="David" w:hAnsi="David" w:cs="David"/>
          <w:szCs w:val="24"/>
          <w:rtl/>
          <w:lang w:bidi="he-IL"/>
        </w:rPr>
        <w:t>ר' יהודה תוקף את דברי</w:t>
      </w:r>
      <w:r w:rsidR="00892F29">
        <w:rPr>
          <w:rFonts w:ascii="David" w:hAnsi="David" w:cs="David" w:hint="cs"/>
          <w:szCs w:val="24"/>
          <w:rtl/>
          <w:lang w:bidi="he-IL"/>
        </w:rPr>
        <w:t xml:space="preserve"> רבי מאיר. לדבריו</w:t>
      </w:r>
      <w:r w:rsidRPr="004B2976">
        <w:rPr>
          <w:rFonts w:ascii="David" w:hAnsi="David" w:cs="David"/>
          <w:szCs w:val="24"/>
          <w:rtl/>
          <w:lang w:bidi="he-IL"/>
        </w:rPr>
        <w:t xml:space="preserve"> הקטן אינו נשלח לבד, אלא אימו</w:t>
      </w:r>
      <w:r w:rsidR="00DA02DE">
        <w:rPr>
          <w:rFonts w:ascii="David" w:hAnsi="David" w:cs="David" w:hint="cs"/>
          <w:szCs w:val="24"/>
          <w:rtl/>
          <w:lang w:bidi="he-IL"/>
        </w:rPr>
        <w:t xml:space="preserve"> - </w:t>
      </w:r>
      <w:r w:rsidRPr="004B2976">
        <w:rPr>
          <w:rFonts w:ascii="David" w:hAnsi="David" w:cs="David"/>
          <w:szCs w:val="24"/>
          <w:rtl/>
          <w:lang w:bidi="he-IL"/>
        </w:rPr>
        <w:t>או אביו</w:t>
      </w:r>
      <w:r w:rsidR="002A1296">
        <w:rPr>
          <w:rFonts w:ascii="David" w:hAnsi="David" w:cs="David" w:hint="cs"/>
          <w:szCs w:val="24"/>
          <w:rtl/>
          <w:lang w:bidi="he-IL"/>
        </w:rPr>
        <w:t>,</w:t>
      </w:r>
      <w:r w:rsidR="00300DA8">
        <w:rPr>
          <w:rFonts w:ascii="David" w:hAnsi="David" w:cs="David" w:hint="cs"/>
          <w:szCs w:val="24"/>
          <w:rtl/>
          <w:lang w:bidi="he-IL"/>
        </w:rPr>
        <w:t xml:space="preserve"> </w:t>
      </w:r>
      <w:r w:rsidR="002A1296">
        <w:rPr>
          <w:rFonts w:ascii="David" w:hAnsi="David" w:cs="David" w:hint="cs"/>
          <w:szCs w:val="24"/>
          <w:rtl/>
          <w:lang w:bidi="he-IL"/>
        </w:rPr>
        <w:t xml:space="preserve">כלומר </w:t>
      </w:r>
      <w:r w:rsidRPr="004B2976">
        <w:rPr>
          <w:rFonts w:ascii="David" w:hAnsi="David" w:cs="David"/>
          <w:szCs w:val="24"/>
          <w:rtl/>
          <w:lang w:bidi="he-IL"/>
        </w:rPr>
        <w:t>מבוגר כלשהו</w:t>
      </w:r>
      <w:r w:rsidR="00DA02DE">
        <w:rPr>
          <w:rFonts w:ascii="David" w:hAnsi="David" w:cs="David" w:hint="cs"/>
          <w:szCs w:val="24"/>
          <w:rtl/>
          <w:lang w:bidi="he-IL"/>
        </w:rPr>
        <w:t xml:space="preserve"> -</w:t>
      </w:r>
      <w:r w:rsidRPr="004B2976">
        <w:rPr>
          <w:rFonts w:ascii="David" w:hAnsi="David" w:cs="David"/>
          <w:szCs w:val="24"/>
          <w:rtl/>
          <w:lang w:bidi="he-IL"/>
        </w:rPr>
        <w:t xml:space="preserve"> עומדת לצידו</w:t>
      </w:r>
      <w:r w:rsidR="00FF6FED">
        <w:rPr>
          <w:rFonts w:ascii="David" w:hAnsi="David" w:cs="David" w:hint="cs"/>
          <w:szCs w:val="24"/>
          <w:rtl/>
          <w:lang w:bidi="he-IL"/>
        </w:rPr>
        <w:t xml:space="preserve">, </w:t>
      </w:r>
      <w:r w:rsidRPr="004B2976">
        <w:rPr>
          <w:rFonts w:ascii="David" w:hAnsi="David" w:cs="David"/>
          <w:szCs w:val="24"/>
          <w:rtl/>
          <w:lang w:bidi="he-IL"/>
        </w:rPr>
        <w:t xml:space="preserve">אומרת לחברתה </w:t>
      </w:r>
    </w:p>
    <w:p w14:paraId="35960631" w14:textId="66F2B4DE" w:rsidR="0030112F" w:rsidRDefault="001372C6" w:rsidP="0030112F">
      <w:pPr>
        <w:pStyle w:val="PS"/>
        <w:tabs>
          <w:tab w:val="left" w:pos="720"/>
          <w:tab w:val="left" w:pos="5220"/>
        </w:tabs>
        <w:spacing w:line="360" w:lineRule="auto"/>
        <w:jc w:val="right"/>
        <w:rPr>
          <w:rFonts w:ascii="SBL Greek" w:hAnsi="SBL Greek" w:cstheme="minorBidi"/>
          <w:szCs w:val="24"/>
          <w:lang w:bidi="he-IL"/>
        </w:rPr>
      </w:pPr>
      <w:r w:rsidRPr="001372C6">
        <w:rPr>
          <w:rFonts w:ascii="David" w:hAnsi="David" w:cs="David"/>
          <w:rtl/>
          <w:lang w:bidi="he-IL"/>
        </w:rPr>
        <w:t xml:space="preserve"> </w:t>
      </w:r>
      <w:r w:rsidR="004B2976">
        <w:rPr>
          <w:rFonts w:ascii="SBL Greek" w:hAnsi="SBL Greek"/>
        </w:rPr>
        <w:t>“</w:t>
      </w:r>
      <w:r w:rsidR="0030112F">
        <w:t>receive it from me</w:t>
      </w:r>
      <w:r w:rsidR="004B2976">
        <w:rPr>
          <w:rFonts w:ascii="SBL Greek" w:hAnsi="SBL Greek" w:cstheme="minorBidi"/>
          <w:szCs w:val="24"/>
          <w:lang w:bidi="he-IL"/>
        </w:rPr>
        <w:t>”</w:t>
      </w:r>
    </w:p>
    <w:p w14:paraId="0811911A" w14:textId="29D79B88" w:rsidR="00EA070B" w:rsidRDefault="002A1296" w:rsidP="000C10E4">
      <w:pPr>
        <w:pStyle w:val="PS"/>
        <w:tabs>
          <w:tab w:val="left" w:pos="720"/>
          <w:tab w:val="left" w:pos="5220"/>
        </w:tabs>
        <w:bidi/>
        <w:spacing w:line="480" w:lineRule="auto"/>
        <w:jc w:val="both"/>
        <w:rPr>
          <w:rFonts w:ascii="David" w:hAnsi="David" w:cs="David"/>
          <w:szCs w:val="24"/>
          <w:rtl/>
          <w:lang w:bidi="he-IL"/>
        </w:rPr>
      </w:pPr>
      <w:r>
        <w:rPr>
          <w:rFonts w:ascii="David" w:hAnsi="David" w:cs="David" w:hint="cs"/>
          <w:szCs w:val="24"/>
          <w:rtl/>
          <w:lang w:bidi="he-IL"/>
        </w:rPr>
        <w:t xml:space="preserve">, </w:t>
      </w:r>
      <w:r w:rsidR="00FF6FED">
        <w:rPr>
          <w:rFonts w:ascii="David" w:hAnsi="David" w:cs="David" w:hint="cs"/>
          <w:szCs w:val="24"/>
          <w:rtl/>
          <w:lang w:bidi="he-IL"/>
        </w:rPr>
        <w:t xml:space="preserve">וכך </w:t>
      </w:r>
      <w:r w:rsidR="00EA070B" w:rsidRPr="00EA070B">
        <w:rPr>
          <w:rFonts w:ascii="David" w:hAnsi="David" w:cs="David"/>
          <w:szCs w:val="24"/>
          <w:rtl/>
          <w:lang w:bidi="he-IL"/>
        </w:rPr>
        <w:t>מקנה את המזון</w:t>
      </w:r>
      <w:r w:rsidR="00892F29">
        <w:rPr>
          <w:rFonts w:ascii="David" w:hAnsi="David" w:cs="David" w:hint="cs"/>
          <w:szCs w:val="24"/>
          <w:rtl/>
          <w:lang w:bidi="he-IL"/>
        </w:rPr>
        <w:t xml:space="preserve"> למקבל</w:t>
      </w:r>
      <w:r w:rsidR="00EA070B" w:rsidRPr="00EA070B">
        <w:rPr>
          <w:rFonts w:ascii="David" w:hAnsi="David" w:cs="David"/>
          <w:szCs w:val="24"/>
          <w:rtl/>
          <w:lang w:bidi="he-IL"/>
        </w:rPr>
        <w:t>.</w:t>
      </w:r>
      <w:r w:rsidR="00EA070B">
        <w:rPr>
          <w:rFonts w:ascii="David" w:hAnsi="David" w:cs="David" w:hint="cs"/>
          <w:szCs w:val="24"/>
          <w:rtl/>
          <w:lang w:bidi="he-IL"/>
        </w:rPr>
        <w:t xml:space="preserve"> </w:t>
      </w:r>
      <w:r w:rsidR="00053986">
        <w:rPr>
          <w:rFonts w:ascii="David" w:hAnsi="David" w:cs="David" w:hint="cs"/>
          <w:szCs w:val="24"/>
          <w:rtl/>
          <w:lang w:bidi="he-IL"/>
        </w:rPr>
        <w:t xml:space="preserve">אולם מדברי חכמים </w:t>
      </w:r>
      <w:r w:rsidR="00563E93">
        <w:rPr>
          <w:rFonts w:ascii="David" w:hAnsi="David" w:cs="David" w:hint="cs"/>
          <w:szCs w:val="24"/>
          <w:rtl/>
          <w:lang w:bidi="he-IL"/>
        </w:rPr>
        <w:t xml:space="preserve">נוספים </w:t>
      </w:r>
      <w:r w:rsidR="00053986">
        <w:rPr>
          <w:rFonts w:ascii="David" w:hAnsi="David" w:cs="David" w:hint="cs"/>
          <w:szCs w:val="24"/>
          <w:rtl/>
          <w:lang w:bidi="he-IL"/>
        </w:rPr>
        <w:t>ב</w:t>
      </w:r>
      <w:r w:rsidR="00FF6FED">
        <w:rPr>
          <w:rFonts w:ascii="David" w:hAnsi="David" w:cs="David" w:hint="cs"/>
          <w:szCs w:val="24"/>
          <w:rtl/>
          <w:lang w:bidi="he-IL"/>
        </w:rPr>
        <w:t>שני ה</w:t>
      </w:r>
      <w:r w:rsidR="00053986">
        <w:rPr>
          <w:rFonts w:ascii="David" w:hAnsi="David" w:cs="David" w:hint="cs"/>
          <w:szCs w:val="24"/>
          <w:rtl/>
          <w:lang w:bidi="he-IL"/>
        </w:rPr>
        <w:t xml:space="preserve">תלמודים מסתבר כי </w:t>
      </w:r>
      <w:r w:rsidR="00AB53EF">
        <w:rPr>
          <w:rFonts w:ascii="David" w:hAnsi="David" w:cs="David" w:hint="cs"/>
          <w:szCs w:val="24"/>
          <w:rtl/>
          <w:lang w:bidi="he-IL"/>
        </w:rPr>
        <w:t>לא רק שניתן להעביר עירוב על ידי קטן אלא</w:t>
      </w:r>
      <w:r w:rsidR="00FF473B">
        <w:rPr>
          <w:rFonts w:ascii="David" w:hAnsi="David" w:cs="David" w:hint="cs"/>
          <w:szCs w:val="24"/>
          <w:rtl/>
          <w:lang w:bidi="he-IL"/>
        </w:rPr>
        <w:t xml:space="preserve"> שזוהי הדרך המועדפת</w:t>
      </w:r>
      <w:r w:rsidR="00AB53EF">
        <w:rPr>
          <w:rFonts w:ascii="David" w:hAnsi="David" w:cs="David" w:hint="cs"/>
          <w:szCs w:val="24"/>
          <w:rtl/>
          <w:lang w:bidi="he-IL"/>
        </w:rPr>
        <w:t>.</w:t>
      </w:r>
      <w:r w:rsidR="00700915">
        <w:rPr>
          <w:rStyle w:val="a5"/>
          <w:rFonts w:ascii="David" w:hAnsi="David" w:cs="David"/>
          <w:szCs w:val="24"/>
          <w:rtl/>
          <w:lang w:bidi="he-IL"/>
        </w:rPr>
        <w:footnoteReference w:id="55"/>
      </w:r>
      <w:r w:rsidR="00700915">
        <w:rPr>
          <w:rFonts w:ascii="David" w:hAnsi="David" w:cs="David" w:hint="cs"/>
          <w:szCs w:val="24"/>
          <w:rtl/>
          <w:lang w:bidi="he-IL"/>
        </w:rPr>
        <w:t xml:space="preserve"> </w:t>
      </w:r>
      <w:r w:rsidR="00AB53EF">
        <w:rPr>
          <w:rFonts w:ascii="David" w:hAnsi="David" w:cs="David" w:hint="cs"/>
          <w:szCs w:val="24"/>
          <w:rtl/>
          <w:lang w:bidi="he-IL"/>
        </w:rPr>
        <w:t>בסוגיי</w:t>
      </w:r>
      <w:r w:rsidR="00AA13E8">
        <w:rPr>
          <w:rFonts w:ascii="David" w:hAnsi="David" w:cs="David" w:hint="cs"/>
          <w:szCs w:val="24"/>
          <w:rtl/>
          <w:lang w:bidi="he-IL"/>
        </w:rPr>
        <w:t>ה</w:t>
      </w:r>
      <w:r w:rsidR="00AB53EF">
        <w:rPr>
          <w:rFonts w:ascii="David" w:hAnsi="David" w:cs="David" w:hint="cs"/>
          <w:szCs w:val="24"/>
          <w:rtl/>
          <w:lang w:bidi="he-IL"/>
        </w:rPr>
        <w:t xml:space="preserve"> </w:t>
      </w:r>
      <w:r w:rsidR="00AA13E8">
        <w:rPr>
          <w:rFonts w:ascii="David" w:hAnsi="David" w:cs="David" w:hint="cs"/>
          <w:szCs w:val="24"/>
          <w:rtl/>
          <w:lang w:bidi="he-IL"/>
        </w:rPr>
        <w:t>שב</w:t>
      </w:r>
      <w:r w:rsidR="00AB53EF">
        <w:rPr>
          <w:rFonts w:ascii="David" w:hAnsi="David" w:cs="David" w:hint="cs"/>
          <w:szCs w:val="24"/>
          <w:rtl/>
          <w:lang w:bidi="he-IL"/>
        </w:rPr>
        <w:t>תלמוד הירושלמי</w:t>
      </w:r>
      <w:r w:rsidR="00011E9F">
        <w:rPr>
          <w:rFonts w:ascii="David" w:hAnsi="David" w:cs="David" w:hint="cs"/>
          <w:szCs w:val="24"/>
          <w:rtl/>
          <w:lang w:bidi="he-IL"/>
        </w:rPr>
        <w:t>,</w:t>
      </w:r>
      <w:r w:rsidR="0040531A" w:rsidRPr="0040531A">
        <w:rPr>
          <w:rStyle w:val="a5"/>
          <w:rFonts w:ascii="David" w:hAnsi="David" w:cs="David"/>
          <w:szCs w:val="24"/>
          <w:lang w:bidi="he-IL"/>
        </w:rPr>
        <w:footnoteReference w:id="56"/>
      </w:r>
      <w:r w:rsidR="00AB53EF">
        <w:rPr>
          <w:rFonts w:ascii="David" w:hAnsi="David" w:cs="David" w:hint="cs"/>
          <w:szCs w:val="24"/>
          <w:rtl/>
          <w:lang w:bidi="he-IL"/>
        </w:rPr>
        <w:t xml:space="preserve"> </w:t>
      </w:r>
      <w:r w:rsidR="00011E9F">
        <w:rPr>
          <w:rFonts w:ascii="David" w:hAnsi="David" w:cs="David" w:hint="cs"/>
          <w:szCs w:val="24"/>
          <w:rtl/>
          <w:lang w:bidi="he-IL"/>
        </w:rPr>
        <w:t xml:space="preserve">שבה נמצא את הנימוק שלנו, </w:t>
      </w:r>
      <w:r w:rsidR="00382A1D">
        <w:rPr>
          <w:rFonts w:ascii="David" w:hAnsi="David" w:cs="David" w:hint="cs"/>
          <w:szCs w:val="24"/>
          <w:rtl/>
          <w:lang w:bidi="he-IL"/>
        </w:rPr>
        <w:t xml:space="preserve">מובאים דבריו של </w:t>
      </w:r>
      <w:r w:rsidR="00AB53EF">
        <w:rPr>
          <w:rFonts w:ascii="David" w:hAnsi="David" w:cs="David" w:hint="cs"/>
          <w:szCs w:val="24"/>
          <w:rtl/>
          <w:lang w:bidi="he-IL"/>
        </w:rPr>
        <w:t>ר' יהושע</w:t>
      </w:r>
      <w:r w:rsidR="000B42DE">
        <w:rPr>
          <w:rFonts w:ascii="David" w:hAnsi="David" w:cs="David" w:hint="cs"/>
          <w:szCs w:val="24"/>
          <w:rtl/>
          <w:lang w:bidi="he-IL"/>
        </w:rPr>
        <w:t>. קשה לקבוע את זהותו המדויקת של חכם זה, ובמיוחד האם הוא תנא או אמורא, שכן</w:t>
      </w:r>
      <w:r w:rsidR="00231722">
        <w:rPr>
          <w:rFonts w:ascii="David" w:hAnsi="David" w:cs="David" w:hint="cs"/>
          <w:szCs w:val="24"/>
          <w:rtl/>
          <w:lang w:bidi="he-IL"/>
        </w:rPr>
        <w:t xml:space="preserve"> </w:t>
      </w:r>
      <w:r w:rsidR="00E82C7B">
        <w:rPr>
          <w:rFonts w:ascii="David" w:hAnsi="David" w:cs="David" w:hint="cs"/>
          <w:szCs w:val="24"/>
          <w:rtl/>
          <w:lang w:bidi="he-IL"/>
        </w:rPr>
        <w:t>ב</w:t>
      </w:r>
      <w:r w:rsidR="00AB53EF">
        <w:rPr>
          <w:rFonts w:ascii="David" w:hAnsi="David" w:cs="David" w:hint="cs"/>
          <w:szCs w:val="24"/>
          <w:rtl/>
          <w:lang w:bidi="he-IL"/>
        </w:rPr>
        <w:t xml:space="preserve">כתב יד </w:t>
      </w:r>
      <w:r w:rsidR="00BA5DAC">
        <w:rPr>
          <w:rFonts w:ascii="David" w:hAnsi="David" w:cs="David" w:hint="cs"/>
          <w:szCs w:val="24"/>
          <w:rtl/>
          <w:lang w:bidi="he-IL"/>
        </w:rPr>
        <w:t xml:space="preserve">ליידן של התלמוד הירושלמי </w:t>
      </w:r>
      <w:r w:rsidR="000B42DE">
        <w:rPr>
          <w:rFonts w:ascii="David" w:hAnsi="David" w:cs="David" w:hint="cs"/>
          <w:szCs w:val="24"/>
          <w:rtl/>
          <w:lang w:bidi="he-IL"/>
        </w:rPr>
        <w:t xml:space="preserve">הוא </w:t>
      </w:r>
      <w:r w:rsidR="00AB53EF">
        <w:rPr>
          <w:rFonts w:ascii="David" w:hAnsi="David" w:cs="David" w:hint="cs"/>
          <w:szCs w:val="24"/>
          <w:rtl/>
          <w:lang w:bidi="he-IL"/>
        </w:rPr>
        <w:t xml:space="preserve">מופיע </w:t>
      </w:r>
      <w:r w:rsidR="00AB53EF">
        <w:rPr>
          <w:rFonts w:ascii="David" w:hAnsi="David" w:cs="David" w:hint="cs"/>
          <w:szCs w:val="24"/>
          <w:rtl/>
          <w:lang w:bidi="he-IL"/>
        </w:rPr>
        <w:lastRenderedPageBreak/>
        <w:t>כיהושע</w:t>
      </w:r>
      <w:r w:rsidR="00F5693C">
        <w:rPr>
          <w:rFonts w:ascii="David" w:hAnsi="David" w:cs="David" w:hint="cs"/>
          <w:szCs w:val="24"/>
          <w:rtl/>
          <w:lang w:bidi="he-IL"/>
        </w:rPr>
        <w:t xml:space="preserve"> סתם</w:t>
      </w:r>
      <w:r w:rsidR="00AB53EF">
        <w:rPr>
          <w:rFonts w:ascii="David" w:hAnsi="David" w:cs="David" w:hint="cs"/>
          <w:szCs w:val="24"/>
          <w:rtl/>
          <w:lang w:bidi="he-IL"/>
        </w:rPr>
        <w:t>,</w:t>
      </w:r>
      <w:r w:rsidR="00E41996">
        <w:rPr>
          <w:rStyle w:val="a5"/>
          <w:rFonts w:ascii="David" w:hAnsi="David" w:cs="David"/>
          <w:szCs w:val="24"/>
          <w:rtl/>
          <w:lang w:bidi="he-IL"/>
        </w:rPr>
        <w:footnoteReference w:id="57"/>
      </w:r>
      <w:r w:rsidR="00AB53EF">
        <w:rPr>
          <w:rFonts w:ascii="David" w:hAnsi="David" w:cs="David" w:hint="cs"/>
          <w:szCs w:val="24"/>
          <w:rtl/>
          <w:lang w:bidi="he-IL"/>
        </w:rPr>
        <w:t xml:space="preserve"> אך </w:t>
      </w:r>
      <w:r w:rsidR="00D67D8E">
        <w:rPr>
          <w:rFonts w:ascii="David" w:hAnsi="David" w:cs="David" w:hint="cs"/>
          <w:szCs w:val="24"/>
          <w:rtl/>
          <w:lang w:bidi="he-IL"/>
        </w:rPr>
        <w:t>בקטעי גניזה ובמקבילה בפרק ז מובא</w:t>
      </w:r>
      <w:r w:rsidR="00AB53EF">
        <w:rPr>
          <w:rFonts w:ascii="David" w:hAnsi="David" w:cs="David" w:hint="cs"/>
          <w:szCs w:val="24"/>
          <w:rtl/>
          <w:lang w:bidi="he-IL"/>
        </w:rPr>
        <w:t xml:space="preserve"> כ</w:t>
      </w:r>
      <w:r w:rsidR="00F5693C">
        <w:rPr>
          <w:rFonts w:ascii="David" w:hAnsi="David" w:cs="David" w:hint="cs"/>
          <w:szCs w:val="24"/>
          <w:rtl/>
          <w:lang w:bidi="he-IL"/>
        </w:rPr>
        <w:t xml:space="preserve">אמורא </w:t>
      </w:r>
      <w:r w:rsidR="000A3858">
        <w:rPr>
          <w:rFonts w:ascii="David" w:hAnsi="David" w:cs="David" w:hint="cs"/>
          <w:szCs w:val="24"/>
          <w:rtl/>
          <w:lang w:bidi="he-IL"/>
        </w:rPr>
        <w:t>י</w:t>
      </w:r>
      <w:r w:rsidR="00AB53EF">
        <w:rPr>
          <w:rFonts w:ascii="David" w:hAnsi="David" w:cs="David" w:hint="cs"/>
          <w:szCs w:val="24"/>
          <w:rtl/>
          <w:lang w:bidi="he-IL"/>
        </w:rPr>
        <w:t>הושע</w:t>
      </w:r>
      <w:r w:rsidR="000A3858">
        <w:rPr>
          <w:rFonts w:ascii="David" w:hAnsi="David" w:cs="David" w:hint="cs"/>
          <w:szCs w:val="24"/>
          <w:rtl/>
          <w:lang w:bidi="he-IL"/>
        </w:rPr>
        <w:t xml:space="preserve"> </w:t>
      </w:r>
      <w:r w:rsidR="00F5693C">
        <w:rPr>
          <w:rFonts w:ascii="David" w:hAnsi="David" w:cs="David" w:hint="cs"/>
          <w:szCs w:val="24"/>
          <w:rtl/>
          <w:lang w:bidi="he-IL"/>
        </w:rPr>
        <w:t>בן לוי</w:t>
      </w:r>
      <w:r w:rsidR="00CF3475">
        <w:rPr>
          <w:rFonts w:ascii="David" w:hAnsi="David" w:cs="David" w:hint="cs"/>
          <w:szCs w:val="24"/>
          <w:rtl/>
          <w:lang w:bidi="he-IL"/>
        </w:rPr>
        <w:t>, הידוע בדרשותיו</w:t>
      </w:r>
      <w:r w:rsidR="000B42DE">
        <w:rPr>
          <w:rFonts w:ascii="David" w:hAnsi="David" w:cs="David" w:hint="cs"/>
          <w:szCs w:val="24"/>
          <w:rtl/>
          <w:lang w:bidi="he-IL"/>
        </w:rPr>
        <w:t>.</w:t>
      </w:r>
      <w:r w:rsidR="00E41996">
        <w:rPr>
          <w:rStyle w:val="a5"/>
          <w:rFonts w:ascii="David" w:hAnsi="David" w:cs="David"/>
          <w:szCs w:val="24"/>
          <w:rtl/>
          <w:lang w:bidi="he-IL"/>
        </w:rPr>
        <w:footnoteReference w:id="58"/>
      </w:r>
      <w:r w:rsidR="00AB53EF">
        <w:rPr>
          <w:rFonts w:ascii="David" w:hAnsi="David" w:cs="David" w:hint="cs"/>
          <w:szCs w:val="24"/>
          <w:rtl/>
          <w:lang w:bidi="he-IL"/>
        </w:rPr>
        <w:t xml:space="preserve"> </w:t>
      </w:r>
      <w:r w:rsidR="000B42DE">
        <w:rPr>
          <w:rFonts w:ascii="David" w:hAnsi="David" w:cs="David" w:hint="cs"/>
          <w:szCs w:val="24"/>
          <w:rtl/>
          <w:lang w:bidi="he-IL"/>
        </w:rPr>
        <w:t xml:space="preserve"> </w:t>
      </w:r>
      <w:r w:rsidR="00B54BFE">
        <w:rPr>
          <w:rFonts w:ascii="David" w:hAnsi="David" w:cs="David" w:hint="cs"/>
          <w:szCs w:val="24"/>
          <w:rtl/>
          <w:lang w:bidi="he-IL"/>
        </w:rPr>
        <w:t>וכך אנו קוראים בסוגייה</w:t>
      </w:r>
      <w:r w:rsidR="00AB53EF">
        <w:rPr>
          <w:rFonts w:ascii="David" w:hAnsi="David" w:cs="David" w:hint="cs"/>
          <w:szCs w:val="24"/>
          <w:rtl/>
          <w:lang w:bidi="he-IL"/>
        </w:rPr>
        <w:t xml:space="preserve">: </w:t>
      </w:r>
    </w:p>
    <w:p w14:paraId="48F455C1" w14:textId="77777777" w:rsidR="00AD2609" w:rsidRDefault="007F69B2" w:rsidP="00AD2609">
      <w:pPr>
        <w:pStyle w:val="PS"/>
        <w:tabs>
          <w:tab w:val="left" w:pos="720"/>
          <w:tab w:val="left" w:pos="5220"/>
        </w:tabs>
        <w:spacing w:line="360" w:lineRule="auto"/>
        <w:ind w:left="283" w:firstLine="0"/>
        <w:rPr>
          <w:rtl/>
        </w:rPr>
      </w:pPr>
      <w:r>
        <w:t xml:space="preserve">R. Yehoshua said: Why do we make </w:t>
      </w:r>
      <w:r>
        <w:rPr>
          <w:rStyle w:val="ac"/>
        </w:rPr>
        <w:t xml:space="preserve">Eruvei Chatzeirot? </w:t>
      </w:r>
      <w:r w:rsidR="00BF16AF">
        <w:rPr>
          <w:rFonts w:ascii="SBL Greek" w:hAnsi="SBL Greek" w:cstheme="majorBidi"/>
          <w:szCs w:val="24"/>
        </w:rPr>
        <w:t>‘</w:t>
      </w:r>
      <w:r w:rsidR="00BF16AF" w:rsidRPr="000803B1">
        <w:rPr>
          <w:rFonts w:asciiTheme="majorBidi" w:hAnsiTheme="majorBidi" w:cstheme="majorBidi"/>
          <w:szCs w:val="24"/>
        </w:rPr>
        <w:t>for reason of ways of peace,</w:t>
      </w:r>
      <w:r w:rsidR="00BF16AF">
        <w:rPr>
          <w:rFonts w:ascii="SBL Greek" w:hAnsi="SBL Greek" w:cstheme="majorBidi"/>
          <w:szCs w:val="24"/>
        </w:rPr>
        <w:t>’</w:t>
      </w:r>
      <w:r w:rsidR="00BF16AF" w:rsidRPr="000803B1">
        <w:rPr>
          <w:rFonts w:asciiTheme="majorBidi" w:hAnsiTheme="majorBidi" w:cstheme="majorBidi"/>
          <w:szCs w:val="24"/>
        </w:rPr>
        <w:t xml:space="preserve"> </w:t>
      </w:r>
      <w:r>
        <w:t xml:space="preserve">There was an incident involving a woman who was antagonistic to her neighbor and sent her son to the neighbor with their share of the </w:t>
      </w:r>
      <w:r>
        <w:rPr>
          <w:rStyle w:val="ac"/>
        </w:rPr>
        <w:t xml:space="preserve">Eiruv Chateirot. </w:t>
      </w:r>
      <w:r>
        <w:t xml:space="preserve">The neighbor hugged and kissed the son, who then related this back to his mother. She said to her self, </w:t>
      </w:r>
      <w:r w:rsidR="00BF16AF">
        <w:rPr>
          <w:rFonts w:ascii="SBL Greek" w:hAnsi="SBL Greek"/>
        </w:rPr>
        <w:t>‘</w:t>
      </w:r>
      <w:r>
        <w:t>how warmly my neighbor feels about me and I never knew.</w:t>
      </w:r>
      <w:r w:rsidR="00BF16AF">
        <w:rPr>
          <w:rFonts w:ascii="SBL Greek" w:hAnsi="SBL Greek"/>
        </w:rPr>
        <w:t>’</w:t>
      </w:r>
      <w:r>
        <w:t xml:space="preserve"> Through this, they made Shalom. Thus it is written (Prov. 3:17), </w:t>
      </w:r>
      <w:r w:rsidR="00BF16AF">
        <w:rPr>
          <w:rFonts w:ascii="SBL Greek" w:hAnsi="SBL Greek"/>
        </w:rPr>
        <w:t>“</w:t>
      </w:r>
      <w:r>
        <w:t>Its ways are ways of pleasantness and all its paths are to peace</w:t>
      </w:r>
      <w:r w:rsidR="00BF16AF">
        <w:rPr>
          <w:rFonts w:ascii="SBL Greek" w:hAnsi="SBL Greek"/>
        </w:rPr>
        <w:t>”</w:t>
      </w:r>
      <w:r>
        <w:t>.</w:t>
      </w:r>
    </w:p>
    <w:p w14:paraId="4076245C" w14:textId="77777777" w:rsidR="00AD2609" w:rsidRDefault="00AD2609" w:rsidP="00AD2609">
      <w:pPr>
        <w:pStyle w:val="PS"/>
        <w:tabs>
          <w:tab w:val="left" w:pos="720"/>
          <w:tab w:val="left" w:pos="5220"/>
        </w:tabs>
        <w:spacing w:line="360" w:lineRule="auto"/>
        <w:ind w:left="283" w:firstLine="0"/>
        <w:rPr>
          <w:rtl/>
        </w:rPr>
      </w:pPr>
    </w:p>
    <w:p w14:paraId="5A17C5F6" w14:textId="4F76708B" w:rsidR="00561CA6" w:rsidRPr="00AD2609" w:rsidRDefault="00885A34" w:rsidP="00E82C7B">
      <w:pPr>
        <w:pStyle w:val="PS"/>
        <w:tabs>
          <w:tab w:val="left" w:pos="720"/>
          <w:tab w:val="left" w:pos="5220"/>
        </w:tabs>
        <w:bidi/>
        <w:spacing w:line="480" w:lineRule="auto"/>
        <w:jc w:val="both"/>
        <w:rPr>
          <w:rFonts w:asciiTheme="minorHAnsi" w:hAnsiTheme="minorHAnsi" w:cstheme="minorBidi"/>
          <w:szCs w:val="24"/>
          <w:rtl/>
          <w:lang w:bidi="he-IL"/>
        </w:rPr>
      </w:pPr>
      <w:r>
        <w:rPr>
          <w:rFonts w:ascii="David" w:hAnsi="David" w:cs="David" w:hint="cs"/>
          <w:szCs w:val="24"/>
          <w:rtl/>
          <w:lang w:bidi="he-IL"/>
        </w:rPr>
        <w:t xml:space="preserve">מתוך המקורות הללו </w:t>
      </w:r>
      <w:r w:rsidR="00A676CC">
        <w:rPr>
          <w:rFonts w:ascii="David" w:hAnsi="David" w:cs="David" w:hint="cs"/>
          <w:szCs w:val="24"/>
          <w:rtl/>
          <w:lang w:bidi="he-IL"/>
        </w:rPr>
        <w:t xml:space="preserve">ניתן ללמוד </w:t>
      </w:r>
      <w:r>
        <w:rPr>
          <w:rFonts w:ascii="David" w:hAnsi="David" w:cs="David" w:hint="cs"/>
          <w:szCs w:val="24"/>
          <w:rtl/>
          <w:lang w:bidi="he-IL"/>
        </w:rPr>
        <w:t>על שני</w:t>
      </w:r>
      <w:r w:rsidR="006B5BC1">
        <w:rPr>
          <w:rFonts w:ascii="David" w:hAnsi="David" w:cs="David" w:hint="cs"/>
          <w:szCs w:val="24"/>
          <w:rtl/>
          <w:lang w:bidi="he-IL"/>
        </w:rPr>
        <w:t xml:space="preserve"> תהליכים</w:t>
      </w:r>
      <w:r w:rsidR="00CC0EF6">
        <w:rPr>
          <w:rFonts w:ascii="David" w:hAnsi="David" w:cs="David" w:hint="cs"/>
          <w:szCs w:val="24"/>
          <w:rtl/>
          <w:lang w:bidi="he-IL"/>
        </w:rPr>
        <w:t>.</w:t>
      </w:r>
      <w:r w:rsidR="00080405">
        <w:rPr>
          <w:rFonts w:ascii="David" w:hAnsi="David" w:cs="David" w:hint="cs"/>
          <w:szCs w:val="24"/>
          <w:rtl/>
          <w:lang w:bidi="he-IL"/>
        </w:rPr>
        <w:t xml:space="preserve"> אחד </w:t>
      </w:r>
      <w:r w:rsidR="00A676CC">
        <w:rPr>
          <w:rFonts w:ascii="David" w:hAnsi="David" w:cs="David" w:hint="cs"/>
          <w:szCs w:val="24"/>
          <w:rtl/>
          <w:lang w:bidi="he-IL"/>
        </w:rPr>
        <w:t>משקף</w:t>
      </w:r>
      <w:r w:rsidR="00A9219A">
        <w:rPr>
          <w:rFonts w:ascii="David" w:hAnsi="David" w:cs="David" w:hint="cs"/>
          <w:szCs w:val="24"/>
          <w:rtl/>
          <w:lang w:bidi="he-IL"/>
        </w:rPr>
        <w:t xml:space="preserve"> </w:t>
      </w:r>
      <w:r w:rsidR="00A676CC">
        <w:rPr>
          <w:rFonts w:ascii="David" w:hAnsi="David" w:cs="David" w:hint="cs"/>
          <w:szCs w:val="24"/>
          <w:rtl/>
          <w:lang w:bidi="he-IL"/>
        </w:rPr>
        <w:t>שינוי ב</w:t>
      </w:r>
      <w:r w:rsidR="00CC0EF6">
        <w:rPr>
          <w:rFonts w:ascii="David" w:hAnsi="David" w:cs="David" w:hint="cs"/>
          <w:szCs w:val="24"/>
          <w:rtl/>
          <w:lang w:bidi="he-IL"/>
        </w:rPr>
        <w:t xml:space="preserve">תפיסת מטרתם של </w:t>
      </w:r>
      <w:r w:rsidR="00080405">
        <w:rPr>
          <w:rFonts w:ascii="David" w:hAnsi="David" w:cs="David" w:hint="cs"/>
          <w:szCs w:val="24"/>
          <w:rtl/>
          <w:lang w:bidi="he-IL"/>
        </w:rPr>
        <w:t>דיני עירוב חצרות</w:t>
      </w:r>
      <w:r w:rsidR="00A676CC">
        <w:rPr>
          <w:rFonts w:ascii="David" w:hAnsi="David" w:cs="David" w:hint="cs"/>
          <w:szCs w:val="24"/>
          <w:rtl/>
          <w:lang w:bidi="he-IL"/>
        </w:rPr>
        <w:t>;</w:t>
      </w:r>
      <w:r w:rsidR="00080405">
        <w:rPr>
          <w:rFonts w:ascii="David" w:hAnsi="David" w:cs="David" w:hint="cs"/>
          <w:szCs w:val="24"/>
          <w:rtl/>
          <w:lang w:bidi="he-IL"/>
        </w:rPr>
        <w:t xml:space="preserve"> והשני </w:t>
      </w:r>
      <w:r w:rsidR="00A676CC">
        <w:rPr>
          <w:rFonts w:ascii="David" w:hAnsi="David" w:cs="David" w:hint="cs"/>
          <w:szCs w:val="24"/>
          <w:rtl/>
          <w:lang w:bidi="he-IL"/>
        </w:rPr>
        <w:t>את ריבוי הנרטיבים</w:t>
      </w:r>
      <w:r w:rsidR="003A2224">
        <w:rPr>
          <w:rFonts w:ascii="David" w:hAnsi="David" w:cs="David" w:hint="cs"/>
          <w:szCs w:val="24"/>
          <w:rtl/>
          <w:lang w:bidi="he-IL"/>
        </w:rPr>
        <w:t xml:space="preserve"> </w:t>
      </w:r>
      <w:r w:rsidR="00D465B5">
        <w:rPr>
          <w:rFonts w:ascii="David" w:hAnsi="David" w:cs="David" w:hint="cs"/>
          <w:szCs w:val="24"/>
          <w:rtl/>
          <w:lang w:bidi="he-IL"/>
        </w:rPr>
        <w:t>שסובבים את השימוש ב</w:t>
      </w:r>
      <w:r w:rsidR="00080405">
        <w:rPr>
          <w:rFonts w:ascii="David" w:hAnsi="David" w:cs="David" w:hint="cs"/>
          <w:szCs w:val="24"/>
          <w:rtl/>
          <w:lang w:bidi="he-IL"/>
        </w:rPr>
        <w:t>הצדקה 'מפני דרכי שלום'</w:t>
      </w:r>
      <w:r w:rsidR="00FE7648">
        <w:rPr>
          <w:rFonts w:ascii="David" w:hAnsi="David" w:cs="David" w:hint="cs"/>
          <w:szCs w:val="24"/>
          <w:rtl/>
          <w:lang w:bidi="he-IL"/>
        </w:rPr>
        <w:t>.</w:t>
      </w:r>
      <w:r>
        <w:rPr>
          <w:rFonts w:ascii="David" w:hAnsi="David" w:cs="David" w:hint="cs"/>
          <w:szCs w:val="24"/>
          <w:rtl/>
          <w:lang w:bidi="he-IL"/>
        </w:rPr>
        <w:t xml:space="preserve"> </w:t>
      </w:r>
      <w:r w:rsidR="00F93E04">
        <w:rPr>
          <w:rFonts w:ascii="David" w:hAnsi="David" w:cs="David" w:hint="cs"/>
          <w:szCs w:val="24"/>
          <w:rtl/>
          <w:lang w:bidi="he-IL"/>
        </w:rPr>
        <w:t xml:space="preserve">כפי שהראתה אלישבע פונרוברט, וכפי שעומדים על כך שמואל וזאב ספראי, </w:t>
      </w:r>
      <w:r w:rsidR="00B54BFE">
        <w:rPr>
          <w:rFonts w:ascii="David" w:hAnsi="David" w:cs="David" w:hint="cs"/>
          <w:szCs w:val="24"/>
          <w:rtl/>
          <w:lang w:bidi="he-IL"/>
        </w:rPr>
        <w:t xml:space="preserve">עירוב חצרות </w:t>
      </w:r>
      <w:r w:rsidR="00F93E04">
        <w:rPr>
          <w:rFonts w:ascii="David" w:hAnsi="David" w:cs="David" w:hint="cs"/>
          <w:szCs w:val="24"/>
          <w:rtl/>
          <w:lang w:bidi="he-IL"/>
        </w:rPr>
        <w:t>מקבל במשך הזמן</w:t>
      </w:r>
      <w:r w:rsidR="00556C83">
        <w:rPr>
          <w:rFonts w:ascii="David" w:hAnsi="David" w:cs="David" w:hint="cs"/>
          <w:szCs w:val="24"/>
          <w:rtl/>
          <w:lang w:bidi="he-IL"/>
        </w:rPr>
        <w:t xml:space="preserve"> משמעות אחרת ונוספת</w:t>
      </w:r>
      <w:r w:rsidR="006B5BC1">
        <w:rPr>
          <w:rFonts w:ascii="David" w:hAnsi="David" w:cs="David" w:hint="cs"/>
          <w:szCs w:val="24"/>
          <w:rtl/>
          <w:lang w:bidi="he-IL"/>
        </w:rPr>
        <w:t xml:space="preserve"> </w:t>
      </w:r>
      <w:r w:rsidR="00F93E04">
        <w:rPr>
          <w:rFonts w:ascii="David" w:hAnsi="David" w:cs="David" w:hint="cs"/>
          <w:szCs w:val="24"/>
          <w:rtl/>
          <w:lang w:bidi="he-IL"/>
        </w:rPr>
        <w:t xml:space="preserve">על המטרה העיקרית או הראשונית </w:t>
      </w:r>
      <w:r w:rsidR="00080405">
        <w:rPr>
          <w:rFonts w:ascii="David" w:hAnsi="David" w:cs="David" w:hint="cs"/>
          <w:szCs w:val="24"/>
          <w:rtl/>
          <w:lang w:bidi="he-IL"/>
        </w:rPr>
        <w:t>שהייתה ל</w:t>
      </w:r>
      <w:r w:rsidR="00B54BFE">
        <w:rPr>
          <w:rFonts w:ascii="David" w:hAnsi="David" w:cs="David" w:hint="cs"/>
          <w:szCs w:val="24"/>
          <w:rtl/>
          <w:lang w:bidi="he-IL"/>
        </w:rPr>
        <w:t>ו</w:t>
      </w:r>
      <w:r w:rsidR="00080405">
        <w:rPr>
          <w:rFonts w:ascii="David" w:hAnsi="David" w:cs="David" w:hint="cs"/>
          <w:szCs w:val="24"/>
          <w:rtl/>
          <w:lang w:bidi="he-IL"/>
        </w:rPr>
        <w:t xml:space="preserve"> </w:t>
      </w:r>
      <w:r w:rsidR="00B54BFE">
        <w:rPr>
          <w:rFonts w:ascii="David" w:hAnsi="David" w:cs="David" w:hint="cs"/>
          <w:szCs w:val="24"/>
          <w:rtl/>
          <w:lang w:bidi="he-IL"/>
        </w:rPr>
        <w:t>כקונסטרוקציה הלכתית שנועדה להקל על</w:t>
      </w:r>
      <w:r w:rsidR="00080405">
        <w:rPr>
          <w:rFonts w:ascii="David" w:hAnsi="David" w:cs="David" w:hint="cs"/>
          <w:szCs w:val="24"/>
          <w:rtl/>
          <w:lang w:bidi="he-IL"/>
        </w:rPr>
        <w:t xml:space="preserve"> </w:t>
      </w:r>
      <w:r w:rsidR="00F93E04">
        <w:rPr>
          <w:rFonts w:ascii="David" w:hAnsi="David" w:cs="David" w:hint="cs"/>
          <w:szCs w:val="24"/>
          <w:rtl/>
          <w:lang w:bidi="he-IL"/>
        </w:rPr>
        <w:t>שמירת השבת</w:t>
      </w:r>
      <w:r w:rsidR="006B5BC1">
        <w:rPr>
          <w:rFonts w:ascii="David" w:hAnsi="David" w:cs="David" w:hint="cs"/>
          <w:szCs w:val="24"/>
          <w:rtl/>
          <w:lang w:bidi="he-IL"/>
        </w:rPr>
        <w:t>.</w:t>
      </w:r>
      <w:r w:rsidR="00DB49FF">
        <w:rPr>
          <w:rStyle w:val="a5"/>
          <w:rFonts w:ascii="David" w:hAnsi="David" w:cs="David"/>
          <w:szCs w:val="24"/>
          <w:rtl/>
          <w:lang w:bidi="he-IL"/>
        </w:rPr>
        <w:footnoteReference w:id="59"/>
      </w:r>
      <w:r w:rsidR="00F93E04">
        <w:rPr>
          <w:rFonts w:ascii="David" w:hAnsi="David" w:cs="David" w:hint="cs"/>
          <w:szCs w:val="24"/>
          <w:rtl/>
          <w:lang w:bidi="he-IL"/>
        </w:rPr>
        <w:t xml:space="preserve"> </w:t>
      </w:r>
      <w:r w:rsidR="00556C83">
        <w:rPr>
          <w:rFonts w:ascii="David" w:hAnsi="David" w:cs="David" w:hint="cs"/>
          <w:szCs w:val="24"/>
          <w:rtl/>
          <w:lang w:bidi="he-IL"/>
        </w:rPr>
        <w:t xml:space="preserve">ברובד זה </w:t>
      </w:r>
      <w:r w:rsidR="006B5BC1">
        <w:rPr>
          <w:rFonts w:ascii="David" w:hAnsi="David" w:cs="David" w:hint="cs"/>
          <w:szCs w:val="24"/>
          <w:rtl/>
          <w:lang w:bidi="he-IL"/>
        </w:rPr>
        <w:t xml:space="preserve">דיני העירוב </w:t>
      </w:r>
      <w:r w:rsidR="00080405">
        <w:rPr>
          <w:rFonts w:ascii="David" w:hAnsi="David" w:cs="David" w:hint="cs"/>
          <w:szCs w:val="24"/>
          <w:rtl/>
          <w:lang w:bidi="he-IL"/>
        </w:rPr>
        <w:t>משמשים כ</w:t>
      </w:r>
      <w:r w:rsidR="00F93E04">
        <w:rPr>
          <w:rFonts w:ascii="David" w:hAnsi="David" w:cs="David" w:hint="cs"/>
          <w:szCs w:val="24"/>
          <w:rtl/>
          <w:lang w:bidi="he-IL"/>
        </w:rPr>
        <w:t xml:space="preserve">משאב סימבולי-פוליטי </w:t>
      </w:r>
      <w:r w:rsidR="006B5BC1">
        <w:rPr>
          <w:rFonts w:ascii="David" w:hAnsi="David" w:cs="David" w:hint="cs"/>
          <w:szCs w:val="24"/>
          <w:rtl/>
          <w:lang w:bidi="he-IL"/>
        </w:rPr>
        <w:t xml:space="preserve">לצורך </w:t>
      </w:r>
      <w:r w:rsidR="00F93E04">
        <w:rPr>
          <w:rFonts w:ascii="David" w:hAnsi="David" w:cs="David" w:hint="cs"/>
          <w:szCs w:val="24"/>
          <w:rtl/>
          <w:lang w:bidi="he-IL"/>
        </w:rPr>
        <w:t xml:space="preserve">יצירת קהילה </w:t>
      </w:r>
      <w:r w:rsidR="006B5BC1">
        <w:rPr>
          <w:rFonts w:ascii="David" w:hAnsi="David" w:cs="David" w:hint="cs"/>
          <w:szCs w:val="24"/>
          <w:rtl/>
          <w:lang w:bidi="he-IL"/>
        </w:rPr>
        <w:t xml:space="preserve">דתית </w:t>
      </w:r>
      <w:r w:rsidR="00F93E04">
        <w:rPr>
          <w:rFonts w:ascii="David" w:hAnsi="David" w:cs="David" w:hint="cs"/>
          <w:szCs w:val="24"/>
          <w:rtl/>
          <w:lang w:bidi="he-IL"/>
        </w:rPr>
        <w:t xml:space="preserve">ולהגדרת גבולותיה. משמעות הזו </w:t>
      </w:r>
      <w:r w:rsidR="00CC0EF6">
        <w:rPr>
          <w:rFonts w:ascii="David" w:hAnsi="David" w:cs="David" w:hint="cs"/>
          <w:szCs w:val="24"/>
          <w:rtl/>
          <w:lang w:bidi="he-IL"/>
        </w:rPr>
        <w:t>הועמקה באמצעות</w:t>
      </w:r>
      <w:r w:rsidR="00F93E04">
        <w:rPr>
          <w:rFonts w:ascii="David" w:hAnsi="David" w:cs="David" w:hint="cs"/>
          <w:szCs w:val="24"/>
          <w:rtl/>
          <w:lang w:bidi="he-IL"/>
        </w:rPr>
        <w:t xml:space="preserve"> </w:t>
      </w:r>
      <w:r w:rsidR="00B9069D">
        <w:rPr>
          <w:rFonts w:ascii="David" w:hAnsi="David" w:cs="David" w:hint="cs"/>
          <w:szCs w:val="24"/>
          <w:rtl/>
          <w:lang w:bidi="he-IL"/>
        </w:rPr>
        <w:t>עיצובם של פ</w:t>
      </w:r>
      <w:r w:rsidR="00080405">
        <w:rPr>
          <w:rFonts w:ascii="David" w:hAnsi="David" w:cs="David" w:hint="cs"/>
          <w:szCs w:val="24"/>
          <w:rtl/>
          <w:lang w:bidi="he-IL"/>
        </w:rPr>
        <w:t xml:space="preserve">רטים שונים מן </w:t>
      </w:r>
      <w:r w:rsidR="00F93E04">
        <w:rPr>
          <w:rFonts w:ascii="David" w:hAnsi="David" w:cs="David" w:hint="cs"/>
          <w:szCs w:val="24"/>
          <w:rtl/>
          <w:lang w:bidi="he-IL"/>
        </w:rPr>
        <w:t>המצווה</w:t>
      </w:r>
      <w:r w:rsidR="005A5075">
        <w:rPr>
          <w:rFonts w:ascii="David" w:hAnsi="David" w:cs="David" w:hint="cs"/>
          <w:szCs w:val="24"/>
          <w:rtl/>
          <w:lang w:bidi="he-IL"/>
        </w:rPr>
        <w:t>,</w:t>
      </w:r>
      <w:r w:rsidR="00F93E04">
        <w:rPr>
          <w:rFonts w:ascii="David" w:hAnsi="David" w:cs="David" w:hint="cs"/>
          <w:szCs w:val="24"/>
          <w:rtl/>
          <w:lang w:bidi="he-IL"/>
        </w:rPr>
        <w:t xml:space="preserve"> </w:t>
      </w:r>
      <w:r w:rsidR="00CC0EF6">
        <w:rPr>
          <w:rFonts w:ascii="David" w:hAnsi="David" w:cs="David" w:hint="cs"/>
          <w:szCs w:val="24"/>
          <w:rtl/>
          <w:lang w:bidi="he-IL"/>
        </w:rPr>
        <w:t xml:space="preserve">כך שישרתו </w:t>
      </w:r>
      <w:r w:rsidR="00F93E04">
        <w:rPr>
          <w:rFonts w:ascii="David" w:hAnsi="David" w:cs="David" w:hint="cs"/>
          <w:szCs w:val="24"/>
          <w:rtl/>
          <w:lang w:bidi="he-IL"/>
        </w:rPr>
        <w:t xml:space="preserve">טיוב </w:t>
      </w:r>
      <w:r w:rsidR="00CC0EF6">
        <w:rPr>
          <w:rFonts w:ascii="David" w:hAnsi="David" w:cs="David" w:hint="cs"/>
          <w:szCs w:val="24"/>
          <w:rtl/>
          <w:lang w:bidi="he-IL"/>
        </w:rPr>
        <w:t xml:space="preserve">של </w:t>
      </w:r>
      <w:r w:rsidR="00F93E04">
        <w:rPr>
          <w:rFonts w:ascii="David" w:hAnsi="David" w:cs="David" w:hint="cs"/>
          <w:szCs w:val="24"/>
          <w:rtl/>
          <w:lang w:bidi="he-IL"/>
        </w:rPr>
        <w:t>מערכות יחסים בינאישיות בקהילה.</w:t>
      </w:r>
      <w:r w:rsidR="002524B2">
        <w:rPr>
          <w:rFonts w:ascii="David" w:hAnsi="David" w:cs="David" w:hint="cs"/>
          <w:szCs w:val="24"/>
          <w:rtl/>
          <w:lang w:bidi="he-IL"/>
        </w:rPr>
        <w:t xml:space="preserve"> </w:t>
      </w:r>
      <w:r w:rsidR="00CD4579">
        <w:rPr>
          <w:rFonts w:ascii="David" w:hAnsi="David" w:cs="David" w:hint="cs"/>
          <w:szCs w:val="24"/>
          <w:rtl/>
          <w:lang w:bidi="he-IL"/>
        </w:rPr>
        <w:t>ובאשר לתפיסתה של ההנמקה 'מפני דרכי שלום'</w:t>
      </w:r>
      <w:r w:rsidR="002D118F">
        <w:rPr>
          <w:rFonts w:ascii="David" w:hAnsi="David" w:cs="David" w:hint="cs"/>
          <w:szCs w:val="24"/>
          <w:rtl/>
          <w:lang w:bidi="he-IL"/>
        </w:rPr>
        <w:t>,</w:t>
      </w:r>
      <w:r w:rsidR="00CD4579">
        <w:rPr>
          <w:rFonts w:ascii="David" w:hAnsi="David" w:cs="David" w:hint="cs"/>
          <w:szCs w:val="24"/>
          <w:rtl/>
          <w:lang w:bidi="he-IL"/>
        </w:rPr>
        <w:t xml:space="preserve"> ראוי לשים לב לכך ש</w:t>
      </w:r>
      <w:r w:rsidR="00AD65FC">
        <w:rPr>
          <w:rFonts w:ascii="David" w:hAnsi="David" w:cs="David" w:hint="cs"/>
          <w:szCs w:val="24"/>
          <w:rtl/>
          <w:lang w:bidi="he-IL"/>
        </w:rPr>
        <w:t>האופן שבו מוצדק</w:t>
      </w:r>
      <w:r w:rsidR="00CD4579">
        <w:rPr>
          <w:rFonts w:ascii="David" w:hAnsi="David" w:cs="David" w:hint="cs"/>
          <w:szCs w:val="24"/>
          <w:rtl/>
          <w:lang w:bidi="he-IL"/>
        </w:rPr>
        <w:t>ת שליחתו של</w:t>
      </w:r>
      <w:r w:rsidR="00AD65FC">
        <w:rPr>
          <w:rFonts w:ascii="David" w:hAnsi="David" w:cs="David" w:hint="cs"/>
          <w:szCs w:val="24"/>
          <w:rtl/>
          <w:lang w:bidi="he-IL"/>
        </w:rPr>
        <w:t xml:space="preserve"> העירוב </w:t>
      </w:r>
      <w:r w:rsidR="00CD4579">
        <w:rPr>
          <w:rFonts w:ascii="David" w:hAnsi="David" w:cs="David" w:hint="cs"/>
          <w:szCs w:val="24"/>
          <w:rtl/>
          <w:lang w:bidi="he-IL"/>
        </w:rPr>
        <w:t>ביד קטן</w:t>
      </w:r>
      <w:r w:rsidR="006D6875">
        <w:rPr>
          <w:rFonts w:ascii="David" w:hAnsi="David" w:cs="David" w:hint="cs"/>
          <w:szCs w:val="24"/>
          <w:rtl/>
          <w:lang w:bidi="he-IL"/>
        </w:rPr>
        <w:t xml:space="preserve"> בסוגיית הירושלמי</w:t>
      </w:r>
      <w:r w:rsidR="00646412">
        <w:rPr>
          <w:rStyle w:val="a5"/>
          <w:rFonts w:ascii="David" w:hAnsi="David" w:cs="David"/>
          <w:szCs w:val="24"/>
          <w:rtl/>
          <w:lang w:bidi="he-IL"/>
        </w:rPr>
        <w:footnoteReference w:id="60"/>
      </w:r>
      <w:r w:rsidR="00646412">
        <w:rPr>
          <w:rStyle w:val="a5"/>
          <w:rFonts w:ascii="David" w:hAnsi="David" w:cs="David" w:hint="cs"/>
          <w:szCs w:val="24"/>
          <w:rtl/>
          <w:lang w:bidi="he-IL"/>
        </w:rPr>
        <w:t xml:space="preserve"> </w:t>
      </w:r>
      <w:r w:rsidR="002A75F6">
        <w:rPr>
          <w:rFonts w:ascii="David" w:hAnsi="David" w:cs="David" w:hint="cs"/>
          <w:szCs w:val="24"/>
          <w:rtl/>
          <w:lang w:bidi="he-IL"/>
        </w:rPr>
        <w:t xml:space="preserve"> </w:t>
      </w:r>
      <w:r w:rsidR="007D6514">
        <w:rPr>
          <w:rFonts w:ascii="David" w:hAnsi="David" w:cs="David" w:hint="cs"/>
          <w:szCs w:val="24"/>
          <w:rtl/>
          <w:lang w:bidi="he-IL"/>
        </w:rPr>
        <w:t>זהה ל</w:t>
      </w:r>
      <w:r w:rsidR="007428DD">
        <w:rPr>
          <w:rFonts w:ascii="David" w:hAnsi="David" w:cs="David" w:hint="cs"/>
          <w:szCs w:val="24"/>
          <w:rtl/>
          <w:lang w:bidi="he-IL"/>
        </w:rPr>
        <w:t xml:space="preserve">דרך שבה </w:t>
      </w:r>
      <w:r w:rsidR="00AD65FC">
        <w:rPr>
          <w:rFonts w:ascii="David" w:hAnsi="David" w:cs="David" w:hint="cs"/>
          <w:szCs w:val="24"/>
          <w:rtl/>
          <w:lang w:bidi="he-IL"/>
        </w:rPr>
        <w:t xml:space="preserve">נקט </w:t>
      </w:r>
      <w:r w:rsidR="007E04B9">
        <w:rPr>
          <w:rFonts w:ascii="David" w:hAnsi="David" w:cs="David" w:hint="cs"/>
          <w:szCs w:val="24"/>
          <w:rtl/>
          <w:lang w:bidi="he-IL"/>
        </w:rPr>
        <w:t xml:space="preserve">רבי שמעון </w:t>
      </w:r>
      <w:r w:rsidR="007428DD">
        <w:rPr>
          <w:rFonts w:ascii="David" w:hAnsi="David" w:cs="David" w:hint="cs"/>
          <w:szCs w:val="24"/>
          <w:rtl/>
          <w:lang w:bidi="he-IL"/>
        </w:rPr>
        <w:t xml:space="preserve">במכילתא דר' שמעון בר </w:t>
      </w:r>
      <w:r w:rsidR="007428DD">
        <w:rPr>
          <w:rFonts w:ascii="David" w:hAnsi="David" w:cs="David" w:hint="cs"/>
          <w:szCs w:val="24"/>
          <w:rtl/>
          <w:lang w:bidi="he-IL"/>
        </w:rPr>
        <w:lastRenderedPageBreak/>
        <w:t>יוחאי</w:t>
      </w:r>
      <w:r w:rsidR="00CD4579">
        <w:rPr>
          <w:rFonts w:ascii="David" w:hAnsi="David" w:cs="David" w:hint="cs"/>
          <w:szCs w:val="24"/>
          <w:rtl/>
          <w:lang w:bidi="he-IL"/>
        </w:rPr>
        <w:t>.</w:t>
      </w:r>
      <w:r w:rsidR="007428DD">
        <w:rPr>
          <w:rFonts w:ascii="David" w:hAnsi="David" w:cs="David" w:hint="cs"/>
          <w:szCs w:val="24"/>
          <w:rtl/>
          <w:lang w:bidi="he-IL"/>
        </w:rPr>
        <w:t xml:space="preserve"> </w:t>
      </w:r>
      <w:r w:rsidR="00A238E8">
        <w:rPr>
          <w:rFonts w:ascii="David" w:hAnsi="David" w:cs="David" w:hint="cs"/>
          <w:szCs w:val="24"/>
          <w:rtl/>
          <w:lang w:bidi="he-IL"/>
        </w:rPr>
        <w:t xml:space="preserve">ראשית, </w:t>
      </w:r>
      <w:r w:rsidR="006C6C01">
        <w:rPr>
          <w:rFonts w:ascii="David" w:hAnsi="David" w:cs="David" w:hint="cs"/>
          <w:szCs w:val="24"/>
          <w:rtl/>
          <w:lang w:bidi="he-IL"/>
        </w:rPr>
        <w:t>ב</w:t>
      </w:r>
      <w:r w:rsidR="009B4C9D">
        <w:rPr>
          <w:rFonts w:ascii="David" w:hAnsi="David" w:cs="David" w:hint="cs"/>
          <w:szCs w:val="24"/>
          <w:rtl/>
          <w:lang w:bidi="he-IL"/>
        </w:rPr>
        <w:t>מקום לראות ב</w:t>
      </w:r>
      <w:r w:rsidR="00420465">
        <w:rPr>
          <w:rFonts w:ascii="David" w:hAnsi="David" w:cs="David" w:hint="cs"/>
          <w:szCs w:val="24"/>
          <w:rtl/>
          <w:lang w:bidi="he-IL"/>
        </w:rPr>
        <w:t xml:space="preserve">מונח </w:t>
      </w:r>
      <w:r w:rsidR="00CD4579">
        <w:rPr>
          <w:rFonts w:ascii="David" w:hAnsi="David" w:cs="David" w:hint="cs"/>
          <w:szCs w:val="24"/>
          <w:rtl/>
          <w:lang w:bidi="he-IL"/>
        </w:rPr>
        <w:t xml:space="preserve">'דרכי שלום' </w:t>
      </w:r>
      <w:r w:rsidR="00420465">
        <w:rPr>
          <w:rFonts w:ascii="David" w:hAnsi="David" w:cs="David" w:hint="cs"/>
          <w:szCs w:val="24"/>
          <w:rtl/>
          <w:lang w:bidi="he-IL"/>
        </w:rPr>
        <w:t xml:space="preserve">טעם שמצדיק </w:t>
      </w:r>
      <w:r w:rsidR="009B4C9D">
        <w:rPr>
          <w:rFonts w:ascii="David" w:hAnsi="David" w:cs="David" w:hint="cs"/>
          <w:szCs w:val="24"/>
          <w:rtl/>
          <w:lang w:bidi="he-IL"/>
        </w:rPr>
        <w:t>וויתור הלכתי (נסבל אך לא ראוי)</w:t>
      </w:r>
      <w:r w:rsidR="00CD4579">
        <w:rPr>
          <w:rFonts w:ascii="David" w:hAnsi="David" w:cs="David" w:hint="cs"/>
          <w:szCs w:val="24"/>
          <w:rtl/>
          <w:lang w:bidi="he-IL"/>
        </w:rPr>
        <w:t>,</w:t>
      </w:r>
      <w:r w:rsidR="009B4C9D">
        <w:rPr>
          <w:rFonts w:ascii="David" w:hAnsi="David" w:cs="David" w:hint="cs"/>
          <w:szCs w:val="24"/>
          <w:rtl/>
          <w:lang w:bidi="he-IL"/>
        </w:rPr>
        <w:t xml:space="preserve"> או תיאור נטרלי-פרגמטי של מטרת </w:t>
      </w:r>
      <w:r w:rsidR="00420465">
        <w:rPr>
          <w:rFonts w:ascii="David" w:hAnsi="David" w:cs="David" w:hint="cs"/>
          <w:szCs w:val="24"/>
          <w:rtl/>
          <w:lang w:bidi="he-IL"/>
        </w:rPr>
        <w:t xml:space="preserve">החוק, </w:t>
      </w:r>
      <w:r w:rsidR="00B855EA">
        <w:rPr>
          <w:rFonts w:ascii="David" w:hAnsi="David" w:cs="David" w:hint="cs"/>
          <w:szCs w:val="24"/>
          <w:rtl/>
          <w:lang w:bidi="he-IL"/>
        </w:rPr>
        <w:t xml:space="preserve">כל אחד מן החכמים </w:t>
      </w:r>
      <w:r w:rsidR="00A238E8">
        <w:rPr>
          <w:rFonts w:ascii="David" w:hAnsi="David" w:cs="David" w:hint="cs"/>
          <w:szCs w:val="24"/>
          <w:rtl/>
          <w:lang w:bidi="he-IL"/>
        </w:rPr>
        <w:t>רוא</w:t>
      </w:r>
      <w:r w:rsidR="00B855EA">
        <w:rPr>
          <w:rFonts w:ascii="David" w:hAnsi="David" w:cs="David" w:hint="cs"/>
          <w:szCs w:val="24"/>
          <w:rtl/>
          <w:lang w:bidi="he-IL"/>
        </w:rPr>
        <w:t>ה</w:t>
      </w:r>
      <w:r w:rsidR="00A238E8">
        <w:rPr>
          <w:rFonts w:ascii="David" w:hAnsi="David" w:cs="David" w:hint="cs"/>
          <w:szCs w:val="24"/>
          <w:rtl/>
          <w:lang w:bidi="he-IL"/>
        </w:rPr>
        <w:t xml:space="preserve"> בו מטרה רחבה של הקטגוריה המשפטית </w:t>
      </w:r>
      <w:r w:rsidR="002E06CB">
        <w:rPr>
          <w:rFonts w:ascii="David" w:hAnsi="David" w:cs="David" w:hint="cs"/>
          <w:szCs w:val="24"/>
          <w:rtl/>
          <w:lang w:bidi="he-IL"/>
        </w:rPr>
        <w:t>שאליה משתייך ה</w:t>
      </w:r>
      <w:r w:rsidR="00A238E8">
        <w:rPr>
          <w:rFonts w:ascii="David" w:hAnsi="David" w:cs="David" w:hint="cs"/>
          <w:szCs w:val="24"/>
          <w:rtl/>
          <w:lang w:bidi="he-IL"/>
        </w:rPr>
        <w:t>מקרה ש</w:t>
      </w:r>
      <w:r w:rsidR="006C6C01">
        <w:rPr>
          <w:rFonts w:ascii="David" w:hAnsi="David" w:cs="David" w:hint="cs"/>
          <w:szCs w:val="24"/>
          <w:rtl/>
          <w:lang w:bidi="he-IL"/>
        </w:rPr>
        <w:t>ב</w:t>
      </w:r>
      <w:r w:rsidR="00A238E8">
        <w:rPr>
          <w:rFonts w:ascii="David" w:hAnsi="David" w:cs="David" w:hint="cs"/>
          <w:szCs w:val="24"/>
          <w:rtl/>
          <w:lang w:bidi="he-IL"/>
        </w:rPr>
        <w:t xml:space="preserve">ו </w:t>
      </w:r>
      <w:r w:rsidR="006C6C01">
        <w:rPr>
          <w:rFonts w:ascii="David" w:hAnsi="David" w:cs="David" w:hint="cs"/>
          <w:szCs w:val="24"/>
          <w:rtl/>
          <w:lang w:bidi="he-IL"/>
        </w:rPr>
        <w:t xml:space="preserve">הוא דן </w:t>
      </w:r>
      <w:r w:rsidR="00A238E8">
        <w:rPr>
          <w:rFonts w:ascii="David" w:hAnsi="David" w:cs="David" w:hint="cs"/>
          <w:szCs w:val="24"/>
          <w:rtl/>
          <w:lang w:bidi="he-IL"/>
        </w:rPr>
        <w:t>(דיני קורבן/סעודת הפסח</w:t>
      </w:r>
      <w:r w:rsidR="002E06CB">
        <w:rPr>
          <w:rFonts w:ascii="David" w:hAnsi="David" w:cs="David" w:hint="cs"/>
          <w:szCs w:val="24"/>
          <w:rtl/>
          <w:lang w:bidi="he-IL"/>
        </w:rPr>
        <w:t xml:space="preserve"> בידי רבי שמעון</w:t>
      </w:r>
      <w:r w:rsidR="00A238E8">
        <w:rPr>
          <w:rFonts w:ascii="David" w:hAnsi="David" w:cs="David" w:hint="cs"/>
          <w:szCs w:val="24"/>
          <w:rtl/>
          <w:lang w:bidi="he-IL"/>
        </w:rPr>
        <w:t>; דיני עירוב</w:t>
      </w:r>
      <w:r w:rsidR="002E06CB">
        <w:rPr>
          <w:rFonts w:ascii="David" w:hAnsi="David" w:cs="David" w:hint="cs"/>
          <w:szCs w:val="24"/>
          <w:rtl/>
          <w:lang w:bidi="he-IL"/>
        </w:rPr>
        <w:t xml:space="preserve"> בידי רבי יהושע</w:t>
      </w:r>
      <w:r w:rsidR="00A238E8">
        <w:rPr>
          <w:rFonts w:ascii="David" w:hAnsi="David" w:cs="David" w:hint="cs"/>
          <w:szCs w:val="24"/>
          <w:rtl/>
          <w:lang w:bidi="he-IL"/>
        </w:rPr>
        <w:t>)</w:t>
      </w:r>
      <w:r w:rsidR="00B707F1">
        <w:rPr>
          <w:rFonts w:ascii="David" w:hAnsi="David" w:cs="David" w:hint="cs"/>
          <w:szCs w:val="24"/>
          <w:rtl/>
          <w:lang w:bidi="he-IL"/>
        </w:rPr>
        <w:t>;</w:t>
      </w:r>
      <w:r w:rsidR="00A238E8">
        <w:rPr>
          <w:rFonts w:ascii="David" w:hAnsi="David" w:cs="David" w:hint="cs"/>
          <w:szCs w:val="24"/>
          <w:rtl/>
          <w:lang w:bidi="he-IL"/>
        </w:rPr>
        <w:t xml:space="preserve"> שנית, כל אחד מ</w:t>
      </w:r>
      <w:r w:rsidR="006C6C01">
        <w:rPr>
          <w:rFonts w:ascii="David" w:hAnsi="David" w:cs="David" w:hint="cs"/>
          <w:szCs w:val="24"/>
          <w:rtl/>
          <w:lang w:bidi="he-IL"/>
        </w:rPr>
        <w:t>ן החכמים</w:t>
      </w:r>
      <w:r w:rsidR="00A238E8">
        <w:rPr>
          <w:rFonts w:ascii="David" w:hAnsi="David" w:cs="David" w:hint="cs"/>
          <w:szCs w:val="24"/>
          <w:rtl/>
          <w:lang w:bidi="he-IL"/>
        </w:rPr>
        <w:t xml:space="preserve"> </w:t>
      </w:r>
      <w:r w:rsidR="003D36BA">
        <w:rPr>
          <w:rFonts w:ascii="David" w:hAnsi="David" w:cs="David" w:hint="cs"/>
          <w:szCs w:val="24"/>
          <w:rtl/>
          <w:lang w:bidi="he-IL"/>
        </w:rPr>
        <w:t>(או עורך הסוג</w:t>
      </w:r>
      <w:r w:rsidR="005E274E">
        <w:rPr>
          <w:rFonts w:ascii="David" w:hAnsi="David" w:cs="David" w:hint="cs"/>
          <w:szCs w:val="24"/>
          <w:rtl/>
          <w:lang w:bidi="he-IL"/>
        </w:rPr>
        <w:t>י</w:t>
      </w:r>
      <w:r w:rsidR="003D36BA">
        <w:rPr>
          <w:rFonts w:ascii="David" w:hAnsi="David" w:cs="David" w:hint="cs"/>
          <w:szCs w:val="24"/>
          <w:rtl/>
          <w:lang w:bidi="he-IL"/>
        </w:rPr>
        <w:t>יה ב</w:t>
      </w:r>
      <w:r w:rsidR="005E274E">
        <w:rPr>
          <w:rFonts w:ascii="David" w:hAnsi="David" w:cs="David" w:hint="cs"/>
          <w:szCs w:val="24"/>
          <w:rtl/>
          <w:lang w:bidi="he-IL"/>
        </w:rPr>
        <w:t>תלמוד ה</w:t>
      </w:r>
      <w:r w:rsidR="003D36BA">
        <w:rPr>
          <w:rFonts w:ascii="David" w:hAnsi="David" w:cs="David" w:hint="cs"/>
          <w:szCs w:val="24"/>
          <w:rtl/>
          <w:lang w:bidi="he-IL"/>
        </w:rPr>
        <w:t xml:space="preserve">ירושלמי) </w:t>
      </w:r>
      <w:r w:rsidR="009B4C9D">
        <w:rPr>
          <w:rFonts w:ascii="David" w:hAnsi="David" w:cs="David" w:hint="cs"/>
          <w:szCs w:val="24"/>
          <w:rtl/>
          <w:lang w:bidi="he-IL"/>
        </w:rPr>
        <w:t>מעג</w:t>
      </w:r>
      <w:r w:rsidR="00CD4579">
        <w:rPr>
          <w:rFonts w:ascii="David" w:hAnsi="David" w:cs="David" w:hint="cs"/>
          <w:szCs w:val="24"/>
          <w:rtl/>
          <w:lang w:bidi="he-IL"/>
        </w:rPr>
        <w:t xml:space="preserve">ן </w:t>
      </w:r>
      <w:r w:rsidR="00A238E8">
        <w:rPr>
          <w:rFonts w:ascii="David" w:hAnsi="David" w:cs="David" w:hint="cs"/>
          <w:szCs w:val="24"/>
          <w:rtl/>
          <w:lang w:bidi="he-IL"/>
        </w:rPr>
        <w:t xml:space="preserve">מטרה זו </w:t>
      </w:r>
      <w:r w:rsidR="009B4C9D">
        <w:rPr>
          <w:rFonts w:ascii="David" w:hAnsi="David" w:cs="David" w:hint="cs"/>
          <w:szCs w:val="24"/>
          <w:rtl/>
          <w:lang w:bidi="he-IL"/>
        </w:rPr>
        <w:t xml:space="preserve">בפסוק מקראי (ובשני המקרים </w:t>
      </w:r>
      <w:r w:rsidR="00A9219A">
        <w:rPr>
          <w:rFonts w:ascii="David" w:hAnsi="David" w:cs="David" w:hint="cs"/>
          <w:szCs w:val="24"/>
          <w:rtl/>
          <w:lang w:bidi="he-IL"/>
        </w:rPr>
        <w:t>ה</w:t>
      </w:r>
      <w:r w:rsidR="009B4C9D">
        <w:rPr>
          <w:rFonts w:ascii="David" w:hAnsi="David" w:cs="David" w:hint="cs"/>
          <w:szCs w:val="24"/>
          <w:rtl/>
          <w:lang w:bidi="he-IL"/>
        </w:rPr>
        <w:t>פסוק</w:t>
      </w:r>
      <w:r w:rsidR="00A9219A">
        <w:rPr>
          <w:rFonts w:ascii="David" w:hAnsi="David" w:cs="David" w:hint="cs"/>
          <w:szCs w:val="24"/>
          <w:rtl/>
          <w:lang w:bidi="he-IL"/>
        </w:rPr>
        <w:t xml:space="preserve"> הוא</w:t>
      </w:r>
      <w:r w:rsidR="009B4C9D">
        <w:rPr>
          <w:rFonts w:ascii="David" w:hAnsi="David" w:cs="David" w:hint="cs"/>
          <w:szCs w:val="24"/>
          <w:rtl/>
          <w:lang w:bidi="he-IL"/>
        </w:rPr>
        <w:t xml:space="preserve"> מספר משלי)</w:t>
      </w:r>
      <w:r w:rsidR="00B707F1">
        <w:rPr>
          <w:rFonts w:ascii="David" w:hAnsi="David" w:cs="David" w:hint="cs"/>
          <w:szCs w:val="24"/>
          <w:rtl/>
          <w:lang w:bidi="he-IL"/>
        </w:rPr>
        <w:t>;</w:t>
      </w:r>
      <w:r w:rsidR="00A238E8">
        <w:rPr>
          <w:rFonts w:ascii="David" w:hAnsi="David" w:cs="David" w:hint="cs"/>
          <w:szCs w:val="24"/>
          <w:rtl/>
          <w:lang w:bidi="he-IL"/>
        </w:rPr>
        <w:t xml:space="preserve"> ושלישית, הפסוק עצמו נדרש</w:t>
      </w:r>
      <w:r w:rsidR="00A540D1">
        <w:rPr>
          <w:rFonts w:ascii="David" w:hAnsi="David" w:cs="David" w:hint="cs"/>
          <w:szCs w:val="24"/>
          <w:rtl/>
          <w:lang w:bidi="he-IL"/>
        </w:rPr>
        <w:t xml:space="preserve"> </w:t>
      </w:r>
      <w:r w:rsidR="00A238E8">
        <w:rPr>
          <w:rFonts w:ascii="David" w:hAnsi="David" w:cs="David" w:hint="cs"/>
          <w:szCs w:val="24"/>
          <w:rtl/>
          <w:lang w:bidi="he-IL"/>
        </w:rPr>
        <w:t>כביטוי ל</w:t>
      </w:r>
      <w:r w:rsidR="002524B2">
        <w:rPr>
          <w:rFonts w:ascii="David" w:hAnsi="David" w:cs="David" w:hint="cs"/>
          <w:szCs w:val="24"/>
          <w:rtl/>
          <w:lang w:bidi="he-IL"/>
        </w:rPr>
        <w:t>עיקרון מטא-הלכתי</w:t>
      </w:r>
      <w:r w:rsidR="002E06CB">
        <w:rPr>
          <w:rFonts w:ascii="David" w:hAnsi="David" w:cs="David" w:hint="cs"/>
          <w:szCs w:val="24"/>
          <w:rtl/>
          <w:lang w:bidi="he-IL"/>
        </w:rPr>
        <w:t>,</w:t>
      </w:r>
      <w:r w:rsidR="002524B2">
        <w:rPr>
          <w:rFonts w:ascii="David" w:hAnsi="David" w:cs="David" w:hint="cs"/>
          <w:szCs w:val="24"/>
          <w:rtl/>
          <w:lang w:bidi="he-IL"/>
        </w:rPr>
        <w:t xml:space="preserve"> </w:t>
      </w:r>
      <w:r w:rsidR="005C61C9">
        <w:rPr>
          <w:rFonts w:ascii="David" w:hAnsi="David" w:cs="David" w:hint="cs"/>
          <w:szCs w:val="24"/>
          <w:rtl/>
          <w:lang w:bidi="he-IL"/>
        </w:rPr>
        <w:t>ש</w:t>
      </w:r>
      <w:r w:rsidR="002524B2">
        <w:rPr>
          <w:rFonts w:ascii="David" w:hAnsi="David" w:cs="David" w:hint="cs"/>
          <w:szCs w:val="24"/>
          <w:rtl/>
          <w:lang w:bidi="he-IL"/>
        </w:rPr>
        <w:t>מ</w:t>
      </w:r>
      <w:r w:rsidR="00420465">
        <w:rPr>
          <w:rFonts w:ascii="David" w:hAnsi="David" w:cs="David" w:hint="cs"/>
          <w:szCs w:val="24"/>
          <w:rtl/>
          <w:lang w:bidi="he-IL"/>
        </w:rPr>
        <w:t>שקף</w:t>
      </w:r>
      <w:r w:rsidR="002524B2">
        <w:rPr>
          <w:rFonts w:ascii="David" w:hAnsi="David" w:cs="David" w:hint="cs"/>
          <w:szCs w:val="24"/>
          <w:rtl/>
          <w:lang w:bidi="he-IL"/>
        </w:rPr>
        <w:t xml:space="preserve"> את מטרתה הרחבה של התורה כולה.</w:t>
      </w:r>
      <w:r w:rsidR="00646412">
        <w:rPr>
          <w:rFonts w:ascii="David" w:hAnsi="David" w:cs="David" w:hint="cs"/>
          <w:szCs w:val="24"/>
          <w:rtl/>
          <w:lang w:bidi="he-IL"/>
        </w:rPr>
        <w:t xml:space="preserve"> </w:t>
      </w:r>
      <w:r w:rsidR="002E06CB">
        <w:rPr>
          <w:rFonts w:ascii="David" w:hAnsi="David" w:cs="David" w:hint="cs"/>
          <w:szCs w:val="24"/>
          <w:rtl/>
          <w:lang w:bidi="he-IL"/>
        </w:rPr>
        <w:t>כך</w:t>
      </w:r>
      <w:r w:rsidR="00646412">
        <w:rPr>
          <w:rFonts w:ascii="David" w:hAnsi="David" w:cs="David" w:hint="cs"/>
          <w:szCs w:val="24"/>
          <w:rtl/>
          <w:lang w:bidi="he-IL"/>
        </w:rPr>
        <w:t xml:space="preserve"> </w:t>
      </w:r>
      <w:r w:rsidR="002E06CB">
        <w:rPr>
          <w:rFonts w:ascii="David" w:hAnsi="David" w:cs="David" w:hint="cs"/>
          <w:szCs w:val="24"/>
          <w:rtl/>
          <w:lang w:bidi="he-IL"/>
        </w:rPr>
        <w:t xml:space="preserve">נוצר הזיהוי לפיו </w:t>
      </w:r>
      <w:r w:rsidR="00646412">
        <w:rPr>
          <w:rFonts w:ascii="David" w:hAnsi="David" w:cs="David" w:hint="cs"/>
          <w:szCs w:val="24"/>
          <w:rtl/>
          <w:lang w:bidi="he-IL"/>
        </w:rPr>
        <w:t>'דרכי שלום'</w:t>
      </w:r>
      <w:r w:rsidR="002524B2">
        <w:rPr>
          <w:rFonts w:ascii="David" w:hAnsi="David" w:cs="David" w:hint="cs"/>
          <w:szCs w:val="24"/>
          <w:rtl/>
          <w:lang w:bidi="he-IL"/>
        </w:rPr>
        <w:t xml:space="preserve"> </w:t>
      </w:r>
      <w:r w:rsidR="00646412">
        <w:rPr>
          <w:rFonts w:ascii="David" w:hAnsi="David" w:cs="David" w:hint="cs"/>
          <w:szCs w:val="24"/>
          <w:rtl/>
          <w:lang w:bidi="he-IL"/>
        </w:rPr>
        <w:t>הוא ערך חיובי מטא-הלכתי.</w:t>
      </w:r>
      <w:r>
        <w:rPr>
          <w:rFonts w:ascii="David" w:hAnsi="David" w:cs="David" w:hint="cs"/>
          <w:szCs w:val="24"/>
          <w:rtl/>
          <w:lang w:bidi="he-IL"/>
        </w:rPr>
        <w:t xml:space="preserve"> </w:t>
      </w:r>
    </w:p>
    <w:p w14:paraId="01AC1AE5" w14:textId="1B4F78AE" w:rsidR="009617FC" w:rsidRDefault="001F12D8" w:rsidP="001F12D8">
      <w:pPr>
        <w:pStyle w:val="PS"/>
        <w:tabs>
          <w:tab w:val="left" w:pos="720"/>
          <w:tab w:val="left" w:pos="5220"/>
        </w:tabs>
        <w:bidi/>
        <w:spacing w:line="480" w:lineRule="auto"/>
        <w:ind w:firstLine="0"/>
        <w:jc w:val="center"/>
        <w:rPr>
          <w:rFonts w:ascii="David" w:hAnsi="David" w:cs="David"/>
          <w:szCs w:val="24"/>
          <w:rtl/>
          <w:lang w:bidi="he-IL"/>
        </w:rPr>
      </w:pPr>
      <w:r>
        <w:rPr>
          <w:rFonts w:ascii="David" w:hAnsi="David" w:cs="David" w:hint="cs"/>
          <w:szCs w:val="24"/>
          <w:rtl/>
          <w:lang w:bidi="he-IL"/>
        </w:rPr>
        <w:t>*</w:t>
      </w:r>
    </w:p>
    <w:p w14:paraId="1928DDC0" w14:textId="11CDE81C" w:rsidR="005D17DB" w:rsidRDefault="00C450AC" w:rsidP="00B052F8">
      <w:pPr>
        <w:pStyle w:val="PS"/>
        <w:tabs>
          <w:tab w:val="left" w:pos="720"/>
          <w:tab w:val="left" w:pos="5220"/>
        </w:tabs>
        <w:bidi/>
        <w:spacing w:line="480" w:lineRule="auto"/>
        <w:ind w:firstLine="0"/>
        <w:jc w:val="both"/>
        <w:rPr>
          <w:rFonts w:ascii="David" w:hAnsi="David" w:cs="David"/>
          <w:szCs w:val="24"/>
          <w:rtl/>
          <w:lang w:bidi="he-IL"/>
        </w:rPr>
      </w:pPr>
      <w:r>
        <w:rPr>
          <w:rFonts w:ascii="David" w:hAnsi="David" w:cs="David" w:hint="cs"/>
          <w:szCs w:val="24"/>
          <w:rtl/>
          <w:lang w:bidi="he-IL"/>
        </w:rPr>
        <w:t xml:space="preserve">כדי לחדד עוד את ההבדלים בין שלוש הגישות </w:t>
      </w:r>
      <w:r w:rsidR="00B052F8">
        <w:rPr>
          <w:rFonts w:ascii="David" w:hAnsi="David" w:cs="David" w:hint="cs"/>
          <w:szCs w:val="24"/>
          <w:rtl/>
          <w:lang w:bidi="he-IL"/>
        </w:rPr>
        <w:t>נפנה</w:t>
      </w:r>
      <w:r>
        <w:rPr>
          <w:rFonts w:ascii="David" w:hAnsi="David" w:cs="David" w:hint="cs"/>
          <w:szCs w:val="24"/>
          <w:rtl/>
          <w:lang w:bidi="he-IL"/>
        </w:rPr>
        <w:t xml:space="preserve"> עתה</w:t>
      </w:r>
      <w:r w:rsidR="00B052F8">
        <w:rPr>
          <w:rFonts w:ascii="David" w:hAnsi="David" w:cs="David" w:hint="cs"/>
          <w:szCs w:val="24"/>
          <w:rtl/>
          <w:lang w:bidi="he-IL"/>
        </w:rPr>
        <w:t xml:space="preserve"> למסה 'נומוס ונארטיב'. בחלק הבא אציג בקצרה את עיקרי התזה של</w:t>
      </w:r>
      <w:r>
        <w:rPr>
          <w:rFonts w:ascii="David" w:hAnsi="David" w:cs="David" w:hint="cs"/>
          <w:szCs w:val="24"/>
          <w:rtl/>
          <w:lang w:bidi="he-IL"/>
        </w:rPr>
        <w:t xml:space="preserve"> קאבר</w:t>
      </w:r>
      <w:r w:rsidR="00B052F8">
        <w:rPr>
          <w:rFonts w:ascii="David" w:hAnsi="David" w:cs="David" w:hint="cs"/>
          <w:szCs w:val="24"/>
          <w:rtl/>
          <w:lang w:bidi="he-IL"/>
        </w:rPr>
        <w:t xml:space="preserve">, ולאחר מכן </w:t>
      </w:r>
      <w:r w:rsidR="00A94796">
        <w:rPr>
          <w:rFonts w:ascii="David" w:hAnsi="David" w:cs="David" w:hint="cs"/>
          <w:szCs w:val="24"/>
          <w:rtl/>
          <w:lang w:bidi="he-IL"/>
        </w:rPr>
        <w:t>אבחן את סוגי הזיקות שמתקיימות בתו</w:t>
      </w:r>
      <w:r w:rsidR="00003EFD">
        <w:rPr>
          <w:rFonts w:ascii="David" w:hAnsi="David" w:cs="David" w:hint="cs"/>
          <w:szCs w:val="24"/>
          <w:rtl/>
          <w:lang w:bidi="he-IL"/>
        </w:rPr>
        <w:t>ך כל אחת מן</w:t>
      </w:r>
      <w:r w:rsidR="00B052F8">
        <w:rPr>
          <w:rFonts w:ascii="David" w:hAnsi="David" w:cs="David" w:hint="cs"/>
          <w:szCs w:val="24"/>
          <w:rtl/>
          <w:lang w:bidi="he-IL"/>
        </w:rPr>
        <w:t xml:space="preserve"> הגישות </w:t>
      </w:r>
      <w:r w:rsidR="00A94796">
        <w:rPr>
          <w:rFonts w:ascii="David" w:hAnsi="David" w:cs="David" w:hint="cs"/>
          <w:szCs w:val="24"/>
          <w:rtl/>
          <w:lang w:bidi="he-IL"/>
        </w:rPr>
        <w:t xml:space="preserve">בין הנרטיב לנורמה הספציפית (ההלכה) שאותה הוא מנמק, ובין הנרטיב לנומוס כולו. </w:t>
      </w:r>
    </w:p>
    <w:p w14:paraId="24FD793D" w14:textId="2B20CF56" w:rsidR="005D17DB" w:rsidRDefault="005D17DB" w:rsidP="005D17DB">
      <w:pPr>
        <w:pStyle w:val="PS"/>
        <w:tabs>
          <w:tab w:val="left" w:pos="720"/>
          <w:tab w:val="left" w:pos="5220"/>
        </w:tabs>
        <w:bidi/>
        <w:spacing w:line="480" w:lineRule="auto"/>
        <w:ind w:firstLine="0"/>
        <w:jc w:val="both"/>
        <w:rPr>
          <w:rFonts w:ascii="David" w:hAnsi="David" w:cs="David"/>
          <w:szCs w:val="24"/>
          <w:rtl/>
          <w:lang w:bidi="he-IL"/>
        </w:rPr>
      </w:pPr>
    </w:p>
    <w:p w14:paraId="72E71090" w14:textId="17ACB094" w:rsidR="00104521" w:rsidRPr="006E1300" w:rsidRDefault="006E1300" w:rsidP="00506F73">
      <w:pPr>
        <w:spacing w:line="480" w:lineRule="auto"/>
        <w:ind w:left="283"/>
        <w:jc w:val="both"/>
        <w:rPr>
          <w:rFonts w:ascii="David" w:hAnsi="David" w:cs="David"/>
          <w:sz w:val="24"/>
          <w:szCs w:val="24"/>
          <w:rtl/>
        </w:rPr>
      </w:pPr>
      <w:r w:rsidRPr="006E1300">
        <w:rPr>
          <w:rFonts w:cs="David"/>
          <w:b/>
          <w:bCs/>
          <w:sz w:val="24"/>
          <w:szCs w:val="24"/>
        </w:rPr>
        <w:t>IV</w:t>
      </w:r>
      <w:r w:rsidRPr="006E1300">
        <w:rPr>
          <w:rFonts w:ascii="David" w:hAnsi="David" w:cs="David" w:hint="cs"/>
          <w:b/>
          <w:bCs/>
          <w:sz w:val="24"/>
          <w:szCs w:val="24"/>
          <w:rtl/>
        </w:rPr>
        <w:t xml:space="preserve"> </w:t>
      </w:r>
      <w:r w:rsidR="00240A99">
        <w:rPr>
          <w:rFonts w:ascii="David" w:hAnsi="David" w:cs="David" w:hint="cs"/>
          <w:b/>
          <w:bCs/>
          <w:sz w:val="24"/>
          <w:szCs w:val="24"/>
          <w:rtl/>
        </w:rPr>
        <w:t xml:space="preserve">תמצית </w:t>
      </w:r>
      <w:r w:rsidR="00104521" w:rsidRPr="006E1300">
        <w:rPr>
          <w:rFonts w:ascii="David" w:hAnsi="David" w:cs="David" w:hint="cs"/>
          <w:b/>
          <w:bCs/>
          <w:sz w:val="24"/>
          <w:szCs w:val="24"/>
          <w:rtl/>
        </w:rPr>
        <w:t>התזה של רוברט קאבר</w:t>
      </w:r>
      <w:r w:rsidR="00E0356D" w:rsidRPr="006E1300">
        <w:rPr>
          <w:rFonts w:ascii="David" w:hAnsi="David" w:cs="David" w:hint="cs"/>
          <w:b/>
          <w:bCs/>
          <w:sz w:val="24"/>
          <w:szCs w:val="24"/>
          <w:rtl/>
        </w:rPr>
        <w:t xml:space="preserve"> במסה</w:t>
      </w:r>
      <w:r w:rsidR="00104521" w:rsidRPr="006E1300">
        <w:rPr>
          <w:rFonts w:ascii="David" w:hAnsi="David" w:cs="David" w:hint="cs"/>
          <w:b/>
          <w:bCs/>
          <w:sz w:val="24"/>
          <w:szCs w:val="24"/>
          <w:rtl/>
        </w:rPr>
        <w:t xml:space="preserve"> 'נומוס ונארטיב'</w:t>
      </w:r>
    </w:p>
    <w:p w14:paraId="0C530AA4" w14:textId="77777777" w:rsidR="00750F1F" w:rsidRDefault="000E28A8" w:rsidP="00506F73">
      <w:pPr>
        <w:autoSpaceDE w:val="0"/>
        <w:autoSpaceDN w:val="0"/>
        <w:adjustRightInd w:val="0"/>
        <w:spacing w:after="0" w:line="480" w:lineRule="auto"/>
        <w:jc w:val="both"/>
        <w:rPr>
          <w:rFonts w:ascii="David" w:hAnsi="David" w:cs="David"/>
          <w:color w:val="20231D"/>
          <w:rtl/>
        </w:rPr>
      </w:pPr>
      <w:r w:rsidRPr="000E28A8">
        <w:rPr>
          <w:rFonts w:ascii="David" w:hAnsi="David" w:cs="David"/>
          <w:color w:val="20231D"/>
          <w:rtl/>
        </w:rPr>
        <w:t>יסוד גישתו של קאבר בהבנה הייחודית של מושג המשפט: לא כמקבץ של כללים מכוו</w:t>
      </w:r>
      <w:r w:rsidR="00376912">
        <w:rPr>
          <w:rFonts w:ascii="David" w:hAnsi="David" w:cs="David" w:hint="cs"/>
          <w:color w:val="20231D"/>
          <w:rtl/>
        </w:rPr>
        <w:t>ן</w:t>
      </w:r>
      <w:r w:rsidRPr="000E28A8">
        <w:rPr>
          <w:rFonts w:ascii="David" w:hAnsi="David" w:cs="David"/>
          <w:color w:val="20231D"/>
          <w:rtl/>
        </w:rPr>
        <w:t xml:space="preserve"> התנהגות אלא כ</w:t>
      </w:r>
      <w:r w:rsidR="0037069D">
        <w:rPr>
          <w:rFonts w:ascii="David" w:hAnsi="David" w:cs="David" w:hint="cs"/>
          <w:color w:val="20231D"/>
          <w:rtl/>
        </w:rPr>
        <w:t>'</w:t>
      </w:r>
      <w:r w:rsidRPr="000E28A8">
        <w:rPr>
          <w:rFonts w:ascii="David" w:hAnsi="David" w:cs="David"/>
          <w:color w:val="20231D"/>
          <w:rtl/>
        </w:rPr>
        <w:t>נומוס</w:t>
      </w:r>
      <w:r w:rsidR="0037069D">
        <w:rPr>
          <w:rFonts w:ascii="David" w:hAnsi="David" w:cs="David" w:hint="cs"/>
          <w:color w:val="20231D"/>
          <w:rtl/>
        </w:rPr>
        <w:t>'</w:t>
      </w:r>
      <w:r w:rsidRPr="000E28A8">
        <w:rPr>
          <w:rFonts w:ascii="David" w:hAnsi="David" w:cs="David"/>
          <w:color w:val="20231D"/>
          <w:rtl/>
        </w:rPr>
        <w:t xml:space="preserve"> — יקום נורמטיבי; מערכת שלמה ומקיפה להערכה של</w:t>
      </w:r>
      <w:r w:rsidR="00750F1F">
        <w:rPr>
          <w:rFonts w:ascii="David" w:hAnsi="David" w:cs="David" w:hint="cs"/>
          <w:color w:val="20231D"/>
          <w:rtl/>
        </w:rPr>
        <w:t xml:space="preserve"> </w:t>
      </w:r>
    </w:p>
    <w:p w14:paraId="2287EBE3" w14:textId="48C3C9E8" w:rsidR="00750F1F" w:rsidRDefault="00750F1F" w:rsidP="00750F1F">
      <w:pPr>
        <w:autoSpaceDE w:val="0"/>
        <w:autoSpaceDN w:val="0"/>
        <w:bidi w:val="0"/>
        <w:adjustRightInd w:val="0"/>
        <w:spacing w:after="0" w:line="240" w:lineRule="auto"/>
        <w:rPr>
          <w:rFonts w:ascii="David" w:hAnsi="David" w:cs="David"/>
          <w:color w:val="20231D"/>
          <w:rtl/>
        </w:rPr>
      </w:pPr>
      <w:r>
        <w:rPr>
          <w:rFonts w:ascii="Times New Roman" w:hAnsi="Times New Roman" w:cs="Times New Roman"/>
          <w:sz w:val="24"/>
          <w:szCs w:val="24"/>
        </w:rPr>
        <w:t>right and wrong, of lawful and unlawful, of valid and void</w:t>
      </w:r>
      <w:r>
        <w:rPr>
          <w:rFonts w:ascii="Times New Roman" w:hAnsi="Times New Roman"/>
          <w:sz w:val="24"/>
          <w:szCs w:val="24"/>
        </w:rPr>
        <w:t>.</w:t>
      </w:r>
      <w:r w:rsidR="00EE5218">
        <w:rPr>
          <w:rStyle w:val="a5"/>
          <w:rFonts w:ascii="David" w:hAnsi="David" w:cs="David"/>
          <w:color w:val="20231D"/>
          <w:rtl/>
        </w:rPr>
        <w:footnoteReference w:id="61"/>
      </w:r>
      <w:r w:rsidR="000E28A8" w:rsidRPr="000E28A8">
        <w:rPr>
          <w:rFonts w:ascii="David" w:hAnsi="David" w:cs="David"/>
          <w:color w:val="20231D"/>
          <w:rtl/>
        </w:rPr>
        <w:t xml:space="preserve"> </w:t>
      </w:r>
    </w:p>
    <w:p w14:paraId="41FF0087" w14:textId="77777777" w:rsidR="0085547E" w:rsidRDefault="0085547E" w:rsidP="00506F73">
      <w:pPr>
        <w:autoSpaceDE w:val="0"/>
        <w:autoSpaceDN w:val="0"/>
        <w:adjustRightInd w:val="0"/>
        <w:spacing w:after="0" w:line="480" w:lineRule="auto"/>
        <w:jc w:val="both"/>
        <w:rPr>
          <w:rFonts w:ascii="David" w:hAnsi="David" w:cs="David"/>
          <w:color w:val="20231D"/>
          <w:rtl/>
        </w:rPr>
      </w:pPr>
    </w:p>
    <w:p w14:paraId="762C072D" w14:textId="1C265B43" w:rsidR="00732668" w:rsidRDefault="00AB73E9" w:rsidP="00506F73">
      <w:pPr>
        <w:autoSpaceDE w:val="0"/>
        <w:autoSpaceDN w:val="0"/>
        <w:adjustRightInd w:val="0"/>
        <w:spacing w:after="0" w:line="480" w:lineRule="auto"/>
        <w:jc w:val="both"/>
        <w:rPr>
          <w:rFonts w:ascii="David" w:hAnsi="David" w:cs="David"/>
          <w:sz w:val="24"/>
          <w:szCs w:val="24"/>
          <w:rtl/>
        </w:rPr>
      </w:pPr>
      <w:r>
        <w:rPr>
          <w:rFonts w:ascii="David" w:hAnsi="David" w:cs="David" w:hint="cs"/>
          <w:color w:val="20231D"/>
          <w:rtl/>
        </w:rPr>
        <w:t>י</w:t>
      </w:r>
      <w:r w:rsidR="000E28A8" w:rsidRPr="000E28A8">
        <w:rPr>
          <w:rFonts w:ascii="David" w:hAnsi="David" w:cs="David"/>
          <w:color w:val="20231D"/>
          <w:rtl/>
        </w:rPr>
        <w:t>ס</w:t>
      </w:r>
      <w:r>
        <w:rPr>
          <w:rFonts w:ascii="David" w:hAnsi="David" w:cs="David" w:hint="cs"/>
          <w:color w:val="20231D"/>
          <w:rtl/>
        </w:rPr>
        <w:t>ו</w:t>
      </w:r>
      <w:r w:rsidR="000E28A8" w:rsidRPr="000E28A8">
        <w:rPr>
          <w:rFonts w:ascii="David" w:hAnsi="David" w:cs="David"/>
          <w:color w:val="20231D"/>
          <w:rtl/>
        </w:rPr>
        <w:t>דותיו הרשמיים של המשפט, חוקי המדינה וציוויי שופטיה</w:t>
      </w:r>
      <w:r w:rsidR="007C1CA8">
        <w:rPr>
          <w:rFonts w:ascii="David" w:hAnsi="David" w:cs="David" w:hint="cs"/>
          <w:color w:val="20231D"/>
          <w:rtl/>
        </w:rPr>
        <w:t>,</w:t>
      </w:r>
      <w:r w:rsidR="000E28A8" w:rsidRPr="000E28A8">
        <w:rPr>
          <w:rFonts w:ascii="David" w:hAnsi="David" w:cs="David"/>
          <w:color w:val="20231D"/>
          <w:rtl/>
        </w:rPr>
        <w:t xml:space="preserve"> אינם אלא חלק קטן מאותו נומוס</w:t>
      </w:r>
      <w:r w:rsidR="00F60904">
        <w:rPr>
          <w:rFonts w:ascii="David" w:hAnsi="David" w:cs="David" w:hint="cs"/>
          <w:color w:val="20231D"/>
          <w:rtl/>
        </w:rPr>
        <w:t xml:space="preserve"> -</w:t>
      </w:r>
      <w:r w:rsidR="000E28A8" w:rsidRPr="000E28A8">
        <w:rPr>
          <w:rFonts w:ascii="David" w:hAnsi="David" w:cs="David"/>
          <w:color w:val="20231D"/>
          <w:rtl/>
        </w:rPr>
        <w:t xml:space="preserve"> </w:t>
      </w:r>
      <w:r w:rsidR="00F60904">
        <w:rPr>
          <w:rFonts w:ascii="David" w:hAnsi="David" w:cs="David" w:hint="cs"/>
          <w:color w:val="20231D"/>
          <w:rtl/>
        </w:rPr>
        <w:t xml:space="preserve">שהוא </w:t>
      </w:r>
      <w:r w:rsidR="000E28A8" w:rsidRPr="000E28A8">
        <w:rPr>
          <w:rFonts w:ascii="David" w:hAnsi="David" w:cs="David"/>
          <w:color w:val="20231D"/>
          <w:rtl/>
        </w:rPr>
        <w:t>משטר המשמעות והערכים שאנו חיים על פיו</w:t>
      </w:r>
      <w:r w:rsidR="00295179">
        <w:rPr>
          <w:rFonts w:ascii="David" w:hAnsi="David" w:cs="David" w:hint="cs"/>
          <w:color w:val="20231D"/>
          <w:rtl/>
        </w:rPr>
        <w:t xml:space="preserve"> -</w:t>
      </w:r>
      <w:r w:rsidR="000E28A8" w:rsidRPr="000E28A8">
        <w:rPr>
          <w:rFonts w:ascii="David" w:hAnsi="David" w:cs="David"/>
          <w:color w:val="20231D"/>
          <w:rtl/>
        </w:rPr>
        <w:t xml:space="preserve"> ואין בכוחם להתקיים בנפרד מהנרטיבים שמהם הם שואבים את משמעותם</w:t>
      </w:r>
      <w:r w:rsidR="000E28A8" w:rsidRPr="000E28A8">
        <w:rPr>
          <w:rFonts w:ascii="David" w:hAnsi="David" w:cs="David"/>
          <w:sz w:val="24"/>
          <w:szCs w:val="24"/>
          <w:rtl/>
        </w:rPr>
        <w:t>.</w:t>
      </w:r>
      <w:r w:rsidR="00BE299C">
        <w:rPr>
          <w:rFonts w:ascii="David" w:hAnsi="David" w:cs="David" w:hint="cs"/>
          <w:sz w:val="24"/>
          <w:szCs w:val="24"/>
          <w:rtl/>
        </w:rPr>
        <w:t xml:space="preserve"> קאבר </w:t>
      </w:r>
      <w:r w:rsidR="00295179">
        <w:rPr>
          <w:rFonts w:ascii="David" w:hAnsi="David" w:cs="David" w:hint="cs"/>
          <w:sz w:val="24"/>
          <w:szCs w:val="24"/>
          <w:rtl/>
        </w:rPr>
        <w:t>מ</w:t>
      </w:r>
      <w:r w:rsidR="00BE299C">
        <w:rPr>
          <w:rFonts w:ascii="David" w:hAnsi="David" w:cs="David" w:hint="cs"/>
          <w:sz w:val="24"/>
          <w:szCs w:val="24"/>
          <w:rtl/>
        </w:rPr>
        <w:t>סביר</w:t>
      </w:r>
      <w:r w:rsidR="00507835">
        <w:rPr>
          <w:rFonts w:ascii="David" w:hAnsi="David" w:cs="David" w:hint="cs"/>
          <w:sz w:val="24"/>
          <w:szCs w:val="24"/>
          <w:rtl/>
        </w:rPr>
        <w:t xml:space="preserve"> זאת באופן הבא</w:t>
      </w:r>
      <w:r w:rsidR="00BE299C">
        <w:rPr>
          <w:rFonts w:ascii="David" w:hAnsi="David" w:cs="David" w:hint="cs"/>
          <w:sz w:val="24"/>
          <w:szCs w:val="24"/>
          <w:rtl/>
        </w:rPr>
        <w:t>:</w:t>
      </w:r>
    </w:p>
    <w:p w14:paraId="22842526" w14:textId="12738F18" w:rsidR="00BE299C" w:rsidRDefault="00BE299C" w:rsidP="00506F73">
      <w:pPr>
        <w:autoSpaceDE w:val="0"/>
        <w:autoSpaceDN w:val="0"/>
        <w:bidi w:val="0"/>
        <w:adjustRightInd w:val="0"/>
        <w:spacing w:after="0" w:line="480" w:lineRule="auto"/>
        <w:ind w:left="720"/>
        <w:jc w:val="both"/>
        <w:rPr>
          <w:rFonts w:asciiTheme="majorBidi" w:hAnsiTheme="majorBidi" w:cstheme="majorBidi"/>
          <w:sz w:val="24"/>
          <w:szCs w:val="24"/>
        </w:rPr>
      </w:pPr>
      <w:r w:rsidRPr="003164EA">
        <w:rPr>
          <w:rFonts w:asciiTheme="majorBidi" w:hAnsiTheme="majorBidi" w:cstheme="majorBidi"/>
          <w:sz w:val="24"/>
          <w:szCs w:val="24"/>
        </w:rPr>
        <w:t xml:space="preserve">No set of legal institutions or prescriptions exists apart from the narratives that locate it and give it meaning. For every constitution there is an epic, for each </w:t>
      </w:r>
      <w:r w:rsidRPr="003164EA">
        <w:rPr>
          <w:rFonts w:asciiTheme="majorBidi" w:hAnsiTheme="majorBidi" w:cstheme="majorBidi"/>
          <w:sz w:val="24"/>
          <w:szCs w:val="24"/>
        </w:rPr>
        <w:lastRenderedPageBreak/>
        <w:t>decalogue a scripture. Once understood in the context of the narratives that give it meaning, law becomes not merely a system of rules to be observed but a world in which we live.</w:t>
      </w:r>
      <w:r w:rsidR="00997F23" w:rsidRPr="003164EA">
        <w:rPr>
          <w:rStyle w:val="a5"/>
          <w:rFonts w:asciiTheme="majorBidi" w:hAnsiTheme="majorBidi" w:cstheme="majorBidi"/>
          <w:sz w:val="24"/>
          <w:szCs w:val="24"/>
        </w:rPr>
        <w:footnoteReference w:id="62"/>
      </w:r>
    </w:p>
    <w:p w14:paraId="764548EF" w14:textId="77777777" w:rsidR="009C512B" w:rsidRDefault="009C512B" w:rsidP="00506F73">
      <w:pPr>
        <w:autoSpaceDE w:val="0"/>
        <w:autoSpaceDN w:val="0"/>
        <w:bidi w:val="0"/>
        <w:adjustRightInd w:val="0"/>
        <w:spacing w:after="0" w:line="480" w:lineRule="auto"/>
        <w:ind w:left="720"/>
        <w:jc w:val="both"/>
        <w:rPr>
          <w:rFonts w:asciiTheme="majorBidi" w:hAnsiTheme="majorBidi" w:cstheme="majorBidi"/>
          <w:sz w:val="24"/>
          <w:szCs w:val="24"/>
        </w:rPr>
      </w:pPr>
    </w:p>
    <w:p w14:paraId="7EDE896C" w14:textId="079D0FA9" w:rsidR="00821286" w:rsidRPr="0049489C" w:rsidRDefault="00EA2205" w:rsidP="00506F73">
      <w:pPr>
        <w:autoSpaceDE w:val="0"/>
        <w:autoSpaceDN w:val="0"/>
        <w:adjustRightInd w:val="0"/>
        <w:spacing w:after="0" w:line="480" w:lineRule="auto"/>
        <w:jc w:val="both"/>
        <w:rPr>
          <w:rFonts w:ascii="David" w:hAnsi="David" w:cs="David"/>
          <w:sz w:val="24"/>
          <w:szCs w:val="24"/>
          <w:rtl/>
        </w:rPr>
      </w:pPr>
      <w:r w:rsidRPr="0049489C">
        <w:rPr>
          <w:rFonts w:ascii="David" w:hAnsi="David" w:cs="David"/>
          <w:color w:val="20231D"/>
          <w:sz w:val="24"/>
          <w:szCs w:val="24"/>
          <w:rtl/>
        </w:rPr>
        <w:t>משמעות משפטית נוצרת ומתחדשת בעולם זה בתהליך בלתי־פוסק</w:t>
      </w:r>
      <w:r w:rsidR="007A2C1D" w:rsidRPr="0049489C">
        <w:rPr>
          <w:rFonts w:ascii="David" w:hAnsi="David" w:cs="David" w:hint="cs"/>
          <w:color w:val="20231D"/>
          <w:sz w:val="24"/>
          <w:szCs w:val="24"/>
          <w:rtl/>
        </w:rPr>
        <w:t>,</w:t>
      </w:r>
      <w:r w:rsidRPr="0049489C">
        <w:rPr>
          <w:rFonts w:ascii="David" w:hAnsi="David" w:cs="David"/>
          <w:color w:val="20231D"/>
          <w:sz w:val="24"/>
          <w:szCs w:val="24"/>
          <w:rtl/>
        </w:rPr>
        <w:t xml:space="preserve"> שייעודו לגשר בין מציאות החיים לבין חזון של חיים חלופיים, המקיים את הערכים והמשמעויות הגלומות באותו נומו</w:t>
      </w:r>
      <w:r w:rsidR="00C56B56" w:rsidRPr="0049489C">
        <w:rPr>
          <w:rFonts w:ascii="David" w:hAnsi="David" w:cs="David"/>
          <w:color w:val="20231D"/>
          <w:sz w:val="24"/>
          <w:szCs w:val="24"/>
          <w:rtl/>
        </w:rPr>
        <w:t>ס</w:t>
      </w:r>
      <w:r w:rsidR="00C56B56" w:rsidRPr="0049489C">
        <w:rPr>
          <w:rFonts w:ascii="David" w:hAnsi="David" w:cs="David"/>
          <w:sz w:val="24"/>
          <w:szCs w:val="24"/>
          <w:rtl/>
        </w:rPr>
        <w:t>.</w:t>
      </w:r>
      <w:r w:rsidR="004F3058" w:rsidRPr="0049489C">
        <w:rPr>
          <w:rStyle w:val="a5"/>
          <w:rFonts w:ascii="David" w:hAnsi="David" w:cs="David"/>
          <w:sz w:val="24"/>
          <w:szCs w:val="24"/>
          <w:rtl/>
        </w:rPr>
        <w:footnoteReference w:id="63"/>
      </w:r>
      <w:r w:rsidR="00C56B56" w:rsidRPr="0049489C">
        <w:rPr>
          <w:rFonts w:ascii="David" w:hAnsi="David" w:cs="David"/>
          <w:sz w:val="24"/>
          <w:szCs w:val="24"/>
          <w:rtl/>
        </w:rPr>
        <w:t xml:space="preserve"> </w:t>
      </w:r>
      <w:r w:rsidR="00C64AE9" w:rsidRPr="0049489C">
        <w:rPr>
          <w:rFonts w:ascii="David" w:hAnsi="David" w:cs="David"/>
          <w:color w:val="20231D"/>
          <w:sz w:val="24"/>
          <w:szCs w:val="24"/>
          <w:rtl/>
        </w:rPr>
        <w:t>קאבר מדגיש כי חזון זה אינו אוטופיה: הוא תקף רק כשהוא מציג חיים שאפשר להתחייב אליהם ושיש אנשים המוכנים לחיות על פיהם, בהתאם לפרשנות הייחודית</w:t>
      </w:r>
      <w:r w:rsidR="00C56B56" w:rsidRPr="0049489C">
        <w:rPr>
          <w:rFonts w:ascii="David" w:hAnsi="David" w:cs="David"/>
          <w:sz w:val="24"/>
          <w:szCs w:val="24"/>
          <w:rtl/>
        </w:rPr>
        <w:t xml:space="preserve"> </w:t>
      </w:r>
      <w:r w:rsidR="00CD5538" w:rsidRPr="0049489C">
        <w:rPr>
          <w:rFonts w:ascii="David" w:hAnsi="David" w:cs="David"/>
          <w:color w:val="20231D"/>
          <w:sz w:val="24"/>
          <w:szCs w:val="24"/>
          <w:rtl/>
        </w:rPr>
        <w:t>שקהילתם מעניקה לטקסטים המכוננים שלה. מחויבויות פרשניות הן אפוא הדבק שאוחז יחדיו את חלקי היקום הנורמטיבי</w:t>
      </w:r>
      <w:r w:rsidR="001A61A2" w:rsidRPr="0049489C">
        <w:rPr>
          <w:rFonts w:ascii="David" w:hAnsi="David" w:cs="David"/>
          <w:color w:val="20231D"/>
          <w:sz w:val="24"/>
          <w:szCs w:val="24"/>
          <w:rtl/>
        </w:rPr>
        <w:t>.</w:t>
      </w:r>
      <w:r w:rsidR="00CD5538" w:rsidRPr="0049489C">
        <w:rPr>
          <w:rStyle w:val="a5"/>
          <w:rFonts w:ascii="David" w:hAnsi="David" w:cs="David"/>
          <w:color w:val="20231D"/>
          <w:sz w:val="24"/>
          <w:szCs w:val="24"/>
        </w:rPr>
        <w:footnoteReference w:id="64"/>
      </w:r>
      <w:r w:rsidR="001A61A2" w:rsidRPr="0049489C">
        <w:rPr>
          <w:rFonts w:ascii="David" w:hAnsi="David" w:cs="David"/>
          <w:sz w:val="24"/>
          <w:szCs w:val="24"/>
          <w:rtl/>
        </w:rPr>
        <w:t xml:space="preserve"> </w:t>
      </w:r>
    </w:p>
    <w:p w14:paraId="0B40227F" w14:textId="0A337C55" w:rsidR="001A61A2" w:rsidRPr="0040066C" w:rsidRDefault="001A61A2" w:rsidP="00506F73">
      <w:pPr>
        <w:autoSpaceDE w:val="0"/>
        <w:autoSpaceDN w:val="0"/>
        <w:adjustRightInd w:val="0"/>
        <w:spacing w:after="0" w:line="480" w:lineRule="auto"/>
        <w:ind w:firstLine="720"/>
        <w:jc w:val="both"/>
        <w:rPr>
          <w:rFonts w:ascii="David" w:hAnsi="David" w:cs="David"/>
          <w:i/>
          <w:iCs/>
          <w:color w:val="20231D"/>
          <w:sz w:val="24"/>
          <w:szCs w:val="24"/>
          <w:rtl/>
        </w:rPr>
      </w:pPr>
      <w:r w:rsidRPr="0049489C">
        <w:rPr>
          <w:rFonts w:ascii="David" w:hAnsi="David" w:cs="David"/>
          <w:color w:val="20231D"/>
          <w:sz w:val="24"/>
          <w:szCs w:val="24"/>
          <w:rtl/>
        </w:rPr>
        <w:t xml:space="preserve">היצירה של משמעות משפטית </w:t>
      </w:r>
      <w:r w:rsidR="0040066C" w:rsidRPr="0049489C">
        <w:rPr>
          <w:rFonts w:ascii="David" w:hAnsi="David" w:cs="David" w:hint="cs"/>
          <w:color w:val="20231D"/>
          <w:sz w:val="24"/>
          <w:szCs w:val="24"/>
          <w:rtl/>
        </w:rPr>
        <w:t>-</w:t>
      </w:r>
      <w:r w:rsidRPr="0049489C">
        <w:rPr>
          <w:rFonts w:ascii="David" w:hAnsi="David" w:cs="David"/>
          <w:color w:val="20231D"/>
          <w:sz w:val="24"/>
          <w:szCs w:val="24"/>
          <w:rtl/>
        </w:rPr>
        <w:t xml:space="preserve"> תהליך בריאת</w:t>
      </w:r>
      <w:r w:rsidRPr="0040066C">
        <w:rPr>
          <w:rFonts w:ascii="David" w:hAnsi="David" w:cs="David"/>
          <w:color w:val="20231D"/>
          <w:sz w:val="24"/>
          <w:szCs w:val="24"/>
          <w:rtl/>
        </w:rPr>
        <w:t xml:space="preserve"> החוק (שקאבר מכנה</w:t>
      </w:r>
      <w:r w:rsidR="0040066C" w:rsidRPr="0040066C">
        <w:rPr>
          <w:rFonts w:ascii="David" w:hAnsi="David" w:cs="David" w:hint="cs"/>
          <w:color w:val="20231D"/>
          <w:sz w:val="24"/>
          <w:szCs w:val="24"/>
          <w:rtl/>
        </w:rPr>
        <w:t xml:space="preserve"> </w:t>
      </w:r>
      <w:r w:rsidR="0040066C" w:rsidRPr="007E4709">
        <w:rPr>
          <w:rFonts w:asciiTheme="majorBidi" w:hAnsiTheme="majorBidi" w:cstheme="majorBidi"/>
          <w:i/>
          <w:iCs/>
          <w:color w:val="20231D"/>
          <w:sz w:val="24"/>
          <w:szCs w:val="24"/>
        </w:rPr>
        <w:t xml:space="preserve"> - </w:t>
      </w:r>
      <w:r w:rsidR="0040066C" w:rsidRPr="00E96EE8">
        <w:rPr>
          <w:rFonts w:asciiTheme="majorBidi" w:hAnsiTheme="majorBidi" w:cstheme="majorBidi"/>
          <w:color w:val="20231D"/>
          <w:sz w:val="24"/>
          <w:szCs w:val="24"/>
        </w:rPr>
        <w:t>(</w:t>
      </w:r>
      <w:r w:rsidRPr="007E4709">
        <w:rPr>
          <w:rFonts w:asciiTheme="majorBidi" w:hAnsiTheme="majorBidi" w:cstheme="majorBidi"/>
          <w:i/>
          <w:iCs/>
          <w:color w:val="20231D"/>
          <w:sz w:val="24"/>
          <w:szCs w:val="24"/>
        </w:rPr>
        <w:t>jurisgenesis</w:t>
      </w:r>
    </w:p>
    <w:p w14:paraId="0783389C" w14:textId="50BA1DEB" w:rsidR="001A61A2" w:rsidRDefault="001A61A2" w:rsidP="00C71419">
      <w:pPr>
        <w:autoSpaceDE w:val="0"/>
        <w:autoSpaceDN w:val="0"/>
        <w:adjustRightInd w:val="0"/>
        <w:spacing w:after="0" w:line="480" w:lineRule="auto"/>
        <w:jc w:val="both"/>
        <w:rPr>
          <w:rFonts w:ascii="David" w:hAnsi="David" w:cs="David" w:hint="cs"/>
          <w:sz w:val="24"/>
          <w:szCs w:val="24"/>
          <w:rtl/>
        </w:rPr>
      </w:pPr>
      <w:r w:rsidRPr="00BB2759">
        <w:rPr>
          <w:rFonts w:ascii="David" w:hAnsi="David" w:cs="David"/>
          <w:color w:val="20231D"/>
          <w:sz w:val="24"/>
          <w:szCs w:val="24"/>
          <w:rtl/>
        </w:rPr>
        <w:t>היא תהליך קולקטיבי וחברתי שמתחולל תמיד בהקשר תרבותי</w:t>
      </w:r>
      <w:r w:rsidRPr="00BB2759">
        <w:rPr>
          <w:rFonts w:ascii="David" w:hAnsi="David" w:cs="David"/>
          <w:color w:val="20231D"/>
          <w:sz w:val="24"/>
          <w:szCs w:val="24"/>
        </w:rPr>
        <w:t>.</w:t>
      </w:r>
      <w:r w:rsidRPr="00BB2759">
        <w:rPr>
          <w:rStyle w:val="a5"/>
          <w:rFonts w:ascii="David" w:hAnsi="David" w:cs="David"/>
          <w:sz w:val="24"/>
          <w:szCs w:val="24"/>
          <w:rtl/>
        </w:rPr>
        <w:footnoteReference w:id="65"/>
      </w:r>
      <w:r w:rsidRPr="00BB2759">
        <w:rPr>
          <w:rFonts w:ascii="David" w:hAnsi="David" w:cs="David"/>
          <w:sz w:val="24"/>
          <w:szCs w:val="24"/>
          <w:rtl/>
        </w:rPr>
        <w:t xml:space="preserve"> </w:t>
      </w:r>
      <w:r w:rsidR="00E57269" w:rsidRPr="00BB2759">
        <w:rPr>
          <w:rFonts w:ascii="David" w:hAnsi="David" w:cs="David"/>
          <w:color w:val="20231D"/>
          <w:sz w:val="24"/>
          <w:szCs w:val="24"/>
          <w:rtl/>
        </w:rPr>
        <w:t>אמנם דרושה לשם כך</w:t>
      </w:r>
      <w:r w:rsidR="000E5CC1" w:rsidRPr="00BB2759">
        <w:rPr>
          <w:rFonts w:ascii="David" w:hAnsi="David" w:cs="David"/>
          <w:color w:val="20231D"/>
          <w:sz w:val="24"/>
          <w:szCs w:val="24"/>
          <w:rtl/>
        </w:rPr>
        <w:t xml:space="preserve"> </w:t>
      </w:r>
      <w:r w:rsidR="00E57269" w:rsidRPr="00BB2759">
        <w:rPr>
          <w:rFonts w:ascii="David" w:hAnsi="David" w:cs="David"/>
          <w:color w:val="20231D"/>
          <w:sz w:val="24"/>
          <w:szCs w:val="24"/>
          <w:rtl/>
        </w:rPr>
        <w:t>קהילה, אבל לא נחוצה לו מדינה דווקא</w:t>
      </w:r>
      <w:r w:rsidR="00E57269" w:rsidRPr="00BB2759">
        <w:rPr>
          <w:rFonts w:ascii="David" w:hAnsi="David" w:cs="David"/>
          <w:color w:val="20231D"/>
          <w:sz w:val="24"/>
          <w:szCs w:val="24"/>
        </w:rPr>
        <w:t>.</w:t>
      </w:r>
      <w:r w:rsidR="00E57269" w:rsidRPr="00BB2759">
        <w:rPr>
          <w:rFonts w:ascii="David" w:hAnsi="David" w:cs="David"/>
          <w:sz w:val="24"/>
          <w:szCs w:val="24"/>
          <w:rtl/>
        </w:rPr>
        <w:t xml:space="preserve"> </w:t>
      </w:r>
      <w:r w:rsidR="00C71419">
        <w:rPr>
          <w:rFonts w:ascii="David" w:hAnsi="David" w:cs="David" w:hint="cs"/>
          <w:color w:val="20231D"/>
          <w:sz w:val="24"/>
          <w:szCs w:val="24"/>
          <w:rtl/>
        </w:rPr>
        <w:t xml:space="preserve">קאבר מראה כיצד </w:t>
      </w:r>
      <w:r w:rsidR="000E5CC1" w:rsidRPr="00BB2759">
        <w:rPr>
          <w:rFonts w:ascii="David" w:hAnsi="David" w:cs="David"/>
          <w:color w:val="20231D"/>
          <w:sz w:val="24"/>
          <w:szCs w:val="24"/>
          <w:rtl/>
        </w:rPr>
        <w:t>בצד המדינה</w:t>
      </w:r>
      <w:r w:rsidR="000E5CC1" w:rsidRPr="00BB2759">
        <w:rPr>
          <w:rFonts w:ascii="David" w:hAnsi="David" w:cs="David"/>
          <w:color w:val="20231D"/>
          <w:sz w:val="24"/>
          <w:szCs w:val="24"/>
        </w:rPr>
        <w:t>,</w:t>
      </w:r>
      <w:r w:rsidR="000E5CC1" w:rsidRPr="00BB2759">
        <w:rPr>
          <w:rFonts w:ascii="David" w:hAnsi="David" w:cs="David"/>
          <w:color w:val="20231D"/>
          <w:sz w:val="24"/>
          <w:szCs w:val="24"/>
          <w:rtl/>
        </w:rPr>
        <w:t xml:space="preserve"> קהילות תת־לא</w:t>
      </w:r>
      <w:r w:rsidR="0040066C" w:rsidRPr="00BB2759">
        <w:rPr>
          <w:rFonts w:ascii="David" w:hAnsi="David" w:cs="David"/>
          <w:color w:val="20231D"/>
          <w:sz w:val="24"/>
          <w:szCs w:val="24"/>
          <w:rtl/>
        </w:rPr>
        <w:t>ו</w:t>
      </w:r>
      <w:r w:rsidR="000E5CC1" w:rsidRPr="00BB2759">
        <w:rPr>
          <w:rFonts w:ascii="David" w:hAnsi="David" w:cs="David"/>
          <w:color w:val="20231D"/>
          <w:sz w:val="24"/>
          <w:szCs w:val="24"/>
          <w:rtl/>
        </w:rPr>
        <w:t>מיות יוצרות ומשמרות סדרים נורמטיביים משלה</w:t>
      </w:r>
      <w:r w:rsidR="00AD7D04">
        <w:rPr>
          <w:rFonts w:ascii="David" w:hAnsi="David" w:cs="David" w:hint="cs"/>
          <w:color w:val="20231D"/>
          <w:sz w:val="24"/>
          <w:szCs w:val="24"/>
          <w:rtl/>
        </w:rPr>
        <w:t>,</w:t>
      </w:r>
      <w:r w:rsidR="00B01C73" w:rsidRPr="00BB2759">
        <w:rPr>
          <w:rStyle w:val="a5"/>
          <w:rFonts w:ascii="David" w:hAnsi="David" w:cs="David"/>
          <w:sz w:val="24"/>
          <w:szCs w:val="24"/>
          <w:rtl/>
        </w:rPr>
        <w:footnoteReference w:id="66"/>
      </w:r>
      <w:r w:rsidR="009C512B" w:rsidRPr="00BB2759">
        <w:rPr>
          <w:rFonts w:ascii="David" w:hAnsi="David" w:cs="David"/>
          <w:sz w:val="24"/>
          <w:szCs w:val="24"/>
          <w:rtl/>
        </w:rPr>
        <w:t xml:space="preserve"> </w:t>
      </w:r>
      <w:r w:rsidR="00C71419">
        <w:rPr>
          <w:rFonts w:ascii="David" w:hAnsi="David" w:cs="David" w:hint="cs"/>
          <w:color w:val="20231D"/>
          <w:sz w:val="24"/>
          <w:szCs w:val="24"/>
          <w:rtl/>
        </w:rPr>
        <w:t xml:space="preserve">וכיצד במקרים כאלו </w:t>
      </w:r>
      <w:r w:rsidR="00C9340B" w:rsidRPr="00BB2759">
        <w:rPr>
          <w:rFonts w:ascii="David" w:hAnsi="David" w:cs="David"/>
          <w:color w:val="20231D"/>
          <w:sz w:val="24"/>
          <w:szCs w:val="24"/>
          <w:rtl/>
        </w:rPr>
        <w:t>הדגש מושם על ההבנה המשפטית המשותפת שחברי הקהילה חולקים</w:t>
      </w:r>
      <w:r w:rsidR="00C71419">
        <w:rPr>
          <w:rFonts w:ascii="David" w:hAnsi="David" w:cs="David" w:hint="cs"/>
          <w:color w:val="20231D"/>
          <w:sz w:val="24"/>
          <w:szCs w:val="24"/>
          <w:rtl/>
        </w:rPr>
        <w:t>,</w:t>
      </w:r>
      <w:r w:rsidR="00C9340B" w:rsidRPr="00BB2759">
        <w:rPr>
          <w:rFonts w:ascii="David" w:hAnsi="David" w:cs="David"/>
          <w:color w:val="20231D"/>
          <w:sz w:val="24"/>
          <w:szCs w:val="24"/>
          <w:rtl/>
        </w:rPr>
        <w:t xml:space="preserve"> ועל היותה של הקהילה מחויבת לאורחותיה</w:t>
      </w:r>
      <w:r w:rsidR="00C71419">
        <w:rPr>
          <w:rFonts w:ascii="David" w:hAnsi="David" w:cs="David" w:hint="cs"/>
          <w:color w:val="20231D"/>
          <w:sz w:val="24"/>
          <w:szCs w:val="24"/>
          <w:rtl/>
        </w:rPr>
        <w:t>.</w:t>
      </w:r>
      <w:r w:rsidR="00C9340B" w:rsidRPr="00BB2759">
        <w:rPr>
          <w:rStyle w:val="a5"/>
          <w:rFonts w:ascii="David" w:hAnsi="David" w:cs="David"/>
          <w:sz w:val="24"/>
          <w:szCs w:val="24"/>
          <w:rtl/>
        </w:rPr>
        <w:footnoteReference w:id="67"/>
      </w:r>
      <w:r w:rsidR="00BB2759">
        <w:rPr>
          <w:rFonts w:ascii="David" w:hAnsi="David" w:cs="David" w:hint="cs"/>
          <w:sz w:val="24"/>
          <w:szCs w:val="24"/>
          <w:rtl/>
        </w:rPr>
        <w:t xml:space="preserve"> </w:t>
      </w:r>
    </w:p>
    <w:p w14:paraId="28C35263" w14:textId="6E93C50E" w:rsidR="00750C3C" w:rsidRDefault="00BD6458" w:rsidP="00AC6D7C">
      <w:pPr>
        <w:autoSpaceDE w:val="0"/>
        <w:autoSpaceDN w:val="0"/>
        <w:adjustRightInd w:val="0"/>
        <w:spacing w:after="0" w:line="480" w:lineRule="auto"/>
        <w:ind w:firstLine="720"/>
        <w:jc w:val="both"/>
        <w:rPr>
          <w:rFonts w:ascii="David" w:hAnsi="David" w:cs="David"/>
          <w:color w:val="20231D"/>
          <w:sz w:val="24"/>
          <w:szCs w:val="24"/>
          <w:rtl/>
        </w:rPr>
      </w:pPr>
      <w:r w:rsidRPr="008A0B23">
        <w:rPr>
          <w:rFonts w:ascii="David" w:hAnsi="David" w:cs="David"/>
          <w:color w:val="20231D"/>
          <w:sz w:val="24"/>
          <w:szCs w:val="24"/>
          <w:rtl/>
        </w:rPr>
        <w:t>מה</w:t>
      </w:r>
      <w:r w:rsidR="00AC6D7C">
        <w:rPr>
          <w:rFonts w:ascii="David" w:hAnsi="David" w:cs="David" w:hint="cs"/>
          <w:color w:val="20231D"/>
          <w:sz w:val="24"/>
          <w:szCs w:val="24"/>
          <w:rtl/>
        </w:rPr>
        <w:t>ו</w:t>
      </w:r>
      <w:r w:rsidRPr="008A0B23">
        <w:rPr>
          <w:rFonts w:ascii="David" w:hAnsi="David" w:cs="David"/>
          <w:color w:val="20231D"/>
          <w:sz w:val="24"/>
          <w:szCs w:val="24"/>
          <w:rtl/>
        </w:rPr>
        <w:t xml:space="preserve"> הבסיס החברתי ל"בריאת חוק"? כדי לענות על כך קאבר </w:t>
      </w:r>
      <w:r w:rsidR="00126A50">
        <w:rPr>
          <w:rFonts w:ascii="David" w:hAnsi="David" w:cs="David" w:hint="cs"/>
          <w:color w:val="20231D"/>
          <w:sz w:val="24"/>
          <w:szCs w:val="24"/>
          <w:rtl/>
        </w:rPr>
        <w:t xml:space="preserve">מבודד </w:t>
      </w:r>
      <w:r w:rsidR="00A61E73">
        <w:rPr>
          <w:rFonts w:ascii="David" w:hAnsi="David" w:cs="David"/>
          <w:color w:val="20231D"/>
          <w:sz w:val="24"/>
          <w:szCs w:val="24"/>
          <w:rtl/>
        </w:rPr>
        <w:t>–</w:t>
      </w:r>
      <w:r w:rsidR="00A61E73">
        <w:rPr>
          <w:rFonts w:ascii="David" w:hAnsi="David" w:cs="David" w:hint="cs"/>
          <w:color w:val="20231D"/>
          <w:sz w:val="24"/>
          <w:szCs w:val="24"/>
          <w:rtl/>
        </w:rPr>
        <w:t xml:space="preserve"> בעזרת ניתוח דבריו של יוסף קארו, ש</w:t>
      </w:r>
      <w:r w:rsidR="002E67D3">
        <w:rPr>
          <w:rFonts w:ascii="David" w:hAnsi="David" w:cs="David" w:hint="cs"/>
          <w:color w:val="20231D"/>
          <w:sz w:val="24"/>
          <w:szCs w:val="24"/>
          <w:rtl/>
        </w:rPr>
        <w:t>יצר</w:t>
      </w:r>
      <w:r w:rsidR="00A61E73">
        <w:rPr>
          <w:rFonts w:ascii="David" w:hAnsi="David" w:cs="David" w:hint="cs"/>
          <w:color w:val="20231D"/>
          <w:sz w:val="24"/>
          <w:szCs w:val="24"/>
          <w:rtl/>
        </w:rPr>
        <w:t xml:space="preserve"> במאה ה-16 את קודקס ההלכה הגדול 'שולחן ערוך'</w:t>
      </w:r>
      <w:r w:rsidR="00215386">
        <w:rPr>
          <w:rStyle w:val="a5"/>
          <w:rFonts w:ascii="David" w:hAnsi="David" w:cs="David"/>
          <w:color w:val="20231D"/>
          <w:sz w:val="24"/>
          <w:szCs w:val="24"/>
          <w:rtl/>
        </w:rPr>
        <w:footnoteReference w:id="68"/>
      </w:r>
      <w:r w:rsidR="00215386">
        <w:rPr>
          <w:rFonts w:ascii="David" w:hAnsi="David" w:cs="David" w:hint="cs"/>
          <w:color w:val="20231D"/>
          <w:sz w:val="24"/>
          <w:szCs w:val="24"/>
          <w:rtl/>
        </w:rPr>
        <w:t xml:space="preserve"> </w:t>
      </w:r>
      <w:r w:rsidR="00A61E73">
        <w:rPr>
          <w:rFonts w:ascii="David" w:hAnsi="David" w:cs="David" w:hint="cs"/>
          <w:color w:val="20231D"/>
          <w:sz w:val="24"/>
          <w:szCs w:val="24"/>
          <w:rtl/>
        </w:rPr>
        <w:t xml:space="preserve">- </w:t>
      </w:r>
      <w:r w:rsidRPr="008A0B23">
        <w:rPr>
          <w:rFonts w:ascii="David" w:hAnsi="David" w:cs="David"/>
          <w:color w:val="20231D"/>
          <w:sz w:val="24"/>
          <w:szCs w:val="24"/>
          <w:rtl/>
        </w:rPr>
        <w:t xml:space="preserve">שני יסודות </w:t>
      </w:r>
      <w:r w:rsidR="00750C3C">
        <w:rPr>
          <w:rFonts w:ascii="David" w:hAnsi="David" w:cs="David" w:hint="cs"/>
          <w:color w:val="20231D"/>
          <w:sz w:val="24"/>
          <w:szCs w:val="24"/>
          <w:rtl/>
        </w:rPr>
        <w:lastRenderedPageBreak/>
        <w:t>ש</w:t>
      </w:r>
      <w:r w:rsidRPr="008A0B23">
        <w:rPr>
          <w:rFonts w:ascii="David" w:hAnsi="David" w:cs="David"/>
          <w:color w:val="20231D"/>
          <w:sz w:val="24"/>
          <w:szCs w:val="24"/>
          <w:rtl/>
        </w:rPr>
        <w:t>מאפיינים עולמות נורמטיביים</w:t>
      </w:r>
      <w:r w:rsidRPr="008A0B23">
        <w:rPr>
          <w:rFonts w:ascii="David" w:hAnsi="David" w:cs="David"/>
          <w:color w:val="20231D"/>
          <w:sz w:val="24"/>
          <w:szCs w:val="24"/>
        </w:rPr>
        <w:t>:</w:t>
      </w:r>
      <w:r w:rsidRPr="00154F54">
        <w:rPr>
          <w:rFonts w:ascii="David" w:hAnsi="David" w:cs="David"/>
          <w:color w:val="20231D"/>
          <w:sz w:val="24"/>
          <w:szCs w:val="24"/>
          <w:rtl/>
        </w:rPr>
        <w:t xml:space="preserve"> </w:t>
      </w:r>
      <w:r w:rsidR="00241B0F" w:rsidRPr="00154F54">
        <w:rPr>
          <w:rFonts w:ascii="SBL Greek" w:hAnsi="SBL Greek" w:cs="Times New Roman"/>
          <w:sz w:val="24"/>
          <w:szCs w:val="24"/>
        </w:rPr>
        <w:t>‘</w:t>
      </w:r>
      <w:r w:rsidR="00241B0F" w:rsidRPr="00154F54">
        <w:rPr>
          <w:rFonts w:ascii="Times New Roman" w:hAnsi="Times New Roman" w:cs="Times New Roman"/>
          <w:sz w:val="24"/>
          <w:szCs w:val="24"/>
        </w:rPr>
        <w:t>world-creating</w:t>
      </w:r>
      <w:r w:rsidR="00241B0F" w:rsidRPr="00154F54">
        <w:rPr>
          <w:rFonts w:ascii="SBL Greek" w:hAnsi="SBL Greek" w:cs="Times New Roman"/>
          <w:sz w:val="24"/>
          <w:szCs w:val="24"/>
        </w:rPr>
        <w:t xml:space="preserve">’ and </w:t>
      </w:r>
      <w:r w:rsidR="005E0145" w:rsidRPr="00154F54">
        <w:rPr>
          <w:rFonts w:ascii="SBL Greek" w:hAnsi="SBL Greek" w:cs="Times New Roman"/>
          <w:sz w:val="24"/>
          <w:szCs w:val="24"/>
        </w:rPr>
        <w:t>‘</w:t>
      </w:r>
      <w:r w:rsidR="005E0145" w:rsidRPr="00154F54">
        <w:rPr>
          <w:rFonts w:ascii="Times New Roman" w:hAnsi="Times New Roman" w:cs="Times New Roman"/>
          <w:sz w:val="24"/>
          <w:szCs w:val="24"/>
        </w:rPr>
        <w:t>world maintaining</w:t>
      </w:r>
      <w:r w:rsidR="005E0145" w:rsidRPr="00154F54">
        <w:rPr>
          <w:rFonts w:ascii="SBL Greek" w:hAnsi="SBL Greek" w:cs="Times New Roman"/>
          <w:sz w:val="24"/>
          <w:szCs w:val="24"/>
        </w:rPr>
        <w:t>’</w:t>
      </w:r>
      <w:r w:rsidRPr="00154F54">
        <w:rPr>
          <w:rFonts w:ascii="David" w:hAnsi="David" w:cs="David"/>
          <w:color w:val="20231D"/>
          <w:sz w:val="24"/>
          <w:szCs w:val="24"/>
          <w:rtl/>
        </w:rPr>
        <w:t>.</w:t>
      </w:r>
      <w:r w:rsidRPr="008A0B23">
        <w:rPr>
          <w:rFonts w:ascii="David" w:hAnsi="David" w:cs="David"/>
          <w:color w:val="20231D"/>
          <w:sz w:val="24"/>
          <w:szCs w:val="24"/>
          <w:rtl/>
        </w:rPr>
        <w:t xml:space="preserve"> הוא מדגים זאת באמצעות </w:t>
      </w:r>
      <w:r w:rsidR="00750C3C">
        <w:rPr>
          <w:rFonts w:ascii="David" w:hAnsi="David" w:cs="David" w:hint="cs"/>
          <w:color w:val="20231D"/>
          <w:sz w:val="24"/>
          <w:szCs w:val="24"/>
          <w:rtl/>
        </w:rPr>
        <w:t xml:space="preserve">שתי משניות </w:t>
      </w:r>
      <w:r w:rsidRPr="008A0B23">
        <w:rPr>
          <w:rFonts w:ascii="David" w:hAnsi="David" w:cs="David"/>
          <w:color w:val="20231D"/>
          <w:sz w:val="24"/>
          <w:szCs w:val="24"/>
          <w:rtl/>
        </w:rPr>
        <w:t>מהפרק הראשון במסכת אבות</w:t>
      </w:r>
      <w:r w:rsidR="00750C3C">
        <w:rPr>
          <w:rFonts w:ascii="David" w:hAnsi="David" w:cs="David" w:hint="cs"/>
          <w:color w:val="20231D"/>
          <w:sz w:val="24"/>
          <w:szCs w:val="24"/>
          <w:rtl/>
        </w:rPr>
        <w:t>. הראשונה היא</w:t>
      </w:r>
    </w:p>
    <w:p w14:paraId="7039C69D" w14:textId="5F29BB91" w:rsidR="00750C3C" w:rsidRPr="00395756" w:rsidRDefault="00DC5E92" w:rsidP="00DC5E92">
      <w:pPr>
        <w:autoSpaceDE w:val="0"/>
        <w:autoSpaceDN w:val="0"/>
        <w:bidi w:val="0"/>
        <w:adjustRightInd w:val="0"/>
        <w:spacing w:after="0" w:line="480" w:lineRule="auto"/>
        <w:ind w:left="720"/>
        <w:rPr>
          <w:rFonts w:asciiTheme="majorBidi" w:hAnsiTheme="majorBidi" w:cstheme="majorBidi"/>
          <w:color w:val="20231D"/>
          <w:sz w:val="24"/>
          <w:szCs w:val="24"/>
          <w:rtl/>
        </w:rPr>
      </w:pPr>
      <w:r w:rsidRPr="00395756">
        <w:rPr>
          <w:rFonts w:asciiTheme="majorBidi" w:hAnsiTheme="majorBidi" w:cstheme="majorBidi"/>
          <w:sz w:val="24"/>
          <w:szCs w:val="24"/>
        </w:rPr>
        <w:t>Simeon the Just [circa 200 B.C.E.] said: Upon three things the world stands: upon Torah; upon the temple worship service; and upon deeds of kindness.</w:t>
      </w:r>
      <w:r w:rsidR="00025478" w:rsidRPr="00395756">
        <w:rPr>
          <w:rStyle w:val="a5"/>
          <w:rFonts w:asciiTheme="majorBidi" w:hAnsiTheme="majorBidi" w:cstheme="majorBidi"/>
          <w:sz w:val="24"/>
          <w:szCs w:val="24"/>
          <w:rtl/>
        </w:rPr>
        <w:footnoteReference w:id="69"/>
      </w:r>
      <w:r w:rsidR="0017504A" w:rsidRPr="00395756">
        <w:rPr>
          <w:rFonts w:asciiTheme="majorBidi" w:hAnsiTheme="majorBidi" w:cstheme="majorBidi"/>
          <w:sz w:val="24"/>
          <w:szCs w:val="24"/>
          <w:rtl/>
        </w:rPr>
        <w:t xml:space="preserve"> </w:t>
      </w:r>
    </w:p>
    <w:p w14:paraId="5EFE58CA" w14:textId="77777777" w:rsidR="00750C3C" w:rsidRDefault="00750C3C" w:rsidP="00750C3C">
      <w:pPr>
        <w:autoSpaceDE w:val="0"/>
        <w:autoSpaceDN w:val="0"/>
        <w:adjustRightInd w:val="0"/>
        <w:spacing w:after="0" w:line="480" w:lineRule="auto"/>
        <w:jc w:val="both"/>
        <w:rPr>
          <w:rFonts w:ascii="David" w:hAnsi="David" w:cs="David"/>
          <w:color w:val="20231D"/>
          <w:sz w:val="24"/>
          <w:szCs w:val="24"/>
          <w:rtl/>
        </w:rPr>
      </w:pPr>
    </w:p>
    <w:p w14:paraId="471F39A4" w14:textId="46743C12" w:rsidR="008B68BD" w:rsidRDefault="001A07EC" w:rsidP="00750C3C">
      <w:pPr>
        <w:autoSpaceDE w:val="0"/>
        <w:autoSpaceDN w:val="0"/>
        <w:adjustRightInd w:val="0"/>
        <w:spacing w:after="0" w:line="480" w:lineRule="auto"/>
        <w:jc w:val="both"/>
        <w:rPr>
          <w:rFonts w:ascii="David" w:hAnsi="David" w:cs="David"/>
          <w:color w:val="20231D"/>
          <w:rtl/>
        </w:rPr>
      </w:pPr>
      <w:r w:rsidRPr="008A0B23">
        <w:rPr>
          <w:rFonts w:ascii="David" w:hAnsi="David" w:cs="David"/>
          <w:color w:val="20231D"/>
          <w:sz w:val="24"/>
          <w:szCs w:val="24"/>
          <w:rtl/>
        </w:rPr>
        <w:t>לפי קאבר, העולם שתיאר שמעון הצדיק הוא ה</w:t>
      </w:r>
      <w:r w:rsidR="002E1A69">
        <w:rPr>
          <w:rFonts w:ascii="David" w:hAnsi="David" w:cs="David" w:hint="cs"/>
          <w:color w:val="20231D"/>
          <w:sz w:val="24"/>
          <w:szCs w:val="24"/>
          <w:rtl/>
        </w:rPr>
        <w:t>'</w:t>
      </w:r>
      <w:r w:rsidRPr="008A0B23">
        <w:rPr>
          <w:rFonts w:ascii="David" w:hAnsi="David" w:cs="David"/>
          <w:color w:val="20231D"/>
          <w:sz w:val="24"/>
          <w:szCs w:val="24"/>
          <w:rtl/>
        </w:rPr>
        <w:t>נומוס</w:t>
      </w:r>
      <w:r w:rsidR="00845EB7">
        <w:rPr>
          <w:rFonts w:ascii="David" w:hAnsi="David" w:cs="David" w:hint="cs"/>
          <w:color w:val="20231D"/>
          <w:sz w:val="24"/>
          <w:szCs w:val="24"/>
          <w:rtl/>
        </w:rPr>
        <w:t>'</w:t>
      </w:r>
      <w:r w:rsidRPr="008A0B23">
        <w:rPr>
          <w:rFonts w:ascii="David" w:hAnsi="David" w:cs="David"/>
          <w:color w:val="20231D"/>
          <w:sz w:val="24"/>
          <w:szCs w:val="24"/>
        </w:rPr>
        <w:t>,</w:t>
      </w:r>
      <w:r w:rsidR="005556D1" w:rsidRPr="008A0B23">
        <w:rPr>
          <w:rFonts w:ascii="David" w:hAnsi="David" w:cs="David"/>
          <w:color w:val="20231D"/>
          <w:sz w:val="24"/>
          <w:szCs w:val="24"/>
          <w:rtl/>
        </w:rPr>
        <w:t xml:space="preserve"> </w:t>
      </w:r>
      <w:r w:rsidRPr="008A0B23">
        <w:rPr>
          <w:rFonts w:ascii="David" w:hAnsi="David" w:cs="David"/>
          <w:color w:val="20231D"/>
          <w:sz w:val="24"/>
          <w:szCs w:val="24"/>
          <w:rtl/>
        </w:rPr>
        <w:t>היקום הנורמטיבי היהודי</w:t>
      </w:r>
      <w:r w:rsidR="008A71F6">
        <w:rPr>
          <w:rFonts w:ascii="David" w:hAnsi="David" w:cs="David" w:hint="cs"/>
          <w:color w:val="20231D"/>
          <w:sz w:val="24"/>
          <w:szCs w:val="24"/>
          <w:rtl/>
        </w:rPr>
        <w:t xml:space="preserve"> בשלהי תקופת הבית השני</w:t>
      </w:r>
      <w:r w:rsidRPr="008A0B23">
        <w:rPr>
          <w:rFonts w:ascii="David" w:hAnsi="David" w:cs="David"/>
          <w:color w:val="20231D"/>
          <w:sz w:val="24"/>
          <w:szCs w:val="24"/>
          <w:rtl/>
        </w:rPr>
        <w:t xml:space="preserve">; שלושת היסודות שהוא ציין </w:t>
      </w:r>
      <w:r w:rsidR="002F45E8">
        <w:rPr>
          <w:rFonts w:ascii="David" w:hAnsi="David" w:cs="David"/>
          <w:color w:val="20231D"/>
          <w:sz w:val="24"/>
          <w:szCs w:val="24"/>
          <w:rtl/>
        </w:rPr>
        <w:t>–</w:t>
      </w:r>
      <w:r w:rsidR="002F45E8">
        <w:rPr>
          <w:rFonts w:ascii="David" w:hAnsi="David" w:cs="David" w:hint="cs"/>
          <w:color w:val="20231D"/>
          <w:sz w:val="24"/>
          <w:szCs w:val="24"/>
          <w:rtl/>
        </w:rPr>
        <w:t xml:space="preserve"> תורה, עבודה וגמילות חסדים - </w:t>
      </w:r>
      <w:r w:rsidRPr="008A0B23">
        <w:rPr>
          <w:rFonts w:ascii="David" w:hAnsi="David" w:cs="David"/>
          <w:color w:val="20231D"/>
          <w:sz w:val="24"/>
          <w:szCs w:val="24"/>
          <w:rtl/>
        </w:rPr>
        <w:t>הם בוראי עולם. ז</w:t>
      </w:r>
      <w:r w:rsidR="00C3574F">
        <w:rPr>
          <w:rFonts w:ascii="David" w:hAnsi="David" w:cs="David" w:hint="cs"/>
          <w:color w:val="20231D"/>
          <w:sz w:val="24"/>
          <w:szCs w:val="24"/>
          <w:rtl/>
        </w:rPr>
        <w:t>הו</w:t>
      </w:r>
      <w:r w:rsidR="008C39BD">
        <w:rPr>
          <w:rFonts w:ascii="David" w:hAnsi="David" w:cs="David" w:hint="cs"/>
          <w:sz w:val="24"/>
          <w:szCs w:val="24"/>
          <w:rtl/>
        </w:rPr>
        <w:t xml:space="preserve"> </w:t>
      </w:r>
      <w:r w:rsidR="008C39BD" w:rsidRPr="008C39BD">
        <w:rPr>
          <w:rFonts w:asciiTheme="majorBidi" w:hAnsiTheme="majorBidi" w:cstheme="majorBidi"/>
          <w:sz w:val="24"/>
          <w:szCs w:val="24"/>
        </w:rPr>
        <w:t xml:space="preserve">the </w:t>
      </w:r>
      <w:r w:rsidR="008C39BD">
        <w:rPr>
          <w:rFonts w:ascii="SBL Greek" w:hAnsi="SBL Greek" w:cstheme="majorBidi"/>
          <w:sz w:val="24"/>
          <w:szCs w:val="24"/>
        </w:rPr>
        <w:t>‘</w:t>
      </w:r>
      <w:r w:rsidR="008C39BD" w:rsidRPr="008C39BD">
        <w:rPr>
          <w:rFonts w:asciiTheme="majorBidi" w:hAnsiTheme="majorBidi" w:cstheme="majorBidi"/>
          <w:sz w:val="24"/>
          <w:szCs w:val="24"/>
        </w:rPr>
        <w:t>paideic</w:t>
      </w:r>
      <w:r w:rsidR="008C39BD">
        <w:rPr>
          <w:rFonts w:ascii="SBL Greek" w:hAnsi="SBL Greek" w:cstheme="majorBidi"/>
          <w:sz w:val="24"/>
          <w:szCs w:val="24"/>
        </w:rPr>
        <w:t>’</w:t>
      </w:r>
      <w:r w:rsidR="008C39BD">
        <w:rPr>
          <w:rFonts w:cs="David"/>
          <w:sz w:val="24"/>
          <w:szCs w:val="24"/>
        </w:rPr>
        <w:t xml:space="preserve"> </w:t>
      </w:r>
      <w:r w:rsidR="008C39BD" w:rsidRPr="008C39BD">
        <w:rPr>
          <w:rFonts w:asciiTheme="majorBidi" w:hAnsiTheme="majorBidi" w:cstheme="majorBidi"/>
          <w:sz w:val="24"/>
          <w:szCs w:val="24"/>
        </w:rPr>
        <w:t>patt</w:t>
      </w:r>
      <w:r w:rsidR="00132FA3">
        <w:rPr>
          <w:rFonts w:asciiTheme="majorBidi" w:hAnsiTheme="majorBidi" w:cstheme="majorBidi"/>
          <w:sz w:val="24"/>
          <w:szCs w:val="24"/>
        </w:rPr>
        <w:t>e</w:t>
      </w:r>
      <w:r w:rsidR="008C39BD" w:rsidRPr="008C39BD">
        <w:rPr>
          <w:rFonts w:asciiTheme="majorBidi" w:hAnsiTheme="majorBidi" w:cstheme="majorBidi"/>
          <w:sz w:val="24"/>
          <w:szCs w:val="24"/>
        </w:rPr>
        <w:t>rn</w:t>
      </w:r>
      <w:r w:rsidR="005556D1" w:rsidRPr="008A0B23">
        <w:rPr>
          <w:rFonts w:ascii="David" w:hAnsi="David" w:cs="David"/>
          <w:sz w:val="24"/>
          <w:szCs w:val="24"/>
          <w:rtl/>
        </w:rPr>
        <w:t>,</w:t>
      </w:r>
      <w:r w:rsidR="0022670B" w:rsidRPr="008A0B23">
        <w:rPr>
          <w:rStyle w:val="a5"/>
          <w:rFonts w:ascii="David" w:hAnsi="David" w:cs="David"/>
          <w:sz w:val="24"/>
          <w:szCs w:val="24"/>
          <w:rtl/>
        </w:rPr>
        <w:footnoteReference w:id="70"/>
      </w:r>
      <w:r w:rsidR="005556D1" w:rsidRPr="008A0B23">
        <w:rPr>
          <w:rFonts w:ascii="David" w:hAnsi="David" w:cs="David"/>
          <w:sz w:val="24"/>
          <w:szCs w:val="24"/>
          <w:rtl/>
        </w:rPr>
        <w:t xml:space="preserve"> </w:t>
      </w:r>
      <w:r w:rsidR="00084BF1" w:rsidRPr="008A0B23">
        <w:rPr>
          <w:rFonts w:ascii="David" w:hAnsi="David" w:cs="David"/>
          <w:color w:val="20231D"/>
          <w:rtl/>
        </w:rPr>
        <w:t>המכונה כך משום שהוא כולל נרטיב משותף, נורמות משותפות ודרך</w:t>
      </w:r>
      <w:r w:rsidR="00084BF1" w:rsidRPr="008A0B23">
        <w:rPr>
          <w:rFonts w:ascii="David" w:hAnsi="David" w:cs="David"/>
          <w:color w:val="20231D"/>
        </w:rPr>
        <w:t xml:space="preserve"> </w:t>
      </w:r>
      <w:r w:rsidR="00084BF1" w:rsidRPr="008A0B23">
        <w:rPr>
          <w:rFonts w:ascii="David" w:hAnsi="David" w:cs="David"/>
          <w:color w:val="20231D"/>
          <w:rtl/>
        </w:rPr>
        <w:t>משותפת לחנך ולהתחנך על פיהן</w:t>
      </w:r>
      <w:r w:rsidR="00084BF1" w:rsidRPr="008A0B23">
        <w:rPr>
          <w:rFonts w:ascii="David" w:hAnsi="David" w:cs="David"/>
          <w:color w:val="20231D"/>
        </w:rPr>
        <w:t>.</w:t>
      </w:r>
      <w:r w:rsidR="00084BF1" w:rsidRPr="008A0B23">
        <w:rPr>
          <w:rStyle w:val="a5"/>
          <w:rFonts w:ascii="David" w:hAnsi="David" w:cs="David"/>
          <w:sz w:val="24"/>
          <w:szCs w:val="24"/>
          <w:rtl/>
        </w:rPr>
        <w:footnoteReference w:id="71"/>
      </w:r>
      <w:r w:rsidR="00154751" w:rsidRPr="008A0B23">
        <w:rPr>
          <w:rFonts w:ascii="David" w:hAnsi="David" w:cs="David"/>
          <w:sz w:val="24"/>
          <w:szCs w:val="24"/>
          <w:rtl/>
        </w:rPr>
        <w:t xml:space="preserve"> כוחות אלו יוצרים את העולם הנורמטיבי שבו המשפט הוא בעיקר מערכת של משמעות ולא של כפיית כללי התנהגות.</w:t>
      </w:r>
      <w:r w:rsidR="00154751" w:rsidRPr="008A0B23">
        <w:rPr>
          <w:rStyle w:val="a5"/>
          <w:rFonts w:ascii="David" w:hAnsi="David" w:cs="David"/>
          <w:sz w:val="24"/>
          <w:szCs w:val="24"/>
          <w:rtl/>
        </w:rPr>
        <w:footnoteReference w:id="72"/>
      </w:r>
      <w:r w:rsidR="00CD72EA" w:rsidRPr="008A0B23">
        <w:rPr>
          <w:rFonts w:ascii="David" w:hAnsi="David" w:cs="David"/>
          <w:sz w:val="24"/>
          <w:szCs w:val="24"/>
          <w:rtl/>
        </w:rPr>
        <w:t xml:space="preserve"> </w:t>
      </w:r>
      <w:r w:rsidR="00CD72EA" w:rsidRPr="008A0B23">
        <w:rPr>
          <w:rFonts w:ascii="David" w:hAnsi="David" w:cs="David"/>
          <w:color w:val="20231D"/>
          <w:rtl/>
        </w:rPr>
        <w:t>לאחר חורבן בית המקדש השני כבר אי־אפשר היה לעסוק בשלושת אלה כראוי</w:t>
      </w:r>
      <w:r w:rsidR="008B68BD">
        <w:rPr>
          <w:rFonts w:ascii="David" w:hAnsi="David" w:cs="David" w:hint="cs"/>
          <w:color w:val="20231D"/>
          <w:rtl/>
        </w:rPr>
        <w:t xml:space="preserve">. בשלב היסטורי זה </w:t>
      </w:r>
      <w:r w:rsidR="00CD72EA" w:rsidRPr="008A0B23">
        <w:rPr>
          <w:rFonts w:ascii="David" w:hAnsi="David" w:cs="David"/>
          <w:color w:val="20231D"/>
          <w:rtl/>
        </w:rPr>
        <w:t>העולם הנורמטיבי הוסיף להתקיים מתוקף כוחות אחרים, חלשים יותר, המשתקפים ב</w:t>
      </w:r>
      <w:r w:rsidR="00750C3C">
        <w:rPr>
          <w:rFonts w:ascii="David" w:hAnsi="David" w:cs="David" w:hint="cs"/>
          <w:color w:val="20231D"/>
          <w:rtl/>
        </w:rPr>
        <w:t>משנה</w:t>
      </w:r>
      <w:r w:rsidR="00CD72EA" w:rsidRPr="008A0B23">
        <w:rPr>
          <w:rFonts w:ascii="David" w:hAnsi="David" w:cs="David"/>
          <w:color w:val="20231D"/>
          <w:rtl/>
        </w:rPr>
        <w:t xml:space="preserve"> </w:t>
      </w:r>
      <w:r w:rsidR="00750C3C">
        <w:rPr>
          <w:rFonts w:ascii="David" w:hAnsi="David" w:cs="David" w:hint="cs"/>
          <w:color w:val="20231D"/>
          <w:rtl/>
        </w:rPr>
        <w:t>ש</w:t>
      </w:r>
      <w:r w:rsidR="00CD72EA" w:rsidRPr="008A0B23">
        <w:rPr>
          <w:rFonts w:ascii="David" w:hAnsi="David" w:cs="David"/>
          <w:color w:val="20231D"/>
          <w:rtl/>
        </w:rPr>
        <w:t>חות</w:t>
      </w:r>
      <w:r w:rsidR="00750C3C">
        <w:rPr>
          <w:rFonts w:ascii="David" w:hAnsi="David" w:cs="David" w:hint="cs"/>
          <w:color w:val="20231D"/>
          <w:rtl/>
        </w:rPr>
        <w:t>מת</w:t>
      </w:r>
      <w:r w:rsidR="00CD72EA" w:rsidRPr="008A0B23">
        <w:rPr>
          <w:rFonts w:ascii="David" w:hAnsi="David" w:cs="David"/>
          <w:color w:val="20231D"/>
          <w:rtl/>
        </w:rPr>
        <w:t xml:space="preserve"> את הפרק: </w:t>
      </w:r>
    </w:p>
    <w:p w14:paraId="5DF4C78A" w14:textId="3AB39770" w:rsidR="00EA6DDB" w:rsidRPr="00EA6DDB" w:rsidRDefault="00EA6DDB" w:rsidP="005D6A49">
      <w:pPr>
        <w:autoSpaceDE w:val="0"/>
        <w:autoSpaceDN w:val="0"/>
        <w:bidi w:val="0"/>
        <w:adjustRightInd w:val="0"/>
        <w:spacing w:after="0" w:line="360" w:lineRule="auto"/>
        <w:ind w:left="720"/>
        <w:rPr>
          <w:rFonts w:ascii="David" w:hAnsi="David" w:cs="David"/>
          <w:color w:val="20231D"/>
          <w:sz w:val="24"/>
          <w:szCs w:val="24"/>
        </w:rPr>
      </w:pPr>
      <w:r w:rsidRPr="00EA6DDB">
        <w:rPr>
          <w:rFonts w:ascii="Times New Roman" w:hAnsi="Times New Roman" w:cs="Times New Roman"/>
          <w:sz w:val="24"/>
          <w:szCs w:val="24"/>
        </w:rPr>
        <w:t xml:space="preserve">Rabbi Simeon ben </w:t>
      </w:r>
      <w:r w:rsidRPr="00EA6DDB">
        <w:rPr>
          <w:rFonts w:ascii="Courier" w:hAnsi="Courier" w:cs="Courier"/>
          <w:sz w:val="24"/>
          <w:szCs w:val="24"/>
        </w:rPr>
        <w:t>Gam</w:t>
      </w:r>
      <w:r w:rsidRPr="00EA6DDB">
        <w:rPr>
          <w:rFonts w:ascii="Times New Roman" w:hAnsi="Times New Roman" w:cs="Times New Roman"/>
          <w:sz w:val="24"/>
          <w:szCs w:val="24"/>
        </w:rPr>
        <w:t>aliel said: Upon three things the world [continues to] exist[</w:t>
      </w:r>
      <w:r w:rsidR="005D6A49">
        <w:rPr>
          <w:rFonts w:ascii="Times New Roman" w:hAnsi="Times New Roman" w:cs="Times New Roman"/>
          <w:sz w:val="24"/>
          <w:szCs w:val="24"/>
        </w:rPr>
        <w:t>…</w:t>
      </w:r>
      <w:r w:rsidRPr="00EA6DDB">
        <w:rPr>
          <w:rFonts w:ascii="Times New Roman" w:hAnsi="Times New Roman" w:cs="Times New Roman"/>
          <w:sz w:val="24"/>
          <w:szCs w:val="24"/>
        </w:rPr>
        <w:t>]: upon</w:t>
      </w:r>
      <w:r>
        <w:rPr>
          <w:rFonts w:ascii="Times New Roman" w:hAnsi="Times New Roman" w:cs="Times New Roman"/>
          <w:sz w:val="24"/>
          <w:szCs w:val="24"/>
        </w:rPr>
        <w:t xml:space="preserve"> </w:t>
      </w:r>
      <w:r w:rsidRPr="00EA6DDB">
        <w:rPr>
          <w:rFonts w:ascii="Times New Roman" w:hAnsi="Times New Roman" w:cs="Times New Roman"/>
          <w:sz w:val="24"/>
          <w:szCs w:val="24"/>
        </w:rPr>
        <w:t>justice, upon truth, and upon peace.</w:t>
      </w:r>
      <w:r w:rsidRPr="00EA6DDB">
        <w:rPr>
          <w:rStyle w:val="a5"/>
          <w:rFonts w:ascii="David" w:hAnsi="David" w:cs="David"/>
          <w:sz w:val="24"/>
          <w:szCs w:val="24"/>
          <w:rtl/>
        </w:rPr>
        <w:t xml:space="preserve"> </w:t>
      </w:r>
      <w:r w:rsidRPr="008A0B23">
        <w:rPr>
          <w:rStyle w:val="a5"/>
          <w:rFonts w:ascii="David" w:hAnsi="David" w:cs="David"/>
          <w:sz w:val="24"/>
          <w:szCs w:val="24"/>
          <w:rtl/>
        </w:rPr>
        <w:footnoteReference w:id="73"/>
      </w:r>
    </w:p>
    <w:p w14:paraId="5FEE05F0" w14:textId="77777777" w:rsidR="00EA6DDB" w:rsidRDefault="00EA6DDB" w:rsidP="00ED751E">
      <w:pPr>
        <w:autoSpaceDE w:val="0"/>
        <w:autoSpaceDN w:val="0"/>
        <w:adjustRightInd w:val="0"/>
        <w:spacing w:after="0" w:line="480" w:lineRule="auto"/>
        <w:jc w:val="both"/>
        <w:rPr>
          <w:rFonts w:ascii="David" w:hAnsi="David" w:cs="David"/>
          <w:sz w:val="24"/>
          <w:szCs w:val="24"/>
          <w:rtl/>
        </w:rPr>
      </w:pPr>
    </w:p>
    <w:p w14:paraId="5628E63F" w14:textId="630E7BDD" w:rsidR="00BD6458" w:rsidRDefault="00824F46" w:rsidP="00ED751E">
      <w:pPr>
        <w:autoSpaceDE w:val="0"/>
        <w:autoSpaceDN w:val="0"/>
        <w:adjustRightInd w:val="0"/>
        <w:spacing w:after="0" w:line="480" w:lineRule="auto"/>
        <w:jc w:val="both"/>
        <w:rPr>
          <w:rFonts w:ascii="David" w:hAnsi="David" w:cs="David"/>
          <w:sz w:val="24"/>
          <w:szCs w:val="24"/>
          <w:rtl/>
        </w:rPr>
      </w:pPr>
      <w:r w:rsidRPr="008A0B23">
        <w:rPr>
          <w:rFonts w:ascii="David" w:hAnsi="David" w:cs="David"/>
          <w:sz w:val="24"/>
          <w:szCs w:val="24"/>
          <w:rtl/>
        </w:rPr>
        <w:t>לעומת הכוחות החזקים</w:t>
      </w:r>
      <w:r w:rsidR="007253CD">
        <w:rPr>
          <w:rFonts w:ascii="David" w:hAnsi="David" w:cs="David" w:hint="cs"/>
          <w:sz w:val="24"/>
          <w:szCs w:val="24"/>
          <w:rtl/>
        </w:rPr>
        <w:t>,</w:t>
      </w:r>
      <w:r w:rsidRPr="008A0B23">
        <w:rPr>
          <w:rFonts w:ascii="David" w:hAnsi="David" w:cs="David"/>
          <w:sz w:val="24"/>
          <w:szCs w:val="24"/>
          <w:rtl/>
        </w:rPr>
        <w:t xml:space="preserve"> </w:t>
      </w:r>
      <w:r w:rsidRPr="00B41CFC">
        <w:rPr>
          <w:rFonts w:ascii="David" w:hAnsi="David" w:cs="David"/>
          <w:color w:val="20231D"/>
          <w:sz w:val="24"/>
          <w:szCs w:val="24"/>
          <w:rtl/>
        </w:rPr>
        <w:t xml:space="preserve">יוצרי העולם יש מאין, הכוחות שרבן שמעון בן גמליאל מזכיר באים </w:t>
      </w:r>
      <w:r w:rsidR="007253CD">
        <w:rPr>
          <w:rFonts w:ascii="David" w:hAnsi="David" w:cs="David" w:hint="cs"/>
          <w:color w:val="20231D"/>
          <w:sz w:val="24"/>
          <w:szCs w:val="24"/>
          <w:rtl/>
        </w:rPr>
        <w:t xml:space="preserve">רק בשביל </w:t>
      </w:r>
      <w:r w:rsidRPr="00B41CFC">
        <w:rPr>
          <w:rFonts w:ascii="David" w:hAnsi="David" w:cs="David"/>
          <w:color w:val="20231D"/>
          <w:sz w:val="24"/>
          <w:szCs w:val="24"/>
          <w:rtl/>
        </w:rPr>
        <w:t xml:space="preserve">לשמר את הקיים. זהו דפוס שקאבר מכנה </w:t>
      </w:r>
      <w:r w:rsidR="00E03A6F" w:rsidRPr="00E03A6F">
        <w:rPr>
          <w:rFonts w:asciiTheme="majorBidi" w:hAnsiTheme="majorBidi" w:cstheme="majorBidi"/>
          <w:color w:val="20231D"/>
          <w:sz w:val="24"/>
          <w:szCs w:val="24"/>
        </w:rPr>
        <w:t>‘the imperial pattern’</w:t>
      </w:r>
      <w:r w:rsidRPr="00B41CFC">
        <w:rPr>
          <w:rFonts w:ascii="David" w:hAnsi="David" w:cs="David"/>
          <w:color w:val="20231D"/>
          <w:sz w:val="24"/>
          <w:szCs w:val="24"/>
          <w:rtl/>
        </w:rPr>
        <w:t>.</w:t>
      </w:r>
      <w:r w:rsidR="00050ABB">
        <w:rPr>
          <w:rFonts w:ascii="David" w:hAnsi="David" w:cs="David" w:hint="cs"/>
          <w:color w:val="20231D"/>
          <w:sz w:val="24"/>
          <w:szCs w:val="24"/>
          <w:rtl/>
        </w:rPr>
        <w:t xml:space="preserve"> </w:t>
      </w:r>
      <w:r w:rsidR="00050ABB" w:rsidRPr="00050ABB">
        <w:rPr>
          <w:rFonts w:ascii="David" w:hAnsi="David" w:cs="David"/>
          <w:color w:val="20231D"/>
          <w:sz w:val="24"/>
          <w:szCs w:val="24"/>
        </w:rPr>
        <w:t>In this model, norms are universal and enforced by institutions</w:t>
      </w:r>
      <w:r w:rsidR="00050ABB" w:rsidRPr="00050ABB">
        <w:rPr>
          <w:rFonts w:ascii="David" w:hAnsi="David" w:cs="David"/>
          <w:color w:val="20231D"/>
          <w:sz w:val="24"/>
          <w:szCs w:val="24"/>
          <w:rtl/>
        </w:rPr>
        <w:t>.</w:t>
      </w:r>
      <w:r w:rsidR="00050ABB">
        <w:rPr>
          <w:rFonts w:ascii="David" w:hAnsi="David" w:cs="David" w:hint="cs"/>
          <w:color w:val="20231D"/>
          <w:sz w:val="24"/>
          <w:szCs w:val="24"/>
          <w:rtl/>
        </w:rPr>
        <w:t xml:space="preserve"> </w:t>
      </w:r>
      <w:r w:rsidRPr="00B41CFC">
        <w:rPr>
          <w:rFonts w:ascii="David" w:hAnsi="David" w:cs="David"/>
          <w:color w:val="20231D"/>
          <w:sz w:val="24"/>
          <w:szCs w:val="24"/>
          <w:rtl/>
        </w:rPr>
        <w:t>אלו הם כוחות של</w:t>
      </w:r>
      <w:r w:rsidR="00245A0B">
        <w:rPr>
          <w:rFonts w:ascii="David" w:hAnsi="David" w:cs="David" w:hint="cs"/>
          <w:color w:val="20231D"/>
          <w:sz w:val="24"/>
          <w:szCs w:val="24"/>
          <w:rtl/>
        </w:rPr>
        <w:t xml:space="preserve"> </w:t>
      </w:r>
      <w:r w:rsidR="00245A0B">
        <w:rPr>
          <w:rFonts w:ascii="SBL Greek" w:hAnsi="SBL Greek" w:cs="Times New Roman"/>
        </w:rPr>
        <w:t>‘</w:t>
      </w:r>
      <w:r w:rsidR="00245A0B">
        <w:rPr>
          <w:rFonts w:ascii="Times New Roman" w:hAnsi="Times New Roman" w:cs="Times New Roman"/>
        </w:rPr>
        <w:t>world maintaining</w:t>
      </w:r>
      <w:r w:rsidR="00245A0B">
        <w:rPr>
          <w:rFonts w:ascii="SBL Greek" w:hAnsi="SBL Greek" w:cs="David"/>
          <w:color w:val="20231D"/>
          <w:sz w:val="24"/>
          <w:szCs w:val="24"/>
        </w:rPr>
        <w:t>’</w:t>
      </w:r>
      <w:r w:rsidR="00AF4ACF" w:rsidRPr="00B41CFC">
        <w:rPr>
          <w:rFonts w:ascii="David" w:hAnsi="David" w:cs="David"/>
          <w:color w:val="20231D"/>
          <w:sz w:val="24"/>
          <w:szCs w:val="24"/>
          <w:rtl/>
        </w:rPr>
        <w:t>.</w:t>
      </w:r>
      <w:r w:rsidR="005F3DAF" w:rsidRPr="00B41CFC">
        <w:rPr>
          <w:rStyle w:val="a5"/>
          <w:rFonts w:ascii="David" w:hAnsi="David" w:cs="David"/>
          <w:color w:val="20231D"/>
          <w:sz w:val="24"/>
          <w:szCs w:val="24"/>
        </w:rPr>
        <w:footnoteReference w:id="74"/>
      </w:r>
      <w:r w:rsidR="004B40EF" w:rsidRPr="00B41CFC">
        <w:rPr>
          <w:rFonts w:ascii="David" w:hAnsi="David" w:cs="David"/>
          <w:sz w:val="24"/>
          <w:szCs w:val="24"/>
          <w:rtl/>
        </w:rPr>
        <w:t xml:space="preserve"> </w:t>
      </w:r>
      <w:r w:rsidR="00C177E5" w:rsidRPr="00B41CFC">
        <w:rPr>
          <w:rFonts w:ascii="David" w:hAnsi="David" w:cs="David"/>
          <w:color w:val="20231D"/>
          <w:sz w:val="24"/>
          <w:szCs w:val="24"/>
          <w:rtl/>
        </w:rPr>
        <w:t xml:space="preserve">התכונה האימפריאלית נדרשת כדי להסדיר את ריבוי המשמעויות. כוחות תרבותיים פרטיקולריים, בוראי־חוק </w:t>
      </w:r>
      <w:r w:rsidR="00B8140C">
        <w:rPr>
          <w:rFonts w:ascii="David" w:hAnsi="David" w:cs="David" w:hint="cs"/>
          <w:color w:val="20231D"/>
          <w:sz w:val="24"/>
          <w:szCs w:val="24"/>
          <w:rtl/>
        </w:rPr>
        <w:t>(</w:t>
      </w:r>
      <w:r w:rsidR="00C177E5" w:rsidRPr="00B41CFC">
        <w:rPr>
          <w:rFonts w:ascii="David" w:hAnsi="David" w:cs="David"/>
          <w:color w:val="20231D"/>
          <w:sz w:val="24"/>
          <w:szCs w:val="24"/>
          <w:rtl/>
        </w:rPr>
        <w:t>במקרה של התַּנָּאִים — "תורה, עבודה וגמילות חסדים"</w:t>
      </w:r>
      <w:r w:rsidR="00B8140C">
        <w:rPr>
          <w:rFonts w:ascii="David" w:hAnsi="David" w:cs="David" w:hint="cs"/>
          <w:color w:val="20231D"/>
          <w:sz w:val="24"/>
          <w:szCs w:val="24"/>
          <w:rtl/>
        </w:rPr>
        <w:t>)</w:t>
      </w:r>
      <w:r w:rsidR="00C177E5" w:rsidRPr="00B41CFC">
        <w:rPr>
          <w:rFonts w:ascii="David" w:hAnsi="David" w:cs="David"/>
          <w:color w:val="20231D"/>
          <w:sz w:val="24"/>
          <w:szCs w:val="24"/>
          <w:rtl/>
        </w:rPr>
        <w:t>, עשויים לברוא עולמות נורמטיביים אלימים ולא יציבים שאינם פועלים בהרמוניה</w:t>
      </w:r>
      <w:r w:rsidR="00B8140C">
        <w:rPr>
          <w:rFonts w:ascii="David" w:hAnsi="David" w:cs="David" w:hint="cs"/>
          <w:color w:val="20231D"/>
          <w:sz w:val="24"/>
          <w:szCs w:val="24"/>
          <w:rtl/>
        </w:rPr>
        <w:t xml:space="preserve"> עם עולמות חוק מקבילים להם</w:t>
      </w:r>
      <w:r w:rsidR="00C177E5" w:rsidRPr="00B41CFC">
        <w:rPr>
          <w:rFonts w:ascii="David" w:hAnsi="David" w:cs="David"/>
          <w:color w:val="20231D"/>
          <w:sz w:val="24"/>
          <w:szCs w:val="24"/>
          <w:rtl/>
        </w:rPr>
        <w:t xml:space="preserve">. לפי קאבר, מטרתו של הדפוס האימפריאלי היא ליצור מסגרת המונעת אלימות ומאפשרת דו־קיום לעולמות </w:t>
      </w:r>
      <w:r w:rsidR="00C177E5" w:rsidRPr="00B41CFC">
        <w:rPr>
          <w:rFonts w:ascii="David" w:hAnsi="David" w:cs="David"/>
          <w:color w:val="20231D"/>
          <w:sz w:val="24"/>
          <w:szCs w:val="24"/>
          <w:rtl/>
        </w:rPr>
        <w:lastRenderedPageBreak/>
        <w:t xml:space="preserve">הנורמטיביים השונים שמשגשגים תחתיו. הדפוס האימפריאלי משמש </w:t>
      </w:r>
      <w:r w:rsidR="0031047C">
        <w:rPr>
          <w:rFonts w:ascii="David" w:hAnsi="David" w:cs="David" w:hint="cs"/>
          <w:color w:val="20231D"/>
          <w:sz w:val="24"/>
          <w:szCs w:val="24"/>
          <w:rtl/>
        </w:rPr>
        <w:t xml:space="preserve">את קאבר כדי </w:t>
      </w:r>
      <w:r w:rsidR="00C177E5" w:rsidRPr="00B41CFC">
        <w:rPr>
          <w:rFonts w:ascii="David" w:hAnsi="David" w:cs="David"/>
          <w:color w:val="20231D"/>
          <w:sz w:val="24"/>
          <w:szCs w:val="24"/>
          <w:rtl/>
        </w:rPr>
        <w:t>לאפיין את פעולת השיפוט: בתי משפט נדרשים ליישב את הקונפליקט המתעורר בין נומוסים מתחרים של קהילות נורמטיביות שונות, בינן לבין עצמן ובינן לבין דרישת הפיקוח החברתי של המדינה, המבקשת לכפות אחידות. בעשותם כן, טוען קאבר, בתי משפט לא יוצרים חוק</w:t>
      </w:r>
      <w:r w:rsidR="00C177E5" w:rsidRPr="00B41CFC">
        <w:rPr>
          <w:rFonts w:ascii="David" w:hAnsi="David" w:cs="David"/>
          <w:color w:val="20231D"/>
          <w:sz w:val="24"/>
          <w:szCs w:val="24"/>
        </w:rPr>
        <w:t>;</w:t>
      </w:r>
      <w:r w:rsidR="00C177E5" w:rsidRPr="00B41CFC">
        <w:rPr>
          <w:rFonts w:ascii="David" w:hAnsi="David" w:cs="David"/>
          <w:color w:val="20231D"/>
          <w:sz w:val="24"/>
          <w:szCs w:val="24"/>
          <w:rtl/>
        </w:rPr>
        <w:t xml:space="preserve"> אדרבה, אל מול שפע המסורות המשפטיות השונות, </w:t>
      </w:r>
      <w:r w:rsidR="006D3CFA">
        <w:rPr>
          <w:rFonts w:ascii="David" w:hAnsi="David" w:cs="David" w:hint="cs"/>
          <w:color w:val="20231D"/>
          <w:sz w:val="24"/>
          <w:szCs w:val="24"/>
          <w:rtl/>
        </w:rPr>
        <w:t>"</w:t>
      </w:r>
      <w:r w:rsidR="00C177E5" w:rsidRPr="00B41CFC">
        <w:rPr>
          <w:rFonts w:ascii="David" w:hAnsi="David" w:cs="David"/>
          <w:color w:val="20231D"/>
          <w:sz w:val="24"/>
          <w:szCs w:val="24"/>
          <w:rtl/>
        </w:rPr>
        <w:t>משמידים</w:t>
      </w:r>
      <w:r w:rsidR="006D3CFA">
        <w:rPr>
          <w:rFonts w:ascii="David" w:hAnsi="David" w:cs="David" w:hint="cs"/>
          <w:color w:val="20231D"/>
          <w:sz w:val="24"/>
          <w:szCs w:val="24"/>
          <w:rtl/>
        </w:rPr>
        <w:t>"</w:t>
      </w:r>
      <w:r w:rsidR="00C177E5" w:rsidRPr="00B41CFC">
        <w:rPr>
          <w:rFonts w:ascii="David" w:hAnsi="David" w:cs="David"/>
          <w:color w:val="20231D"/>
          <w:sz w:val="24"/>
          <w:szCs w:val="24"/>
          <w:rtl/>
        </w:rPr>
        <w:t xml:space="preserve"> השופטים את אחת הנורמות המתחרות ומכריזים כי נורמה אחת ולא אחרת היא המשפט. בה בעת, פעולה אלימה זו מבטיחה כי ישרור שלום בין העולמות הנורמטיביים הסותרים</w:t>
      </w:r>
      <w:r w:rsidR="00C177E5" w:rsidRPr="00B41CFC">
        <w:rPr>
          <w:rFonts w:ascii="David" w:hAnsi="David" w:cs="David"/>
          <w:color w:val="20231D"/>
          <w:sz w:val="24"/>
          <w:szCs w:val="24"/>
        </w:rPr>
        <w:t>.</w:t>
      </w:r>
      <w:r w:rsidR="0093425B" w:rsidRPr="00B41CFC">
        <w:rPr>
          <w:rStyle w:val="a5"/>
          <w:rFonts w:ascii="David" w:hAnsi="David" w:cs="David"/>
          <w:sz w:val="24"/>
          <w:szCs w:val="24"/>
          <w:rtl/>
        </w:rPr>
        <w:footnoteReference w:id="75"/>
      </w:r>
      <w:r w:rsidR="00B41CFC" w:rsidRPr="00B41CFC">
        <w:rPr>
          <w:rFonts w:ascii="David" w:hAnsi="David" w:cs="David"/>
          <w:sz w:val="24"/>
          <w:szCs w:val="24"/>
          <w:rtl/>
        </w:rPr>
        <w:t xml:space="preserve"> </w:t>
      </w:r>
    </w:p>
    <w:p w14:paraId="3DB2A94C" w14:textId="77777777" w:rsidR="00C72050" w:rsidRDefault="00C72050" w:rsidP="00ED751E">
      <w:pPr>
        <w:autoSpaceDE w:val="0"/>
        <w:autoSpaceDN w:val="0"/>
        <w:adjustRightInd w:val="0"/>
        <w:spacing w:after="0" w:line="480" w:lineRule="auto"/>
        <w:jc w:val="both"/>
        <w:rPr>
          <w:rFonts w:ascii="David" w:hAnsi="David" w:cs="David"/>
          <w:sz w:val="24"/>
          <w:szCs w:val="24"/>
          <w:rtl/>
        </w:rPr>
      </w:pPr>
    </w:p>
    <w:p w14:paraId="4FD5699A" w14:textId="2406D68A" w:rsidR="00503C58" w:rsidRPr="006A280E" w:rsidRDefault="00503C58" w:rsidP="00503C58">
      <w:pPr>
        <w:pStyle w:val="FH"/>
        <w:spacing w:line="480" w:lineRule="auto"/>
        <w:jc w:val="both"/>
        <w:rPr>
          <w:rFonts w:asciiTheme="majorBidi" w:eastAsia="Calibri" w:hAnsiTheme="majorBidi" w:cstheme="majorBidi"/>
          <w:sz w:val="24"/>
          <w:szCs w:val="24"/>
          <w:lang w:bidi="he-IL"/>
        </w:rPr>
      </w:pPr>
      <w:r w:rsidRPr="00136BFF">
        <w:rPr>
          <w:rFonts w:asciiTheme="majorBidi" w:eastAsia="Calibri" w:hAnsiTheme="majorBidi" w:cstheme="majorBidi"/>
          <w:sz w:val="24"/>
          <w:szCs w:val="24"/>
        </w:rPr>
        <w:t>V. Discussion</w:t>
      </w:r>
      <w:r w:rsidR="00366FFA">
        <w:rPr>
          <w:rFonts w:asciiTheme="majorBidi" w:eastAsia="Calibri" w:hAnsiTheme="majorBidi" w:cstheme="majorBidi"/>
          <w:sz w:val="24"/>
          <w:szCs w:val="24"/>
        </w:rPr>
        <w:t xml:space="preserve">: </w:t>
      </w:r>
      <w:r w:rsidR="006A280E" w:rsidRPr="006A280E">
        <w:rPr>
          <w:rFonts w:asciiTheme="majorBidi" w:eastAsia="Calibri" w:hAnsiTheme="majorBidi" w:cstheme="majorBidi"/>
          <w:sz w:val="24"/>
          <w:szCs w:val="24"/>
        </w:rPr>
        <w:t xml:space="preserve">The Three Approaches to </w:t>
      </w:r>
      <w:r w:rsidR="006A280E">
        <w:rPr>
          <w:rFonts w:ascii="SBL Greek" w:eastAsia="Calibri" w:hAnsi="SBL Greek" w:cstheme="majorBidi"/>
          <w:sz w:val="24"/>
          <w:szCs w:val="24"/>
        </w:rPr>
        <w:t>“</w:t>
      </w:r>
      <w:r w:rsidR="006A280E">
        <w:rPr>
          <w:rFonts w:asciiTheme="majorBidi" w:eastAsia="Calibri" w:hAnsiTheme="majorBidi" w:cstheme="majorBidi"/>
          <w:sz w:val="24"/>
          <w:szCs w:val="24"/>
        </w:rPr>
        <w:t>For</w:t>
      </w:r>
      <w:r w:rsidR="006A280E" w:rsidRPr="006A280E">
        <w:rPr>
          <w:rFonts w:asciiTheme="majorBidi" w:eastAsia="Calibri" w:hAnsiTheme="majorBidi" w:cstheme="majorBidi"/>
          <w:sz w:val="24"/>
          <w:szCs w:val="24"/>
        </w:rPr>
        <w:t xml:space="preserve"> the </w:t>
      </w:r>
      <w:r w:rsidR="006A280E">
        <w:rPr>
          <w:rFonts w:asciiTheme="majorBidi" w:eastAsia="Calibri" w:hAnsiTheme="majorBidi" w:cstheme="majorBidi"/>
          <w:sz w:val="24"/>
          <w:szCs w:val="24"/>
        </w:rPr>
        <w:t xml:space="preserve">reason of </w:t>
      </w:r>
      <w:r w:rsidR="006A280E" w:rsidRPr="006A280E">
        <w:rPr>
          <w:rFonts w:asciiTheme="majorBidi" w:eastAsia="Calibri" w:hAnsiTheme="majorBidi" w:cstheme="majorBidi"/>
          <w:sz w:val="24"/>
          <w:szCs w:val="24"/>
        </w:rPr>
        <w:t>Way of Peace</w:t>
      </w:r>
      <w:r w:rsidR="006A280E">
        <w:rPr>
          <w:rFonts w:ascii="SBL Greek" w:eastAsia="Calibri" w:hAnsi="SBL Greek" w:cstheme="majorBidi"/>
          <w:sz w:val="24"/>
          <w:szCs w:val="24"/>
        </w:rPr>
        <w:t>”</w:t>
      </w:r>
      <w:r w:rsidR="006A280E" w:rsidRPr="006A280E">
        <w:rPr>
          <w:rFonts w:asciiTheme="majorBidi" w:eastAsia="Calibri" w:hAnsiTheme="majorBidi" w:cstheme="majorBidi"/>
          <w:sz w:val="24"/>
          <w:szCs w:val="24"/>
        </w:rPr>
        <w:t xml:space="preserve"> in the Light of </w:t>
      </w:r>
      <w:r w:rsidR="006A280E">
        <w:rPr>
          <w:rFonts w:ascii="SBL Greek" w:eastAsia="Calibri" w:hAnsi="SBL Greek" w:cstheme="majorBidi"/>
          <w:sz w:val="24"/>
          <w:szCs w:val="24"/>
        </w:rPr>
        <w:t>“</w:t>
      </w:r>
      <w:r w:rsidR="006A280E" w:rsidRPr="006A280E">
        <w:rPr>
          <w:rFonts w:asciiTheme="majorBidi" w:eastAsia="Calibri" w:hAnsiTheme="majorBidi" w:cstheme="majorBidi"/>
          <w:sz w:val="24"/>
          <w:szCs w:val="24"/>
        </w:rPr>
        <w:t>N</w:t>
      </w:r>
      <w:r w:rsidR="006A280E">
        <w:rPr>
          <w:rFonts w:asciiTheme="majorBidi" w:eastAsia="Calibri" w:hAnsiTheme="majorBidi" w:cstheme="majorBidi"/>
          <w:sz w:val="24"/>
          <w:szCs w:val="24"/>
        </w:rPr>
        <w:t>o</w:t>
      </w:r>
      <w:r w:rsidR="006A280E" w:rsidRPr="006A280E">
        <w:rPr>
          <w:rFonts w:asciiTheme="majorBidi" w:eastAsia="Calibri" w:hAnsiTheme="majorBidi" w:cstheme="majorBidi"/>
          <w:sz w:val="24"/>
          <w:szCs w:val="24"/>
        </w:rPr>
        <w:t>mos and Narrative</w:t>
      </w:r>
      <w:r w:rsidR="006A280E">
        <w:rPr>
          <w:rFonts w:ascii="SBL Greek" w:eastAsia="Calibri" w:hAnsi="SBL Greek" w:cstheme="majorBidi"/>
          <w:sz w:val="24"/>
          <w:szCs w:val="24"/>
        </w:rPr>
        <w:t>”</w:t>
      </w:r>
    </w:p>
    <w:p w14:paraId="18232B3D" w14:textId="648DBF64" w:rsidR="00901934" w:rsidRDefault="00141302" w:rsidP="00901934">
      <w:pPr>
        <w:pStyle w:val="PC"/>
        <w:bidi/>
        <w:rPr>
          <w:rFonts w:ascii="David" w:eastAsia="Calibri" w:hAnsi="David" w:cs="David"/>
          <w:szCs w:val="24"/>
          <w:rtl/>
          <w:lang w:bidi="he-IL"/>
        </w:rPr>
      </w:pPr>
      <w:r w:rsidRPr="005A00EF">
        <w:rPr>
          <w:rFonts w:ascii="David" w:eastAsia="Calibri" w:hAnsi="David" w:cs="David"/>
          <w:szCs w:val="24"/>
          <w:rtl/>
          <w:lang w:bidi="he-IL"/>
        </w:rPr>
        <w:t xml:space="preserve">כעת </w:t>
      </w:r>
      <w:r w:rsidR="005A00EF">
        <w:rPr>
          <w:rFonts w:ascii="David" w:eastAsia="Calibri" w:hAnsi="David" w:cs="David" w:hint="cs"/>
          <w:szCs w:val="24"/>
          <w:rtl/>
          <w:lang w:bidi="he-IL"/>
        </w:rPr>
        <w:t>נביט על</w:t>
      </w:r>
      <w:r w:rsidRPr="005A00EF">
        <w:rPr>
          <w:rFonts w:ascii="David" w:eastAsia="Calibri" w:hAnsi="David" w:cs="David"/>
          <w:szCs w:val="24"/>
          <w:rtl/>
          <w:lang w:bidi="he-IL"/>
        </w:rPr>
        <w:t xml:space="preserve"> שלוש הגישות </w:t>
      </w:r>
      <w:r w:rsidR="000B5998">
        <w:rPr>
          <w:rFonts w:ascii="David" w:eastAsia="Calibri" w:hAnsi="David" w:cs="David" w:hint="cs"/>
          <w:szCs w:val="24"/>
          <w:rtl/>
          <w:lang w:bidi="he-IL"/>
        </w:rPr>
        <w:t xml:space="preserve">כלפי הנמקת 'מפני דרכי שלום' </w:t>
      </w:r>
      <w:r w:rsidR="005A00EF">
        <w:rPr>
          <w:rFonts w:ascii="David" w:eastAsia="Calibri" w:hAnsi="David" w:cs="David" w:hint="cs"/>
          <w:szCs w:val="24"/>
          <w:rtl/>
          <w:lang w:bidi="he-IL"/>
        </w:rPr>
        <w:t>לאור מושגיו של קאבר</w:t>
      </w:r>
      <w:r w:rsidR="000B5998">
        <w:rPr>
          <w:rFonts w:ascii="David" w:eastAsia="Calibri" w:hAnsi="David" w:cs="David" w:hint="cs"/>
          <w:szCs w:val="24"/>
          <w:rtl/>
          <w:lang w:bidi="he-IL"/>
        </w:rPr>
        <w:t>, ונתחיל ב</w:t>
      </w:r>
    </w:p>
    <w:p w14:paraId="7B450B23" w14:textId="77777777" w:rsidR="000B5998" w:rsidRPr="000B5998" w:rsidRDefault="000B5998" w:rsidP="000B5998">
      <w:pPr>
        <w:pStyle w:val="PS"/>
        <w:bidi/>
        <w:rPr>
          <w:rFonts w:eastAsia="Calibri"/>
          <w:rtl/>
          <w:lang w:bidi="he-IL"/>
        </w:rPr>
      </w:pPr>
    </w:p>
    <w:p w14:paraId="4DCD38C4" w14:textId="664FA902" w:rsidR="000B5998" w:rsidRDefault="000B5998" w:rsidP="000B5998">
      <w:pPr>
        <w:pStyle w:val="PS"/>
        <w:ind w:firstLine="0"/>
        <w:rPr>
          <w:rFonts w:eastAsia="Calibri"/>
          <w:bCs/>
          <w:lang w:bidi="he-IL"/>
        </w:rPr>
      </w:pPr>
      <w:r w:rsidRPr="000B5998">
        <w:rPr>
          <w:rFonts w:asciiTheme="majorBidi" w:hAnsiTheme="majorBidi" w:cstheme="majorBidi"/>
          <w:bCs/>
          <w:szCs w:val="24"/>
        </w:rPr>
        <w:t>The “With Misgivings” Approach</w:t>
      </w:r>
      <w:r>
        <w:rPr>
          <w:rFonts w:asciiTheme="majorBidi" w:hAnsiTheme="majorBidi" w:cstheme="majorBidi"/>
          <w:bCs/>
          <w:szCs w:val="24"/>
        </w:rPr>
        <w:t>.</w:t>
      </w:r>
    </w:p>
    <w:p w14:paraId="191390F7" w14:textId="77777777" w:rsidR="00E436B4" w:rsidRPr="000B5998" w:rsidRDefault="00E436B4" w:rsidP="000B5998">
      <w:pPr>
        <w:pStyle w:val="PS"/>
        <w:ind w:firstLine="0"/>
        <w:rPr>
          <w:rFonts w:eastAsia="Calibri"/>
          <w:bCs/>
          <w:lang w:bidi="he-IL"/>
        </w:rPr>
      </w:pPr>
    </w:p>
    <w:p w14:paraId="17063AA6" w14:textId="73D83AE1" w:rsidR="005B057B" w:rsidRDefault="00E436B4" w:rsidP="002D1503">
      <w:pPr>
        <w:autoSpaceDE w:val="0"/>
        <w:autoSpaceDN w:val="0"/>
        <w:adjustRightInd w:val="0"/>
        <w:spacing w:after="0" w:line="480" w:lineRule="auto"/>
        <w:jc w:val="both"/>
        <w:rPr>
          <w:rFonts w:ascii="David" w:hAnsi="David" w:cs="David"/>
          <w:sz w:val="24"/>
          <w:szCs w:val="24"/>
          <w:rtl/>
        </w:rPr>
      </w:pPr>
      <w:r>
        <w:rPr>
          <w:rFonts w:ascii="David" w:hAnsi="David" w:cs="David" w:hint="cs"/>
          <w:sz w:val="24"/>
          <w:szCs w:val="24"/>
          <w:rtl/>
        </w:rPr>
        <w:t>בהלכות שנקטו בגישה זו ראינו ויתור מסוים של החכמים על עמדתם ההלכתית. במקרה של השקלים הוויתור היה כלפי הכהנים, קבוצה חברתית אחרת משל החכמים, שממשיכה ככל הנראה את התפיסה של הזרם הצדוקי מתקופת הבית השני</w:t>
      </w:r>
      <w:r w:rsidR="00377F40">
        <w:rPr>
          <w:rFonts w:ascii="David" w:hAnsi="David" w:cs="David" w:hint="cs"/>
          <w:sz w:val="24"/>
          <w:szCs w:val="24"/>
          <w:rtl/>
        </w:rPr>
        <w:t>;</w:t>
      </w:r>
      <w:r>
        <w:rPr>
          <w:rFonts w:ascii="David" w:hAnsi="David" w:cs="David" w:hint="cs"/>
          <w:sz w:val="24"/>
          <w:szCs w:val="24"/>
          <w:rtl/>
        </w:rPr>
        <w:t xml:space="preserve"> ואילו בהלכה בדיני הפאה הו</w:t>
      </w:r>
      <w:r w:rsidR="00377F40">
        <w:rPr>
          <w:rFonts w:ascii="David" w:hAnsi="David" w:cs="David" w:hint="cs"/>
          <w:sz w:val="24"/>
          <w:szCs w:val="24"/>
          <w:rtl/>
        </w:rPr>
        <w:t>ו</w:t>
      </w:r>
      <w:r>
        <w:rPr>
          <w:rFonts w:ascii="David" w:hAnsi="David" w:cs="David" w:hint="cs"/>
          <w:sz w:val="24"/>
          <w:szCs w:val="24"/>
          <w:rtl/>
        </w:rPr>
        <w:t xml:space="preserve">יתור, אם התרחש, נבע מחוסר יכולתו של בעל הנחלה לקיים את מתן הפאה באופן </w:t>
      </w:r>
      <w:r w:rsidR="00C64B2F">
        <w:rPr>
          <w:rFonts w:ascii="David" w:hAnsi="David" w:cs="David" w:hint="cs"/>
          <w:sz w:val="24"/>
          <w:szCs w:val="24"/>
          <w:rtl/>
        </w:rPr>
        <w:t>'</w:t>
      </w:r>
      <w:r>
        <w:rPr>
          <w:rFonts w:ascii="David" w:hAnsi="David" w:cs="David" w:hint="cs"/>
          <w:sz w:val="24"/>
          <w:szCs w:val="24"/>
          <w:rtl/>
        </w:rPr>
        <w:t>נכון</w:t>
      </w:r>
      <w:r w:rsidR="00C64B2F">
        <w:rPr>
          <w:rFonts w:ascii="David" w:hAnsi="David" w:cs="David" w:hint="cs"/>
          <w:sz w:val="24"/>
          <w:szCs w:val="24"/>
          <w:rtl/>
        </w:rPr>
        <w:t>'</w:t>
      </w:r>
      <w:r>
        <w:rPr>
          <w:rFonts w:ascii="David" w:hAnsi="David" w:cs="David" w:hint="cs"/>
          <w:sz w:val="24"/>
          <w:szCs w:val="24"/>
          <w:rtl/>
        </w:rPr>
        <w:t xml:space="preserve"> על פי </w:t>
      </w:r>
      <w:r w:rsidR="00F12DE6">
        <w:rPr>
          <w:rFonts w:ascii="David" w:hAnsi="David" w:cs="David" w:hint="cs"/>
          <w:sz w:val="24"/>
          <w:szCs w:val="24"/>
          <w:rtl/>
        </w:rPr>
        <w:t>שיטתם של ה</w:t>
      </w:r>
      <w:r>
        <w:rPr>
          <w:rFonts w:ascii="David" w:hAnsi="David" w:cs="David" w:hint="cs"/>
          <w:sz w:val="24"/>
          <w:szCs w:val="24"/>
          <w:rtl/>
        </w:rPr>
        <w:t>חכמים</w:t>
      </w:r>
      <w:r w:rsidR="002D1503">
        <w:rPr>
          <w:rFonts w:ascii="David" w:hAnsi="David" w:cs="David" w:hint="cs"/>
          <w:sz w:val="24"/>
          <w:szCs w:val="24"/>
          <w:rtl/>
        </w:rPr>
        <w:t>,</w:t>
      </w:r>
      <w:r w:rsidR="00C64B2F">
        <w:rPr>
          <w:rFonts w:ascii="David" w:hAnsi="David" w:cs="David" w:hint="cs"/>
          <w:sz w:val="24"/>
          <w:szCs w:val="24"/>
          <w:rtl/>
        </w:rPr>
        <w:t xml:space="preserve"> </w:t>
      </w:r>
      <w:r>
        <w:rPr>
          <w:rFonts w:ascii="David" w:hAnsi="David" w:cs="David" w:hint="cs"/>
          <w:sz w:val="24"/>
          <w:szCs w:val="24"/>
          <w:rtl/>
        </w:rPr>
        <w:t xml:space="preserve">עקב התנהגותם, האלימה אולי, של </w:t>
      </w:r>
      <w:r w:rsidR="00F12DE6">
        <w:rPr>
          <w:rFonts w:ascii="David" w:hAnsi="David" w:cs="David" w:hint="cs"/>
          <w:sz w:val="24"/>
          <w:szCs w:val="24"/>
          <w:rtl/>
        </w:rPr>
        <w:t>'</w:t>
      </w:r>
      <w:r w:rsidR="00BF7F33">
        <w:rPr>
          <w:rFonts w:ascii="David" w:hAnsi="David" w:cs="David" w:hint="cs"/>
          <w:sz w:val="24"/>
          <w:szCs w:val="24"/>
          <w:rtl/>
        </w:rPr>
        <w:t>עניים</w:t>
      </w:r>
      <w:r w:rsidR="00F12DE6">
        <w:rPr>
          <w:rFonts w:ascii="David" w:hAnsi="David" w:cs="David" w:hint="cs"/>
          <w:sz w:val="24"/>
          <w:szCs w:val="24"/>
          <w:rtl/>
        </w:rPr>
        <w:t xml:space="preserve"> שאינם הגונים'</w:t>
      </w:r>
      <w:r w:rsidR="00BF7F33">
        <w:rPr>
          <w:rFonts w:ascii="David" w:hAnsi="David" w:cs="David" w:hint="cs"/>
          <w:sz w:val="24"/>
          <w:szCs w:val="24"/>
          <w:rtl/>
        </w:rPr>
        <w:t>.</w:t>
      </w:r>
      <w:r w:rsidR="00172356">
        <w:rPr>
          <w:rFonts w:ascii="David" w:hAnsi="David" w:cs="David" w:hint="cs"/>
          <w:sz w:val="24"/>
          <w:szCs w:val="24"/>
          <w:rtl/>
        </w:rPr>
        <w:t xml:space="preserve"> בעוד</w:t>
      </w:r>
      <w:r w:rsidR="00823DB1">
        <w:rPr>
          <w:rFonts w:ascii="David" w:hAnsi="David" w:cs="David" w:hint="cs"/>
          <w:sz w:val="24"/>
          <w:szCs w:val="24"/>
          <w:rtl/>
        </w:rPr>
        <w:t xml:space="preserve"> </w:t>
      </w:r>
      <w:r w:rsidR="00C64B2F">
        <w:rPr>
          <w:rFonts w:ascii="David" w:hAnsi="David" w:cs="David" w:hint="cs"/>
          <w:sz w:val="24"/>
          <w:szCs w:val="24"/>
          <w:rtl/>
        </w:rPr>
        <w:t xml:space="preserve">שבמקרה של הפאה קשה לדעת </w:t>
      </w:r>
      <w:r w:rsidR="00064BB6">
        <w:rPr>
          <w:rFonts w:ascii="David" w:hAnsi="David" w:cs="David" w:hint="cs"/>
          <w:sz w:val="24"/>
          <w:szCs w:val="24"/>
          <w:rtl/>
        </w:rPr>
        <w:t>מהו ה</w:t>
      </w:r>
      <w:r w:rsidR="00A81211">
        <w:rPr>
          <w:rFonts w:ascii="David" w:hAnsi="David" w:cs="David" w:hint="cs"/>
          <w:sz w:val="24"/>
          <w:szCs w:val="24"/>
          <w:rtl/>
        </w:rPr>
        <w:t>נרטיב</w:t>
      </w:r>
      <w:r w:rsidR="00064BB6">
        <w:rPr>
          <w:rFonts w:ascii="David" w:hAnsi="David" w:cs="David" w:hint="cs"/>
          <w:sz w:val="24"/>
          <w:szCs w:val="24"/>
          <w:rtl/>
        </w:rPr>
        <w:t xml:space="preserve"> שממשמע את התנהגות</w:t>
      </w:r>
      <w:r w:rsidR="00C64B2F">
        <w:rPr>
          <w:rFonts w:ascii="David" w:hAnsi="David" w:cs="David" w:hint="cs"/>
          <w:sz w:val="24"/>
          <w:szCs w:val="24"/>
          <w:rtl/>
        </w:rPr>
        <w:t>ו של הנכנס לשדה</w:t>
      </w:r>
      <w:r w:rsidR="00A81211">
        <w:rPr>
          <w:rFonts w:ascii="David" w:hAnsi="David" w:cs="David" w:hint="cs"/>
          <w:sz w:val="24"/>
          <w:szCs w:val="24"/>
          <w:rtl/>
        </w:rPr>
        <w:t>,</w:t>
      </w:r>
      <w:r w:rsidR="006B5AC1">
        <w:rPr>
          <w:rStyle w:val="a5"/>
          <w:rFonts w:ascii="David" w:hAnsi="David" w:cs="David"/>
          <w:sz w:val="24"/>
          <w:szCs w:val="24"/>
          <w:rtl/>
        </w:rPr>
        <w:footnoteReference w:id="76"/>
      </w:r>
      <w:r w:rsidR="00172356">
        <w:rPr>
          <w:rFonts w:ascii="David" w:hAnsi="David" w:cs="David" w:hint="cs"/>
          <w:sz w:val="24"/>
          <w:szCs w:val="24"/>
          <w:rtl/>
        </w:rPr>
        <w:t xml:space="preserve"> במקרה של </w:t>
      </w:r>
      <w:r w:rsidR="006D265C">
        <w:rPr>
          <w:rFonts w:ascii="David" w:hAnsi="David" w:cs="David" w:hint="cs"/>
          <w:sz w:val="24"/>
          <w:szCs w:val="24"/>
          <w:rtl/>
        </w:rPr>
        <w:t xml:space="preserve">פטור </w:t>
      </w:r>
      <w:r w:rsidR="00172356">
        <w:rPr>
          <w:rFonts w:ascii="David" w:hAnsi="David" w:cs="David" w:hint="cs"/>
          <w:sz w:val="24"/>
          <w:szCs w:val="24"/>
          <w:rtl/>
        </w:rPr>
        <w:t xml:space="preserve">הכהנים מתשלום מס מחצית השקל התקיימה התנגשות אידיאולוגית בין שתי </w:t>
      </w:r>
      <w:r w:rsidR="003D442F">
        <w:rPr>
          <w:rFonts w:ascii="David" w:hAnsi="David" w:cs="David" w:hint="cs"/>
          <w:sz w:val="24"/>
          <w:szCs w:val="24"/>
          <w:rtl/>
        </w:rPr>
        <w:t>ה</w:t>
      </w:r>
      <w:r w:rsidR="00172356">
        <w:rPr>
          <w:rFonts w:ascii="David" w:hAnsi="David" w:cs="David" w:hint="cs"/>
          <w:sz w:val="24"/>
          <w:szCs w:val="24"/>
          <w:rtl/>
        </w:rPr>
        <w:t xml:space="preserve">קבוצות. הדבר </w:t>
      </w:r>
      <w:r w:rsidR="002D1503">
        <w:rPr>
          <w:rFonts w:ascii="David" w:hAnsi="David" w:cs="David" w:hint="cs"/>
          <w:sz w:val="24"/>
          <w:szCs w:val="24"/>
          <w:rtl/>
        </w:rPr>
        <w:t>ע</w:t>
      </w:r>
      <w:r w:rsidR="00172356">
        <w:rPr>
          <w:rFonts w:ascii="David" w:hAnsi="David" w:cs="David" w:hint="cs"/>
          <w:sz w:val="24"/>
          <w:szCs w:val="24"/>
          <w:rtl/>
        </w:rPr>
        <w:t xml:space="preserve">לה באופן מפורש </w:t>
      </w:r>
      <w:r w:rsidR="002D1503">
        <w:rPr>
          <w:rFonts w:ascii="David" w:hAnsi="David" w:cs="David" w:hint="cs"/>
          <w:sz w:val="24"/>
          <w:szCs w:val="24"/>
          <w:rtl/>
        </w:rPr>
        <w:lastRenderedPageBreak/>
        <w:t xml:space="preserve">מתוך </w:t>
      </w:r>
      <w:r w:rsidR="00183DB5">
        <w:rPr>
          <w:rFonts w:ascii="David" w:hAnsi="David" w:cs="David" w:hint="cs"/>
          <w:sz w:val="24"/>
          <w:szCs w:val="24"/>
          <w:rtl/>
        </w:rPr>
        <w:t xml:space="preserve">האשמתו </w:t>
      </w:r>
      <w:r w:rsidR="00172356">
        <w:rPr>
          <w:rFonts w:ascii="David" w:hAnsi="David" w:cs="David" w:hint="cs"/>
          <w:sz w:val="24"/>
          <w:szCs w:val="24"/>
          <w:rtl/>
        </w:rPr>
        <w:t xml:space="preserve">של רבן יוחנן בן זכאי </w:t>
      </w:r>
      <w:r w:rsidR="00C64B2F">
        <w:rPr>
          <w:rFonts w:ascii="David" w:hAnsi="David" w:cs="David" w:hint="cs"/>
          <w:sz w:val="24"/>
          <w:szCs w:val="24"/>
          <w:rtl/>
        </w:rPr>
        <w:t xml:space="preserve">את </w:t>
      </w:r>
      <w:r w:rsidR="00172356">
        <w:rPr>
          <w:rFonts w:ascii="David" w:hAnsi="David" w:cs="David" w:hint="cs"/>
          <w:sz w:val="24"/>
          <w:szCs w:val="24"/>
          <w:rtl/>
        </w:rPr>
        <w:t xml:space="preserve">הכהנים </w:t>
      </w:r>
      <w:r w:rsidR="00C64B2F">
        <w:rPr>
          <w:rFonts w:ascii="David" w:hAnsi="David" w:cs="David" w:hint="cs"/>
          <w:sz w:val="24"/>
          <w:szCs w:val="24"/>
          <w:rtl/>
        </w:rPr>
        <w:t>ב</w:t>
      </w:r>
      <w:r w:rsidR="00172356">
        <w:rPr>
          <w:rFonts w:ascii="David" w:hAnsi="David" w:cs="David" w:hint="cs"/>
          <w:sz w:val="24"/>
          <w:szCs w:val="24"/>
          <w:rtl/>
        </w:rPr>
        <w:t>כך שהם דורשים את פסוקי התורה לטובתם האישית.</w:t>
      </w:r>
      <w:r w:rsidR="00C64B2F">
        <w:rPr>
          <w:rFonts w:ascii="David" w:hAnsi="David" w:cs="David" w:hint="cs"/>
          <w:sz w:val="24"/>
          <w:szCs w:val="24"/>
          <w:rtl/>
        </w:rPr>
        <w:t xml:space="preserve"> במקרה זה עומדות </w:t>
      </w:r>
      <w:r w:rsidR="002D1503">
        <w:rPr>
          <w:rFonts w:ascii="David" w:hAnsi="David" w:cs="David" w:hint="cs"/>
          <w:sz w:val="24"/>
          <w:szCs w:val="24"/>
          <w:rtl/>
        </w:rPr>
        <w:t xml:space="preserve">זו מול זו </w:t>
      </w:r>
      <w:r w:rsidR="00C64B2F">
        <w:rPr>
          <w:rFonts w:ascii="David" w:hAnsi="David" w:cs="David" w:hint="cs"/>
          <w:sz w:val="24"/>
          <w:szCs w:val="24"/>
          <w:rtl/>
        </w:rPr>
        <w:t xml:space="preserve">שתי פרשנויות מתחרות של </w:t>
      </w:r>
      <w:r w:rsidR="00172356">
        <w:rPr>
          <w:rFonts w:ascii="David" w:hAnsi="David" w:cs="David" w:hint="cs"/>
          <w:sz w:val="24"/>
          <w:szCs w:val="24"/>
          <w:rtl/>
        </w:rPr>
        <w:t xml:space="preserve">הטקסט המכונן </w:t>
      </w:r>
      <w:r w:rsidR="00C64B2F">
        <w:rPr>
          <w:rFonts w:ascii="David" w:hAnsi="David" w:cs="David" w:hint="cs"/>
          <w:sz w:val="24"/>
          <w:szCs w:val="24"/>
          <w:rtl/>
        </w:rPr>
        <w:t>את היקום הנורמטיבי היהודי.</w:t>
      </w:r>
      <w:r w:rsidR="002629C3">
        <w:rPr>
          <w:rFonts w:ascii="David" w:hAnsi="David" w:cs="David" w:hint="cs"/>
          <w:sz w:val="24"/>
          <w:szCs w:val="24"/>
          <w:rtl/>
        </w:rPr>
        <w:t xml:space="preserve"> על פי מושגיו של קאבר ניתן אפוא לראות בשתי הפרשנויות הללו </w:t>
      </w:r>
      <w:r w:rsidR="002629C3">
        <w:rPr>
          <w:rFonts w:ascii="David" w:hAnsi="David" w:cs="David"/>
          <w:sz w:val="24"/>
          <w:szCs w:val="24"/>
          <w:rtl/>
        </w:rPr>
        <w:t>–</w:t>
      </w:r>
      <w:r w:rsidR="002629C3">
        <w:rPr>
          <w:rFonts w:ascii="David" w:hAnsi="David" w:cs="David" w:hint="cs"/>
          <w:sz w:val="24"/>
          <w:szCs w:val="24"/>
          <w:rtl/>
        </w:rPr>
        <w:t xml:space="preserve"> של הכהנים ושל החכמים </w:t>
      </w:r>
      <w:r w:rsidR="002629C3">
        <w:rPr>
          <w:rFonts w:ascii="David" w:hAnsi="David" w:cs="David"/>
          <w:sz w:val="24"/>
          <w:szCs w:val="24"/>
          <w:rtl/>
        </w:rPr>
        <w:t>–</w:t>
      </w:r>
      <w:r w:rsidR="002629C3">
        <w:rPr>
          <w:rFonts w:ascii="David" w:hAnsi="David" w:cs="David" w:hint="cs"/>
          <w:sz w:val="24"/>
          <w:szCs w:val="24"/>
          <w:rtl/>
        </w:rPr>
        <w:t xml:space="preserve"> פרשנויות 'בוראות חוק', כלומר פאיידאיות. שתיהן אמנם </w:t>
      </w:r>
      <w:r w:rsidR="009C58A8">
        <w:rPr>
          <w:rFonts w:ascii="David" w:hAnsi="David" w:cs="David" w:hint="cs"/>
          <w:sz w:val="24"/>
          <w:szCs w:val="24"/>
          <w:rtl/>
        </w:rPr>
        <w:t xml:space="preserve">ניזונות </w:t>
      </w:r>
      <w:r w:rsidR="002629C3">
        <w:rPr>
          <w:rFonts w:ascii="David" w:hAnsi="David" w:cs="David" w:hint="cs"/>
          <w:sz w:val="24"/>
          <w:szCs w:val="24"/>
          <w:rtl/>
        </w:rPr>
        <w:t>מאותו יקום נורמטיבי</w:t>
      </w:r>
      <w:r w:rsidR="00D5125C">
        <w:rPr>
          <w:rFonts w:ascii="David" w:hAnsi="David" w:cs="David" w:hint="cs"/>
          <w:sz w:val="24"/>
          <w:szCs w:val="24"/>
          <w:rtl/>
        </w:rPr>
        <w:t xml:space="preserve"> </w:t>
      </w:r>
      <w:r w:rsidR="00D5125C">
        <w:rPr>
          <w:rFonts w:ascii="David" w:hAnsi="David" w:cs="David"/>
          <w:sz w:val="24"/>
          <w:szCs w:val="24"/>
          <w:rtl/>
        </w:rPr>
        <w:t>–</w:t>
      </w:r>
      <w:r w:rsidR="00D5125C">
        <w:rPr>
          <w:rFonts w:ascii="David" w:hAnsi="David" w:cs="David" w:hint="cs"/>
          <w:sz w:val="24"/>
          <w:szCs w:val="24"/>
          <w:rtl/>
        </w:rPr>
        <w:t xml:space="preserve"> התורה -</w:t>
      </w:r>
      <w:r w:rsidR="002629C3">
        <w:rPr>
          <w:rFonts w:ascii="David" w:hAnsi="David" w:cs="David" w:hint="cs"/>
          <w:sz w:val="24"/>
          <w:szCs w:val="24"/>
          <w:rtl/>
        </w:rPr>
        <w:t xml:space="preserve"> אך בתו</w:t>
      </w:r>
      <w:r w:rsidR="009C58A8">
        <w:rPr>
          <w:rFonts w:ascii="David" w:hAnsi="David" w:cs="David" w:hint="cs"/>
          <w:sz w:val="24"/>
          <w:szCs w:val="24"/>
          <w:rtl/>
        </w:rPr>
        <w:t>ך היקום הזה</w:t>
      </w:r>
      <w:r w:rsidR="002629C3">
        <w:rPr>
          <w:rFonts w:ascii="David" w:hAnsi="David" w:cs="David" w:hint="cs"/>
          <w:sz w:val="24"/>
          <w:szCs w:val="24"/>
          <w:rtl/>
        </w:rPr>
        <w:t xml:space="preserve"> כל אחת מהן שייכת לתת קהילה אחרת</w:t>
      </w:r>
      <w:r w:rsidR="002D1503">
        <w:rPr>
          <w:rFonts w:ascii="David" w:hAnsi="David" w:cs="David" w:hint="cs"/>
          <w:sz w:val="24"/>
          <w:szCs w:val="24"/>
          <w:rtl/>
        </w:rPr>
        <w:t>,</w:t>
      </w:r>
      <w:r w:rsidR="002629C3">
        <w:rPr>
          <w:rFonts w:ascii="David" w:hAnsi="David" w:cs="David" w:hint="cs"/>
          <w:sz w:val="24"/>
          <w:szCs w:val="24"/>
          <w:rtl/>
        </w:rPr>
        <w:t xml:space="preserve"> שבוראת לעצמה חוקים על פי הנרטיב </w:t>
      </w:r>
      <w:r w:rsidR="00D5125C">
        <w:rPr>
          <w:rFonts w:ascii="David" w:hAnsi="David" w:cs="David" w:hint="cs"/>
          <w:sz w:val="24"/>
          <w:szCs w:val="24"/>
          <w:rtl/>
        </w:rPr>
        <w:t>שממשמע את קיומה</w:t>
      </w:r>
      <w:r w:rsidR="002629C3">
        <w:rPr>
          <w:rFonts w:ascii="David" w:hAnsi="David" w:cs="David" w:hint="cs"/>
          <w:sz w:val="24"/>
          <w:szCs w:val="24"/>
          <w:rtl/>
        </w:rPr>
        <w:t>.</w:t>
      </w:r>
      <w:r w:rsidR="00754ABE">
        <w:rPr>
          <w:rStyle w:val="a5"/>
          <w:rFonts w:ascii="David" w:hAnsi="David" w:cs="David"/>
          <w:sz w:val="24"/>
          <w:szCs w:val="24"/>
          <w:rtl/>
        </w:rPr>
        <w:footnoteReference w:id="77"/>
      </w:r>
      <w:r w:rsidR="002629C3">
        <w:rPr>
          <w:rFonts w:ascii="David" w:hAnsi="David" w:cs="David" w:hint="cs"/>
          <w:sz w:val="24"/>
          <w:szCs w:val="24"/>
          <w:rtl/>
        </w:rPr>
        <w:t xml:space="preserve"> </w:t>
      </w:r>
      <w:r w:rsidR="002D1503">
        <w:rPr>
          <w:rFonts w:ascii="David" w:hAnsi="David" w:cs="David" w:hint="cs"/>
          <w:sz w:val="24"/>
          <w:szCs w:val="24"/>
          <w:rtl/>
        </w:rPr>
        <w:t>החכמים, מתוך תפיסת המקדש כשייך לכלל הציבור</w:t>
      </w:r>
      <w:r w:rsidR="009C58A8">
        <w:rPr>
          <w:rFonts w:ascii="David" w:hAnsi="David" w:cs="David" w:hint="cs"/>
          <w:sz w:val="24"/>
          <w:szCs w:val="24"/>
          <w:rtl/>
        </w:rPr>
        <w:t>,</w:t>
      </w:r>
      <w:r w:rsidR="002D1503">
        <w:rPr>
          <w:rFonts w:ascii="David" w:hAnsi="David" w:cs="David" w:hint="cs"/>
          <w:sz w:val="24"/>
          <w:szCs w:val="24"/>
          <w:rtl/>
        </w:rPr>
        <w:t xml:space="preserve"> 'בוראים' את מס מחצית השקל כביטוי למחויבותו </w:t>
      </w:r>
      <w:r w:rsidR="005B057B">
        <w:rPr>
          <w:rFonts w:ascii="David" w:hAnsi="David" w:cs="David" w:hint="cs"/>
          <w:sz w:val="24"/>
          <w:szCs w:val="24"/>
          <w:rtl/>
        </w:rPr>
        <w:t>ושותפותו של כל יחיד ויחיד בקיום המקדש</w:t>
      </w:r>
      <w:r w:rsidR="009C58A8">
        <w:rPr>
          <w:rFonts w:ascii="David" w:hAnsi="David" w:cs="David" w:hint="cs"/>
          <w:sz w:val="24"/>
          <w:szCs w:val="24"/>
          <w:rtl/>
        </w:rPr>
        <w:t>.</w:t>
      </w:r>
      <w:r w:rsidR="005B057B">
        <w:rPr>
          <w:rFonts w:ascii="David" w:hAnsi="David" w:cs="David" w:hint="cs"/>
          <w:sz w:val="24"/>
          <w:szCs w:val="24"/>
          <w:rtl/>
        </w:rPr>
        <w:t xml:space="preserve"> ואילו הכהנים</w:t>
      </w:r>
      <w:r w:rsidR="009C58A8">
        <w:rPr>
          <w:rFonts w:ascii="David" w:hAnsi="David" w:cs="David" w:hint="cs"/>
          <w:sz w:val="24"/>
          <w:szCs w:val="24"/>
          <w:rtl/>
        </w:rPr>
        <w:t>,</w:t>
      </w:r>
      <w:r w:rsidR="005B057B">
        <w:rPr>
          <w:rFonts w:ascii="David" w:hAnsi="David" w:cs="David" w:hint="cs"/>
          <w:sz w:val="24"/>
          <w:szCs w:val="24"/>
          <w:rtl/>
        </w:rPr>
        <w:t xml:space="preserve"> מתוך תפיסתם הפריביליגית</w:t>
      </w:r>
      <w:r w:rsidR="009C58A8">
        <w:rPr>
          <w:rFonts w:ascii="David" w:hAnsi="David" w:cs="David" w:hint="cs"/>
          <w:sz w:val="24"/>
          <w:szCs w:val="24"/>
          <w:rtl/>
        </w:rPr>
        <w:t>,</w:t>
      </w:r>
      <w:r w:rsidR="005B057B">
        <w:rPr>
          <w:rFonts w:ascii="David" w:hAnsi="David" w:cs="David" w:hint="cs"/>
          <w:sz w:val="24"/>
          <w:szCs w:val="24"/>
          <w:rtl/>
        </w:rPr>
        <w:t xml:space="preserve"> שנובעת מן הסמכויות והזכויות שמוקנות להם מן התורה ביחס ל</w:t>
      </w:r>
      <w:r w:rsidR="001F4571">
        <w:rPr>
          <w:rFonts w:ascii="David" w:hAnsi="David" w:cs="David" w:hint="cs"/>
          <w:sz w:val="24"/>
          <w:szCs w:val="24"/>
          <w:rtl/>
        </w:rPr>
        <w:t>עבודת ה</w:t>
      </w:r>
      <w:r w:rsidR="005B057B">
        <w:rPr>
          <w:rFonts w:ascii="David" w:hAnsi="David" w:cs="David" w:hint="cs"/>
          <w:sz w:val="24"/>
          <w:szCs w:val="24"/>
          <w:rtl/>
        </w:rPr>
        <w:t>מקדש, כופרים בהחלתו של המס עליהם (</w:t>
      </w:r>
      <w:r w:rsidR="00625DE5">
        <w:rPr>
          <w:rFonts w:ascii="David" w:hAnsi="David" w:cs="David" w:hint="cs"/>
          <w:sz w:val="24"/>
          <w:szCs w:val="24"/>
          <w:rtl/>
        </w:rPr>
        <w:t>ו</w:t>
      </w:r>
      <w:r w:rsidR="009036F2">
        <w:rPr>
          <w:rFonts w:ascii="David" w:hAnsi="David" w:cs="David" w:hint="cs"/>
          <w:sz w:val="24"/>
          <w:szCs w:val="24"/>
          <w:rtl/>
        </w:rPr>
        <w:t xml:space="preserve">אף </w:t>
      </w:r>
      <w:r w:rsidR="005B057B">
        <w:rPr>
          <w:rFonts w:ascii="David" w:hAnsi="David" w:cs="David" w:hint="cs"/>
          <w:sz w:val="24"/>
          <w:szCs w:val="24"/>
          <w:rtl/>
        </w:rPr>
        <w:t>בלגיטימיות של המס</w:t>
      </w:r>
      <w:r w:rsidR="00E94D2B">
        <w:rPr>
          <w:rFonts w:ascii="David" w:hAnsi="David" w:cs="David" w:hint="cs"/>
          <w:sz w:val="24"/>
          <w:szCs w:val="24"/>
          <w:rtl/>
        </w:rPr>
        <w:t xml:space="preserve"> עצמו</w:t>
      </w:r>
      <w:r w:rsidR="005B057B">
        <w:rPr>
          <w:rFonts w:ascii="David" w:hAnsi="David" w:cs="David" w:hint="cs"/>
          <w:sz w:val="24"/>
          <w:szCs w:val="24"/>
          <w:rtl/>
        </w:rPr>
        <w:t xml:space="preserve">). </w:t>
      </w:r>
    </w:p>
    <w:p w14:paraId="5FC62710" w14:textId="5C5BC7AA" w:rsidR="00503C58" w:rsidRDefault="005B057B" w:rsidP="00B67B06">
      <w:pPr>
        <w:autoSpaceDE w:val="0"/>
        <w:autoSpaceDN w:val="0"/>
        <w:adjustRightInd w:val="0"/>
        <w:spacing w:after="0" w:line="480" w:lineRule="auto"/>
        <w:ind w:firstLine="720"/>
        <w:jc w:val="both"/>
        <w:rPr>
          <w:rFonts w:ascii="David" w:hAnsi="David" w:cs="David"/>
          <w:sz w:val="24"/>
          <w:szCs w:val="24"/>
          <w:rtl/>
        </w:rPr>
      </w:pPr>
      <w:r>
        <w:rPr>
          <w:rFonts w:ascii="David" w:hAnsi="David" w:cs="David" w:hint="cs"/>
          <w:sz w:val="24"/>
          <w:szCs w:val="24"/>
          <w:rtl/>
        </w:rPr>
        <w:t>היכן נכנס כאן 'מפני דרכי שלום'? כפי שראינו ההנמקה 'מפני דרכי שלום' איננה חלק מדבריו של רבן יוחנן בן זכאי</w:t>
      </w:r>
      <w:r w:rsidR="00AC26FE">
        <w:rPr>
          <w:rFonts w:ascii="David" w:hAnsi="David" w:cs="David" w:hint="cs"/>
          <w:sz w:val="24"/>
          <w:szCs w:val="24"/>
          <w:rtl/>
        </w:rPr>
        <w:t>. היא באה כנראה מידיו של עורך המשנה, ומכל מקום נראית כשייכת לרובד מאוחר יותר</w:t>
      </w:r>
      <w:r>
        <w:rPr>
          <w:rFonts w:ascii="David" w:hAnsi="David" w:cs="David" w:hint="cs"/>
          <w:sz w:val="24"/>
          <w:szCs w:val="24"/>
          <w:rtl/>
        </w:rPr>
        <w:t xml:space="preserve">. </w:t>
      </w:r>
      <w:r w:rsidR="00C571FD">
        <w:rPr>
          <w:rFonts w:ascii="David" w:hAnsi="David" w:cs="David" w:hint="cs"/>
          <w:sz w:val="24"/>
          <w:szCs w:val="24"/>
          <w:rtl/>
        </w:rPr>
        <w:t>בדברי בן זכאי עדיין אין חוק</w:t>
      </w:r>
      <w:r w:rsidR="00AC26FE">
        <w:rPr>
          <w:rFonts w:ascii="David" w:hAnsi="David" w:cs="David" w:hint="cs"/>
          <w:sz w:val="24"/>
          <w:szCs w:val="24"/>
          <w:rtl/>
        </w:rPr>
        <w:t xml:space="preserve"> שמסדיר מי חייב ומי לא במחצית השקל</w:t>
      </w:r>
      <w:r w:rsidR="00C571FD">
        <w:rPr>
          <w:rFonts w:ascii="David" w:hAnsi="David" w:cs="David" w:hint="cs"/>
          <w:sz w:val="24"/>
          <w:szCs w:val="24"/>
          <w:rtl/>
        </w:rPr>
        <w:t xml:space="preserve">. </w:t>
      </w:r>
      <w:r w:rsidR="00F75933">
        <w:rPr>
          <w:rFonts w:ascii="David" w:hAnsi="David" w:cs="David" w:hint="cs"/>
          <w:sz w:val="24"/>
          <w:szCs w:val="24"/>
          <w:rtl/>
        </w:rPr>
        <w:t xml:space="preserve">מה שיש הוא </w:t>
      </w:r>
      <w:r w:rsidR="003537BD">
        <w:rPr>
          <w:rFonts w:ascii="David" w:hAnsi="David" w:cs="David" w:hint="cs"/>
          <w:sz w:val="24"/>
          <w:szCs w:val="24"/>
          <w:rtl/>
        </w:rPr>
        <w:t xml:space="preserve">תיאור </w:t>
      </w:r>
      <w:r w:rsidR="003537BD" w:rsidRPr="00631EE0">
        <w:rPr>
          <w:rFonts w:ascii="David" w:hAnsi="David" w:cs="David" w:hint="cs"/>
          <w:sz w:val="24"/>
          <w:szCs w:val="24"/>
          <w:rtl/>
        </w:rPr>
        <w:t xml:space="preserve">של </w:t>
      </w:r>
      <w:r w:rsidR="00631EE0" w:rsidRPr="00631EE0">
        <w:rPr>
          <w:rFonts w:ascii="David" w:hAnsi="David" w:cs="David"/>
          <w:color w:val="20231D"/>
          <w:sz w:val="24"/>
          <w:szCs w:val="24"/>
          <w:rtl/>
        </w:rPr>
        <w:t>חיים חלופיים, המקיי</w:t>
      </w:r>
      <w:r w:rsidR="00631EE0">
        <w:rPr>
          <w:rFonts w:ascii="David" w:hAnsi="David" w:cs="David" w:hint="cs"/>
          <w:color w:val="20231D"/>
          <w:sz w:val="24"/>
          <w:szCs w:val="24"/>
          <w:rtl/>
        </w:rPr>
        <w:t>מים</w:t>
      </w:r>
      <w:r w:rsidR="00631EE0" w:rsidRPr="00631EE0">
        <w:rPr>
          <w:rFonts w:ascii="David" w:hAnsi="David" w:cs="David"/>
          <w:color w:val="20231D"/>
          <w:sz w:val="24"/>
          <w:szCs w:val="24"/>
          <w:rtl/>
        </w:rPr>
        <w:t xml:space="preserve"> את הערכים והמשמעויות הגלומות בנומוס</w:t>
      </w:r>
      <w:r w:rsidR="003537BD" w:rsidRPr="00631EE0">
        <w:rPr>
          <w:rFonts w:ascii="David" w:hAnsi="David" w:cs="David" w:hint="cs"/>
          <w:sz w:val="24"/>
          <w:szCs w:val="24"/>
          <w:rtl/>
        </w:rPr>
        <w:t xml:space="preserve"> </w:t>
      </w:r>
      <w:r w:rsidR="00C571FD" w:rsidRPr="00631EE0">
        <w:rPr>
          <w:rFonts w:ascii="David" w:hAnsi="David" w:cs="David" w:hint="cs"/>
          <w:sz w:val="24"/>
          <w:szCs w:val="24"/>
          <w:rtl/>
        </w:rPr>
        <w:t>על פי החזון של החכמים</w:t>
      </w:r>
      <w:r w:rsidR="00C81255">
        <w:rPr>
          <w:rFonts w:ascii="David" w:hAnsi="David" w:cs="David" w:hint="cs"/>
          <w:sz w:val="24"/>
          <w:szCs w:val="24"/>
          <w:rtl/>
        </w:rPr>
        <w:t>,</w:t>
      </w:r>
      <w:r w:rsidR="00986A73">
        <w:rPr>
          <w:rFonts w:ascii="David" w:hAnsi="David" w:cs="David" w:hint="cs"/>
          <w:sz w:val="24"/>
          <w:szCs w:val="24"/>
          <w:rtl/>
        </w:rPr>
        <w:t xml:space="preserve"> </w:t>
      </w:r>
      <w:r w:rsidR="00F75933">
        <w:rPr>
          <w:rFonts w:ascii="David" w:hAnsi="David" w:cs="David" w:hint="cs"/>
          <w:sz w:val="24"/>
          <w:szCs w:val="24"/>
          <w:rtl/>
        </w:rPr>
        <w:t xml:space="preserve">אל מול </w:t>
      </w:r>
      <w:r w:rsidR="00C571FD">
        <w:rPr>
          <w:rFonts w:ascii="David" w:hAnsi="David" w:cs="David" w:hint="cs"/>
          <w:sz w:val="24"/>
          <w:szCs w:val="24"/>
          <w:rtl/>
        </w:rPr>
        <w:t xml:space="preserve">תיאור </w:t>
      </w:r>
      <w:r w:rsidR="003537BD">
        <w:rPr>
          <w:rFonts w:ascii="David" w:hAnsi="David" w:cs="David" w:hint="cs"/>
          <w:sz w:val="24"/>
          <w:szCs w:val="24"/>
          <w:rtl/>
        </w:rPr>
        <w:t xml:space="preserve">של </w:t>
      </w:r>
      <w:r w:rsidR="0049489C" w:rsidRPr="0049489C">
        <w:rPr>
          <w:rFonts w:ascii="David" w:hAnsi="David" w:cs="David"/>
          <w:color w:val="20231D"/>
          <w:sz w:val="24"/>
          <w:szCs w:val="24"/>
          <w:rtl/>
        </w:rPr>
        <w:t>מציאות החיים</w:t>
      </w:r>
      <w:r w:rsidR="0049489C">
        <w:rPr>
          <w:rFonts w:ascii="David" w:hAnsi="David" w:cs="David" w:hint="cs"/>
          <w:color w:val="20231D"/>
          <w:sz w:val="24"/>
          <w:szCs w:val="24"/>
          <w:rtl/>
        </w:rPr>
        <w:t xml:space="preserve"> שמתקיימת בפועל</w:t>
      </w:r>
      <w:r w:rsidR="00397624">
        <w:rPr>
          <w:rFonts w:ascii="David" w:hAnsi="David" w:cs="David" w:hint="cs"/>
          <w:color w:val="20231D"/>
          <w:sz w:val="24"/>
          <w:szCs w:val="24"/>
          <w:rtl/>
        </w:rPr>
        <w:t>,</w:t>
      </w:r>
      <w:r w:rsidR="0049489C" w:rsidRPr="0049489C">
        <w:rPr>
          <w:rFonts w:ascii="David" w:hAnsi="David" w:cs="David"/>
          <w:color w:val="20231D"/>
          <w:sz w:val="24"/>
          <w:szCs w:val="24"/>
          <w:rtl/>
        </w:rPr>
        <w:t xml:space="preserve"> </w:t>
      </w:r>
      <w:r w:rsidR="00C571FD">
        <w:rPr>
          <w:rFonts w:ascii="David" w:hAnsi="David" w:cs="David" w:hint="cs"/>
          <w:sz w:val="24"/>
          <w:szCs w:val="24"/>
          <w:rtl/>
        </w:rPr>
        <w:t>עקב אוזלת ידם לממש את החוק</w:t>
      </w:r>
      <w:r w:rsidR="00EA0CE8">
        <w:rPr>
          <w:rFonts w:ascii="David" w:hAnsi="David" w:cs="David" w:hint="cs"/>
          <w:sz w:val="24"/>
          <w:szCs w:val="24"/>
          <w:rtl/>
        </w:rPr>
        <w:t xml:space="preserve"> - </w:t>
      </w:r>
      <w:r w:rsidR="00C571FD">
        <w:rPr>
          <w:rFonts w:ascii="David" w:hAnsi="David" w:cs="David" w:hint="cs"/>
          <w:sz w:val="24"/>
          <w:szCs w:val="24"/>
          <w:rtl/>
        </w:rPr>
        <w:t>ה'גשר' בלשונו של קאבר</w:t>
      </w:r>
      <w:r w:rsidR="00EC48C4">
        <w:rPr>
          <w:rStyle w:val="a5"/>
          <w:rFonts w:ascii="David" w:hAnsi="David" w:cs="David"/>
          <w:sz w:val="24"/>
          <w:szCs w:val="24"/>
          <w:rtl/>
        </w:rPr>
        <w:footnoteReference w:id="78"/>
      </w:r>
      <w:r w:rsidR="00EA0CE8">
        <w:rPr>
          <w:rFonts w:ascii="David" w:hAnsi="David" w:cs="David" w:hint="cs"/>
          <w:sz w:val="24"/>
          <w:szCs w:val="24"/>
          <w:rtl/>
        </w:rPr>
        <w:t xml:space="preserve"> -</w:t>
      </w:r>
      <w:r w:rsidR="00C571FD">
        <w:rPr>
          <w:rFonts w:ascii="David" w:hAnsi="David" w:cs="David" w:hint="cs"/>
          <w:sz w:val="24"/>
          <w:szCs w:val="24"/>
          <w:rtl/>
        </w:rPr>
        <w:t xml:space="preserve"> שיעביר את הקהילה אל</w:t>
      </w:r>
      <w:r w:rsidR="0049489C">
        <w:rPr>
          <w:rFonts w:ascii="David" w:hAnsi="David" w:cs="David" w:hint="cs"/>
          <w:sz w:val="24"/>
          <w:szCs w:val="24"/>
          <w:rtl/>
        </w:rPr>
        <w:t xml:space="preserve"> אותם </w:t>
      </w:r>
      <w:r w:rsidR="00413480">
        <w:rPr>
          <w:rFonts w:ascii="David" w:hAnsi="David" w:cs="David" w:hint="cs"/>
          <w:sz w:val="24"/>
          <w:szCs w:val="24"/>
          <w:rtl/>
        </w:rPr>
        <w:t>"</w:t>
      </w:r>
      <w:r w:rsidR="0049489C">
        <w:rPr>
          <w:rFonts w:ascii="David" w:hAnsi="David" w:cs="David" w:hint="cs"/>
          <w:sz w:val="24"/>
          <w:szCs w:val="24"/>
          <w:rtl/>
        </w:rPr>
        <w:t>חיים חלופיים</w:t>
      </w:r>
      <w:r w:rsidR="00413480">
        <w:rPr>
          <w:rFonts w:ascii="David" w:hAnsi="David" w:cs="David" w:hint="cs"/>
          <w:sz w:val="24"/>
          <w:szCs w:val="24"/>
          <w:rtl/>
        </w:rPr>
        <w:t>"</w:t>
      </w:r>
      <w:r w:rsidR="00C571FD">
        <w:rPr>
          <w:rFonts w:ascii="David" w:hAnsi="David" w:cs="David" w:hint="cs"/>
          <w:sz w:val="24"/>
          <w:szCs w:val="24"/>
          <w:rtl/>
        </w:rPr>
        <w:t xml:space="preserve">. </w:t>
      </w:r>
      <w:r w:rsidR="002E6EE6">
        <w:rPr>
          <w:rFonts w:ascii="David" w:hAnsi="David" w:cs="David" w:hint="cs"/>
          <w:sz w:val="24"/>
          <w:szCs w:val="24"/>
          <w:rtl/>
        </w:rPr>
        <w:t xml:space="preserve">לעומת </w:t>
      </w:r>
      <w:r w:rsidR="00EF2AD0">
        <w:rPr>
          <w:rFonts w:ascii="David" w:hAnsi="David" w:cs="David" w:hint="cs"/>
          <w:sz w:val="24"/>
          <w:szCs w:val="24"/>
          <w:rtl/>
        </w:rPr>
        <w:t xml:space="preserve">זאת </w:t>
      </w:r>
      <w:r w:rsidR="002E6EE6">
        <w:rPr>
          <w:rFonts w:ascii="David" w:hAnsi="David" w:cs="David" w:hint="cs"/>
          <w:sz w:val="24"/>
          <w:szCs w:val="24"/>
          <w:rtl/>
        </w:rPr>
        <w:t>'מפני דרכי שלום' מתפקד כהצדקה להלכה</w:t>
      </w:r>
      <w:r w:rsidR="00397624">
        <w:rPr>
          <w:rFonts w:ascii="David" w:hAnsi="David" w:cs="David" w:hint="cs"/>
          <w:sz w:val="24"/>
          <w:szCs w:val="24"/>
          <w:rtl/>
        </w:rPr>
        <w:t xml:space="preserve"> קיימת</w:t>
      </w:r>
      <w:r w:rsidR="00EF2AD0">
        <w:rPr>
          <w:rFonts w:ascii="David" w:hAnsi="David" w:cs="David" w:hint="cs"/>
          <w:sz w:val="24"/>
          <w:szCs w:val="24"/>
          <w:rtl/>
        </w:rPr>
        <w:t>,</w:t>
      </w:r>
      <w:r w:rsidR="002E6EE6">
        <w:rPr>
          <w:rFonts w:ascii="David" w:hAnsi="David" w:cs="David" w:hint="cs"/>
          <w:sz w:val="24"/>
          <w:szCs w:val="24"/>
          <w:rtl/>
        </w:rPr>
        <w:t xml:space="preserve"> </w:t>
      </w:r>
      <w:r w:rsidR="00EF2AD0">
        <w:rPr>
          <w:rFonts w:ascii="David" w:hAnsi="David" w:cs="David" w:hint="cs"/>
          <w:sz w:val="24"/>
          <w:szCs w:val="24"/>
          <w:rtl/>
        </w:rPr>
        <w:t>ש</w:t>
      </w:r>
      <w:r w:rsidR="002E6EE6">
        <w:rPr>
          <w:rFonts w:ascii="David" w:hAnsi="David" w:cs="David" w:hint="cs"/>
          <w:sz w:val="24"/>
          <w:szCs w:val="24"/>
          <w:rtl/>
        </w:rPr>
        <w:t xml:space="preserve">מסדירה באופן משפטי מי </w:t>
      </w:r>
      <w:r w:rsidR="002D0737">
        <w:rPr>
          <w:rFonts w:ascii="David" w:hAnsi="David" w:cs="David" w:hint="cs"/>
          <w:sz w:val="24"/>
          <w:szCs w:val="24"/>
          <w:rtl/>
        </w:rPr>
        <w:t>מחויב</w:t>
      </w:r>
      <w:r w:rsidR="002E6EE6">
        <w:rPr>
          <w:rFonts w:ascii="David" w:hAnsi="David" w:cs="David" w:hint="cs"/>
          <w:sz w:val="24"/>
          <w:szCs w:val="24"/>
          <w:rtl/>
        </w:rPr>
        <w:t xml:space="preserve"> ומי לא ב</w:t>
      </w:r>
      <w:r w:rsidR="00397624">
        <w:rPr>
          <w:rFonts w:ascii="David" w:hAnsi="David" w:cs="David" w:hint="cs"/>
          <w:sz w:val="24"/>
          <w:szCs w:val="24"/>
          <w:rtl/>
        </w:rPr>
        <w:t xml:space="preserve">מס </w:t>
      </w:r>
      <w:r w:rsidR="002E6EE6">
        <w:rPr>
          <w:rFonts w:ascii="David" w:hAnsi="David" w:cs="David" w:hint="cs"/>
          <w:sz w:val="24"/>
          <w:szCs w:val="24"/>
          <w:rtl/>
        </w:rPr>
        <w:t>מחצית השקל</w:t>
      </w:r>
      <w:r w:rsidR="00EF2AD0">
        <w:rPr>
          <w:rFonts w:ascii="David" w:hAnsi="David" w:cs="David" w:hint="cs"/>
          <w:sz w:val="24"/>
          <w:szCs w:val="24"/>
          <w:rtl/>
        </w:rPr>
        <w:t xml:space="preserve">. </w:t>
      </w:r>
      <w:r w:rsidR="00413480">
        <w:rPr>
          <w:rFonts w:ascii="David" w:hAnsi="David" w:cs="David" w:hint="cs"/>
          <w:sz w:val="24"/>
          <w:szCs w:val="24"/>
          <w:rtl/>
        </w:rPr>
        <w:t>תחת הנימוק 'מפני דרכי שלום'</w:t>
      </w:r>
      <w:r w:rsidR="00397624">
        <w:rPr>
          <w:rFonts w:ascii="David" w:hAnsi="David" w:cs="David" w:hint="cs"/>
          <w:sz w:val="24"/>
          <w:szCs w:val="24"/>
          <w:rtl/>
        </w:rPr>
        <w:t>,</w:t>
      </w:r>
      <w:r w:rsidR="00413480">
        <w:rPr>
          <w:rFonts w:ascii="David" w:hAnsi="David" w:cs="David" w:hint="cs"/>
          <w:sz w:val="24"/>
          <w:szCs w:val="24"/>
          <w:rtl/>
        </w:rPr>
        <w:t xml:space="preserve"> </w:t>
      </w:r>
      <w:r w:rsidR="00397624">
        <w:rPr>
          <w:rFonts w:ascii="David" w:hAnsi="David" w:cs="David" w:hint="cs"/>
          <w:sz w:val="24"/>
          <w:szCs w:val="24"/>
          <w:rtl/>
        </w:rPr>
        <w:t xml:space="preserve">מוכשרת </w:t>
      </w:r>
      <w:r w:rsidR="002E6EE6">
        <w:rPr>
          <w:rFonts w:ascii="David" w:hAnsi="David" w:cs="David" w:hint="cs"/>
          <w:sz w:val="24"/>
          <w:szCs w:val="24"/>
          <w:rtl/>
        </w:rPr>
        <w:t xml:space="preserve">באופן חוקי </w:t>
      </w:r>
      <w:r w:rsidR="003559DE">
        <w:rPr>
          <w:rFonts w:ascii="David" w:hAnsi="David" w:cs="David" w:hint="cs"/>
          <w:sz w:val="24"/>
          <w:szCs w:val="24"/>
          <w:rtl/>
        </w:rPr>
        <w:t xml:space="preserve">התנהגותם בפועל של </w:t>
      </w:r>
      <w:r w:rsidR="003559DE">
        <w:rPr>
          <w:rFonts w:ascii="David" w:hAnsi="David" w:cs="David" w:hint="cs"/>
          <w:sz w:val="24"/>
          <w:szCs w:val="24"/>
          <w:rtl/>
        </w:rPr>
        <w:lastRenderedPageBreak/>
        <w:t>הכהנים</w:t>
      </w:r>
      <w:r w:rsidR="00413480">
        <w:rPr>
          <w:rFonts w:ascii="David" w:hAnsi="David" w:cs="David" w:hint="cs"/>
          <w:sz w:val="24"/>
          <w:szCs w:val="24"/>
          <w:rtl/>
        </w:rPr>
        <w:t xml:space="preserve">, </w:t>
      </w:r>
      <w:r w:rsidR="00397624">
        <w:rPr>
          <w:rFonts w:ascii="David" w:hAnsi="David" w:cs="David" w:hint="cs"/>
          <w:sz w:val="24"/>
          <w:szCs w:val="24"/>
          <w:rtl/>
        </w:rPr>
        <w:t xml:space="preserve">והופכת </w:t>
      </w:r>
      <w:r w:rsidR="009B6ACB">
        <w:rPr>
          <w:rFonts w:ascii="David" w:hAnsi="David" w:cs="David" w:hint="cs"/>
          <w:sz w:val="24"/>
          <w:szCs w:val="24"/>
          <w:rtl/>
        </w:rPr>
        <w:t>לנורמה</w:t>
      </w:r>
      <w:r w:rsidR="00397624">
        <w:rPr>
          <w:rFonts w:ascii="David" w:hAnsi="David" w:cs="David" w:hint="cs"/>
          <w:sz w:val="24"/>
          <w:szCs w:val="24"/>
          <w:rtl/>
        </w:rPr>
        <w:t xml:space="preserve"> תקפה </w:t>
      </w:r>
      <w:r w:rsidR="00EF2AD0">
        <w:rPr>
          <w:rFonts w:ascii="David" w:hAnsi="David" w:cs="David" w:hint="cs"/>
          <w:sz w:val="24"/>
          <w:szCs w:val="24"/>
          <w:rtl/>
        </w:rPr>
        <w:t xml:space="preserve">בתוך הקטגוריה </w:t>
      </w:r>
      <w:r w:rsidR="00FB400D">
        <w:rPr>
          <w:rFonts w:ascii="David" w:hAnsi="David" w:cs="David" w:hint="cs"/>
          <w:sz w:val="24"/>
          <w:szCs w:val="24"/>
          <w:rtl/>
        </w:rPr>
        <w:t xml:space="preserve">המשפטית </w:t>
      </w:r>
      <w:r w:rsidR="00EF2AD0">
        <w:rPr>
          <w:rFonts w:ascii="David" w:hAnsi="David" w:cs="David" w:hint="cs"/>
          <w:sz w:val="24"/>
          <w:szCs w:val="24"/>
          <w:rtl/>
        </w:rPr>
        <w:t>המתהווה 'מס מחצית השקל'</w:t>
      </w:r>
      <w:r w:rsidR="003559DE">
        <w:rPr>
          <w:rFonts w:ascii="David" w:hAnsi="David" w:cs="David" w:hint="cs"/>
          <w:sz w:val="24"/>
          <w:szCs w:val="24"/>
          <w:rtl/>
        </w:rPr>
        <w:t xml:space="preserve">. </w:t>
      </w:r>
      <w:r w:rsidR="007C3C6B">
        <w:rPr>
          <w:rFonts w:ascii="David" w:hAnsi="David" w:cs="David" w:hint="cs"/>
          <w:sz w:val="24"/>
          <w:szCs w:val="24"/>
          <w:rtl/>
        </w:rPr>
        <w:t>מהלך דומה מתרחש גם בדין הפאה: אם בעל הנחלה לא מצליח לממש את הנומוס על פי הנרטיב של החכמים</w:t>
      </w:r>
      <w:r w:rsidR="00C81255">
        <w:rPr>
          <w:rFonts w:ascii="David" w:hAnsi="David" w:cs="David" w:hint="cs"/>
          <w:sz w:val="24"/>
          <w:szCs w:val="24"/>
          <w:rtl/>
        </w:rPr>
        <w:t>,</w:t>
      </w:r>
      <w:r w:rsidR="007C3C6B">
        <w:rPr>
          <w:rFonts w:ascii="David" w:hAnsi="David" w:cs="David" w:hint="cs"/>
          <w:sz w:val="24"/>
          <w:szCs w:val="24"/>
          <w:rtl/>
        </w:rPr>
        <w:t xml:space="preserve"> מ</w:t>
      </w:r>
      <w:r w:rsidR="00FB400D">
        <w:rPr>
          <w:rFonts w:ascii="David" w:hAnsi="David" w:cs="David" w:hint="cs"/>
          <w:sz w:val="24"/>
          <w:szCs w:val="24"/>
          <w:rtl/>
        </w:rPr>
        <w:t>ו</w:t>
      </w:r>
      <w:r w:rsidR="007C3C6B">
        <w:rPr>
          <w:rFonts w:ascii="David" w:hAnsi="David" w:cs="David" w:hint="cs"/>
          <w:sz w:val="24"/>
          <w:szCs w:val="24"/>
          <w:rtl/>
        </w:rPr>
        <w:t xml:space="preserve">כשרת בדיעבד </w:t>
      </w:r>
      <w:r w:rsidR="00C87924">
        <w:rPr>
          <w:rFonts w:ascii="David" w:hAnsi="David" w:cs="David" w:hint="cs"/>
          <w:sz w:val="24"/>
          <w:szCs w:val="24"/>
          <w:rtl/>
        </w:rPr>
        <w:t xml:space="preserve">- </w:t>
      </w:r>
      <w:r w:rsidR="007C3C6B">
        <w:rPr>
          <w:rFonts w:ascii="David" w:hAnsi="David" w:cs="David" w:hint="cs"/>
          <w:sz w:val="24"/>
          <w:szCs w:val="24"/>
          <w:rtl/>
        </w:rPr>
        <w:t xml:space="preserve">באמצעות הכלל ההלכתי </w:t>
      </w:r>
      <w:r w:rsidR="00C87924">
        <w:rPr>
          <w:rFonts w:ascii="David" w:hAnsi="David" w:cs="David" w:hint="cs"/>
          <w:sz w:val="24"/>
          <w:szCs w:val="24"/>
          <w:rtl/>
        </w:rPr>
        <w:t xml:space="preserve">- </w:t>
      </w:r>
      <w:r w:rsidR="007C3C6B">
        <w:rPr>
          <w:rFonts w:ascii="David" w:hAnsi="David" w:cs="David" w:hint="cs"/>
          <w:sz w:val="24"/>
          <w:szCs w:val="24"/>
          <w:rtl/>
        </w:rPr>
        <w:t>התנהגותו של ה</w:t>
      </w:r>
      <w:r w:rsidR="00FB400D">
        <w:rPr>
          <w:rFonts w:ascii="David" w:hAnsi="David" w:cs="David" w:hint="cs"/>
          <w:sz w:val="24"/>
          <w:szCs w:val="24"/>
          <w:rtl/>
        </w:rPr>
        <w:t>נכנס לשדה</w:t>
      </w:r>
      <w:r w:rsidR="007C3C6B">
        <w:rPr>
          <w:rFonts w:ascii="David" w:hAnsi="David" w:cs="David" w:hint="cs"/>
          <w:sz w:val="24"/>
          <w:szCs w:val="24"/>
          <w:rtl/>
        </w:rPr>
        <w:t xml:space="preserve">. </w:t>
      </w:r>
      <w:r w:rsidR="00721045">
        <w:rPr>
          <w:rFonts w:ascii="David" w:hAnsi="David" w:cs="David" w:hint="cs"/>
          <w:sz w:val="24"/>
          <w:szCs w:val="24"/>
          <w:rtl/>
        </w:rPr>
        <w:t xml:space="preserve">במושגיו של קאבר </w:t>
      </w:r>
      <w:r w:rsidR="0057346D">
        <w:rPr>
          <w:rFonts w:ascii="David" w:hAnsi="David" w:cs="David" w:hint="cs"/>
          <w:sz w:val="24"/>
          <w:szCs w:val="24"/>
          <w:rtl/>
        </w:rPr>
        <w:t xml:space="preserve">'דרכי השלום' </w:t>
      </w:r>
      <w:r w:rsidR="00721045">
        <w:rPr>
          <w:rFonts w:ascii="David" w:hAnsi="David" w:cs="David" w:hint="cs"/>
          <w:sz w:val="24"/>
          <w:szCs w:val="24"/>
          <w:rtl/>
        </w:rPr>
        <w:t xml:space="preserve">משמש </w:t>
      </w:r>
      <w:r w:rsidR="0057346D">
        <w:rPr>
          <w:rFonts w:ascii="David" w:hAnsi="David" w:cs="David" w:hint="cs"/>
          <w:sz w:val="24"/>
          <w:szCs w:val="24"/>
          <w:rtl/>
        </w:rPr>
        <w:t xml:space="preserve">איפא </w:t>
      </w:r>
      <w:r w:rsidR="00721045">
        <w:rPr>
          <w:rFonts w:ascii="David" w:hAnsi="David" w:cs="David" w:hint="cs"/>
          <w:sz w:val="24"/>
          <w:szCs w:val="24"/>
          <w:rtl/>
        </w:rPr>
        <w:t>כ</w:t>
      </w:r>
      <w:r w:rsidR="0057346D">
        <w:rPr>
          <w:rFonts w:ascii="David" w:hAnsi="David" w:cs="David" w:hint="cs"/>
          <w:sz w:val="24"/>
          <w:szCs w:val="24"/>
          <w:rtl/>
        </w:rPr>
        <w:t>הצדקה לכלל מן ה</w:t>
      </w:r>
      <w:r w:rsidR="007E4F58">
        <w:rPr>
          <w:rFonts w:ascii="David" w:hAnsi="David" w:cs="David" w:hint="cs"/>
          <w:sz w:val="24"/>
          <w:szCs w:val="24"/>
          <w:rtl/>
        </w:rPr>
        <w:t>מודוס</w:t>
      </w:r>
      <w:r w:rsidR="0057346D">
        <w:rPr>
          <w:rFonts w:ascii="David" w:hAnsi="David" w:cs="David" w:hint="cs"/>
          <w:sz w:val="24"/>
          <w:szCs w:val="24"/>
          <w:rtl/>
        </w:rPr>
        <w:t xml:space="preserve"> ה'אימפריאלי'.</w:t>
      </w:r>
      <w:r w:rsidR="0078519A">
        <w:rPr>
          <w:rFonts w:ascii="David" w:hAnsi="David" w:cs="David" w:hint="cs"/>
          <w:sz w:val="24"/>
          <w:szCs w:val="24"/>
          <w:rtl/>
        </w:rPr>
        <w:t xml:space="preserve"> ראשית, </w:t>
      </w:r>
      <w:r w:rsidR="00721045">
        <w:rPr>
          <w:rFonts w:ascii="David" w:hAnsi="David" w:cs="David" w:hint="cs"/>
          <w:color w:val="20231D"/>
          <w:sz w:val="24"/>
          <w:szCs w:val="24"/>
          <w:rtl/>
        </w:rPr>
        <w:t>משום ש</w:t>
      </w:r>
      <w:r w:rsidR="00FE4960" w:rsidRPr="00B41CFC">
        <w:rPr>
          <w:rFonts w:ascii="David" w:hAnsi="David" w:cs="David"/>
          <w:color w:val="20231D"/>
          <w:sz w:val="24"/>
          <w:szCs w:val="24"/>
          <w:rtl/>
        </w:rPr>
        <w:t>התכונה האימפריאלית נדרשת כדי להסדיר את ריבוי משמעויות</w:t>
      </w:r>
      <w:r w:rsidR="00721045">
        <w:rPr>
          <w:rFonts w:ascii="David" w:hAnsi="David" w:cs="David" w:hint="cs"/>
          <w:color w:val="20231D"/>
          <w:sz w:val="24"/>
          <w:szCs w:val="24"/>
          <w:rtl/>
        </w:rPr>
        <w:t>, שנוצרות על ידי כ</w:t>
      </w:r>
      <w:r w:rsidR="00FE4960" w:rsidRPr="00B41CFC">
        <w:rPr>
          <w:rFonts w:ascii="David" w:hAnsi="David" w:cs="David"/>
          <w:color w:val="20231D"/>
          <w:sz w:val="24"/>
          <w:szCs w:val="24"/>
          <w:rtl/>
        </w:rPr>
        <w:t>וחות תרבותיים פרטיקולריים, בוראי־חוק</w:t>
      </w:r>
      <w:r w:rsidR="00FE4960">
        <w:rPr>
          <w:rFonts w:ascii="David" w:hAnsi="David" w:cs="David" w:hint="cs"/>
          <w:sz w:val="24"/>
          <w:szCs w:val="24"/>
          <w:rtl/>
        </w:rPr>
        <w:t xml:space="preserve"> </w:t>
      </w:r>
      <w:r w:rsidR="00721045">
        <w:rPr>
          <w:rFonts w:ascii="David" w:hAnsi="David" w:cs="David" w:hint="cs"/>
          <w:sz w:val="24"/>
          <w:szCs w:val="24"/>
          <w:rtl/>
        </w:rPr>
        <w:t>(הכוח הכוהני והכוח החכמי)</w:t>
      </w:r>
      <w:r w:rsidR="007C3C6B">
        <w:rPr>
          <w:rFonts w:ascii="David" w:hAnsi="David" w:cs="David" w:hint="cs"/>
          <w:sz w:val="24"/>
          <w:szCs w:val="24"/>
          <w:rtl/>
        </w:rPr>
        <w:t>;</w:t>
      </w:r>
      <w:r w:rsidR="00721045">
        <w:rPr>
          <w:rFonts w:ascii="David" w:hAnsi="David" w:cs="David" w:hint="cs"/>
          <w:sz w:val="24"/>
          <w:szCs w:val="24"/>
          <w:rtl/>
        </w:rPr>
        <w:t xml:space="preserve"> שנית, </w:t>
      </w:r>
      <w:r w:rsidR="00C907B8">
        <w:rPr>
          <w:rFonts w:ascii="David" w:hAnsi="David" w:cs="David" w:hint="cs"/>
          <w:sz w:val="24"/>
          <w:szCs w:val="24"/>
          <w:rtl/>
        </w:rPr>
        <w:t>בכך ש</w:t>
      </w:r>
      <w:r w:rsidR="00721045">
        <w:rPr>
          <w:rFonts w:ascii="David" w:hAnsi="David" w:cs="David" w:hint="cs"/>
          <w:sz w:val="24"/>
          <w:szCs w:val="24"/>
          <w:rtl/>
        </w:rPr>
        <w:t>החוק שמוצדק על ידי הנימוק</w:t>
      </w:r>
      <w:r w:rsidR="00C907B8">
        <w:rPr>
          <w:rFonts w:ascii="David" w:hAnsi="David" w:cs="David" w:hint="cs"/>
          <w:sz w:val="24"/>
          <w:szCs w:val="24"/>
          <w:rtl/>
        </w:rPr>
        <w:t xml:space="preserve"> מהווה </w:t>
      </w:r>
      <w:r w:rsidR="00C907B8" w:rsidRPr="00B41CFC">
        <w:rPr>
          <w:rFonts w:ascii="David" w:hAnsi="David" w:cs="David"/>
          <w:color w:val="20231D"/>
          <w:sz w:val="24"/>
          <w:szCs w:val="24"/>
          <w:rtl/>
        </w:rPr>
        <w:t>מסגרת המונעת אלימות ומאפשרת דו־קיום לעולמות הנורמטיביים השונים שמשגשגים תחתיו</w:t>
      </w:r>
      <w:r w:rsidR="007C3C6B">
        <w:rPr>
          <w:rFonts w:ascii="David" w:hAnsi="David" w:cs="David" w:hint="cs"/>
          <w:sz w:val="24"/>
          <w:szCs w:val="24"/>
          <w:rtl/>
        </w:rPr>
        <w:t>;</w:t>
      </w:r>
      <w:r w:rsidR="00721045">
        <w:rPr>
          <w:rFonts w:ascii="David" w:hAnsi="David" w:cs="David" w:hint="cs"/>
          <w:sz w:val="24"/>
          <w:szCs w:val="24"/>
          <w:rtl/>
        </w:rPr>
        <w:t xml:space="preserve"> </w:t>
      </w:r>
      <w:r w:rsidR="00636C59">
        <w:rPr>
          <w:rFonts w:ascii="David" w:hAnsi="David" w:cs="David" w:hint="cs"/>
          <w:sz w:val="24"/>
          <w:szCs w:val="24"/>
          <w:rtl/>
        </w:rPr>
        <w:t>ו</w:t>
      </w:r>
      <w:r w:rsidR="00721045">
        <w:rPr>
          <w:rFonts w:ascii="David" w:hAnsi="David" w:cs="David" w:hint="cs"/>
          <w:sz w:val="24"/>
          <w:szCs w:val="24"/>
          <w:rtl/>
        </w:rPr>
        <w:t>שלישית</w:t>
      </w:r>
      <w:r w:rsidR="00C907B8">
        <w:rPr>
          <w:rFonts w:ascii="David" w:hAnsi="David" w:cs="David" w:hint="cs"/>
          <w:sz w:val="24"/>
          <w:szCs w:val="24"/>
          <w:rtl/>
        </w:rPr>
        <w:t xml:space="preserve">, </w:t>
      </w:r>
      <w:r w:rsidR="00BF2480">
        <w:rPr>
          <w:rFonts w:ascii="David" w:hAnsi="David" w:cs="David" w:hint="cs"/>
          <w:sz w:val="24"/>
          <w:szCs w:val="24"/>
          <w:rtl/>
        </w:rPr>
        <w:t xml:space="preserve">במובן מסוים </w:t>
      </w:r>
      <w:r w:rsidR="00C907B8">
        <w:rPr>
          <w:rFonts w:ascii="David" w:hAnsi="David" w:cs="David" w:hint="cs"/>
          <w:sz w:val="24"/>
          <w:szCs w:val="24"/>
          <w:rtl/>
        </w:rPr>
        <w:t>דו־</w:t>
      </w:r>
      <w:r w:rsidR="00EA3E84">
        <w:rPr>
          <w:rFonts w:ascii="David" w:hAnsi="David" w:cs="David" w:hint="cs"/>
          <w:sz w:val="24"/>
          <w:szCs w:val="24"/>
          <w:rtl/>
        </w:rPr>
        <w:t>ה</w:t>
      </w:r>
      <w:r w:rsidR="00C907B8">
        <w:rPr>
          <w:rFonts w:ascii="David" w:hAnsi="David" w:cs="David" w:hint="cs"/>
          <w:sz w:val="24"/>
          <w:szCs w:val="24"/>
          <w:rtl/>
        </w:rPr>
        <w:t xml:space="preserve">קיום נוצר על ידי כך שהמחוקק </w:t>
      </w:r>
      <w:r w:rsidR="00E44E20">
        <w:rPr>
          <w:rFonts w:ascii="David" w:hAnsi="David" w:cs="David" w:hint="cs"/>
          <w:sz w:val="24"/>
          <w:szCs w:val="24"/>
          <w:rtl/>
        </w:rPr>
        <w:t>(</w:t>
      </w:r>
      <w:r w:rsidR="00FE4960">
        <w:rPr>
          <w:rFonts w:ascii="David" w:hAnsi="David" w:cs="David" w:hint="cs"/>
          <w:sz w:val="24"/>
          <w:szCs w:val="24"/>
          <w:rtl/>
        </w:rPr>
        <w:t>בדומה לתפקידו של השופט</w:t>
      </w:r>
      <w:r w:rsidR="00C46185">
        <w:rPr>
          <w:rFonts w:ascii="David" w:hAnsi="David" w:cs="David" w:hint="cs"/>
          <w:sz w:val="24"/>
          <w:szCs w:val="24"/>
          <w:rtl/>
        </w:rPr>
        <w:t>,</w:t>
      </w:r>
      <w:r w:rsidR="00FE4960">
        <w:rPr>
          <w:rFonts w:ascii="David" w:hAnsi="David" w:cs="David" w:hint="cs"/>
          <w:sz w:val="24"/>
          <w:szCs w:val="24"/>
          <w:rtl/>
        </w:rPr>
        <w:t xml:space="preserve"> </w:t>
      </w:r>
      <w:r w:rsidR="00BF2480">
        <w:rPr>
          <w:rFonts w:ascii="David" w:hAnsi="David" w:cs="David" w:hint="cs"/>
          <w:sz w:val="24"/>
          <w:szCs w:val="24"/>
          <w:rtl/>
        </w:rPr>
        <w:t xml:space="preserve">כפי </w:t>
      </w:r>
      <w:r w:rsidR="00FE4960">
        <w:rPr>
          <w:rFonts w:ascii="David" w:hAnsi="David" w:cs="David" w:hint="cs"/>
          <w:sz w:val="24"/>
          <w:szCs w:val="24"/>
          <w:rtl/>
        </w:rPr>
        <w:t xml:space="preserve">שתיאר </w:t>
      </w:r>
      <w:r w:rsidR="00BF2480">
        <w:rPr>
          <w:rFonts w:ascii="David" w:hAnsi="David" w:cs="David" w:hint="cs"/>
          <w:sz w:val="24"/>
          <w:szCs w:val="24"/>
          <w:rtl/>
        </w:rPr>
        <w:t xml:space="preserve">אותו </w:t>
      </w:r>
      <w:r w:rsidR="00FE4960">
        <w:rPr>
          <w:rFonts w:ascii="David" w:hAnsi="David" w:cs="David" w:hint="cs"/>
          <w:sz w:val="24"/>
          <w:szCs w:val="24"/>
          <w:rtl/>
        </w:rPr>
        <w:t>קאבר</w:t>
      </w:r>
      <w:r w:rsidR="00E44E20">
        <w:rPr>
          <w:rFonts w:ascii="David" w:hAnsi="David" w:cs="David" w:hint="cs"/>
          <w:sz w:val="24"/>
          <w:szCs w:val="24"/>
          <w:rtl/>
        </w:rPr>
        <w:t>)</w:t>
      </w:r>
      <w:r w:rsidR="00EB2C75">
        <w:rPr>
          <w:rFonts w:ascii="David" w:hAnsi="David" w:cs="David" w:hint="cs"/>
          <w:sz w:val="24"/>
          <w:szCs w:val="24"/>
          <w:rtl/>
        </w:rPr>
        <w:t>,</w:t>
      </w:r>
      <w:r w:rsidR="00FE4960">
        <w:rPr>
          <w:rFonts w:ascii="David" w:hAnsi="David" w:cs="David" w:hint="cs"/>
          <w:sz w:val="24"/>
          <w:szCs w:val="24"/>
          <w:rtl/>
        </w:rPr>
        <w:t xml:space="preserve"> </w:t>
      </w:r>
      <w:r w:rsidR="00BF2480">
        <w:rPr>
          <w:rFonts w:ascii="David" w:hAnsi="David" w:cs="David" w:hint="cs"/>
          <w:color w:val="20231D"/>
          <w:sz w:val="24"/>
          <w:szCs w:val="24"/>
          <w:rtl/>
        </w:rPr>
        <w:t>ש</w:t>
      </w:r>
      <w:r w:rsidR="0068735D" w:rsidRPr="00B41CFC">
        <w:rPr>
          <w:rFonts w:ascii="David" w:hAnsi="David" w:cs="David"/>
          <w:color w:val="20231D"/>
          <w:sz w:val="24"/>
          <w:szCs w:val="24"/>
          <w:rtl/>
        </w:rPr>
        <w:t>נדרש ליישב את הקונפליקט המתעורר בין נומוסים מתחרים של קהילות נורמטיביות שונות,</w:t>
      </w:r>
      <w:r w:rsidR="0068735D">
        <w:rPr>
          <w:rFonts w:ascii="David" w:hAnsi="David" w:cs="David" w:hint="cs"/>
          <w:sz w:val="24"/>
          <w:szCs w:val="24"/>
          <w:rtl/>
        </w:rPr>
        <w:t xml:space="preserve"> עושה </w:t>
      </w:r>
      <w:r w:rsidR="00E44E20">
        <w:rPr>
          <w:rFonts w:ascii="David" w:hAnsi="David" w:cs="David" w:hint="cs"/>
          <w:sz w:val="24"/>
          <w:szCs w:val="24"/>
          <w:rtl/>
        </w:rPr>
        <w:t xml:space="preserve">זאת </w:t>
      </w:r>
      <w:r w:rsidR="0068735D">
        <w:rPr>
          <w:rFonts w:ascii="David" w:hAnsi="David" w:cs="David" w:hint="cs"/>
          <w:sz w:val="24"/>
          <w:szCs w:val="24"/>
          <w:rtl/>
        </w:rPr>
        <w:t xml:space="preserve">על ידי </w:t>
      </w:r>
      <w:r w:rsidR="00BF2480">
        <w:rPr>
          <w:rFonts w:ascii="David" w:hAnsi="David" w:cs="David" w:hint="cs"/>
          <w:sz w:val="24"/>
          <w:szCs w:val="24"/>
          <w:rtl/>
        </w:rPr>
        <w:t xml:space="preserve">כך שהוא </w:t>
      </w:r>
      <w:r w:rsidR="00B641DB">
        <w:rPr>
          <w:rFonts w:ascii="David" w:hAnsi="David" w:cs="David" w:hint="cs"/>
          <w:sz w:val="24"/>
          <w:szCs w:val="24"/>
          <w:rtl/>
        </w:rPr>
        <w:t>"</w:t>
      </w:r>
      <w:r w:rsidR="00BF2480">
        <w:rPr>
          <w:rFonts w:ascii="David" w:hAnsi="David" w:cs="David" w:hint="cs"/>
          <w:sz w:val="24"/>
          <w:szCs w:val="24"/>
          <w:rtl/>
        </w:rPr>
        <w:t>משמיד</w:t>
      </w:r>
      <w:r w:rsidR="00B641DB">
        <w:rPr>
          <w:rFonts w:ascii="David" w:hAnsi="David" w:cs="David" w:hint="cs"/>
          <w:sz w:val="24"/>
          <w:szCs w:val="24"/>
          <w:rtl/>
        </w:rPr>
        <w:t>"</w:t>
      </w:r>
      <w:r w:rsidR="00BF2480">
        <w:rPr>
          <w:rFonts w:ascii="David" w:hAnsi="David" w:cs="David" w:hint="cs"/>
          <w:sz w:val="24"/>
          <w:szCs w:val="24"/>
          <w:rtl/>
        </w:rPr>
        <w:t xml:space="preserve"> נרטיב אחד</w:t>
      </w:r>
      <w:r w:rsidR="00E44E20">
        <w:rPr>
          <w:rFonts w:ascii="David" w:hAnsi="David" w:cs="David" w:hint="cs"/>
          <w:sz w:val="24"/>
          <w:szCs w:val="24"/>
          <w:rtl/>
        </w:rPr>
        <w:t xml:space="preserve"> -</w:t>
      </w:r>
      <w:r w:rsidR="00BF2480">
        <w:rPr>
          <w:rFonts w:ascii="David" w:hAnsi="David" w:cs="David" w:hint="cs"/>
          <w:sz w:val="24"/>
          <w:szCs w:val="24"/>
          <w:rtl/>
        </w:rPr>
        <w:t xml:space="preserve"> את זה של החכמים. אלא שה'השמדה' במקרה הזה לא מושגת על ידי ביטול החוק של החכמים וקבלת החוק של הכהנים</w:t>
      </w:r>
      <w:r w:rsidR="000E1D7F">
        <w:rPr>
          <w:rFonts w:ascii="David" w:hAnsi="David" w:cs="David" w:hint="cs"/>
          <w:sz w:val="24"/>
          <w:szCs w:val="24"/>
          <w:rtl/>
        </w:rPr>
        <w:t xml:space="preserve"> (או התנהגותו של הנכנס לשדה</w:t>
      </w:r>
      <w:r w:rsidR="00D25108">
        <w:rPr>
          <w:rFonts w:ascii="David" w:hAnsi="David" w:cs="David" w:hint="cs"/>
          <w:sz w:val="24"/>
          <w:szCs w:val="24"/>
          <w:rtl/>
        </w:rPr>
        <w:t xml:space="preserve"> במקרה של הפאה</w:t>
      </w:r>
      <w:r w:rsidR="000E1D7F">
        <w:rPr>
          <w:rFonts w:ascii="David" w:hAnsi="David" w:cs="David" w:hint="cs"/>
          <w:sz w:val="24"/>
          <w:szCs w:val="24"/>
          <w:rtl/>
        </w:rPr>
        <w:t>)</w:t>
      </w:r>
      <w:r w:rsidR="00B67B06">
        <w:rPr>
          <w:rFonts w:ascii="David" w:hAnsi="David" w:cs="David" w:hint="cs"/>
          <w:sz w:val="24"/>
          <w:szCs w:val="24"/>
          <w:rtl/>
        </w:rPr>
        <w:t xml:space="preserve"> </w:t>
      </w:r>
      <w:r w:rsidR="00B67B06">
        <w:rPr>
          <w:rFonts w:cs="David"/>
          <w:sz w:val="24"/>
          <w:szCs w:val="24"/>
        </w:rPr>
        <w:t>as-is</w:t>
      </w:r>
      <w:r w:rsidR="00BF2480">
        <w:rPr>
          <w:rFonts w:ascii="David" w:hAnsi="David" w:cs="David" w:hint="cs"/>
          <w:sz w:val="24"/>
          <w:szCs w:val="24"/>
          <w:rtl/>
        </w:rPr>
        <w:t>, אלא על ידי המרת החוק של החכמים בחוק חדש</w:t>
      </w:r>
      <w:r w:rsidR="000E1D7F">
        <w:rPr>
          <w:rFonts w:ascii="David" w:hAnsi="David" w:cs="David" w:hint="cs"/>
          <w:sz w:val="24"/>
          <w:szCs w:val="24"/>
          <w:rtl/>
        </w:rPr>
        <w:t>:</w:t>
      </w:r>
      <w:r w:rsidR="00BF2480">
        <w:rPr>
          <w:rFonts w:ascii="David" w:hAnsi="David" w:cs="David" w:hint="cs"/>
          <w:sz w:val="24"/>
          <w:szCs w:val="24"/>
          <w:rtl/>
        </w:rPr>
        <w:t xml:space="preserve"> </w:t>
      </w:r>
      <w:r w:rsidR="00762FBC">
        <w:rPr>
          <w:rFonts w:ascii="David" w:hAnsi="David" w:cs="David" w:hint="cs"/>
          <w:sz w:val="24"/>
          <w:szCs w:val="24"/>
          <w:rtl/>
        </w:rPr>
        <w:t>פטור ל</w:t>
      </w:r>
      <w:r w:rsidR="00BF2480">
        <w:rPr>
          <w:rFonts w:ascii="David" w:hAnsi="David" w:cs="David" w:hint="cs"/>
          <w:sz w:val="24"/>
          <w:szCs w:val="24"/>
          <w:rtl/>
        </w:rPr>
        <w:t>כהנים מתשלום המס</w:t>
      </w:r>
      <w:r w:rsidR="00E44E20">
        <w:rPr>
          <w:rFonts w:ascii="David" w:hAnsi="David" w:cs="David" w:hint="cs"/>
          <w:sz w:val="24"/>
          <w:szCs w:val="24"/>
          <w:rtl/>
        </w:rPr>
        <w:t>, או פטור לבעל הנחלה מלמחות ביד העני</w:t>
      </w:r>
      <w:r w:rsidR="00EA3E84">
        <w:rPr>
          <w:rFonts w:ascii="David" w:hAnsi="David" w:cs="David" w:hint="cs"/>
          <w:sz w:val="24"/>
          <w:szCs w:val="24"/>
          <w:rtl/>
        </w:rPr>
        <w:t xml:space="preserve">, </w:t>
      </w:r>
      <w:r w:rsidR="008029A3">
        <w:rPr>
          <w:rFonts w:ascii="David" w:hAnsi="David" w:cs="David" w:hint="cs"/>
          <w:sz w:val="24"/>
          <w:szCs w:val="24"/>
          <w:rtl/>
        </w:rPr>
        <w:t xml:space="preserve">שמקבל את משמעותו </w:t>
      </w:r>
      <w:r w:rsidR="00BF2480">
        <w:rPr>
          <w:rFonts w:ascii="David" w:hAnsi="David" w:cs="David" w:hint="cs"/>
          <w:sz w:val="24"/>
          <w:szCs w:val="24"/>
          <w:rtl/>
        </w:rPr>
        <w:t>באמצעות נרטיב חדש</w:t>
      </w:r>
      <w:r w:rsidR="000879D1">
        <w:rPr>
          <w:rFonts w:ascii="David" w:hAnsi="David" w:cs="David" w:hint="cs"/>
          <w:sz w:val="24"/>
          <w:szCs w:val="24"/>
          <w:rtl/>
        </w:rPr>
        <w:t xml:space="preserve"> שיוצרים החכמים עצמם</w:t>
      </w:r>
      <w:r w:rsidR="00B67B06">
        <w:rPr>
          <w:rFonts w:ascii="David" w:hAnsi="David" w:cs="David" w:hint="cs"/>
          <w:sz w:val="24"/>
          <w:szCs w:val="24"/>
          <w:rtl/>
        </w:rPr>
        <w:t>: '</w:t>
      </w:r>
      <w:r w:rsidR="00D8371D">
        <w:rPr>
          <w:rFonts w:ascii="David" w:hAnsi="David" w:cs="David" w:hint="cs"/>
          <w:sz w:val="24"/>
          <w:szCs w:val="24"/>
          <w:rtl/>
        </w:rPr>
        <w:t xml:space="preserve">מפני </w:t>
      </w:r>
      <w:r w:rsidR="00B67B06">
        <w:rPr>
          <w:rFonts w:ascii="David" w:hAnsi="David" w:cs="David" w:hint="cs"/>
          <w:sz w:val="24"/>
          <w:szCs w:val="24"/>
          <w:rtl/>
        </w:rPr>
        <w:t xml:space="preserve">דרכי שלום'. </w:t>
      </w:r>
    </w:p>
    <w:p w14:paraId="264D9565" w14:textId="5AE864AF" w:rsidR="007804C2" w:rsidRDefault="008B5CAC" w:rsidP="0085718B">
      <w:pPr>
        <w:autoSpaceDE w:val="0"/>
        <w:autoSpaceDN w:val="0"/>
        <w:adjustRightInd w:val="0"/>
        <w:spacing w:after="0" w:line="480" w:lineRule="auto"/>
        <w:ind w:firstLine="720"/>
        <w:jc w:val="both"/>
        <w:rPr>
          <w:rFonts w:ascii="David" w:hAnsi="David" w:cs="David"/>
          <w:sz w:val="24"/>
          <w:szCs w:val="24"/>
          <w:rtl/>
        </w:rPr>
      </w:pPr>
      <w:r>
        <w:rPr>
          <w:rFonts w:ascii="David" w:hAnsi="David" w:cs="David" w:hint="cs"/>
          <w:sz w:val="24"/>
          <w:szCs w:val="24"/>
          <w:rtl/>
        </w:rPr>
        <w:t>ב</w:t>
      </w:r>
      <w:r w:rsidR="00A50884">
        <w:rPr>
          <w:rFonts w:ascii="David" w:hAnsi="David" w:cs="David" w:hint="cs"/>
          <w:sz w:val="24"/>
          <w:szCs w:val="24"/>
          <w:rtl/>
        </w:rPr>
        <w:t xml:space="preserve">הלכות ששיקפו </w:t>
      </w:r>
      <w:r>
        <w:rPr>
          <w:rFonts w:ascii="David" w:hAnsi="David" w:cs="David" w:hint="cs"/>
          <w:sz w:val="24"/>
          <w:szCs w:val="24"/>
          <w:rtl/>
        </w:rPr>
        <w:t>גישה פרגמטית</w:t>
      </w:r>
      <w:r w:rsidR="00DD7F6F">
        <w:rPr>
          <w:rFonts w:ascii="David" w:hAnsi="David" w:cs="David" w:hint="cs"/>
          <w:sz w:val="24"/>
          <w:szCs w:val="24"/>
          <w:rtl/>
        </w:rPr>
        <w:t xml:space="preserve"> ניתן לראות איכויות אחרות שמבטאות </w:t>
      </w:r>
      <w:r w:rsidR="0069773E">
        <w:rPr>
          <w:rFonts w:ascii="David" w:hAnsi="David" w:cs="David" w:hint="cs"/>
          <w:sz w:val="24"/>
          <w:szCs w:val="24"/>
          <w:rtl/>
        </w:rPr>
        <w:t xml:space="preserve">את </w:t>
      </w:r>
      <w:r w:rsidR="00DD7F6F">
        <w:rPr>
          <w:rFonts w:ascii="David" w:hAnsi="David" w:cs="David" w:hint="cs"/>
          <w:sz w:val="24"/>
          <w:szCs w:val="24"/>
          <w:rtl/>
        </w:rPr>
        <w:t>המודוס האימפריאלי</w:t>
      </w:r>
      <w:r>
        <w:rPr>
          <w:rFonts w:ascii="David" w:hAnsi="David" w:cs="David" w:hint="cs"/>
          <w:sz w:val="24"/>
          <w:szCs w:val="24"/>
          <w:rtl/>
        </w:rPr>
        <w:t xml:space="preserve">. </w:t>
      </w:r>
      <w:r w:rsidR="00A50884">
        <w:rPr>
          <w:rFonts w:ascii="David" w:hAnsi="David" w:cs="David" w:hint="cs"/>
          <w:sz w:val="24"/>
          <w:szCs w:val="24"/>
          <w:rtl/>
        </w:rPr>
        <w:t xml:space="preserve">כאן ראינו </w:t>
      </w:r>
      <w:r w:rsidR="00F12B15">
        <w:rPr>
          <w:rFonts w:ascii="David" w:hAnsi="David" w:cs="David" w:hint="cs"/>
          <w:sz w:val="24"/>
          <w:szCs w:val="24"/>
          <w:rtl/>
        </w:rPr>
        <w:t xml:space="preserve">כללים שמסדירים לאקונות בחוק הקיים, </w:t>
      </w:r>
      <w:r w:rsidR="007D64BD">
        <w:rPr>
          <w:rFonts w:ascii="David" w:hAnsi="David" w:cs="David" w:hint="cs"/>
          <w:sz w:val="24"/>
          <w:szCs w:val="24"/>
          <w:rtl/>
        </w:rPr>
        <w:t>ו</w:t>
      </w:r>
      <w:r w:rsidR="00EF135D">
        <w:rPr>
          <w:rFonts w:ascii="David" w:hAnsi="David" w:cs="David" w:hint="cs"/>
          <w:sz w:val="24"/>
          <w:szCs w:val="24"/>
          <w:rtl/>
        </w:rPr>
        <w:t>א</w:t>
      </w:r>
      <w:r w:rsidR="00F12B15">
        <w:rPr>
          <w:rFonts w:ascii="David" w:hAnsi="David" w:cs="David" w:hint="cs"/>
          <w:sz w:val="24"/>
          <w:szCs w:val="24"/>
          <w:rtl/>
        </w:rPr>
        <w:t>ש</w:t>
      </w:r>
      <w:r w:rsidR="00EF135D">
        <w:rPr>
          <w:rFonts w:ascii="David" w:hAnsi="David" w:cs="David" w:hint="cs"/>
          <w:sz w:val="24"/>
          <w:szCs w:val="24"/>
          <w:rtl/>
        </w:rPr>
        <w:t xml:space="preserve">ר </w:t>
      </w:r>
      <w:r w:rsidR="00F12B15">
        <w:rPr>
          <w:rFonts w:ascii="David" w:hAnsi="David" w:cs="David" w:hint="cs"/>
          <w:sz w:val="24"/>
          <w:szCs w:val="24"/>
          <w:rtl/>
        </w:rPr>
        <w:t xml:space="preserve">המקרים שהניבו אותם </w:t>
      </w:r>
      <w:r w:rsidR="0068735A">
        <w:rPr>
          <w:rFonts w:ascii="David" w:hAnsi="David" w:cs="David" w:hint="cs"/>
          <w:sz w:val="24"/>
          <w:szCs w:val="24"/>
          <w:rtl/>
        </w:rPr>
        <w:t>לא נבע</w:t>
      </w:r>
      <w:r w:rsidR="00CD087C">
        <w:rPr>
          <w:rFonts w:ascii="David" w:hAnsi="David" w:cs="David" w:hint="cs"/>
          <w:sz w:val="24"/>
          <w:szCs w:val="24"/>
          <w:rtl/>
        </w:rPr>
        <w:t xml:space="preserve">ו </w:t>
      </w:r>
      <w:r w:rsidR="0068735A">
        <w:rPr>
          <w:rFonts w:ascii="David" w:hAnsi="David" w:cs="David" w:hint="cs"/>
          <w:sz w:val="24"/>
          <w:szCs w:val="24"/>
          <w:rtl/>
        </w:rPr>
        <w:t>מתוך מחלוקות אידיאולוגיות בין נומוסים שונים</w:t>
      </w:r>
      <w:r w:rsidR="002E11AF">
        <w:rPr>
          <w:rFonts w:ascii="David" w:hAnsi="David" w:cs="David" w:hint="cs"/>
          <w:sz w:val="24"/>
          <w:szCs w:val="24"/>
          <w:rtl/>
        </w:rPr>
        <w:t>.</w:t>
      </w:r>
      <w:r w:rsidR="0068735A">
        <w:rPr>
          <w:rFonts w:ascii="David" w:hAnsi="David" w:cs="David" w:hint="cs"/>
          <w:sz w:val="24"/>
          <w:szCs w:val="24"/>
          <w:rtl/>
        </w:rPr>
        <w:t xml:space="preserve"> </w:t>
      </w:r>
      <w:r w:rsidR="002E11AF">
        <w:rPr>
          <w:rFonts w:ascii="David" w:hAnsi="David" w:cs="David" w:hint="cs"/>
          <w:sz w:val="24"/>
          <w:szCs w:val="24"/>
          <w:rtl/>
        </w:rPr>
        <w:t>כללים אלו נוצרו</w:t>
      </w:r>
      <w:r w:rsidR="00CD087C">
        <w:rPr>
          <w:rFonts w:ascii="David" w:hAnsi="David" w:cs="David" w:hint="cs"/>
          <w:sz w:val="24"/>
          <w:szCs w:val="24"/>
          <w:rtl/>
        </w:rPr>
        <w:t xml:space="preserve"> </w:t>
      </w:r>
      <w:r w:rsidR="0068735A">
        <w:rPr>
          <w:rFonts w:ascii="David" w:hAnsi="David" w:cs="David" w:hint="cs"/>
          <w:sz w:val="24"/>
          <w:szCs w:val="24"/>
          <w:rtl/>
        </w:rPr>
        <w:t>כתוצאה</w:t>
      </w:r>
      <w:r w:rsidR="00F12B15">
        <w:rPr>
          <w:rFonts w:ascii="David" w:hAnsi="David" w:cs="David" w:hint="cs"/>
          <w:sz w:val="24"/>
          <w:szCs w:val="24"/>
          <w:rtl/>
        </w:rPr>
        <w:t xml:space="preserve"> </w:t>
      </w:r>
      <w:r w:rsidR="0068735A">
        <w:rPr>
          <w:rFonts w:ascii="David" w:hAnsi="David" w:cs="David" w:hint="cs"/>
          <w:sz w:val="24"/>
          <w:szCs w:val="24"/>
          <w:rtl/>
        </w:rPr>
        <w:t>מ</w:t>
      </w:r>
      <w:r w:rsidR="00CD087C">
        <w:rPr>
          <w:rFonts w:ascii="David" w:hAnsi="David" w:cs="David" w:hint="cs"/>
          <w:sz w:val="24"/>
          <w:szCs w:val="24"/>
          <w:rtl/>
        </w:rPr>
        <w:t xml:space="preserve">הצורך ליישב </w:t>
      </w:r>
      <w:r w:rsidR="00F12B15">
        <w:rPr>
          <w:rFonts w:ascii="David" w:hAnsi="David" w:cs="David" w:hint="cs"/>
          <w:sz w:val="24"/>
          <w:szCs w:val="24"/>
          <w:rtl/>
        </w:rPr>
        <w:t xml:space="preserve">קונפליקטים </w:t>
      </w:r>
      <w:r w:rsidR="0068735A">
        <w:rPr>
          <w:rFonts w:ascii="David" w:hAnsi="David" w:cs="David" w:hint="cs"/>
          <w:sz w:val="24"/>
          <w:szCs w:val="24"/>
          <w:rtl/>
        </w:rPr>
        <w:t xml:space="preserve">בינאישיים </w:t>
      </w:r>
      <w:r w:rsidR="00F12B15">
        <w:rPr>
          <w:rFonts w:ascii="David" w:hAnsi="David" w:cs="David" w:hint="cs"/>
          <w:sz w:val="24"/>
          <w:szCs w:val="24"/>
          <w:rtl/>
        </w:rPr>
        <w:t>יומיומיים</w:t>
      </w:r>
      <w:r w:rsidR="00EF135D">
        <w:rPr>
          <w:rFonts w:ascii="David" w:hAnsi="David" w:cs="David" w:hint="cs"/>
          <w:sz w:val="24"/>
          <w:szCs w:val="24"/>
          <w:rtl/>
        </w:rPr>
        <w:t>,</w:t>
      </w:r>
      <w:r w:rsidR="001609F8">
        <w:rPr>
          <w:rFonts w:ascii="David" w:hAnsi="David" w:cs="David" w:hint="cs"/>
          <w:sz w:val="24"/>
          <w:szCs w:val="24"/>
          <w:rtl/>
        </w:rPr>
        <w:t xml:space="preserve"> שמתעוררים בין אנשים שחיים בשכנות זה לזה</w:t>
      </w:r>
      <w:r w:rsidR="00EF135D">
        <w:rPr>
          <w:rFonts w:ascii="David" w:hAnsi="David" w:cs="David" w:hint="cs"/>
          <w:sz w:val="24"/>
          <w:szCs w:val="24"/>
          <w:rtl/>
        </w:rPr>
        <w:t>. על כן נכון לראותם כקונפליקטים ששייכים ל</w:t>
      </w:r>
      <w:r w:rsidR="0085718B">
        <w:rPr>
          <w:rFonts w:ascii="David" w:hAnsi="David" w:cs="David" w:hint="cs"/>
          <w:sz w:val="24"/>
          <w:szCs w:val="24"/>
          <w:rtl/>
        </w:rPr>
        <w:t>תחום האזרחי.</w:t>
      </w:r>
      <w:r w:rsidR="001609F8">
        <w:rPr>
          <w:rFonts w:ascii="David" w:hAnsi="David" w:cs="David" w:hint="cs"/>
          <w:sz w:val="24"/>
          <w:szCs w:val="24"/>
          <w:rtl/>
        </w:rPr>
        <w:t xml:space="preserve"> סוג אחד</w:t>
      </w:r>
      <w:r w:rsidR="00F12B15">
        <w:rPr>
          <w:rFonts w:ascii="David" w:hAnsi="David" w:cs="David" w:hint="cs"/>
          <w:sz w:val="24"/>
          <w:szCs w:val="24"/>
          <w:rtl/>
        </w:rPr>
        <w:t xml:space="preserve"> </w:t>
      </w:r>
      <w:r w:rsidR="001609F8">
        <w:rPr>
          <w:rFonts w:ascii="David" w:hAnsi="David" w:cs="David" w:hint="cs"/>
          <w:sz w:val="24"/>
          <w:szCs w:val="24"/>
          <w:rtl/>
        </w:rPr>
        <w:t>ה</w:t>
      </w:r>
      <w:r w:rsidR="00CF6F07">
        <w:rPr>
          <w:rFonts w:ascii="David" w:hAnsi="David" w:cs="David" w:hint="cs"/>
          <w:sz w:val="24"/>
          <w:szCs w:val="24"/>
          <w:rtl/>
        </w:rPr>
        <w:t>ם</w:t>
      </w:r>
      <w:r w:rsidR="001609F8">
        <w:rPr>
          <w:rFonts w:ascii="David" w:hAnsi="David" w:cs="David" w:hint="cs"/>
          <w:sz w:val="24"/>
          <w:szCs w:val="24"/>
          <w:rtl/>
        </w:rPr>
        <w:t xml:space="preserve"> קונפליקטים שנוצרים</w:t>
      </w:r>
      <w:r w:rsidR="0068735A">
        <w:rPr>
          <w:rFonts w:ascii="David" w:hAnsi="David" w:cs="David" w:hint="cs"/>
          <w:sz w:val="24"/>
          <w:szCs w:val="24"/>
          <w:rtl/>
        </w:rPr>
        <w:t xml:space="preserve"> כתוצאה ממאבק על משאבים</w:t>
      </w:r>
      <w:r w:rsidR="00EF135D">
        <w:rPr>
          <w:rFonts w:ascii="David" w:hAnsi="David" w:cs="David" w:hint="cs"/>
          <w:sz w:val="24"/>
          <w:szCs w:val="24"/>
          <w:rtl/>
        </w:rPr>
        <w:t xml:space="preserve"> פיסיים</w:t>
      </w:r>
      <w:r w:rsidR="0068735A">
        <w:rPr>
          <w:rFonts w:ascii="David" w:hAnsi="David" w:cs="David" w:hint="cs"/>
          <w:sz w:val="24"/>
          <w:szCs w:val="24"/>
          <w:rtl/>
        </w:rPr>
        <w:t xml:space="preserve"> </w:t>
      </w:r>
      <w:r w:rsidR="002C6E5D">
        <w:rPr>
          <w:rFonts w:ascii="David" w:hAnsi="David" w:cs="David" w:hint="cs"/>
          <w:sz w:val="24"/>
          <w:szCs w:val="24"/>
          <w:rtl/>
        </w:rPr>
        <w:t xml:space="preserve">(על </w:t>
      </w:r>
      <w:r w:rsidR="0068735A">
        <w:rPr>
          <w:rFonts w:ascii="David" w:hAnsi="David" w:cs="David" w:hint="cs"/>
          <w:sz w:val="24"/>
          <w:szCs w:val="24"/>
          <w:rtl/>
        </w:rPr>
        <w:t xml:space="preserve">מים, בהלכה </w:t>
      </w:r>
      <w:r w:rsidR="00D8371D">
        <w:rPr>
          <w:rFonts w:ascii="David" w:hAnsi="David" w:cs="David" w:hint="cs"/>
          <w:sz w:val="24"/>
          <w:szCs w:val="24"/>
          <w:rtl/>
        </w:rPr>
        <w:t xml:space="preserve">שקובעת </w:t>
      </w:r>
      <w:r w:rsidR="0068735A">
        <w:rPr>
          <w:rFonts w:ascii="David" w:hAnsi="David" w:cs="David" w:hint="cs"/>
          <w:sz w:val="24"/>
          <w:szCs w:val="24"/>
          <w:rtl/>
        </w:rPr>
        <w:t xml:space="preserve">תור </w:t>
      </w:r>
      <w:r w:rsidR="00D8371D">
        <w:rPr>
          <w:rFonts w:ascii="David" w:hAnsi="David" w:cs="David" w:hint="cs"/>
          <w:sz w:val="24"/>
          <w:szCs w:val="24"/>
          <w:rtl/>
        </w:rPr>
        <w:t>ל</w:t>
      </w:r>
      <w:r w:rsidR="0068735A">
        <w:rPr>
          <w:rFonts w:ascii="David" w:hAnsi="David" w:cs="David" w:hint="cs"/>
          <w:sz w:val="24"/>
          <w:szCs w:val="24"/>
          <w:rtl/>
        </w:rPr>
        <w:t>שימוש במים;</w:t>
      </w:r>
      <w:r w:rsidR="00F25E12">
        <w:rPr>
          <w:rStyle w:val="a5"/>
          <w:rFonts w:ascii="David" w:hAnsi="David" w:cs="David"/>
          <w:sz w:val="24"/>
          <w:szCs w:val="24"/>
          <w:rtl/>
        </w:rPr>
        <w:footnoteReference w:id="79"/>
      </w:r>
      <w:r w:rsidR="0068735A">
        <w:rPr>
          <w:rFonts w:ascii="David" w:hAnsi="David" w:cs="David" w:hint="cs"/>
          <w:sz w:val="24"/>
          <w:szCs w:val="24"/>
          <w:rtl/>
        </w:rPr>
        <w:t xml:space="preserve"> </w:t>
      </w:r>
      <w:r w:rsidR="00CD087C">
        <w:rPr>
          <w:rFonts w:ascii="David" w:hAnsi="David" w:cs="David" w:hint="cs"/>
          <w:sz w:val="24"/>
          <w:szCs w:val="24"/>
          <w:rtl/>
        </w:rPr>
        <w:t xml:space="preserve">על </w:t>
      </w:r>
      <w:r w:rsidR="0068735A">
        <w:rPr>
          <w:rFonts w:ascii="David" w:hAnsi="David" w:cs="David" w:hint="cs"/>
          <w:sz w:val="24"/>
          <w:szCs w:val="24"/>
          <w:rtl/>
        </w:rPr>
        <w:t xml:space="preserve">זיתים או </w:t>
      </w:r>
      <w:r w:rsidR="00CD087C">
        <w:rPr>
          <w:rFonts w:ascii="David" w:hAnsi="David" w:cs="David" w:hint="cs"/>
          <w:sz w:val="24"/>
          <w:szCs w:val="24"/>
          <w:rtl/>
        </w:rPr>
        <w:t>חיות ש</w:t>
      </w:r>
      <w:r w:rsidR="001609F8">
        <w:rPr>
          <w:rFonts w:ascii="David" w:hAnsi="David" w:cs="David" w:hint="cs"/>
          <w:sz w:val="24"/>
          <w:szCs w:val="24"/>
          <w:rtl/>
        </w:rPr>
        <w:t xml:space="preserve">ניצודו בעזרת מלכודות </w:t>
      </w:r>
      <w:r w:rsidR="0068735A">
        <w:rPr>
          <w:rFonts w:ascii="David" w:hAnsi="David" w:cs="David" w:hint="cs"/>
          <w:sz w:val="24"/>
          <w:szCs w:val="24"/>
          <w:rtl/>
        </w:rPr>
        <w:t xml:space="preserve">במחלוקות שבין רבי יוסי לחכמים; </w:t>
      </w:r>
      <w:r w:rsidR="00EF135D">
        <w:rPr>
          <w:rFonts w:ascii="David" w:hAnsi="David" w:cs="David" w:hint="cs"/>
          <w:sz w:val="24"/>
          <w:szCs w:val="24"/>
          <w:rtl/>
        </w:rPr>
        <w:t xml:space="preserve">על </w:t>
      </w:r>
      <w:r w:rsidR="002C6E5D">
        <w:rPr>
          <w:rFonts w:ascii="David" w:hAnsi="David" w:cs="David" w:hint="cs"/>
          <w:sz w:val="24"/>
          <w:szCs w:val="24"/>
          <w:rtl/>
        </w:rPr>
        <w:t>כסף</w:t>
      </w:r>
      <w:r w:rsidR="002E11AF">
        <w:rPr>
          <w:rFonts w:ascii="David" w:hAnsi="David" w:cs="David" w:hint="cs"/>
          <w:sz w:val="24"/>
          <w:szCs w:val="24"/>
          <w:rtl/>
        </w:rPr>
        <w:t>,</w:t>
      </w:r>
      <w:r w:rsidR="002C6E5D">
        <w:rPr>
          <w:rFonts w:ascii="David" w:hAnsi="David" w:cs="David" w:hint="cs"/>
          <w:sz w:val="24"/>
          <w:szCs w:val="24"/>
          <w:rtl/>
        </w:rPr>
        <w:t xml:space="preserve"> כפי שעלה מ</w:t>
      </w:r>
      <w:r w:rsidR="0069773E">
        <w:rPr>
          <w:rFonts w:ascii="David" w:hAnsi="David" w:cs="David" w:hint="cs"/>
          <w:sz w:val="24"/>
          <w:szCs w:val="24"/>
          <w:rtl/>
        </w:rPr>
        <w:t>חלק מ</w:t>
      </w:r>
      <w:r w:rsidR="002C6E5D">
        <w:rPr>
          <w:rFonts w:ascii="David" w:hAnsi="David" w:cs="David" w:hint="cs"/>
          <w:sz w:val="24"/>
          <w:szCs w:val="24"/>
          <w:rtl/>
        </w:rPr>
        <w:t>הפרשנו</w:t>
      </w:r>
      <w:r w:rsidR="0069773E">
        <w:rPr>
          <w:rFonts w:ascii="David" w:hAnsi="David" w:cs="David" w:hint="cs"/>
          <w:sz w:val="24"/>
          <w:szCs w:val="24"/>
          <w:rtl/>
        </w:rPr>
        <w:t>יו</w:t>
      </w:r>
      <w:r w:rsidR="002C6E5D">
        <w:rPr>
          <w:rFonts w:ascii="David" w:hAnsi="David" w:cs="David" w:hint="cs"/>
          <w:sz w:val="24"/>
          <w:szCs w:val="24"/>
          <w:rtl/>
        </w:rPr>
        <w:t>ת שניתנ</w:t>
      </w:r>
      <w:r w:rsidR="0069773E">
        <w:rPr>
          <w:rFonts w:ascii="David" w:hAnsi="David" w:cs="David" w:hint="cs"/>
          <w:sz w:val="24"/>
          <w:szCs w:val="24"/>
          <w:rtl/>
        </w:rPr>
        <w:t>ו</w:t>
      </w:r>
      <w:r w:rsidR="002C6E5D">
        <w:rPr>
          <w:rFonts w:ascii="David" w:hAnsi="David" w:cs="David" w:hint="cs"/>
          <w:sz w:val="24"/>
          <w:szCs w:val="24"/>
          <w:rtl/>
        </w:rPr>
        <w:t xml:space="preserve"> לכ</w:t>
      </w:r>
      <w:r w:rsidR="00685C19">
        <w:rPr>
          <w:rFonts w:ascii="David" w:hAnsi="David" w:cs="David" w:hint="cs"/>
          <w:sz w:val="24"/>
          <w:szCs w:val="24"/>
          <w:rtl/>
        </w:rPr>
        <w:t>ל</w:t>
      </w:r>
      <w:r w:rsidR="002C6E5D">
        <w:rPr>
          <w:rFonts w:ascii="David" w:hAnsi="David" w:cs="David" w:hint="cs"/>
          <w:sz w:val="24"/>
          <w:szCs w:val="24"/>
          <w:rtl/>
        </w:rPr>
        <w:t>ל שקבע כי יש להשאיר את העירוב בבית הישן</w:t>
      </w:r>
      <w:r w:rsidR="0068735A">
        <w:rPr>
          <w:rFonts w:ascii="David" w:hAnsi="David" w:cs="David" w:hint="cs"/>
          <w:sz w:val="24"/>
          <w:szCs w:val="24"/>
          <w:rtl/>
        </w:rPr>
        <w:t>)</w:t>
      </w:r>
      <w:r w:rsidR="001609F8">
        <w:rPr>
          <w:rFonts w:ascii="David" w:hAnsi="David" w:cs="David" w:hint="cs"/>
          <w:sz w:val="24"/>
          <w:szCs w:val="24"/>
          <w:rtl/>
        </w:rPr>
        <w:t>.</w:t>
      </w:r>
      <w:r w:rsidR="0068735A">
        <w:rPr>
          <w:rFonts w:ascii="David" w:hAnsi="David" w:cs="David" w:hint="cs"/>
          <w:sz w:val="24"/>
          <w:szCs w:val="24"/>
          <w:rtl/>
        </w:rPr>
        <w:t xml:space="preserve"> </w:t>
      </w:r>
      <w:r w:rsidR="001609F8">
        <w:rPr>
          <w:rFonts w:ascii="David" w:hAnsi="David" w:cs="David" w:hint="cs"/>
          <w:sz w:val="24"/>
          <w:szCs w:val="24"/>
          <w:rtl/>
        </w:rPr>
        <w:t>קונפליקטים אחרים נוצר</w:t>
      </w:r>
      <w:r w:rsidR="003919FE">
        <w:rPr>
          <w:rFonts w:ascii="David" w:hAnsi="David" w:cs="David" w:hint="cs"/>
          <w:sz w:val="24"/>
          <w:szCs w:val="24"/>
          <w:rtl/>
        </w:rPr>
        <w:t xml:space="preserve">ו </w:t>
      </w:r>
      <w:r w:rsidR="001609F8">
        <w:rPr>
          <w:rFonts w:ascii="David" w:hAnsi="David" w:cs="David" w:hint="cs"/>
          <w:sz w:val="24"/>
          <w:szCs w:val="24"/>
          <w:rtl/>
        </w:rPr>
        <w:t>מ</w:t>
      </w:r>
      <w:r w:rsidR="00D40F52">
        <w:rPr>
          <w:rFonts w:ascii="David" w:hAnsi="David" w:cs="David" w:hint="cs"/>
          <w:sz w:val="24"/>
          <w:szCs w:val="24"/>
          <w:rtl/>
        </w:rPr>
        <w:t xml:space="preserve">תוך </w:t>
      </w:r>
      <w:r w:rsidR="001609F8">
        <w:rPr>
          <w:rFonts w:ascii="David" w:hAnsi="David" w:cs="David" w:hint="cs"/>
          <w:sz w:val="24"/>
          <w:szCs w:val="24"/>
          <w:rtl/>
        </w:rPr>
        <w:t xml:space="preserve">מאבק </w:t>
      </w:r>
      <w:r w:rsidR="0068735A">
        <w:rPr>
          <w:rFonts w:ascii="David" w:hAnsi="David" w:cs="David" w:hint="cs"/>
          <w:sz w:val="24"/>
          <w:szCs w:val="24"/>
          <w:rtl/>
        </w:rPr>
        <w:t>על הון חברתי (</w:t>
      </w:r>
      <w:r w:rsidR="002C6E5D">
        <w:rPr>
          <w:rFonts w:ascii="David" w:hAnsi="David" w:cs="David" w:hint="cs"/>
          <w:sz w:val="24"/>
          <w:szCs w:val="24"/>
          <w:rtl/>
        </w:rPr>
        <w:t>'</w:t>
      </w:r>
      <w:r w:rsidR="0068735A">
        <w:rPr>
          <w:rFonts w:ascii="David" w:hAnsi="David" w:cs="David" w:hint="cs"/>
          <w:sz w:val="24"/>
          <w:szCs w:val="24"/>
          <w:rtl/>
        </w:rPr>
        <w:t>כבוד</w:t>
      </w:r>
      <w:r w:rsidR="002C6E5D">
        <w:rPr>
          <w:rFonts w:ascii="David" w:hAnsi="David" w:cs="David" w:hint="cs"/>
          <w:sz w:val="24"/>
          <w:szCs w:val="24"/>
          <w:rtl/>
        </w:rPr>
        <w:t>' -</w:t>
      </w:r>
      <w:r w:rsidR="0068735A">
        <w:rPr>
          <w:rFonts w:ascii="David" w:hAnsi="David" w:cs="David" w:hint="cs"/>
          <w:sz w:val="24"/>
          <w:szCs w:val="24"/>
          <w:rtl/>
        </w:rPr>
        <w:t xml:space="preserve"> במקר</w:t>
      </w:r>
      <w:r w:rsidR="002C6E5D">
        <w:rPr>
          <w:rFonts w:ascii="David" w:hAnsi="David" w:cs="David" w:hint="cs"/>
          <w:sz w:val="24"/>
          <w:szCs w:val="24"/>
          <w:rtl/>
        </w:rPr>
        <w:t>ה</w:t>
      </w:r>
      <w:r w:rsidR="0068735A">
        <w:rPr>
          <w:rFonts w:ascii="David" w:hAnsi="David" w:cs="David" w:hint="cs"/>
          <w:sz w:val="24"/>
          <w:szCs w:val="24"/>
          <w:rtl/>
        </w:rPr>
        <w:t xml:space="preserve"> של דיני העירוב</w:t>
      </w:r>
      <w:r w:rsidR="002C6E5D">
        <w:rPr>
          <w:rFonts w:ascii="David" w:hAnsi="David" w:cs="David" w:hint="cs"/>
          <w:sz w:val="24"/>
          <w:szCs w:val="24"/>
          <w:rtl/>
        </w:rPr>
        <w:t xml:space="preserve"> </w:t>
      </w:r>
      <w:r w:rsidR="00D8371D">
        <w:rPr>
          <w:rFonts w:ascii="David" w:hAnsi="David" w:cs="David" w:hint="cs"/>
          <w:sz w:val="24"/>
          <w:szCs w:val="24"/>
          <w:rtl/>
        </w:rPr>
        <w:t>ע</w:t>
      </w:r>
      <w:r w:rsidR="002C6E5D">
        <w:rPr>
          <w:rFonts w:ascii="David" w:hAnsi="David" w:cs="David" w:hint="cs"/>
          <w:sz w:val="24"/>
          <w:szCs w:val="24"/>
          <w:rtl/>
        </w:rPr>
        <w:t>ל</w:t>
      </w:r>
      <w:r w:rsidR="00D8371D">
        <w:rPr>
          <w:rFonts w:ascii="David" w:hAnsi="David" w:cs="David" w:hint="cs"/>
          <w:sz w:val="24"/>
          <w:szCs w:val="24"/>
          <w:rtl/>
        </w:rPr>
        <w:t xml:space="preserve"> פי </w:t>
      </w:r>
      <w:r w:rsidR="002C6E5D">
        <w:rPr>
          <w:rFonts w:ascii="David" w:hAnsi="David" w:cs="David" w:hint="cs"/>
          <w:sz w:val="24"/>
          <w:szCs w:val="24"/>
          <w:rtl/>
        </w:rPr>
        <w:t>פרשנות אחרת שהבאנו</w:t>
      </w:r>
      <w:r w:rsidR="00D40F52">
        <w:rPr>
          <w:rFonts w:ascii="David" w:hAnsi="David" w:cs="David" w:hint="cs"/>
          <w:sz w:val="24"/>
          <w:szCs w:val="24"/>
          <w:rtl/>
        </w:rPr>
        <w:t xml:space="preserve"> לעיל</w:t>
      </w:r>
      <w:r w:rsidR="002C6E5D">
        <w:rPr>
          <w:rFonts w:ascii="David" w:hAnsi="David" w:cs="David" w:hint="cs"/>
          <w:sz w:val="24"/>
          <w:szCs w:val="24"/>
          <w:rtl/>
        </w:rPr>
        <w:t>;</w:t>
      </w:r>
      <w:r w:rsidR="0068735A">
        <w:rPr>
          <w:rFonts w:ascii="David" w:hAnsi="David" w:cs="David" w:hint="cs"/>
          <w:sz w:val="24"/>
          <w:szCs w:val="24"/>
          <w:rtl/>
        </w:rPr>
        <w:t xml:space="preserve"> או של קביעת סדר הקריאה בתורה בבית הכנסת</w:t>
      </w:r>
      <w:r w:rsidR="000B6214">
        <w:rPr>
          <w:rFonts w:ascii="David" w:hAnsi="David" w:cs="David" w:hint="cs"/>
          <w:sz w:val="24"/>
          <w:szCs w:val="24"/>
          <w:rtl/>
        </w:rPr>
        <w:t xml:space="preserve"> בתקנה אחרת שמנומקת 'מפני דרכי שלום'</w:t>
      </w:r>
      <w:r w:rsidR="000B6214">
        <w:rPr>
          <w:rStyle w:val="a5"/>
          <w:rFonts w:ascii="David" w:hAnsi="David" w:cs="David"/>
          <w:sz w:val="24"/>
          <w:szCs w:val="24"/>
          <w:rtl/>
        </w:rPr>
        <w:footnoteReference w:id="80"/>
      </w:r>
      <w:r w:rsidR="0068735A">
        <w:rPr>
          <w:rFonts w:ascii="David" w:hAnsi="David" w:cs="David" w:hint="cs"/>
          <w:sz w:val="24"/>
          <w:szCs w:val="24"/>
          <w:rtl/>
        </w:rPr>
        <w:t>).</w:t>
      </w:r>
      <w:r w:rsidR="007A41AA">
        <w:rPr>
          <w:rFonts w:ascii="David" w:hAnsi="David" w:cs="David" w:hint="cs"/>
          <w:sz w:val="24"/>
          <w:szCs w:val="24"/>
          <w:rtl/>
        </w:rPr>
        <w:t xml:space="preserve"> </w:t>
      </w:r>
      <w:r w:rsidR="001609F8">
        <w:rPr>
          <w:rFonts w:ascii="David" w:hAnsi="David" w:cs="David" w:hint="cs"/>
          <w:sz w:val="24"/>
          <w:szCs w:val="24"/>
          <w:rtl/>
        </w:rPr>
        <w:t>סוג שלישי</w:t>
      </w:r>
      <w:r w:rsidR="00D53C0D">
        <w:rPr>
          <w:rFonts w:ascii="David" w:hAnsi="David" w:cs="David" w:hint="cs"/>
          <w:sz w:val="24"/>
          <w:szCs w:val="24"/>
          <w:rtl/>
        </w:rPr>
        <w:t xml:space="preserve"> (</w:t>
      </w:r>
      <w:r w:rsidR="001609F8">
        <w:rPr>
          <w:rFonts w:ascii="David" w:hAnsi="David" w:cs="David" w:hint="cs"/>
          <w:sz w:val="24"/>
          <w:szCs w:val="24"/>
          <w:rtl/>
        </w:rPr>
        <w:t>שלא עסקתי בו במאמר זה</w:t>
      </w:r>
      <w:r w:rsidR="00D53C0D">
        <w:rPr>
          <w:rFonts w:ascii="David" w:hAnsi="David" w:cs="David" w:hint="cs"/>
          <w:sz w:val="24"/>
          <w:szCs w:val="24"/>
          <w:rtl/>
        </w:rPr>
        <w:t>)</w:t>
      </w:r>
      <w:r w:rsidR="001609F8">
        <w:rPr>
          <w:rFonts w:ascii="David" w:hAnsi="David" w:cs="David" w:hint="cs"/>
          <w:sz w:val="24"/>
          <w:szCs w:val="24"/>
          <w:rtl/>
        </w:rPr>
        <w:t>, ה</w:t>
      </w:r>
      <w:r w:rsidR="00EF4ABA">
        <w:rPr>
          <w:rFonts w:ascii="David" w:hAnsi="David" w:cs="David" w:hint="cs"/>
          <w:sz w:val="24"/>
          <w:szCs w:val="24"/>
          <w:rtl/>
        </w:rPr>
        <w:t>ם</w:t>
      </w:r>
      <w:r w:rsidR="001609F8">
        <w:rPr>
          <w:rFonts w:ascii="David" w:hAnsi="David" w:cs="David" w:hint="cs"/>
          <w:sz w:val="24"/>
          <w:szCs w:val="24"/>
          <w:rtl/>
        </w:rPr>
        <w:t xml:space="preserve"> קונפליקט</w:t>
      </w:r>
      <w:r w:rsidR="00EF4ABA">
        <w:rPr>
          <w:rFonts w:ascii="David" w:hAnsi="David" w:cs="David" w:hint="cs"/>
          <w:sz w:val="24"/>
          <w:szCs w:val="24"/>
          <w:rtl/>
        </w:rPr>
        <w:t>ים</w:t>
      </w:r>
      <w:r w:rsidR="001609F8">
        <w:rPr>
          <w:rFonts w:ascii="David" w:hAnsi="David" w:cs="David" w:hint="cs"/>
          <w:sz w:val="24"/>
          <w:szCs w:val="24"/>
          <w:rtl/>
        </w:rPr>
        <w:t xml:space="preserve"> </w:t>
      </w:r>
      <w:r w:rsidR="001609F8">
        <w:rPr>
          <w:rFonts w:ascii="David" w:hAnsi="David" w:cs="David"/>
          <w:sz w:val="24"/>
          <w:szCs w:val="24"/>
          <w:rtl/>
        </w:rPr>
        <w:t>–</w:t>
      </w:r>
      <w:r w:rsidR="001609F8">
        <w:rPr>
          <w:rFonts w:ascii="David" w:hAnsi="David" w:cs="David" w:hint="cs"/>
          <w:sz w:val="24"/>
          <w:szCs w:val="24"/>
          <w:rtl/>
        </w:rPr>
        <w:t xml:space="preserve"> שלא חייב</w:t>
      </w:r>
      <w:r w:rsidR="00EF4ABA">
        <w:rPr>
          <w:rFonts w:ascii="David" w:hAnsi="David" w:cs="David" w:hint="cs"/>
          <w:sz w:val="24"/>
          <w:szCs w:val="24"/>
          <w:rtl/>
        </w:rPr>
        <w:t>ים</w:t>
      </w:r>
      <w:r w:rsidR="001609F8">
        <w:rPr>
          <w:rFonts w:ascii="David" w:hAnsi="David" w:cs="David" w:hint="cs"/>
          <w:sz w:val="24"/>
          <w:szCs w:val="24"/>
          <w:rtl/>
        </w:rPr>
        <w:t xml:space="preserve"> להגיע דווקא ל</w:t>
      </w:r>
      <w:r w:rsidR="00EF4ABA">
        <w:rPr>
          <w:rFonts w:ascii="David" w:hAnsi="David" w:cs="David" w:hint="cs"/>
          <w:sz w:val="24"/>
          <w:szCs w:val="24"/>
          <w:rtl/>
        </w:rPr>
        <w:t xml:space="preserve">כדי </w:t>
      </w:r>
      <w:r w:rsidR="001609F8">
        <w:rPr>
          <w:rFonts w:ascii="David" w:hAnsi="David" w:cs="David" w:hint="cs"/>
          <w:sz w:val="24"/>
          <w:szCs w:val="24"/>
          <w:rtl/>
        </w:rPr>
        <w:t xml:space="preserve">אלימות </w:t>
      </w:r>
      <w:r w:rsidR="001609F8">
        <w:rPr>
          <w:rFonts w:ascii="David" w:hAnsi="David" w:cs="David"/>
          <w:sz w:val="24"/>
          <w:szCs w:val="24"/>
          <w:rtl/>
        </w:rPr>
        <w:t>–</w:t>
      </w:r>
      <w:r w:rsidR="001609F8">
        <w:rPr>
          <w:rFonts w:ascii="David" w:hAnsi="David" w:cs="David" w:hint="cs"/>
          <w:sz w:val="24"/>
          <w:szCs w:val="24"/>
          <w:rtl/>
        </w:rPr>
        <w:t xml:space="preserve"> </w:t>
      </w:r>
      <w:r w:rsidR="00EF4ABA">
        <w:rPr>
          <w:rFonts w:ascii="David" w:hAnsi="David" w:cs="David" w:hint="cs"/>
          <w:sz w:val="24"/>
          <w:szCs w:val="24"/>
          <w:rtl/>
        </w:rPr>
        <w:t xml:space="preserve">ואשר </w:t>
      </w:r>
      <w:r w:rsidR="001609F8">
        <w:rPr>
          <w:rFonts w:ascii="David" w:hAnsi="David" w:cs="David" w:hint="cs"/>
          <w:sz w:val="24"/>
          <w:szCs w:val="24"/>
          <w:rtl/>
        </w:rPr>
        <w:t>נוצר</w:t>
      </w:r>
      <w:r w:rsidR="00EF4ABA">
        <w:rPr>
          <w:rFonts w:ascii="David" w:hAnsi="David" w:cs="David" w:hint="cs"/>
          <w:sz w:val="24"/>
          <w:szCs w:val="24"/>
          <w:rtl/>
        </w:rPr>
        <w:t>ו</w:t>
      </w:r>
      <w:r w:rsidR="001609F8">
        <w:rPr>
          <w:rFonts w:ascii="David" w:hAnsi="David" w:cs="David" w:hint="cs"/>
          <w:sz w:val="24"/>
          <w:szCs w:val="24"/>
          <w:rtl/>
        </w:rPr>
        <w:t xml:space="preserve"> אולי כתוצאה מהתלבטות אישית </w:t>
      </w:r>
      <w:r w:rsidR="00EF4ABA">
        <w:rPr>
          <w:rFonts w:ascii="David" w:hAnsi="David" w:cs="David" w:hint="cs"/>
          <w:sz w:val="24"/>
          <w:szCs w:val="24"/>
          <w:rtl/>
        </w:rPr>
        <w:t xml:space="preserve">(פנימית) </w:t>
      </w:r>
      <w:r w:rsidR="00D53C0D">
        <w:rPr>
          <w:rFonts w:ascii="David" w:hAnsi="David" w:cs="David" w:hint="cs"/>
          <w:sz w:val="24"/>
          <w:szCs w:val="24"/>
          <w:rtl/>
        </w:rPr>
        <w:t>של אנשים משכבת החכמים</w:t>
      </w:r>
      <w:r w:rsidR="003919FE">
        <w:rPr>
          <w:rFonts w:ascii="David" w:hAnsi="David" w:cs="David" w:hint="cs"/>
          <w:sz w:val="24"/>
          <w:szCs w:val="24"/>
          <w:rtl/>
        </w:rPr>
        <w:t>:</w:t>
      </w:r>
      <w:r w:rsidR="00D53C0D">
        <w:rPr>
          <w:rFonts w:ascii="David" w:hAnsi="David" w:cs="David" w:hint="cs"/>
          <w:sz w:val="24"/>
          <w:szCs w:val="24"/>
          <w:rtl/>
        </w:rPr>
        <w:t xml:space="preserve"> </w:t>
      </w:r>
      <w:r w:rsidR="001609F8">
        <w:rPr>
          <w:rFonts w:ascii="David" w:hAnsi="David" w:cs="David" w:hint="cs"/>
          <w:sz w:val="24"/>
          <w:szCs w:val="24"/>
          <w:rtl/>
        </w:rPr>
        <w:t xml:space="preserve">עד כמה ניתן לקיים </w:t>
      </w:r>
      <w:r w:rsidR="00D53C0D">
        <w:rPr>
          <w:rFonts w:ascii="David" w:hAnsi="David" w:cs="David" w:hint="cs"/>
          <w:sz w:val="24"/>
          <w:szCs w:val="24"/>
          <w:rtl/>
        </w:rPr>
        <w:t xml:space="preserve">שכנות </w:t>
      </w:r>
      <w:r w:rsidR="00D53C0D">
        <w:rPr>
          <w:rFonts w:ascii="David" w:hAnsi="David" w:cs="David" w:hint="cs"/>
          <w:sz w:val="24"/>
          <w:szCs w:val="24"/>
          <w:rtl/>
        </w:rPr>
        <w:lastRenderedPageBreak/>
        <w:t xml:space="preserve">שיש בה צוותא של </w:t>
      </w:r>
      <w:r w:rsidR="00CF6F07">
        <w:rPr>
          <w:rFonts w:ascii="David" w:hAnsi="David" w:cs="David" w:hint="cs"/>
          <w:sz w:val="24"/>
          <w:szCs w:val="24"/>
          <w:rtl/>
        </w:rPr>
        <w:t>מפגש ו</w:t>
      </w:r>
      <w:r w:rsidR="001609F8">
        <w:rPr>
          <w:rFonts w:ascii="David" w:hAnsi="David" w:cs="David" w:hint="cs"/>
          <w:sz w:val="24"/>
          <w:szCs w:val="24"/>
          <w:rtl/>
        </w:rPr>
        <w:t xml:space="preserve">עבודה יומיומית עם </w:t>
      </w:r>
      <w:r w:rsidR="00D53C0D">
        <w:rPr>
          <w:rFonts w:ascii="David" w:hAnsi="David" w:cs="David" w:hint="cs"/>
          <w:sz w:val="24"/>
          <w:szCs w:val="24"/>
          <w:rtl/>
        </w:rPr>
        <w:t xml:space="preserve">אנשים </w:t>
      </w:r>
      <w:r w:rsidR="001609F8">
        <w:rPr>
          <w:rFonts w:ascii="David" w:hAnsi="David" w:cs="David" w:hint="cs"/>
          <w:sz w:val="24"/>
          <w:szCs w:val="24"/>
          <w:rtl/>
        </w:rPr>
        <w:t xml:space="preserve">שאינם מקפידים באותה מידה של חומרה על קיום </w:t>
      </w:r>
      <w:r w:rsidR="00D53C0D">
        <w:rPr>
          <w:rFonts w:ascii="David" w:hAnsi="David" w:cs="David" w:hint="cs"/>
          <w:sz w:val="24"/>
          <w:szCs w:val="24"/>
          <w:rtl/>
        </w:rPr>
        <w:t>ה</w:t>
      </w:r>
      <w:r w:rsidR="001609F8">
        <w:rPr>
          <w:rFonts w:ascii="David" w:hAnsi="David" w:cs="David" w:hint="cs"/>
          <w:sz w:val="24"/>
          <w:szCs w:val="24"/>
          <w:rtl/>
        </w:rPr>
        <w:t xml:space="preserve">מצוות </w:t>
      </w:r>
      <w:r w:rsidR="00D53C0D">
        <w:rPr>
          <w:rFonts w:ascii="David" w:hAnsi="David" w:cs="David" w:hint="cs"/>
          <w:sz w:val="24"/>
          <w:szCs w:val="24"/>
          <w:rtl/>
        </w:rPr>
        <w:t>ה</w:t>
      </w:r>
      <w:r w:rsidR="001609F8">
        <w:rPr>
          <w:rFonts w:ascii="David" w:hAnsi="David" w:cs="David" w:hint="cs"/>
          <w:sz w:val="24"/>
          <w:szCs w:val="24"/>
          <w:rtl/>
        </w:rPr>
        <w:t xml:space="preserve">דתיות (שנת שמיטה, </w:t>
      </w:r>
      <w:r w:rsidR="00BB6A3A">
        <w:rPr>
          <w:rFonts w:ascii="David" w:hAnsi="David" w:cs="David" w:hint="cs"/>
          <w:sz w:val="24"/>
          <w:szCs w:val="24"/>
          <w:rtl/>
        </w:rPr>
        <w:t>הפרשת מעשרות)</w:t>
      </w:r>
      <w:r w:rsidR="00DB6F91">
        <w:rPr>
          <w:rFonts w:ascii="David" w:hAnsi="David" w:cs="David" w:hint="cs"/>
          <w:sz w:val="24"/>
          <w:szCs w:val="24"/>
          <w:rtl/>
        </w:rPr>
        <w:t xml:space="preserve"> ועם גויים</w:t>
      </w:r>
      <w:r w:rsidR="00BB6A3A">
        <w:rPr>
          <w:rFonts w:ascii="David" w:hAnsi="David" w:cs="David" w:hint="cs"/>
          <w:sz w:val="24"/>
          <w:szCs w:val="24"/>
          <w:rtl/>
        </w:rPr>
        <w:t>.</w:t>
      </w:r>
      <w:r w:rsidR="00B03261">
        <w:rPr>
          <w:rStyle w:val="a5"/>
          <w:rFonts w:ascii="David" w:hAnsi="David" w:cs="David"/>
          <w:sz w:val="24"/>
          <w:szCs w:val="24"/>
          <w:rtl/>
        </w:rPr>
        <w:footnoteReference w:id="81"/>
      </w:r>
      <w:r w:rsidR="00BB6A3A">
        <w:rPr>
          <w:rFonts w:ascii="David" w:hAnsi="David" w:cs="David" w:hint="cs"/>
          <w:sz w:val="24"/>
          <w:szCs w:val="24"/>
          <w:rtl/>
        </w:rPr>
        <w:t xml:space="preserve"> </w:t>
      </w:r>
      <w:r w:rsidR="00C26896" w:rsidRPr="00C26896">
        <w:rPr>
          <w:rFonts w:ascii="David" w:hAnsi="David" w:cs="David"/>
          <w:sz w:val="24"/>
          <w:szCs w:val="24"/>
          <w:rtl/>
        </w:rPr>
        <w:t>למרות שלכאורה ה</w:t>
      </w:r>
      <w:r w:rsidR="0069773E">
        <w:rPr>
          <w:rFonts w:ascii="David" w:hAnsi="David" w:cs="David" w:hint="cs"/>
          <w:sz w:val="24"/>
          <w:szCs w:val="24"/>
          <w:rtl/>
        </w:rPr>
        <w:t>ה</w:t>
      </w:r>
      <w:r w:rsidR="00C26896" w:rsidRPr="00C26896">
        <w:rPr>
          <w:rFonts w:ascii="David" w:hAnsi="David" w:cs="David"/>
          <w:sz w:val="24"/>
          <w:szCs w:val="24"/>
          <w:rtl/>
        </w:rPr>
        <w:t>לכות</w:t>
      </w:r>
      <w:r w:rsidR="00D53C0D">
        <w:rPr>
          <w:rFonts w:ascii="David" w:hAnsi="David" w:cs="David" w:hint="cs"/>
          <w:sz w:val="24"/>
          <w:szCs w:val="24"/>
          <w:rtl/>
        </w:rPr>
        <w:t xml:space="preserve"> </w:t>
      </w:r>
      <w:r w:rsidR="005D3DA8">
        <w:rPr>
          <w:rFonts w:ascii="David" w:hAnsi="David" w:cs="David" w:hint="cs"/>
          <w:sz w:val="24"/>
          <w:szCs w:val="24"/>
          <w:rtl/>
        </w:rPr>
        <w:t>מן הסוג השלישי</w:t>
      </w:r>
      <w:r w:rsidR="00C26896" w:rsidRPr="00C26896">
        <w:rPr>
          <w:rFonts w:ascii="David" w:hAnsi="David" w:cs="David"/>
          <w:sz w:val="24"/>
          <w:szCs w:val="24"/>
          <w:rtl/>
        </w:rPr>
        <w:t xml:space="preserve"> מסדירות 'התנגשות' בין נומוסים שונים, מה ש</w:t>
      </w:r>
      <w:r w:rsidR="00CF6F07">
        <w:rPr>
          <w:rFonts w:ascii="David" w:hAnsi="David" w:cs="David" w:hint="cs"/>
          <w:sz w:val="24"/>
          <w:szCs w:val="24"/>
          <w:rtl/>
        </w:rPr>
        <w:t>ה</w:t>
      </w:r>
      <w:r w:rsidR="00C26896" w:rsidRPr="00C26896">
        <w:rPr>
          <w:rFonts w:ascii="David" w:hAnsi="David" w:cs="David"/>
          <w:sz w:val="24"/>
          <w:szCs w:val="24"/>
          <w:rtl/>
        </w:rPr>
        <w:t xml:space="preserve">ודגש בהן </w:t>
      </w:r>
      <w:r w:rsidR="00EA0EBB">
        <w:rPr>
          <w:rFonts w:ascii="David" w:hAnsi="David" w:cs="David" w:hint="cs"/>
          <w:sz w:val="24"/>
          <w:szCs w:val="24"/>
          <w:rtl/>
        </w:rPr>
        <w:t xml:space="preserve">(בדומה להלכות משני הסוגים האחרים </w:t>
      </w:r>
      <w:r w:rsidR="00EA0EBB">
        <w:rPr>
          <w:rFonts w:ascii="David" w:hAnsi="David" w:cs="David"/>
          <w:sz w:val="24"/>
          <w:szCs w:val="24"/>
          <w:rtl/>
        </w:rPr>
        <w:t>–</w:t>
      </w:r>
      <w:r w:rsidR="00EA0EBB">
        <w:rPr>
          <w:rFonts w:ascii="David" w:hAnsi="David" w:cs="David" w:hint="cs"/>
          <w:sz w:val="24"/>
          <w:szCs w:val="24"/>
          <w:rtl/>
        </w:rPr>
        <w:t xml:space="preserve"> מאבקים על שאבים פיסיים ועל כבוד) </w:t>
      </w:r>
      <w:r w:rsidR="00C26896" w:rsidRPr="00C26896">
        <w:rPr>
          <w:rFonts w:ascii="David" w:hAnsi="David" w:cs="David"/>
          <w:sz w:val="24"/>
          <w:szCs w:val="24"/>
          <w:rtl/>
        </w:rPr>
        <w:t xml:space="preserve">אינו </w:t>
      </w:r>
      <w:r w:rsidR="0037743C">
        <w:rPr>
          <w:rFonts w:ascii="David" w:hAnsi="David" w:cs="David" w:hint="cs"/>
          <w:sz w:val="24"/>
          <w:szCs w:val="24"/>
          <w:rtl/>
        </w:rPr>
        <w:t xml:space="preserve">דחייה של הנומוס האחר או </w:t>
      </w:r>
      <w:r w:rsidR="00C26896" w:rsidRPr="00C26896">
        <w:rPr>
          <w:rFonts w:ascii="David" w:hAnsi="David" w:cs="David"/>
          <w:sz w:val="24"/>
          <w:szCs w:val="24"/>
          <w:rtl/>
        </w:rPr>
        <w:t xml:space="preserve">הצורך ליישב בין </w:t>
      </w:r>
      <w:r w:rsidR="007F256F">
        <w:rPr>
          <w:rFonts w:ascii="David" w:hAnsi="David" w:cs="David" w:hint="cs"/>
          <w:sz w:val="24"/>
          <w:szCs w:val="24"/>
          <w:rtl/>
        </w:rPr>
        <w:t>נ</w:t>
      </w:r>
      <w:r w:rsidR="00C26896" w:rsidRPr="00C26896">
        <w:rPr>
          <w:rFonts w:ascii="David" w:hAnsi="David" w:cs="David"/>
          <w:sz w:val="24"/>
          <w:szCs w:val="24"/>
          <w:rtl/>
        </w:rPr>
        <w:t>רטיבים שונים</w:t>
      </w:r>
      <w:r w:rsidR="005D3DA8">
        <w:rPr>
          <w:rFonts w:ascii="David" w:hAnsi="David" w:cs="David" w:hint="cs"/>
          <w:sz w:val="24"/>
          <w:szCs w:val="24"/>
          <w:rtl/>
        </w:rPr>
        <w:t>,</w:t>
      </w:r>
      <w:r w:rsidR="00C26896" w:rsidRPr="00C26896">
        <w:rPr>
          <w:rFonts w:ascii="David" w:hAnsi="David" w:cs="David"/>
          <w:sz w:val="24"/>
          <w:szCs w:val="24"/>
          <w:rtl/>
        </w:rPr>
        <w:t xml:space="preserve"> כמו בגישה המסתייגת (בוודאי לא על ידי </w:t>
      </w:r>
      <w:r w:rsidR="00712842">
        <w:rPr>
          <w:rFonts w:ascii="David" w:hAnsi="David" w:cs="David" w:hint="cs"/>
          <w:sz w:val="24"/>
          <w:szCs w:val="24"/>
          <w:rtl/>
        </w:rPr>
        <w:t>"</w:t>
      </w:r>
      <w:r w:rsidR="00C26896" w:rsidRPr="00C26896">
        <w:rPr>
          <w:rFonts w:ascii="David" w:hAnsi="David" w:cs="David"/>
          <w:sz w:val="24"/>
          <w:szCs w:val="24"/>
          <w:rtl/>
        </w:rPr>
        <w:t>השמדת</w:t>
      </w:r>
      <w:r w:rsidR="00712842">
        <w:rPr>
          <w:rFonts w:ascii="David" w:hAnsi="David" w:cs="David" w:hint="cs"/>
          <w:sz w:val="24"/>
          <w:szCs w:val="24"/>
          <w:rtl/>
        </w:rPr>
        <w:t>"</w:t>
      </w:r>
      <w:r w:rsidR="00C26896" w:rsidRPr="00C26896">
        <w:rPr>
          <w:rFonts w:ascii="David" w:hAnsi="David" w:cs="David"/>
          <w:sz w:val="24"/>
          <w:szCs w:val="24"/>
          <w:rtl/>
        </w:rPr>
        <w:t xml:space="preserve"> נרטיב אחד), אלא הנ</w:t>
      </w:r>
      <w:r w:rsidR="00C26896">
        <w:rPr>
          <w:rFonts w:ascii="David" w:hAnsi="David" w:cs="David" w:hint="cs"/>
          <w:sz w:val="24"/>
          <w:szCs w:val="24"/>
          <w:rtl/>
        </w:rPr>
        <w:t>י</w:t>
      </w:r>
      <w:r w:rsidR="00C26896" w:rsidRPr="00C26896">
        <w:rPr>
          <w:rFonts w:ascii="David" w:hAnsi="David" w:cs="David"/>
          <w:sz w:val="24"/>
          <w:szCs w:val="24"/>
          <w:rtl/>
        </w:rPr>
        <w:t xml:space="preserve">סיון למצא דרך חוקית, שאינה פוגעת בנרטיב ובנומוס של החכמים, כדי לקיים חיים </w:t>
      </w:r>
      <w:r w:rsidR="005D3DA8">
        <w:rPr>
          <w:rFonts w:ascii="David" w:hAnsi="David" w:cs="David" w:hint="cs"/>
          <w:sz w:val="24"/>
          <w:szCs w:val="24"/>
          <w:rtl/>
        </w:rPr>
        <w:t>'</w:t>
      </w:r>
      <w:r w:rsidR="00C26896" w:rsidRPr="00C26896">
        <w:rPr>
          <w:rFonts w:ascii="David" w:hAnsi="David" w:cs="David"/>
          <w:sz w:val="24"/>
          <w:szCs w:val="24"/>
          <w:rtl/>
        </w:rPr>
        <w:t>אזרחיים</w:t>
      </w:r>
      <w:r w:rsidR="005D3DA8">
        <w:rPr>
          <w:rFonts w:ascii="David" w:hAnsi="David" w:cs="David" w:hint="cs"/>
          <w:sz w:val="24"/>
          <w:szCs w:val="24"/>
          <w:rtl/>
        </w:rPr>
        <w:t>'</w:t>
      </w:r>
      <w:r w:rsidR="00C26896" w:rsidRPr="00C26896">
        <w:rPr>
          <w:rFonts w:ascii="David" w:hAnsi="David" w:cs="David"/>
          <w:sz w:val="24"/>
          <w:szCs w:val="24"/>
          <w:rtl/>
        </w:rPr>
        <w:t xml:space="preserve"> נעימים.</w:t>
      </w:r>
      <w:r w:rsidR="00C26896">
        <w:rPr>
          <w:rStyle w:val="a5"/>
          <w:rFonts w:ascii="David" w:hAnsi="David" w:cs="David"/>
          <w:sz w:val="24"/>
          <w:szCs w:val="24"/>
          <w:rtl/>
        </w:rPr>
        <w:footnoteReference w:id="82"/>
      </w:r>
      <w:r w:rsidR="00C26896">
        <w:rPr>
          <w:rFonts w:ascii="David" w:hAnsi="David" w:cs="David" w:hint="cs"/>
          <w:sz w:val="24"/>
          <w:szCs w:val="24"/>
          <w:rtl/>
        </w:rPr>
        <w:t xml:space="preserve"> </w:t>
      </w:r>
      <w:r w:rsidR="00C26896" w:rsidRPr="00C26896">
        <w:rPr>
          <w:rFonts w:ascii="David" w:hAnsi="David" w:cs="David"/>
          <w:sz w:val="24"/>
          <w:szCs w:val="24"/>
          <w:rtl/>
        </w:rPr>
        <w:t xml:space="preserve"> </w:t>
      </w:r>
    </w:p>
    <w:p w14:paraId="7197C5D6" w14:textId="3B837538" w:rsidR="00F12B15" w:rsidRDefault="007804C2" w:rsidP="003D0C0A">
      <w:pPr>
        <w:autoSpaceDE w:val="0"/>
        <w:autoSpaceDN w:val="0"/>
        <w:adjustRightInd w:val="0"/>
        <w:spacing w:after="0" w:line="480" w:lineRule="auto"/>
        <w:ind w:firstLine="720"/>
        <w:jc w:val="both"/>
        <w:rPr>
          <w:rFonts w:ascii="David" w:hAnsi="David" w:cs="David"/>
          <w:sz w:val="24"/>
          <w:szCs w:val="24"/>
          <w:rtl/>
        </w:rPr>
      </w:pPr>
      <w:r>
        <w:rPr>
          <w:rFonts w:ascii="David" w:hAnsi="David" w:cs="David" w:hint="cs"/>
          <w:sz w:val="24"/>
          <w:szCs w:val="24"/>
          <w:rtl/>
        </w:rPr>
        <w:t xml:space="preserve">זאת ועוד אחרת, הזיקה שבין </w:t>
      </w:r>
      <w:r w:rsidR="00825DE1">
        <w:rPr>
          <w:rFonts w:ascii="David" w:hAnsi="David" w:cs="David" w:hint="cs"/>
          <w:sz w:val="24"/>
          <w:szCs w:val="24"/>
          <w:rtl/>
        </w:rPr>
        <w:t>'</w:t>
      </w:r>
      <w:r>
        <w:rPr>
          <w:rFonts w:ascii="David" w:hAnsi="David" w:cs="David" w:hint="cs"/>
          <w:sz w:val="24"/>
          <w:szCs w:val="24"/>
          <w:rtl/>
        </w:rPr>
        <w:t>נומוס</w:t>
      </w:r>
      <w:r w:rsidR="00825DE1">
        <w:rPr>
          <w:rFonts w:ascii="David" w:hAnsi="David" w:cs="David" w:hint="cs"/>
          <w:sz w:val="24"/>
          <w:szCs w:val="24"/>
          <w:rtl/>
        </w:rPr>
        <w:t>'</w:t>
      </w:r>
      <w:r>
        <w:rPr>
          <w:rFonts w:ascii="David" w:hAnsi="David" w:cs="David" w:hint="cs"/>
          <w:sz w:val="24"/>
          <w:szCs w:val="24"/>
          <w:rtl/>
        </w:rPr>
        <w:t xml:space="preserve"> ל</w:t>
      </w:r>
      <w:r w:rsidR="00825DE1">
        <w:rPr>
          <w:rFonts w:ascii="David" w:hAnsi="David" w:cs="David" w:hint="cs"/>
          <w:sz w:val="24"/>
          <w:szCs w:val="24"/>
          <w:rtl/>
        </w:rPr>
        <w:t>'</w:t>
      </w:r>
      <w:r>
        <w:rPr>
          <w:rFonts w:ascii="David" w:hAnsi="David" w:cs="David" w:hint="cs"/>
          <w:sz w:val="24"/>
          <w:szCs w:val="24"/>
          <w:rtl/>
        </w:rPr>
        <w:t>נרטיב</w:t>
      </w:r>
      <w:r w:rsidR="00825DE1">
        <w:rPr>
          <w:rFonts w:ascii="David" w:hAnsi="David" w:cs="David" w:hint="cs"/>
          <w:sz w:val="24"/>
          <w:szCs w:val="24"/>
          <w:rtl/>
        </w:rPr>
        <w:t>'</w:t>
      </w:r>
      <w:r>
        <w:rPr>
          <w:rFonts w:ascii="David" w:hAnsi="David" w:cs="David" w:hint="cs"/>
          <w:sz w:val="24"/>
          <w:szCs w:val="24"/>
          <w:rtl/>
        </w:rPr>
        <w:t xml:space="preserve"> במחלוקת שראינו בין תנא קמא לרבי יוסי, מאיר</w:t>
      </w:r>
      <w:r w:rsidR="00796CF5">
        <w:rPr>
          <w:rFonts w:ascii="David" w:hAnsi="David" w:cs="David" w:hint="cs"/>
          <w:sz w:val="24"/>
          <w:szCs w:val="24"/>
          <w:rtl/>
        </w:rPr>
        <w:t>ה</w:t>
      </w:r>
      <w:r>
        <w:rPr>
          <w:rFonts w:ascii="David" w:hAnsi="David" w:cs="David" w:hint="cs"/>
          <w:sz w:val="24"/>
          <w:szCs w:val="24"/>
          <w:rtl/>
        </w:rPr>
        <w:t xml:space="preserve"> שני היבטים נוספים ביחס ל'דרכי השלום', ככל שאנו מדברים על הגישה הפרגמטית.  </w:t>
      </w:r>
      <w:r w:rsidR="00B5166C">
        <w:rPr>
          <w:rFonts w:ascii="David" w:hAnsi="David" w:cs="David" w:hint="cs"/>
          <w:sz w:val="24"/>
          <w:szCs w:val="24"/>
          <w:rtl/>
        </w:rPr>
        <w:t xml:space="preserve">היבט אחד קשור להתהוות הקונפליקט הבינאישי. כפי שראינו תנא קמא ורבי יוסי מסכימים על </w:t>
      </w:r>
      <w:r w:rsidR="002C2F97">
        <w:rPr>
          <w:rFonts w:ascii="David" w:hAnsi="David" w:cs="David" w:hint="cs"/>
          <w:sz w:val="24"/>
          <w:szCs w:val="24"/>
          <w:rtl/>
        </w:rPr>
        <w:t xml:space="preserve">הנורמה ההלכתית לפיה </w:t>
      </w:r>
      <w:r w:rsidR="00B5166C">
        <w:rPr>
          <w:rFonts w:ascii="David" w:hAnsi="David" w:cs="David" w:hint="cs"/>
          <w:sz w:val="24"/>
          <w:szCs w:val="24"/>
          <w:rtl/>
        </w:rPr>
        <w:t>האדם שחובט בזיתים כדי לאוספם וה</w:t>
      </w:r>
      <w:r w:rsidR="002C2F97">
        <w:rPr>
          <w:rFonts w:ascii="David" w:hAnsi="David" w:cs="David" w:hint="cs"/>
          <w:sz w:val="24"/>
          <w:szCs w:val="24"/>
          <w:rtl/>
        </w:rPr>
        <w:t>אדם ש</w:t>
      </w:r>
      <w:r w:rsidR="00B5166C">
        <w:rPr>
          <w:rFonts w:ascii="David" w:hAnsi="David" w:cs="David" w:hint="cs"/>
          <w:sz w:val="24"/>
          <w:szCs w:val="24"/>
          <w:rtl/>
        </w:rPr>
        <w:t xml:space="preserve">מניח מלכודות </w:t>
      </w:r>
      <w:r w:rsidR="002C2F97">
        <w:rPr>
          <w:rFonts w:ascii="David" w:hAnsi="David" w:cs="David" w:hint="cs"/>
          <w:sz w:val="24"/>
          <w:szCs w:val="24"/>
          <w:rtl/>
        </w:rPr>
        <w:t xml:space="preserve">לתפיסת חיות </w:t>
      </w:r>
      <w:r w:rsidR="00B5166C">
        <w:rPr>
          <w:rFonts w:ascii="David" w:hAnsi="David" w:cs="David" w:hint="cs"/>
          <w:sz w:val="24"/>
          <w:szCs w:val="24"/>
          <w:rtl/>
        </w:rPr>
        <w:t xml:space="preserve">יזכו בהם. </w:t>
      </w:r>
      <w:r w:rsidR="00796CF5">
        <w:rPr>
          <w:rFonts w:ascii="David" w:hAnsi="David" w:cs="David" w:hint="cs"/>
          <w:sz w:val="24"/>
          <w:szCs w:val="24"/>
          <w:rtl/>
        </w:rPr>
        <w:t>הזיתים והמלכודות הם 'מקר</w:t>
      </w:r>
      <w:r w:rsidR="00552EAD">
        <w:rPr>
          <w:rFonts w:ascii="David" w:hAnsi="David" w:cs="David" w:hint="cs"/>
          <w:sz w:val="24"/>
          <w:szCs w:val="24"/>
          <w:rtl/>
        </w:rPr>
        <w:t>י</w:t>
      </w:r>
      <w:r w:rsidR="00796CF5">
        <w:rPr>
          <w:rFonts w:ascii="David" w:hAnsi="David" w:cs="David" w:hint="cs"/>
          <w:sz w:val="24"/>
          <w:szCs w:val="24"/>
          <w:rtl/>
        </w:rPr>
        <w:t xml:space="preserve"> קצה' שהתעורר</w:t>
      </w:r>
      <w:r w:rsidR="00552EAD">
        <w:rPr>
          <w:rFonts w:ascii="David" w:hAnsi="David" w:cs="David" w:hint="cs"/>
          <w:sz w:val="24"/>
          <w:szCs w:val="24"/>
          <w:rtl/>
        </w:rPr>
        <w:t>ו</w:t>
      </w:r>
      <w:r w:rsidR="0033561E">
        <w:rPr>
          <w:rFonts w:ascii="David" w:hAnsi="David" w:cs="David" w:hint="cs"/>
          <w:sz w:val="24"/>
          <w:szCs w:val="24"/>
          <w:rtl/>
        </w:rPr>
        <w:t>,</w:t>
      </w:r>
      <w:r w:rsidR="00796CF5">
        <w:rPr>
          <w:rFonts w:ascii="David" w:hAnsi="David" w:cs="David" w:hint="cs"/>
          <w:sz w:val="24"/>
          <w:szCs w:val="24"/>
          <w:rtl/>
        </w:rPr>
        <w:t xml:space="preserve"> כנראה</w:t>
      </w:r>
      <w:r w:rsidR="0033561E">
        <w:rPr>
          <w:rFonts w:ascii="David" w:hAnsi="David" w:cs="David" w:hint="cs"/>
          <w:sz w:val="24"/>
          <w:szCs w:val="24"/>
          <w:rtl/>
        </w:rPr>
        <w:t>,</w:t>
      </w:r>
      <w:r w:rsidR="00796CF5">
        <w:rPr>
          <w:rFonts w:ascii="David" w:hAnsi="David" w:cs="David" w:hint="cs"/>
          <w:sz w:val="24"/>
          <w:szCs w:val="24"/>
          <w:rtl/>
        </w:rPr>
        <w:t xml:space="preserve"> מתוך המציאות</w:t>
      </w:r>
      <w:r w:rsidR="00DF5284">
        <w:rPr>
          <w:rFonts w:ascii="David" w:hAnsi="David" w:cs="David" w:hint="cs"/>
          <w:sz w:val="24"/>
          <w:szCs w:val="24"/>
          <w:rtl/>
        </w:rPr>
        <w:t xml:space="preserve"> ולא מתוך התפלפלות משפטית</w:t>
      </w:r>
      <w:r w:rsidR="00B55179">
        <w:rPr>
          <w:rFonts w:ascii="David" w:hAnsi="David" w:cs="David" w:hint="cs"/>
          <w:sz w:val="24"/>
          <w:szCs w:val="24"/>
          <w:rtl/>
        </w:rPr>
        <w:t xml:space="preserve">. </w:t>
      </w:r>
      <w:r w:rsidR="0033561E">
        <w:rPr>
          <w:rFonts w:ascii="David" w:hAnsi="David" w:cs="David" w:hint="cs"/>
          <w:sz w:val="24"/>
          <w:szCs w:val="24"/>
          <w:rtl/>
        </w:rPr>
        <w:t xml:space="preserve">במקרים המתוארים האדם הראשון </w:t>
      </w:r>
      <w:r w:rsidR="00796CF5">
        <w:rPr>
          <w:rFonts w:ascii="David" w:hAnsi="David" w:cs="David" w:hint="cs"/>
          <w:sz w:val="24"/>
          <w:szCs w:val="24"/>
          <w:rtl/>
        </w:rPr>
        <w:t xml:space="preserve">עשה </w:t>
      </w:r>
      <w:r w:rsidR="00B93B08">
        <w:rPr>
          <w:rFonts w:ascii="David" w:hAnsi="David" w:cs="David" w:hint="cs"/>
          <w:sz w:val="24"/>
          <w:szCs w:val="24"/>
          <w:rtl/>
        </w:rPr>
        <w:t xml:space="preserve">פעולה </w:t>
      </w:r>
      <w:r w:rsidR="00796CF5">
        <w:rPr>
          <w:rFonts w:ascii="David" w:hAnsi="David" w:cs="David" w:hint="cs"/>
          <w:sz w:val="24"/>
          <w:szCs w:val="24"/>
          <w:rtl/>
        </w:rPr>
        <w:t xml:space="preserve">להשגת הקניין, אלא שהמציאות </w:t>
      </w:r>
      <w:r w:rsidR="00796CF5">
        <w:rPr>
          <w:rFonts w:ascii="David" w:hAnsi="David" w:cs="David"/>
          <w:sz w:val="24"/>
          <w:szCs w:val="24"/>
          <w:rtl/>
        </w:rPr>
        <w:t>–</w:t>
      </w:r>
      <w:r w:rsidR="00796CF5">
        <w:rPr>
          <w:rFonts w:ascii="David" w:hAnsi="David" w:cs="David" w:hint="cs"/>
          <w:sz w:val="24"/>
          <w:szCs w:val="24"/>
          <w:rtl/>
        </w:rPr>
        <w:t xml:space="preserve"> פער זמנים - לא </w:t>
      </w:r>
      <w:r w:rsidR="00B93B08">
        <w:rPr>
          <w:rFonts w:ascii="David" w:hAnsi="David" w:cs="David" w:hint="cs"/>
          <w:sz w:val="24"/>
          <w:szCs w:val="24"/>
          <w:rtl/>
        </w:rPr>
        <w:t xml:space="preserve">אפשרה לו </w:t>
      </w:r>
      <w:r w:rsidR="00796CF5">
        <w:rPr>
          <w:rFonts w:ascii="David" w:hAnsi="David" w:cs="David" w:hint="cs"/>
          <w:sz w:val="24"/>
          <w:szCs w:val="24"/>
          <w:rtl/>
        </w:rPr>
        <w:t>להשלים את השגת</w:t>
      </w:r>
      <w:r w:rsidR="00DF5284">
        <w:rPr>
          <w:rFonts w:ascii="David" w:hAnsi="David" w:cs="David" w:hint="cs"/>
          <w:sz w:val="24"/>
          <w:szCs w:val="24"/>
          <w:rtl/>
        </w:rPr>
        <w:t xml:space="preserve"> הקניין ב</w:t>
      </w:r>
      <w:r w:rsidR="00B93B08">
        <w:rPr>
          <w:rFonts w:ascii="David" w:hAnsi="David" w:cs="David" w:hint="cs"/>
          <w:sz w:val="24"/>
          <w:szCs w:val="24"/>
          <w:rtl/>
        </w:rPr>
        <w:t>אותה הפעולה</w:t>
      </w:r>
      <w:r w:rsidR="00B61445">
        <w:rPr>
          <w:rFonts w:ascii="David" w:hAnsi="David" w:cs="David" w:hint="cs"/>
          <w:sz w:val="24"/>
          <w:szCs w:val="24"/>
          <w:rtl/>
        </w:rPr>
        <w:t xml:space="preserve"> </w:t>
      </w:r>
      <w:r w:rsidR="00BF4504">
        <w:rPr>
          <w:rFonts w:ascii="David" w:hAnsi="David" w:cs="David" w:hint="cs"/>
          <w:sz w:val="24"/>
          <w:szCs w:val="24"/>
          <w:rtl/>
        </w:rPr>
        <w:t>(</w:t>
      </w:r>
      <w:r w:rsidR="00B61445">
        <w:rPr>
          <w:rFonts w:ascii="David" w:hAnsi="David" w:cs="David" w:hint="cs"/>
          <w:sz w:val="24"/>
          <w:szCs w:val="24"/>
          <w:rtl/>
        </w:rPr>
        <w:t>אדם לא יכול לחבוט בזיתים, כשהוא ניצב בראש העץ, וגם לאסוף אותם מתחת לעץ בו זמנית; רגע הנחת המלכודת אינו רגע תפיסת הציד)</w:t>
      </w:r>
      <w:r w:rsidR="00C605BD">
        <w:rPr>
          <w:rFonts w:ascii="David" w:hAnsi="David" w:cs="David" w:hint="cs"/>
          <w:sz w:val="24"/>
          <w:szCs w:val="24"/>
          <w:rtl/>
        </w:rPr>
        <w:t>.</w:t>
      </w:r>
      <w:r w:rsidR="003D0C0A">
        <w:rPr>
          <w:rFonts w:ascii="David" w:hAnsi="David" w:cs="David" w:hint="cs"/>
          <w:sz w:val="24"/>
          <w:szCs w:val="24"/>
          <w:rtl/>
        </w:rPr>
        <w:t xml:space="preserve"> </w:t>
      </w:r>
      <w:r w:rsidR="00C6683F">
        <w:rPr>
          <w:rFonts w:ascii="David" w:hAnsi="David" w:cs="David" w:hint="cs"/>
          <w:sz w:val="24"/>
          <w:szCs w:val="24"/>
          <w:rtl/>
        </w:rPr>
        <w:t>שלילת האפשרות</w:t>
      </w:r>
      <w:r w:rsidR="009008D6">
        <w:rPr>
          <w:rFonts w:ascii="David" w:hAnsi="David" w:cs="David" w:hint="cs"/>
          <w:sz w:val="24"/>
          <w:szCs w:val="24"/>
          <w:rtl/>
        </w:rPr>
        <w:t>,</w:t>
      </w:r>
      <w:r w:rsidR="00C6683F">
        <w:rPr>
          <w:rFonts w:ascii="David" w:hAnsi="David" w:cs="David" w:hint="cs"/>
          <w:sz w:val="24"/>
          <w:szCs w:val="24"/>
          <w:rtl/>
        </w:rPr>
        <w:t xml:space="preserve"> </w:t>
      </w:r>
      <w:r w:rsidR="00CD76E9">
        <w:rPr>
          <w:rFonts w:ascii="David" w:hAnsi="David" w:cs="David" w:hint="cs"/>
          <w:sz w:val="24"/>
          <w:szCs w:val="24"/>
          <w:rtl/>
        </w:rPr>
        <w:t xml:space="preserve">הנכונה פורמאלית, </w:t>
      </w:r>
      <w:r w:rsidR="00C6683F">
        <w:rPr>
          <w:rFonts w:ascii="David" w:hAnsi="David" w:cs="David" w:hint="cs"/>
          <w:sz w:val="24"/>
          <w:szCs w:val="24"/>
          <w:rtl/>
        </w:rPr>
        <w:t>שבה</w:t>
      </w:r>
      <w:r w:rsidR="003D0C0A">
        <w:rPr>
          <w:rFonts w:ascii="David" w:hAnsi="David" w:cs="David" w:hint="cs"/>
          <w:sz w:val="24"/>
          <w:szCs w:val="24"/>
          <w:rtl/>
        </w:rPr>
        <w:t xml:space="preserve"> האדם השני </w:t>
      </w:r>
      <w:r w:rsidR="00CD76E9">
        <w:rPr>
          <w:rFonts w:ascii="David" w:hAnsi="David" w:cs="David" w:hint="cs"/>
          <w:sz w:val="24"/>
          <w:szCs w:val="24"/>
          <w:rtl/>
        </w:rPr>
        <w:t xml:space="preserve">יטען </w:t>
      </w:r>
      <w:r w:rsidR="003D0C0A">
        <w:rPr>
          <w:rFonts w:ascii="David" w:hAnsi="David" w:cs="David" w:hint="cs"/>
          <w:sz w:val="24"/>
          <w:szCs w:val="24"/>
          <w:rtl/>
        </w:rPr>
        <w:t xml:space="preserve">שהאדם הראשון לא זכה באובייקטים ולכן מותר לו לקחתם, </w:t>
      </w:r>
      <w:r w:rsidR="00CD76E9">
        <w:rPr>
          <w:rFonts w:ascii="David" w:hAnsi="David" w:cs="David" w:hint="cs"/>
          <w:sz w:val="24"/>
          <w:szCs w:val="24"/>
          <w:rtl/>
        </w:rPr>
        <w:t xml:space="preserve">אשר עלולה להביא גם לאלימות ביניהם, </w:t>
      </w:r>
      <w:r w:rsidR="003D0C0A">
        <w:rPr>
          <w:rFonts w:ascii="David" w:hAnsi="David" w:cs="David" w:hint="cs"/>
          <w:sz w:val="24"/>
          <w:szCs w:val="24"/>
          <w:rtl/>
        </w:rPr>
        <w:t>משקפת את אופן תיפקודו של המודוס האימפר</w:t>
      </w:r>
      <w:r w:rsidR="003D7632">
        <w:rPr>
          <w:rFonts w:ascii="David" w:hAnsi="David" w:cs="David" w:hint="cs"/>
          <w:sz w:val="24"/>
          <w:szCs w:val="24"/>
          <w:rtl/>
        </w:rPr>
        <w:t>יא</w:t>
      </w:r>
      <w:r w:rsidR="003D0C0A">
        <w:rPr>
          <w:rFonts w:ascii="David" w:hAnsi="David" w:cs="David" w:hint="cs"/>
          <w:sz w:val="24"/>
          <w:szCs w:val="24"/>
          <w:rtl/>
        </w:rPr>
        <w:t>לי</w:t>
      </w:r>
      <w:r w:rsidR="006C5E37">
        <w:rPr>
          <w:rFonts w:ascii="David" w:hAnsi="David" w:cs="David" w:hint="cs"/>
          <w:sz w:val="24"/>
          <w:szCs w:val="24"/>
          <w:rtl/>
        </w:rPr>
        <w:t xml:space="preserve"> באופן הבא</w:t>
      </w:r>
      <w:r w:rsidR="00DC303C">
        <w:rPr>
          <w:rFonts w:ascii="David" w:hAnsi="David" w:cs="David" w:hint="cs"/>
          <w:sz w:val="24"/>
          <w:szCs w:val="24"/>
          <w:rtl/>
        </w:rPr>
        <w:t>:</w:t>
      </w:r>
    </w:p>
    <w:p w14:paraId="24923DE2" w14:textId="6F6CF0DC" w:rsidR="003D0C0A" w:rsidRDefault="003D0C0A" w:rsidP="005E526C">
      <w:pPr>
        <w:autoSpaceDE w:val="0"/>
        <w:autoSpaceDN w:val="0"/>
        <w:bidi w:val="0"/>
        <w:adjustRightInd w:val="0"/>
        <w:spacing w:after="0" w:line="480" w:lineRule="auto"/>
        <w:ind w:left="720"/>
        <w:rPr>
          <w:rFonts w:ascii="David" w:hAnsi="David" w:cs="David"/>
          <w:sz w:val="24"/>
          <w:szCs w:val="24"/>
        </w:rPr>
      </w:pPr>
      <w:r w:rsidRPr="003D0C0A">
        <w:rPr>
          <w:rFonts w:ascii="Times New Roman" w:hAnsi="Times New Roman" w:cs="Times New Roman"/>
          <w:sz w:val="24"/>
          <w:szCs w:val="24"/>
        </w:rPr>
        <w:t>The sober imperial mode of world maintenance holds the mirror of critical objectivity to</w:t>
      </w:r>
      <w:r>
        <w:rPr>
          <w:rFonts w:ascii="Times New Roman" w:hAnsi="Times New Roman" w:cs="Times New Roman"/>
          <w:sz w:val="24"/>
          <w:szCs w:val="24"/>
        </w:rPr>
        <w:t xml:space="preserve"> </w:t>
      </w:r>
      <w:r w:rsidRPr="003D0C0A">
        <w:rPr>
          <w:rFonts w:ascii="Times New Roman" w:hAnsi="Times New Roman" w:cs="Times New Roman"/>
          <w:sz w:val="24"/>
          <w:szCs w:val="24"/>
        </w:rPr>
        <w:t>meaning, imposes the discipline of institutional justice upon norms, and places the constraint of peace on the void at which strong bonds cease.</w:t>
      </w:r>
      <w:r w:rsidR="00E65007">
        <w:rPr>
          <w:rStyle w:val="a5"/>
          <w:rFonts w:ascii="Times New Roman" w:hAnsi="Times New Roman" w:cs="Times New Roman"/>
          <w:sz w:val="24"/>
          <w:szCs w:val="24"/>
        </w:rPr>
        <w:footnoteReference w:id="83"/>
      </w:r>
    </w:p>
    <w:p w14:paraId="63C33A4D" w14:textId="1F8EEC16" w:rsidR="005E526C" w:rsidRDefault="00D52892" w:rsidP="00DD287E">
      <w:pPr>
        <w:autoSpaceDE w:val="0"/>
        <w:autoSpaceDN w:val="0"/>
        <w:adjustRightInd w:val="0"/>
        <w:spacing w:after="0" w:line="480" w:lineRule="auto"/>
        <w:jc w:val="both"/>
        <w:rPr>
          <w:rFonts w:ascii="David" w:hAnsi="David" w:cs="David"/>
          <w:sz w:val="24"/>
          <w:szCs w:val="24"/>
          <w:rtl/>
        </w:rPr>
      </w:pPr>
      <w:r>
        <w:rPr>
          <w:rFonts w:ascii="David" w:hAnsi="David" w:cs="David" w:hint="cs"/>
          <w:sz w:val="24"/>
          <w:szCs w:val="24"/>
          <w:rtl/>
        </w:rPr>
        <w:t xml:space="preserve">אולם לצד ההסכמה </w:t>
      </w:r>
      <w:r w:rsidR="005551FB">
        <w:rPr>
          <w:rFonts w:ascii="David" w:hAnsi="David" w:cs="David" w:hint="cs"/>
          <w:sz w:val="24"/>
          <w:szCs w:val="24"/>
          <w:rtl/>
        </w:rPr>
        <w:t xml:space="preserve">בין החכמים </w:t>
      </w:r>
      <w:r>
        <w:rPr>
          <w:rFonts w:ascii="David" w:hAnsi="David" w:cs="David" w:hint="cs"/>
          <w:sz w:val="24"/>
          <w:szCs w:val="24"/>
          <w:rtl/>
        </w:rPr>
        <w:t>על ה</w:t>
      </w:r>
      <w:r w:rsidR="00A11A34">
        <w:rPr>
          <w:rFonts w:ascii="David" w:hAnsi="David" w:cs="David" w:hint="cs"/>
          <w:sz w:val="24"/>
          <w:szCs w:val="24"/>
          <w:rtl/>
        </w:rPr>
        <w:t>כלל עצמו</w:t>
      </w:r>
      <w:r>
        <w:rPr>
          <w:rFonts w:ascii="David" w:hAnsi="David" w:cs="David" w:hint="cs"/>
          <w:sz w:val="24"/>
          <w:szCs w:val="24"/>
          <w:rtl/>
        </w:rPr>
        <w:t xml:space="preserve"> ראינו את המחלוקת </w:t>
      </w:r>
      <w:r w:rsidR="00806B27">
        <w:rPr>
          <w:rFonts w:ascii="David" w:hAnsi="David" w:cs="David" w:hint="cs"/>
          <w:sz w:val="24"/>
          <w:szCs w:val="24"/>
          <w:rtl/>
        </w:rPr>
        <w:t xml:space="preserve">ביניהם </w:t>
      </w:r>
      <w:r>
        <w:rPr>
          <w:rFonts w:ascii="David" w:hAnsi="David" w:cs="David" w:hint="cs"/>
          <w:sz w:val="24"/>
          <w:szCs w:val="24"/>
          <w:rtl/>
        </w:rPr>
        <w:t>על הנרטיב שימשמע אות</w:t>
      </w:r>
      <w:r w:rsidR="00006805">
        <w:rPr>
          <w:rFonts w:ascii="David" w:hAnsi="David" w:cs="David" w:hint="cs"/>
          <w:sz w:val="24"/>
          <w:szCs w:val="24"/>
          <w:rtl/>
        </w:rPr>
        <w:t>ו</w:t>
      </w:r>
      <w:r w:rsidR="00EA6802">
        <w:rPr>
          <w:rFonts w:ascii="David" w:hAnsi="David" w:cs="David" w:hint="cs"/>
          <w:sz w:val="24"/>
          <w:szCs w:val="24"/>
          <w:rtl/>
        </w:rPr>
        <w:t>,</w:t>
      </w:r>
      <w:r>
        <w:rPr>
          <w:rFonts w:ascii="David" w:hAnsi="David" w:cs="David" w:hint="cs"/>
          <w:sz w:val="24"/>
          <w:szCs w:val="24"/>
          <w:rtl/>
        </w:rPr>
        <w:t xml:space="preserve"> וזאת מכיוון שה</w:t>
      </w:r>
      <w:r w:rsidR="005551FB">
        <w:rPr>
          <w:rFonts w:ascii="David" w:hAnsi="David" w:cs="David" w:hint="cs"/>
          <w:sz w:val="24"/>
          <w:szCs w:val="24"/>
          <w:rtl/>
        </w:rPr>
        <w:t>נ</w:t>
      </w:r>
      <w:r>
        <w:rPr>
          <w:rFonts w:ascii="David" w:hAnsi="David" w:cs="David" w:hint="cs"/>
          <w:sz w:val="24"/>
          <w:szCs w:val="24"/>
          <w:rtl/>
        </w:rPr>
        <w:t xml:space="preserve">רטיב טוען את הנורמה </w:t>
      </w:r>
      <w:r w:rsidR="00EA6802">
        <w:rPr>
          <w:rFonts w:ascii="David" w:hAnsi="David" w:cs="David" w:hint="cs"/>
          <w:sz w:val="24"/>
          <w:szCs w:val="24"/>
          <w:rtl/>
        </w:rPr>
        <w:t xml:space="preserve">המשפטית </w:t>
      </w:r>
      <w:r>
        <w:rPr>
          <w:rFonts w:ascii="David" w:hAnsi="David" w:cs="David" w:hint="cs"/>
          <w:sz w:val="24"/>
          <w:szCs w:val="24"/>
          <w:rtl/>
        </w:rPr>
        <w:t>בהקשרים נוספים</w:t>
      </w:r>
      <w:r w:rsidR="00EA6802">
        <w:rPr>
          <w:rFonts w:ascii="David" w:hAnsi="David" w:cs="David" w:hint="cs"/>
          <w:sz w:val="24"/>
          <w:szCs w:val="24"/>
          <w:rtl/>
        </w:rPr>
        <w:t>:</w:t>
      </w:r>
      <w:r>
        <w:rPr>
          <w:rFonts w:ascii="David" w:hAnsi="David" w:cs="David" w:hint="cs"/>
          <w:sz w:val="24"/>
          <w:szCs w:val="24"/>
          <w:rtl/>
        </w:rPr>
        <w:t xml:space="preserve"> ההתעקשות האם </w:t>
      </w:r>
      <w:r>
        <w:rPr>
          <w:rFonts w:ascii="David" w:hAnsi="David" w:cs="David" w:hint="cs"/>
          <w:sz w:val="24"/>
          <w:szCs w:val="24"/>
          <w:rtl/>
        </w:rPr>
        <w:lastRenderedPageBreak/>
        <w:t xml:space="preserve">למשמע את הנורמה </w:t>
      </w:r>
      <w:r w:rsidR="00A11A34">
        <w:rPr>
          <w:rFonts w:ascii="David" w:hAnsi="David" w:cs="David" w:hint="cs"/>
          <w:sz w:val="24"/>
          <w:szCs w:val="24"/>
          <w:rtl/>
        </w:rPr>
        <w:t xml:space="preserve">המשפטית </w:t>
      </w:r>
      <w:r>
        <w:rPr>
          <w:rFonts w:ascii="David" w:hAnsi="David" w:cs="David" w:hint="cs"/>
          <w:sz w:val="24"/>
          <w:szCs w:val="24"/>
          <w:rtl/>
        </w:rPr>
        <w:t xml:space="preserve">כ'קניין גמור' או 'מפני דרכי שלום' משליכה ומעצבת את היקום הנורמטיבי </w:t>
      </w:r>
      <w:r w:rsidR="00B17262">
        <w:rPr>
          <w:rFonts w:ascii="David" w:hAnsi="David" w:cs="David" w:hint="cs"/>
          <w:sz w:val="24"/>
          <w:szCs w:val="24"/>
          <w:rtl/>
        </w:rPr>
        <w:t xml:space="preserve">כולו </w:t>
      </w:r>
      <w:r>
        <w:rPr>
          <w:rFonts w:ascii="David" w:hAnsi="David" w:cs="David"/>
          <w:sz w:val="24"/>
          <w:szCs w:val="24"/>
          <w:rtl/>
        </w:rPr>
        <w:t>–</w:t>
      </w:r>
      <w:r>
        <w:rPr>
          <w:rFonts w:ascii="David" w:hAnsi="David" w:cs="David" w:hint="cs"/>
          <w:sz w:val="24"/>
          <w:szCs w:val="24"/>
          <w:rtl/>
        </w:rPr>
        <w:t xml:space="preserve"> הנומוס </w:t>
      </w:r>
      <w:r>
        <w:rPr>
          <w:rFonts w:ascii="David" w:hAnsi="David" w:cs="David"/>
          <w:sz w:val="24"/>
          <w:szCs w:val="24"/>
          <w:rtl/>
        </w:rPr>
        <w:t>–</w:t>
      </w:r>
      <w:r>
        <w:rPr>
          <w:rFonts w:ascii="David" w:hAnsi="David" w:cs="David" w:hint="cs"/>
          <w:sz w:val="24"/>
          <w:szCs w:val="24"/>
          <w:rtl/>
        </w:rPr>
        <w:t xml:space="preserve"> שבתוכו תתקיים הנורמה הספציפית, ולא רק את הנורמה עצמה.</w:t>
      </w:r>
      <w:r w:rsidR="00997959" w:rsidRPr="00997959">
        <w:rPr>
          <w:rStyle w:val="a5"/>
          <w:rFonts w:ascii="David" w:hAnsi="David" w:cs="David"/>
          <w:sz w:val="24"/>
          <w:szCs w:val="24"/>
          <w:rtl/>
        </w:rPr>
        <w:t xml:space="preserve"> </w:t>
      </w:r>
      <w:r w:rsidR="00997959">
        <w:rPr>
          <w:rStyle w:val="a5"/>
          <w:rFonts w:ascii="David" w:hAnsi="David" w:cs="David"/>
          <w:sz w:val="24"/>
          <w:szCs w:val="24"/>
          <w:rtl/>
        </w:rPr>
        <w:footnoteReference w:id="84"/>
      </w:r>
      <w:r w:rsidR="00997959">
        <w:rPr>
          <w:rFonts w:ascii="David" w:hAnsi="David" w:cs="David" w:hint="cs"/>
          <w:sz w:val="24"/>
          <w:szCs w:val="24"/>
          <w:rtl/>
        </w:rPr>
        <w:t xml:space="preserve"> </w:t>
      </w:r>
      <w:r>
        <w:rPr>
          <w:rFonts w:ascii="David" w:hAnsi="David" w:cs="David" w:hint="cs"/>
          <w:sz w:val="24"/>
          <w:szCs w:val="24"/>
          <w:rtl/>
        </w:rPr>
        <w:t xml:space="preserve"> </w:t>
      </w:r>
      <w:r w:rsidR="00616FF2">
        <w:rPr>
          <w:rFonts w:ascii="David" w:hAnsi="David" w:cs="David" w:hint="cs"/>
          <w:sz w:val="24"/>
          <w:szCs w:val="24"/>
          <w:rtl/>
        </w:rPr>
        <w:t xml:space="preserve">זו כנראה הסיבה לכך שהחכמים מתנגדים לנרטיב של 'קניין', שמשליך על הפרשנות המשפטית של הקטגוריה כולה </w:t>
      </w:r>
      <w:r w:rsidR="00616FF2">
        <w:rPr>
          <w:rFonts w:ascii="David" w:hAnsi="David" w:cs="David"/>
          <w:sz w:val="24"/>
          <w:szCs w:val="24"/>
          <w:rtl/>
        </w:rPr>
        <w:t>–</w:t>
      </w:r>
      <w:r w:rsidR="00616FF2">
        <w:rPr>
          <w:rFonts w:ascii="David" w:hAnsi="David" w:cs="David" w:hint="cs"/>
          <w:sz w:val="24"/>
          <w:szCs w:val="24"/>
          <w:rtl/>
        </w:rPr>
        <w:t xml:space="preserve"> </w:t>
      </w:r>
      <w:r w:rsidR="00C00C90">
        <w:rPr>
          <w:rFonts w:ascii="David" w:hAnsi="David" w:cs="David" w:hint="cs"/>
          <w:sz w:val="24"/>
          <w:szCs w:val="24"/>
          <w:rtl/>
        </w:rPr>
        <w:t xml:space="preserve">בדרך של </w:t>
      </w:r>
      <w:r w:rsidR="00DD287E">
        <w:rPr>
          <w:rFonts w:ascii="David" w:hAnsi="David" w:cs="David" w:hint="cs"/>
          <w:sz w:val="24"/>
          <w:szCs w:val="24"/>
          <w:rtl/>
        </w:rPr>
        <w:t>הרחבת ה</w:t>
      </w:r>
      <w:r w:rsidR="00616FF2">
        <w:rPr>
          <w:rFonts w:ascii="David" w:hAnsi="David" w:cs="David" w:hint="cs"/>
          <w:sz w:val="24"/>
          <w:szCs w:val="24"/>
          <w:rtl/>
        </w:rPr>
        <w:t xml:space="preserve">דרכים </w:t>
      </w:r>
      <w:r w:rsidR="00DD287E">
        <w:rPr>
          <w:rFonts w:ascii="David" w:hAnsi="David" w:cs="David" w:hint="cs"/>
          <w:sz w:val="24"/>
          <w:szCs w:val="24"/>
          <w:rtl/>
        </w:rPr>
        <w:t>ה</w:t>
      </w:r>
      <w:r w:rsidR="00616FF2">
        <w:rPr>
          <w:rFonts w:ascii="David" w:hAnsi="David" w:cs="David" w:hint="cs"/>
          <w:sz w:val="24"/>
          <w:szCs w:val="24"/>
          <w:rtl/>
        </w:rPr>
        <w:t xml:space="preserve">חוקיות להיווצרות קניין; </w:t>
      </w:r>
      <w:r w:rsidR="00C00C90">
        <w:rPr>
          <w:rFonts w:ascii="David" w:hAnsi="David" w:cs="David" w:hint="cs"/>
          <w:sz w:val="24"/>
          <w:szCs w:val="24"/>
          <w:rtl/>
        </w:rPr>
        <w:t>ב</w:t>
      </w:r>
      <w:r w:rsidR="00DD287E">
        <w:rPr>
          <w:rFonts w:ascii="David" w:hAnsi="David" w:cs="David" w:hint="cs"/>
          <w:sz w:val="24"/>
          <w:szCs w:val="24"/>
          <w:rtl/>
        </w:rPr>
        <w:t xml:space="preserve">הטלת סנקציות משפטיות גם במקרים משפטיים שלא הוגדרו כ'עברה' בדיני התורה </w:t>
      </w:r>
      <w:r w:rsidR="00616FF2">
        <w:rPr>
          <w:rFonts w:ascii="David" w:hAnsi="David" w:cs="David"/>
          <w:sz w:val="24"/>
          <w:szCs w:val="24"/>
          <w:rtl/>
        </w:rPr>
        <w:t>–</w:t>
      </w:r>
      <w:r w:rsidR="00616FF2">
        <w:rPr>
          <w:rFonts w:ascii="David" w:hAnsi="David" w:cs="David" w:hint="cs"/>
          <w:sz w:val="24"/>
          <w:szCs w:val="24"/>
          <w:rtl/>
        </w:rPr>
        <w:t xml:space="preserve"> ומעדיפים לטעון את הנו</w:t>
      </w:r>
      <w:r w:rsidR="00C00C90">
        <w:rPr>
          <w:rFonts w:ascii="David" w:hAnsi="David" w:cs="David" w:hint="cs"/>
          <w:sz w:val="24"/>
          <w:szCs w:val="24"/>
          <w:rtl/>
        </w:rPr>
        <w:t>רמה</w:t>
      </w:r>
      <w:r w:rsidR="00616FF2">
        <w:rPr>
          <w:rFonts w:ascii="David" w:hAnsi="David" w:cs="David" w:hint="cs"/>
          <w:sz w:val="24"/>
          <w:szCs w:val="24"/>
          <w:rtl/>
        </w:rPr>
        <w:t xml:space="preserve"> בנרטיב ש</w:t>
      </w:r>
      <w:r w:rsidR="00225C1E">
        <w:rPr>
          <w:rFonts w:ascii="David" w:hAnsi="David" w:cs="David" w:hint="cs"/>
          <w:sz w:val="24"/>
          <w:szCs w:val="24"/>
          <w:rtl/>
        </w:rPr>
        <w:t>לא נושא עימו</w:t>
      </w:r>
      <w:r w:rsidR="00616FF2">
        <w:rPr>
          <w:rFonts w:ascii="David" w:hAnsi="David" w:cs="David" w:hint="cs"/>
          <w:sz w:val="24"/>
          <w:szCs w:val="24"/>
          <w:rtl/>
        </w:rPr>
        <w:t xml:space="preserve"> השלכות </w:t>
      </w:r>
      <w:r w:rsidR="00DD287E">
        <w:rPr>
          <w:rFonts w:ascii="David" w:hAnsi="David" w:cs="David" w:hint="cs"/>
          <w:sz w:val="24"/>
          <w:szCs w:val="24"/>
          <w:rtl/>
        </w:rPr>
        <w:t>כ</w:t>
      </w:r>
      <w:r w:rsidR="00616FF2">
        <w:rPr>
          <w:rFonts w:ascii="David" w:hAnsi="David" w:cs="David" w:hint="cs"/>
          <w:sz w:val="24"/>
          <w:szCs w:val="24"/>
          <w:rtl/>
        </w:rPr>
        <w:t>אלו</w:t>
      </w:r>
      <w:r w:rsidR="00282222">
        <w:rPr>
          <w:rFonts w:ascii="David" w:hAnsi="David" w:cs="David" w:hint="cs"/>
          <w:sz w:val="24"/>
          <w:szCs w:val="24"/>
          <w:rtl/>
        </w:rPr>
        <w:t xml:space="preserve">. </w:t>
      </w:r>
      <w:r w:rsidR="00DD287E">
        <w:rPr>
          <w:rFonts w:ascii="David" w:hAnsi="David" w:cs="David" w:hint="cs"/>
          <w:sz w:val="24"/>
          <w:szCs w:val="24"/>
          <w:rtl/>
        </w:rPr>
        <w:t>ה</w:t>
      </w:r>
      <w:r w:rsidR="00282222">
        <w:rPr>
          <w:rFonts w:ascii="David" w:hAnsi="David" w:cs="David" w:hint="cs"/>
          <w:sz w:val="24"/>
          <w:szCs w:val="24"/>
          <w:rtl/>
        </w:rPr>
        <w:t>נרטיב</w:t>
      </w:r>
      <w:r w:rsidR="00616FF2">
        <w:rPr>
          <w:rFonts w:ascii="David" w:hAnsi="David" w:cs="David" w:hint="cs"/>
          <w:sz w:val="24"/>
          <w:szCs w:val="24"/>
          <w:rtl/>
        </w:rPr>
        <w:t xml:space="preserve"> </w:t>
      </w:r>
      <w:r w:rsidR="00DD287E">
        <w:rPr>
          <w:rFonts w:ascii="David" w:hAnsi="David" w:cs="David" w:hint="cs"/>
          <w:sz w:val="24"/>
          <w:szCs w:val="24"/>
          <w:rtl/>
        </w:rPr>
        <w:t xml:space="preserve">'מפני דרכי שלום' </w:t>
      </w:r>
      <w:r w:rsidR="00616FF2">
        <w:rPr>
          <w:rFonts w:ascii="David" w:hAnsi="David" w:cs="David" w:hint="cs"/>
          <w:sz w:val="24"/>
          <w:szCs w:val="24"/>
          <w:rtl/>
        </w:rPr>
        <w:t>משאיר את הנורמה</w:t>
      </w:r>
      <w:r w:rsidR="00ED4E28">
        <w:rPr>
          <w:rFonts w:ascii="David" w:hAnsi="David" w:cs="David" w:hint="cs"/>
          <w:sz w:val="24"/>
          <w:szCs w:val="24"/>
          <w:rtl/>
        </w:rPr>
        <w:t xml:space="preserve"> הספציפית</w:t>
      </w:r>
      <w:r w:rsidR="00616FF2">
        <w:rPr>
          <w:rFonts w:ascii="David" w:hAnsi="David" w:cs="David" w:hint="cs"/>
          <w:sz w:val="24"/>
          <w:szCs w:val="24"/>
          <w:rtl/>
        </w:rPr>
        <w:t xml:space="preserve"> כ'מקרה קצה'</w:t>
      </w:r>
      <w:r w:rsidR="00ED4E28">
        <w:rPr>
          <w:rFonts w:ascii="David" w:hAnsi="David" w:cs="David" w:hint="cs"/>
          <w:sz w:val="24"/>
          <w:szCs w:val="24"/>
          <w:rtl/>
        </w:rPr>
        <w:t>.</w:t>
      </w:r>
      <w:r w:rsidR="00616FF2">
        <w:rPr>
          <w:rFonts w:ascii="David" w:hAnsi="David" w:cs="David" w:hint="cs"/>
          <w:sz w:val="24"/>
          <w:szCs w:val="24"/>
          <w:rtl/>
        </w:rPr>
        <w:t xml:space="preserve"> </w:t>
      </w:r>
      <w:r w:rsidR="00ED4E28">
        <w:rPr>
          <w:rFonts w:ascii="David" w:hAnsi="David" w:cs="David" w:hint="cs"/>
          <w:sz w:val="24"/>
          <w:szCs w:val="24"/>
          <w:rtl/>
        </w:rPr>
        <w:t xml:space="preserve">הוא </w:t>
      </w:r>
      <w:r w:rsidR="00DD287E">
        <w:rPr>
          <w:rFonts w:ascii="David" w:hAnsi="David" w:cs="David" w:hint="cs"/>
          <w:sz w:val="24"/>
          <w:szCs w:val="24"/>
          <w:rtl/>
        </w:rPr>
        <w:t xml:space="preserve">יוצר </w:t>
      </w:r>
      <w:r w:rsidR="00781067">
        <w:rPr>
          <w:rFonts w:ascii="David" w:hAnsi="David" w:cs="David" w:hint="cs"/>
          <w:sz w:val="24"/>
          <w:szCs w:val="24"/>
          <w:rtl/>
        </w:rPr>
        <w:t>'</w:t>
      </w:r>
      <w:r w:rsidR="00616FF2">
        <w:rPr>
          <w:rFonts w:ascii="David" w:hAnsi="David" w:cs="David" w:hint="cs"/>
          <w:sz w:val="24"/>
          <w:szCs w:val="24"/>
          <w:rtl/>
        </w:rPr>
        <w:t>צדק</w:t>
      </w:r>
      <w:r w:rsidR="00781067">
        <w:rPr>
          <w:rFonts w:ascii="David" w:hAnsi="David" w:cs="David" w:hint="cs"/>
          <w:sz w:val="24"/>
          <w:szCs w:val="24"/>
          <w:rtl/>
        </w:rPr>
        <w:t>'</w:t>
      </w:r>
      <w:r w:rsidR="00616FF2">
        <w:rPr>
          <w:rFonts w:ascii="David" w:hAnsi="David" w:cs="David" w:hint="cs"/>
          <w:sz w:val="24"/>
          <w:szCs w:val="24"/>
          <w:rtl/>
        </w:rPr>
        <w:t xml:space="preserve"> </w:t>
      </w:r>
      <w:r w:rsidR="00DD287E">
        <w:rPr>
          <w:rFonts w:ascii="David" w:hAnsi="David" w:cs="David" w:hint="cs"/>
          <w:sz w:val="24"/>
          <w:szCs w:val="24"/>
          <w:rtl/>
        </w:rPr>
        <w:t>באופן נקודתי</w:t>
      </w:r>
      <w:r w:rsidR="00616FF2">
        <w:rPr>
          <w:rFonts w:ascii="David" w:hAnsi="David" w:cs="David" w:hint="cs"/>
          <w:sz w:val="24"/>
          <w:szCs w:val="24"/>
          <w:rtl/>
        </w:rPr>
        <w:t xml:space="preserve"> </w:t>
      </w:r>
      <w:r w:rsidR="00DD287E">
        <w:rPr>
          <w:rFonts w:ascii="David" w:hAnsi="David" w:cs="David" w:hint="cs"/>
          <w:sz w:val="24"/>
          <w:szCs w:val="24"/>
          <w:rtl/>
        </w:rPr>
        <w:t xml:space="preserve">באמצעות </w:t>
      </w:r>
      <w:r w:rsidR="00781067">
        <w:rPr>
          <w:rFonts w:ascii="David" w:hAnsi="David" w:cs="David" w:hint="cs"/>
          <w:sz w:val="24"/>
          <w:szCs w:val="24"/>
          <w:rtl/>
        </w:rPr>
        <w:t>היענות לתחושה סובייקטי</w:t>
      </w:r>
      <w:r w:rsidR="00DD287E">
        <w:rPr>
          <w:rFonts w:ascii="David" w:hAnsi="David" w:cs="David" w:hint="cs"/>
          <w:sz w:val="24"/>
          <w:szCs w:val="24"/>
          <w:rtl/>
        </w:rPr>
        <w:t>ב</w:t>
      </w:r>
      <w:r w:rsidR="00781067">
        <w:rPr>
          <w:rFonts w:ascii="David" w:hAnsi="David" w:cs="David" w:hint="cs"/>
          <w:sz w:val="24"/>
          <w:szCs w:val="24"/>
          <w:rtl/>
        </w:rPr>
        <w:t>ית של הנפגע ו</w:t>
      </w:r>
      <w:r w:rsidR="00DD287E">
        <w:rPr>
          <w:rFonts w:ascii="David" w:hAnsi="David" w:cs="David" w:hint="cs"/>
          <w:sz w:val="24"/>
          <w:szCs w:val="24"/>
          <w:rtl/>
        </w:rPr>
        <w:t xml:space="preserve">עונה </w:t>
      </w:r>
      <w:r w:rsidR="00781067">
        <w:rPr>
          <w:rFonts w:ascii="David" w:hAnsi="David" w:cs="David" w:hint="cs"/>
          <w:sz w:val="24"/>
          <w:szCs w:val="24"/>
          <w:rtl/>
        </w:rPr>
        <w:t xml:space="preserve">על צורך חברתי כללי </w:t>
      </w:r>
      <w:r w:rsidR="00DD287E">
        <w:rPr>
          <w:rFonts w:ascii="David" w:hAnsi="David" w:cs="David" w:hint="cs"/>
          <w:sz w:val="24"/>
          <w:szCs w:val="24"/>
          <w:rtl/>
        </w:rPr>
        <w:t>ב</w:t>
      </w:r>
      <w:r w:rsidR="00781067">
        <w:rPr>
          <w:rFonts w:ascii="David" w:hAnsi="David" w:cs="David" w:hint="cs"/>
          <w:sz w:val="24"/>
          <w:szCs w:val="24"/>
          <w:rtl/>
        </w:rPr>
        <w:t>'שלום'.</w:t>
      </w:r>
      <w:r w:rsidR="00DD287E">
        <w:rPr>
          <w:rStyle w:val="a5"/>
          <w:rFonts w:ascii="David" w:hAnsi="David" w:cs="David"/>
          <w:sz w:val="24"/>
          <w:szCs w:val="24"/>
          <w:rtl/>
        </w:rPr>
        <w:footnoteReference w:id="85"/>
      </w:r>
      <w:r w:rsidR="005551FB">
        <w:rPr>
          <w:rFonts w:ascii="David" w:hAnsi="David" w:cs="David" w:hint="cs"/>
          <w:sz w:val="24"/>
          <w:szCs w:val="24"/>
          <w:rtl/>
        </w:rPr>
        <w:t xml:space="preserve"> וכתמונת מראה</w:t>
      </w:r>
      <w:r w:rsidR="00235727">
        <w:rPr>
          <w:rFonts w:ascii="David" w:hAnsi="David" w:cs="David" w:hint="cs"/>
          <w:sz w:val="24"/>
          <w:szCs w:val="24"/>
          <w:rtl/>
        </w:rPr>
        <w:t xml:space="preserve"> הפוכה</w:t>
      </w:r>
      <w:r w:rsidR="005551FB">
        <w:rPr>
          <w:rFonts w:ascii="David" w:hAnsi="David" w:cs="David" w:hint="cs"/>
          <w:sz w:val="24"/>
          <w:szCs w:val="24"/>
          <w:rtl/>
        </w:rPr>
        <w:t>, בדיוק בגלל אותה הסיבה רבי יוסי מעוניין למשמע את הנורמה בנרטיב 'קניין גמור'.</w:t>
      </w:r>
    </w:p>
    <w:p w14:paraId="4077C74F" w14:textId="553FED86" w:rsidR="00DD7654" w:rsidRPr="00AC6611" w:rsidRDefault="005A0265" w:rsidP="00DD5163">
      <w:pPr>
        <w:autoSpaceDE w:val="0"/>
        <w:autoSpaceDN w:val="0"/>
        <w:adjustRightInd w:val="0"/>
        <w:spacing w:after="0" w:line="48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לעומת שתי הגישות </w:t>
      </w:r>
      <w:r w:rsidR="00901B15">
        <w:rPr>
          <w:rFonts w:ascii="David" w:hAnsi="David" w:cs="David" w:hint="cs"/>
          <w:sz w:val="24"/>
          <w:szCs w:val="24"/>
          <w:rtl/>
        </w:rPr>
        <w:t xml:space="preserve">שלעיל, </w:t>
      </w:r>
      <w:r>
        <w:rPr>
          <w:rFonts w:ascii="David" w:hAnsi="David" w:cs="David" w:hint="cs"/>
          <w:sz w:val="24"/>
          <w:szCs w:val="24"/>
          <w:rtl/>
        </w:rPr>
        <w:t>הגישה שמתייחסת באופן פוזיטיבי ל'דרכי שלום' מתאימה יותר להתפרש כ</w:t>
      </w:r>
      <w:r w:rsidR="002E67D3">
        <w:rPr>
          <w:rFonts w:ascii="David" w:hAnsi="David" w:cs="David" w:hint="cs"/>
          <w:sz w:val="24"/>
          <w:szCs w:val="24"/>
          <w:rtl/>
        </w:rPr>
        <w:t xml:space="preserve">ייצוג </w:t>
      </w:r>
      <w:r w:rsidR="001E7BA3">
        <w:rPr>
          <w:rFonts w:ascii="David" w:hAnsi="David" w:cs="David" w:hint="cs"/>
          <w:sz w:val="24"/>
          <w:szCs w:val="24"/>
          <w:rtl/>
        </w:rPr>
        <w:t>ש</w:t>
      </w:r>
      <w:r w:rsidR="002E67D3">
        <w:rPr>
          <w:rFonts w:ascii="David" w:hAnsi="David" w:cs="David" w:hint="cs"/>
          <w:sz w:val="24"/>
          <w:szCs w:val="24"/>
          <w:rtl/>
        </w:rPr>
        <w:t>ל</w:t>
      </w:r>
      <w:r w:rsidR="001E7BA3">
        <w:rPr>
          <w:rFonts w:ascii="David" w:hAnsi="David" w:cs="David" w:hint="cs"/>
          <w:sz w:val="24"/>
          <w:szCs w:val="24"/>
          <w:rtl/>
        </w:rPr>
        <w:t xml:space="preserve"> ה</w:t>
      </w:r>
      <w:r>
        <w:rPr>
          <w:rFonts w:ascii="David" w:hAnsi="David" w:cs="David" w:hint="cs"/>
          <w:sz w:val="24"/>
          <w:szCs w:val="24"/>
          <w:rtl/>
        </w:rPr>
        <w:t xml:space="preserve">גישה </w:t>
      </w:r>
      <w:r w:rsidR="002E67D3">
        <w:rPr>
          <w:rFonts w:ascii="David" w:hAnsi="David" w:cs="David" w:hint="cs"/>
          <w:sz w:val="24"/>
          <w:szCs w:val="24"/>
          <w:rtl/>
        </w:rPr>
        <w:t xml:space="preserve">'בוראת </w:t>
      </w:r>
      <w:r w:rsidR="00D1110C">
        <w:rPr>
          <w:rFonts w:ascii="David" w:hAnsi="David" w:cs="David" w:hint="cs"/>
          <w:sz w:val="24"/>
          <w:szCs w:val="24"/>
          <w:rtl/>
        </w:rPr>
        <w:t>ה</w:t>
      </w:r>
      <w:r w:rsidR="002E67D3">
        <w:rPr>
          <w:rFonts w:ascii="David" w:hAnsi="David" w:cs="David" w:hint="cs"/>
          <w:sz w:val="24"/>
          <w:szCs w:val="24"/>
          <w:rtl/>
        </w:rPr>
        <w:t xml:space="preserve">חוק', כלומר </w:t>
      </w:r>
      <w:r w:rsidR="000B31BB">
        <w:rPr>
          <w:rFonts w:ascii="David" w:hAnsi="David" w:cs="David" w:hint="cs"/>
          <w:sz w:val="24"/>
          <w:szCs w:val="24"/>
          <w:rtl/>
        </w:rPr>
        <w:t xml:space="preserve">כמבטאת </w:t>
      </w:r>
      <w:r w:rsidR="002E67D3">
        <w:rPr>
          <w:rFonts w:ascii="David" w:hAnsi="David" w:cs="David" w:hint="cs"/>
          <w:sz w:val="24"/>
          <w:szCs w:val="24"/>
          <w:rtl/>
        </w:rPr>
        <w:t xml:space="preserve">דפוס </w:t>
      </w:r>
      <w:r>
        <w:rPr>
          <w:rFonts w:ascii="David" w:hAnsi="David" w:cs="David" w:hint="cs"/>
          <w:sz w:val="24"/>
          <w:szCs w:val="24"/>
          <w:rtl/>
        </w:rPr>
        <w:t xml:space="preserve">פיידאי. </w:t>
      </w:r>
      <w:r w:rsidR="0030489D">
        <w:rPr>
          <w:rFonts w:ascii="David" w:hAnsi="David" w:cs="David" w:hint="cs"/>
          <w:sz w:val="24"/>
          <w:szCs w:val="24"/>
          <w:rtl/>
        </w:rPr>
        <w:t xml:space="preserve">בהלכות אלו </w:t>
      </w:r>
      <w:r w:rsidR="0026534D">
        <w:rPr>
          <w:rFonts w:ascii="David" w:hAnsi="David" w:cs="David" w:hint="cs"/>
          <w:sz w:val="24"/>
          <w:szCs w:val="24"/>
          <w:rtl/>
        </w:rPr>
        <w:t>'דרכי שלום' לא שימש כהסבר שבא ליישב בין נומוסים שונים</w:t>
      </w:r>
      <w:r w:rsidR="0030489D">
        <w:rPr>
          <w:rFonts w:ascii="David" w:hAnsi="David" w:cs="David" w:hint="cs"/>
          <w:sz w:val="24"/>
          <w:szCs w:val="24"/>
          <w:rtl/>
        </w:rPr>
        <w:t>,</w:t>
      </w:r>
      <w:r w:rsidR="0026534D">
        <w:rPr>
          <w:rFonts w:ascii="David" w:hAnsi="David" w:cs="David" w:hint="cs"/>
          <w:sz w:val="24"/>
          <w:szCs w:val="24"/>
          <w:rtl/>
        </w:rPr>
        <w:t xml:space="preserve"> וגם לא כאמצעי</w:t>
      </w:r>
      <w:r w:rsidR="004037C8">
        <w:rPr>
          <w:rFonts w:ascii="David" w:hAnsi="David" w:cs="David" w:hint="cs"/>
          <w:sz w:val="24"/>
          <w:szCs w:val="24"/>
          <w:rtl/>
        </w:rPr>
        <w:t xml:space="preserve"> או מטרה</w:t>
      </w:r>
      <w:r w:rsidR="0026534D">
        <w:rPr>
          <w:rFonts w:ascii="David" w:hAnsi="David" w:cs="David" w:hint="cs"/>
          <w:sz w:val="24"/>
          <w:szCs w:val="24"/>
          <w:rtl/>
        </w:rPr>
        <w:t xml:space="preserve"> </w:t>
      </w:r>
      <w:r w:rsidR="00705F49">
        <w:rPr>
          <w:rFonts w:ascii="David" w:hAnsi="David" w:cs="David" w:hint="cs"/>
          <w:sz w:val="24"/>
          <w:szCs w:val="24"/>
          <w:rtl/>
        </w:rPr>
        <w:t>נקודתי</w:t>
      </w:r>
      <w:r w:rsidR="004037C8">
        <w:rPr>
          <w:rFonts w:ascii="David" w:hAnsi="David" w:cs="David" w:hint="cs"/>
          <w:sz w:val="24"/>
          <w:szCs w:val="24"/>
          <w:rtl/>
        </w:rPr>
        <w:t>ים</w:t>
      </w:r>
      <w:r w:rsidR="00705F49">
        <w:rPr>
          <w:rFonts w:ascii="David" w:hAnsi="David" w:cs="David" w:hint="cs"/>
          <w:sz w:val="24"/>
          <w:szCs w:val="24"/>
          <w:rtl/>
        </w:rPr>
        <w:t xml:space="preserve"> </w:t>
      </w:r>
      <w:r w:rsidR="0026534D">
        <w:rPr>
          <w:rFonts w:ascii="David" w:hAnsi="David" w:cs="David" w:hint="cs"/>
          <w:sz w:val="24"/>
          <w:szCs w:val="24"/>
          <w:rtl/>
        </w:rPr>
        <w:t xml:space="preserve">ליישב סכסוכים בינאישיים. </w:t>
      </w:r>
      <w:r w:rsidR="00955614">
        <w:rPr>
          <w:rFonts w:ascii="David" w:hAnsi="David" w:cs="David" w:hint="cs"/>
          <w:sz w:val="24"/>
          <w:szCs w:val="24"/>
          <w:rtl/>
        </w:rPr>
        <w:t xml:space="preserve">דבר זה </w:t>
      </w:r>
      <w:r w:rsidR="00924B99">
        <w:rPr>
          <w:rFonts w:ascii="David" w:hAnsi="David" w:cs="David" w:hint="cs"/>
          <w:sz w:val="24"/>
          <w:szCs w:val="24"/>
          <w:rtl/>
        </w:rPr>
        <w:t xml:space="preserve">מתבלט </w:t>
      </w:r>
      <w:r w:rsidR="00955614">
        <w:rPr>
          <w:rFonts w:ascii="David" w:hAnsi="David" w:cs="David" w:hint="cs"/>
          <w:sz w:val="24"/>
          <w:szCs w:val="24"/>
          <w:rtl/>
        </w:rPr>
        <w:t>כאשר מדייקים</w:t>
      </w:r>
      <w:r w:rsidR="00CB580A">
        <w:rPr>
          <w:rFonts w:ascii="David" w:hAnsi="David" w:cs="David" w:hint="cs"/>
          <w:sz w:val="24"/>
          <w:szCs w:val="24"/>
          <w:rtl/>
        </w:rPr>
        <w:t xml:space="preserve"> במבנה המדרש במכילתא דרשב"י</w:t>
      </w:r>
      <w:r w:rsidR="007F0F97">
        <w:rPr>
          <w:rFonts w:ascii="David" w:hAnsi="David" w:cs="David" w:hint="cs"/>
          <w:sz w:val="24"/>
          <w:szCs w:val="24"/>
          <w:rtl/>
        </w:rPr>
        <w:t>,</w:t>
      </w:r>
      <w:r w:rsidR="00CB580A">
        <w:rPr>
          <w:rFonts w:ascii="David" w:hAnsi="David" w:cs="David" w:hint="cs"/>
          <w:sz w:val="24"/>
          <w:szCs w:val="24"/>
          <w:rtl/>
        </w:rPr>
        <w:t xml:space="preserve"> ובמבנה הסוגי</w:t>
      </w:r>
      <w:r w:rsidR="00D1110C">
        <w:rPr>
          <w:rFonts w:ascii="David" w:hAnsi="David" w:cs="David" w:hint="cs"/>
          <w:sz w:val="24"/>
          <w:szCs w:val="24"/>
          <w:rtl/>
        </w:rPr>
        <w:t>י</w:t>
      </w:r>
      <w:r w:rsidR="00CB580A">
        <w:rPr>
          <w:rFonts w:ascii="David" w:hAnsi="David" w:cs="David" w:hint="cs"/>
          <w:sz w:val="24"/>
          <w:szCs w:val="24"/>
          <w:rtl/>
        </w:rPr>
        <w:t>ה שראינו בתלמוד הירושלמי</w:t>
      </w:r>
      <w:r w:rsidR="00E51A33">
        <w:rPr>
          <w:rFonts w:ascii="David" w:hAnsi="David" w:cs="David" w:hint="cs"/>
          <w:sz w:val="24"/>
          <w:szCs w:val="24"/>
          <w:rtl/>
        </w:rPr>
        <w:t>.</w:t>
      </w:r>
      <w:r w:rsidR="00E51A33">
        <w:rPr>
          <w:rStyle w:val="a5"/>
          <w:rFonts w:ascii="David" w:hAnsi="David" w:cs="David"/>
          <w:sz w:val="24"/>
          <w:szCs w:val="24"/>
          <w:rtl/>
        </w:rPr>
        <w:footnoteReference w:id="86"/>
      </w:r>
      <w:r w:rsidR="00CB580A">
        <w:rPr>
          <w:rFonts w:ascii="David" w:hAnsi="David" w:cs="David" w:hint="cs"/>
          <w:sz w:val="24"/>
          <w:szCs w:val="24"/>
          <w:rtl/>
        </w:rPr>
        <w:t xml:space="preserve"> </w:t>
      </w:r>
      <w:r w:rsidR="0026534D">
        <w:rPr>
          <w:rFonts w:ascii="David" w:hAnsi="David" w:cs="David" w:hint="cs"/>
          <w:sz w:val="24"/>
          <w:szCs w:val="24"/>
          <w:rtl/>
        </w:rPr>
        <w:t xml:space="preserve">במכילתא דרשב"י </w:t>
      </w:r>
      <w:r w:rsidR="00260907">
        <w:rPr>
          <w:rFonts w:ascii="David" w:hAnsi="David" w:cs="David" w:hint="cs"/>
          <w:sz w:val="24"/>
          <w:szCs w:val="24"/>
          <w:rtl/>
        </w:rPr>
        <w:t>נבחן ומעוצב מחדש המושג 'שכן' כביטוי לחבורה שב</w:t>
      </w:r>
      <w:r w:rsidR="0030489D">
        <w:rPr>
          <w:rFonts w:ascii="David" w:hAnsi="David" w:cs="David" w:hint="cs"/>
          <w:sz w:val="24"/>
          <w:szCs w:val="24"/>
          <w:rtl/>
        </w:rPr>
        <w:t>מסגרת</w:t>
      </w:r>
      <w:r w:rsidR="00260907">
        <w:rPr>
          <w:rFonts w:ascii="David" w:hAnsi="David" w:cs="David" w:hint="cs"/>
          <w:sz w:val="24"/>
          <w:szCs w:val="24"/>
          <w:rtl/>
        </w:rPr>
        <w:t>ה צריכה להיערך סעודת הפסח (</w:t>
      </w:r>
      <w:r w:rsidR="00AC6611">
        <w:rPr>
          <w:rFonts w:ascii="David" w:hAnsi="David" w:cs="David" w:hint="cs"/>
          <w:sz w:val="24"/>
          <w:szCs w:val="24"/>
          <w:rtl/>
        </w:rPr>
        <w:t xml:space="preserve">קהילת השייכות </w:t>
      </w:r>
      <w:r w:rsidR="00260907">
        <w:rPr>
          <w:rFonts w:ascii="David" w:hAnsi="David" w:cs="David" w:hint="cs"/>
          <w:sz w:val="24"/>
          <w:szCs w:val="24"/>
          <w:rtl/>
        </w:rPr>
        <w:t>במקום המשפחה המורחבת)</w:t>
      </w:r>
      <w:r w:rsidR="00403A33">
        <w:rPr>
          <w:rFonts w:ascii="David" w:hAnsi="David" w:cs="David" w:hint="cs"/>
          <w:sz w:val="24"/>
          <w:szCs w:val="24"/>
          <w:rtl/>
        </w:rPr>
        <w:t>;</w:t>
      </w:r>
      <w:r w:rsidR="00197067">
        <w:rPr>
          <w:rFonts w:ascii="David" w:hAnsi="David" w:cs="David" w:hint="cs"/>
          <w:sz w:val="24"/>
          <w:szCs w:val="24"/>
          <w:rtl/>
        </w:rPr>
        <w:t xml:space="preserve"> </w:t>
      </w:r>
      <w:r w:rsidR="00542C94">
        <w:rPr>
          <w:rFonts w:ascii="David" w:hAnsi="David" w:cs="David" w:hint="cs"/>
          <w:sz w:val="24"/>
          <w:szCs w:val="24"/>
          <w:rtl/>
        </w:rPr>
        <w:t>בתלמוד הירושלמי הקטגוריה המשפטית 'עירוב חצרות'</w:t>
      </w:r>
      <w:r w:rsidR="008144CE">
        <w:rPr>
          <w:rFonts w:ascii="David" w:hAnsi="David" w:cs="David" w:hint="cs"/>
          <w:sz w:val="24"/>
          <w:szCs w:val="24"/>
          <w:rtl/>
        </w:rPr>
        <w:t xml:space="preserve"> </w:t>
      </w:r>
      <w:r w:rsidR="00542C94">
        <w:rPr>
          <w:rFonts w:ascii="David" w:hAnsi="David" w:cs="David" w:hint="cs"/>
          <w:sz w:val="24"/>
          <w:szCs w:val="24"/>
          <w:rtl/>
        </w:rPr>
        <w:t xml:space="preserve">היא שמוצדקת </w:t>
      </w:r>
      <w:r w:rsidR="003D409F">
        <w:rPr>
          <w:rFonts w:ascii="David" w:hAnsi="David" w:cs="David" w:hint="cs"/>
          <w:sz w:val="24"/>
          <w:szCs w:val="24"/>
          <w:rtl/>
        </w:rPr>
        <w:t xml:space="preserve">- </w:t>
      </w:r>
      <w:r w:rsidR="00542C94">
        <w:rPr>
          <w:rFonts w:ascii="David" w:hAnsi="David" w:cs="David" w:hint="cs"/>
          <w:sz w:val="24"/>
          <w:szCs w:val="24"/>
          <w:rtl/>
        </w:rPr>
        <w:t xml:space="preserve">בדברי ר' יהושע </w:t>
      </w:r>
      <w:r w:rsidR="003D409F">
        <w:rPr>
          <w:rFonts w:ascii="David" w:hAnsi="David" w:cs="David" w:hint="cs"/>
          <w:sz w:val="24"/>
          <w:szCs w:val="24"/>
          <w:rtl/>
        </w:rPr>
        <w:t xml:space="preserve">- </w:t>
      </w:r>
      <w:r w:rsidR="00542C94">
        <w:rPr>
          <w:rFonts w:ascii="David" w:hAnsi="David" w:cs="David" w:hint="cs"/>
          <w:sz w:val="24"/>
          <w:szCs w:val="24"/>
          <w:rtl/>
        </w:rPr>
        <w:t xml:space="preserve">בנימוק 'מפני דרכי שלום'. </w:t>
      </w:r>
      <w:r w:rsidR="00AB6D17">
        <w:rPr>
          <w:rFonts w:ascii="David" w:hAnsi="David" w:cs="David" w:hint="cs"/>
          <w:sz w:val="24"/>
          <w:szCs w:val="24"/>
          <w:rtl/>
        </w:rPr>
        <w:t xml:space="preserve">בשני המקרים </w:t>
      </w:r>
      <w:r w:rsidR="00197067">
        <w:rPr>
          <w:rFonts w:ascii="David" w:hAnsi="David" w:cs="David" w:hint="cs"/>
          <w:sz w:val="24"/>
          <w:szCs w:val="24"/>
          <w:rtl/>
        </w:rPr>
        <w:t xml:space="preserve">הנימוק </w:t>
      </w:r>
      <w:r w:rsidR="00AB6D17">
        <w:rPr>
          <w:rFonts w:ascii="David" w:hAnsi="David" w:cs="David" w:hint="cs"/>
          <w:sz w:val="24"/>
          <w:szCs w:val="24"/>
          <w:rtl/>
        </w:rPr>
        <w:t xml:space="preserve">'מפני דרכי שלום' נלמד </w:t>
      </w:r>
      <w:r w:rsidR="00152EAA">
        <w:rPr>
          <w:rFonts w:ascii="David" w:hAnsi="David" w:cs="David" w:hint="cs"/>
          <w:sz w:val="24"/>
          <w:szCs w:val="24"/>
          <w:rtl/>
        </w:rPr>
        <w:t>(</w:t>
      </w:r>
      <w:r w:rsidR="008144CE">
        <w:rPr>
          <w:rFonts w:ascii="David" w:hAnsi="David" w:cs="David" w:hint="cs"/>
          <w:sz w:val="24"/>
          <w:szCs w:val="24"/>
          <w:rtl/>
        </w:rPr>
        <w:t xml:space="preserve">או </w:t>
      </w:r>
      <w:r w:rsidR="00AB6D17">
        <w:rPr>
          <w:rFonts w:ascii="David" w:hAnsi="David" w:cs="David" w:hint="cs"/>
          <w:sz w:val="24"/>
          <w:szCs w:val="24"/>
          <w:rtl/>
        </w:rPr>
        <w:t>נתמך</w:t>
      </w:r>
      <w:r w:rsidR="00152EAA">
        <w:rPr>
          <w:rFonts w:ascii="David" w:hAnsi="David" w:cs="David" w:hint="cs"/>
          <w:sz w:val="24"/>
          <w:szCs w:val="24"/>
          <w:rtl/>
        </w:rPr>
        <w:t>)</w:t>
      </w:r>
      <w:r w:rsidR="00AB6D17">
        <w:rPr>
          <w:rFonts w:ascii="David" w:hAnsi="David" w:cs="David" w:hint="cs"/>
          <w:sz w:val="24"/>
          <w:szCs w:val="24"/>
          <w:rtl/>
        </w:rPr>
        <w:t xml:space="preserve"> מתוך פסוק</w:t>
      </w:r>
      <w:r w:rsidR="008144CE">
        <w:rPr>
          <w:rFonts w:ascii="David" w:hAnsi="David" w:cs="David" w:hint="cs"/>
          <w:sz w:val="24"/>
          <w:szCs w:val="24"/>
          <w:rtl/>
        </w:rPr>
        <w:t>,</w:t>
      </w:r>
      <w:r w:rsidR="00DD7654">
        <w:rPr>
          <w:rFonts w:ascii="David" w:hAnsi="David" w:cs="David" w:hint="cs"/>
          <w:sz w:val="24"/>
          <w:szCs w:val="24"/>
          <w:rtl/>
        </w:rPr>
        <w:t xml:space="preserve"> </w:t>
      </w:r>
      <w:r w:rsidR="008144CE">
        <w:rPr>
          <w:rFonts w:ascii="David" w:hAnsi="David" w:cs="David" w:hint="cs"/>
          <w:sz w:val="24"/>
          <w:szCs w:val="24"/>
          <w:rtl/>
        </w:rPr>
        <w:t>אשר</w:t>
      </w:r>
      <w:r w:rsidR="00AB6D17">
        <w:rPr>
          <w:rFonts w:ascii="David" w:hAnsi="David" w:cs="David" w:hint="cs"/>
          <w:sz w:val="24"/>
          <w:szCs w:val="24"/>
          <w:rtl/>
        </w:rPr>
        <w:t xml:space="preserve"> מסב </w:t>
      </w:r>
      <w:r w:rsidR="00AB6D17">
        <w:rPr>
          <w:rFonts w:ascii="David" w:hAnsi="David" w:cs="David" w:hint="cs"/>
          <w:sz w:val="24"/>
          <w:szCs w:val="24"/>
          <w:rtl/>
        </w:rPr>
        <w:lastRenderedPageBreak/>
        <w:t xml:space="preserve">אותו </w:t>
      </w:r>
      <w:r w:rsidR="007F0F97">
        <w:rPr>
          <w:rFonts w:ascii="David" w:hAnsi="David" w:cs="David" w:hint="cs"/>
          <w:sz w:val="24"/>
          <w:szCs w:val="24"/>
          <w:rtl/>
        </w:rPr>
        <w:t>כך ש</w:t>
      </w:r>
      <w:r w:rsidR="00672765">
        <w:rPr>
          <w:rFonts w:ascii="David" w:hAnsi="David" w:cs="David" w:hint="cs"/>
          <w:sz w:val="24"/>
          <w:szCs w:val="24"/>
          <w:rtl/>
        </w:rPr>
        <w:t>י</w:t>
      </w:r>
      <w:r w:rsidR="00BC5FA2">
        <w:rPr>
          <w:rFonts w:ascii="David" w:hAnsi="David" w:cs="David" w:hint="cs"/>
          <w:sz w:val="24"/>
          <w:szCs w:val="24"/>
          <w:rtl/>
        </w:rPr>
        <w:t xml:space="preserve">שמש כטעם </w:t>
      </w:r>
      <w:r w:rsidR="0026534D">
        <w:rPr>
          <w:rFonts w:ascii="David" w:hAnsi="David" w:cs="David" w:hint="cs"/>
          <w:sz w:val="24"/>
          <w:szCs w:val="24"/>
          <w:rtl/>
        </w:rPr>
        <w:t>מטא</w:t>
      </w:r>
      <w:r w:rsidR="008144CE">
        <w:rPr>
          <w:rFonts w:ascii="David" w:hAnsi="David" w:cs="David" w:hint="cs"/>
          <w:sz w:val="24"/>
          <w:szCs w:val="24"/>
          <w:rtl/>
        </w:rPr>
        <w:t>־</w:t>
      </w:r>
      <w:r w:rsidR="0026534D">
        <w:rPr>
          <w:rFonts w:ascii="David" w:hAnsi="David" w:cs="David" w:hint="cs"/>
          <w:sz w:val="24"/>
          <w:szCs w:val="24"/>
          <w:rtl/>
        </w:rPr>
        <w:t xml:space="preserve">הלכתי </w:t>
      </w:r>
      <w:r w:rsidR="00197067">
        <w:rPr>
          <w:rFonts w:ascii="David" w:hAnsi="David" w:cs="David" w:hint="cs"/>
          <w:sz w:val="24"/>
          <w:szCs w:val="24"/>
          <w:rtl/>
        </w:rPr>
        <w:t>לנומוס כולו</w:t>
      </w:r>
      <w:r w:rsidR="00AB6D17">
        <w:rPr>
          <w:rFonts w:ascii="David" w:hAnsi="David" w:cs="David" w:hint="cs"/>
          <w:sz w:val="24"/>
          <w:szCs w:val="24"/>
          <w:rtl/>
        </w:rPr>
        <w:t xml:space="preserve"> -</w:t>
      </w:r>
      <w:r w:rsidR="00BC5FA2">
        <w:rPr>
          <w:rFonts w:ascii="David" w:hAnsi="David" w:cs="David" w:hint="cs"/>
          <w:sz w:val="24"/>
          <w:szCs w:val="24"/>
          <w:rtl/>
        </w:rPr>
        <w:t xml:space="preserve"> </w:t>
      </w:r>
      <w:r w:rsidR="00AB6D17">
        <w:rPr>
          <w:rFonts w:ascii="David" w:hAnsi="David" w:cs="David" w:hint="cs"/>
          <w:sz w:val="24"/>
          <w:szCs w:val="24"/>
          <w:rtl/>
        </w:rPr>
        <w:t>התורה</w:t>
      </w:r>
      <w:r w:rsidR="00DD7654">
        <w:rPr>
          <w:rFonts w:ascii="David" w:hAnsi="David" w:cs="David" w:hint="cs"/>
          <w:sz w:val="24"/>
          <w:szCs w:val="24"/>
          <w:rtl/>
        </w:rPr>
        <w:t>.</w:t>
      </w:r>
      <w:r w:rsidR="00276CD8">
        <w:rPr>
          <w:rFonts w:ascii="David" w:hAnsi="David" w:cs="David" w:hint="cs"/>
          <w:sz w:val="24"/>
          <w:szCs w:val="24"/>
          <w:rtl/>
        </w:rPr>
        <w:t xml:space="preserve"> </w:t>
      </w:r>
      <w:r w:rsidR="00DD7654">
        <w:rPr>
          <w:rFonts w:ascii="David" w:hAnsi="David" w:cs="David" w:hint="cs"/>
          <w:sz w:val="24"/>
          <w:szCs w:val="24"/>
          <w:rtl/>
        </w:rPr>
        <w:t xml:space="preserve">מעיצוב זו עולה הטענה כי </w:t>
      </w:r>
      <w:r w:rsidR="00276CD8">
        <w:rPr>
          <w:rFonts w:ascii="David" w:hAnsi="David" w:cs="David" w:hint="cs"/>
          <w:sz w:val="24"/>
          <w:szCs w:val="24"/>
          <w:rtl/>
        </w:rPr>
        <w:t xml:space="preserve">הנרטיב </w:t>
      </w:r>
      <w:r w:rsidR="00451C9C">
        <w:rPr>
          <w:rFonts w:ascii="David" w:hAnsi="David" w:cs="David" w:hint="cs"/>
          <w:sz w:val="24"/>
          <w:szCs w:val="24"/>
          <w:rtl/>
        </w:rPr>
        <w:t xml:space="preserve">'דרכי שלום' </w:t>
      </w:r>
      <w:r w:rsidR="00197067">
        <w:rPr>
          <w:rFonts w:ascii="David" w:hAnsi="David" w:cs="David" w:hint="cs"/>
          <w:sz w:val="24"/>
          <w:szCs w:val="24"/>
          <w:rtl/>
        </w:rPr>
        <w:t xml:space="preserve">מתממש </w:t>
      </w:r>
      <w:r w:rsidR="00451C9C">
        <w:rPr>
          <w:rFonts w:ascii="David" w:hAnsi="David" w:cs="David" w:hint="cs"/>
          <w:sz w:val="24"/>
          <w:szCs w:val="24"/>
          <w:rtl/>
        </w:rPr>
        <w:t>אמנם</w:t>
      </w:r>
      <w:r w:rsidR="008144CE">
        <w:rPr>
          <w:rFonts w:ascii="David" w:hAnsi="David" w:cs="David" w:hint="cs"/>
          <w:sz w:val="24"/>
          <w:szCs w:val="24"/>
          <w:rtl/>
        </w:rPr>
        <w:t xml:space="preserve"> ב</w:t>
      </w:r>
      <w:r w:rsidR="00D1110C">
        <w:rPr>
          <w:rFonts w:ascii="David" w:hAnsi="David" w:cs="David" w:hint="cs"/>
          <w:sz w:val="24"/>
          <w:szCs w:val="24"/>
          <w:rtl/>
        </w:rPr>
        <w:t>כללים וב</w:t>
      </w:r>
      <w:r w:rsidR="008144CE">
        <w:rPr>
          <w:rFonts w:ascii="David" w:hAnsi="David" w:cs="David" w:hint="cs"/>
          <w:sz w:val="24"/>
          <w:szCs w:val="24"/>
          <w:rtl/>
        </w:rPr>
        <w:t>קטגוריות המשפטיות ש</w:t>
      </w:r>
      <w:r w:rsidR="00F63B44">
        <w:rPr>
          <w:rFonts w:ascii="David" w:hAnsi="David" w:cs="David" w:hint="cs"/>
          <w:sz w:val="24"/>
          <w:szCs w:val="24"/>
          <w:rtl/>
        </w:rPr>
        <w:t>א</w:t>
      </w:r>
      <w:r w:rsidR="008144CE">
        <w:rPr>
          <w:rFonts w:ascii="David" w:hAnsi="David" w:cs="David" w:hint="cs"/>
          <w:sz w:val="24"/>
          <w:szCs w:val="24"/>
          <w:rtl/>
        </w:rPr>
        <w:t>ליה</w:t>
      </w:r>
      <w:r w:rsidR="00D1110C">
        <w:rPr>
          <w:rFonts w:ascii="David" w:hAnsi="David" w:cs="David" w:hint="cs"/>
          <w:sz w:val="24"/>
          <w:szCs w:val="24"/>
          <w:rtl/>
        </w:rPr>
        <w:t>ם</w:t>
      </w:r>
      <w:r w:rsidR="008144CE">
        <w:rPr>
          <w:rFonts w:ascii="David" w:hAnsi="David" w:cs="David" w:hint="cs"/>
          <w:sz w:val="24"/>
          <w:szCs w:val="24"/>
          <w:rtl/>
        </w:rPr>
        <w:t xml:space="preserve"> שייכות הנורמות המשפטיות שמוצדקות על ידו</w:t>
      </w:r>
      <w:r w:rsidR="00276CD8" w:rsidRPr="00AC6611">
        <w:rPr>
          <w:rFonts w:ascii="David" w:hAnsi="David" w:cs="David" w:hint="cs"/>
          <w:sz w:val="24"/>
          <w:szCs w:val="24"/>
          <w:rtl/>
        </w:rPr>
        <w:t>, אך גם בקטגוריות ו</w:t>
      </w:r>
      <w:r w:rsidR="00DD7654" w:rsidRPr="00AC6611">
        <w:rPr>
          <w:rFonts w:ascii="David" w:hAnsi="David" w:cs="David" w:hint="cs"/>
          <w:sz w:val="24"/>
          <w:szCs w:val="24"/>
          <w:rtl/>
        </w:rPr>
        <w:t>ב</w:t>
      </w:r>
      <w:r w:rsidR="00276CD8" w:rsidRPr="00AC6611">
        <w:rPr>
          <w:rFonts w:ascii="David" w:hAnsi="David" w:cs="David" w:hint="cs"/>
          <w:sz w:val="24"/>
          <w:szCs w:val="24"/>
          <w:rtl/>
        </w:rPr>
        <w:t xml:space="preserve">כללים </w:t>
      </w:r>
      <w:r w:rsidR="00A316E0">
        <w:rPr>
          <w:rFonts w:ascii="David" w:hAnsi="David" w:cs="David" w:hint="cs"/>
          <w:sz w:val="24"/>
          <w:szCs w:val="24"/>
          <w:rtl/>
        </w:rPr>
        <w:t>אחר</w:t>
      </w:r>
      <w:r w:rsidR="00276CD8" w:rsidRPr="00AC6611">
        <w:rPr>
          <w:rFonts w:ascii="David" w:hAnsi="David" w:cs="David" w:hint="cs"/>
          <w:sz w:val="24"/>
          <w:szCs w:val="24"/>
          <w:rtl/>
        </w:rPr>
        <w:t>ים</w:t>
      </w:r>
      <w:r w:rsidR="00451C9C" w:rsidRPr="00AC6611">
        <w:rPr>
          <w:rFonts w:ascii="David" w:hAnsi="David" w:cs="David" w:hint="cs"/>
          <w:sz w:val="24"/>
          <w:szCs w:val="24"/>
          <w:rtl/>
        </w:rPr>
        <w:t xml:space="preserve">, </w:t>
      </w:r>
      <w:r w:rsidR="00276CD8" w:rsidRPr="00AC6611">
        <w:rPr>
          <w:rFonts w:ascii="David" w:hAnsi="David" w:cs="David" w:hint="cs"/>
          <w:sz w:val="24"/>
          <w:szCs w:val="24"/>
          <w:rtl/>
        </w:rPr>
        <w:t>שכן</w:t>
      </w:r>
    </w:p>
    <w:p w14:paraId="60B3C44D" w14:textId="2400C924" w:rsidR="005A0265" w:rsidRPr="007F0F97" w:rsidRDefault="00DD7654" w:rsidP="00DD7654">
      <w:pPr>
        <w:autoSpaceDE w:val="0"/>
        <w:autoSpaceDN w:val="0"/>
        <w:bidi w:val="0"/>
        <w:adjustRightInd w:val="0"/>
        <w:spacing w:after="0" w:line="480" w:lineRule="auto"/>
        <w:jc w:val="both"/>
        <w:rPr>
          <w:rFonts w:ascii="Times New Roman" w:hAnsi="Times New Roman" w:cs="Times New Roman"/>
          <w:sz w:val="24"/>
          <w:szCs w:val="24"/>
        </w:rPr>
      </w:pPr>
      <w:r>
        <w:rPr>
          <w:rFonts w:ascii="SBL Greek" w:hAnsi="SBL Greek" w:cs="Times New Roman"/>
          <w:sz w:val="24"/>
          <w:szCs w:val="24"/>
        </w:rPr>
        <w:t>“</w:t>
      </w:r>
      <w:r w:rsidR="00DD5163" w:rsidRPr="00DD7654">
        <w:rPr>
          <w:rFonts w:ascii="Times New Roman" w:hAnsi="Times New Roman" w:cs="Times New Roman"/>
          <w:sz w:val="24"/>
          <w:szCs w:val="24"/>
        </w:rPr>
        <w:t>I</w:t>
      </w:r>
      <w:r w:rsidR="00DD5163" w:rsidRPr="007F0F97">
        <w:rPr>
          <w:rFonts w:ascii="Times New Roman" w:hAnsi="Times New Roman" w:cs="Times New Roman"/>
          <w:sz w:val="24"/>
          <w:szCs w:val="24"/>
        </w:rPr>
        <w:t>ts</w:t>
      </w:r>
      <w:r w:rsidR="00451C9C" w:rsidRPr="007F0F97">
        <w:rPr>
          <w:rFonts w:ascii="Times New Roman" w:hAnsi="Times New Roman" w:cs="Times New Roman"/>
          <w:sz w:val="24"/>
          <w:szCs w:val="24"/>
        </w:rPr>
        <w:t xml:space="preserve"> </w:t>
      </w:r>
      <w:r w:rsidR="00DD5163" w:rsidRPr="007F0F97">
        <w:rPr>
          <w:rFonts w:ascii="Times New Roman" w:hAnsi="Times New Roman" w:cs="Times New Roman"/>
          <w:sz w:val="24"/>
          <w:szCs w:val="24"/>
        </w:rPr>
        <w:t>ways</w:t>
      </w:r>
      <w:r w:rsidR="00451C9C" w:rsidRPr="007F0F97">
        <w:rPr>
          <w:rFonts w:ascii="Times New Roman" w:hAnsi="Times New Roman" w:cs="Times New Roman"/>
          <w:sz w:val="24"/>
          <w:szCs w:val="24"/>
        </w:rPr>
        <w:t xml:space="preserve"> [of the Tora, the Nomos] </w:t>
      </w:r>
      <w:r w:rsidR="00DD5163" w:rsidRPr="007F0F97">
        <w:rPr>
          <w:rFonts w:ascii="Times New Roman" w:hAnsi="Times New Roman" w:cs="Times New Roman"/>
          <w:sz w:val="24"/>
          <w:szCs w:val="24"/>
        </w:rPr>
        <w:t>are ways of pleasantness and all its paths are to peace</w:t>
      </w:r>
      <w:r w:rsidR="00DD5163" w:rsidRPr="007F0F97">
        <w:rPr>
          <w:rFonts w:ascii="Times New Roman" w:hAnsi="Times New Roman" w:cs="Times New Roman"/>
          <w:sz w:val="24"/>
          <w:szCs w:val="24"/>
          <w:rtl/>
        </w:rPr>
        <w:t>”.</w:t>
      </w:r>
    </w:p>
    <w:p w14:paraId="691A31A3" w14:textId="500AAE5F" w:rsidR="006348A0" w:rsidRDefault="006348A0" w:rsidP="00B67B06">
      <w:pPr>
        <w:autoSpaceDE w:val="0"/>
        <w:autoSpaceDN w:val="0"/>
        <w:adjustRightInd w:val="0"/>
        <w:spacing w:after="0" w:line="480" w:lineRule="auto"/>
        <w:ind w:firstLine="720"/>
        <w:jc w:val="both"/>
        <w:rPr>
          <w:rFonts w:ascii="David" w:hAnsi="David" w:cs="David"/>
          <w:sz w:val="24"/>
          <w:szCs w:val="24"/>
          <w:rtl/>
        </w:rPr>
      </w:pPr>
    </w:p>
    <w:p w14:paraId="1E1FDACD" w14:textId="452FFCB4" w:rsidR="000D794E" w:rsidRDefault="006D0780" w:rsidP="00D1110C">
      <w:pPr>
        <w:autoSpaceDE w:val="0"/>
        <w:autoSpaceDN w:val="0"/>
        <w:adjustRightInd w:val="0"/>
        <w:spacing w:after="0" w:line="480" w:lineRule="auto"/>
        <w:ind w:firstLine="720"/>
        <w:rPr>
          <w:rFonts w:ascii="Times New Roman" w:hAnsi="Times New Roman" w:cs="Times New Roman"/>
          <w:i/>
          <w:iCs/>
          <w:rtl/>
        </w:rPr>
      </w:pPr>
      <w:r>
        <w:rPr>
          <w:rFonts w:ascii="David" w:hAnsi="David" w:cs="David" w:hint="cs"/>
          <w:sz w:val="24"/>
          <w:szCs w:val="24"/>
          <w:rtl/>
        </w:rPr>
        <w:t>היבט נוסף של</w:t>
      </w:r>
      <w:r w:rsidR="00631FB9">
        <w:rPr>
          <w:rFonts w:ascii="David" w:hAnsi="David" w:cs="David" w:hint="cs"/>
          <w:sz w:val="24"/>
          <w:szCs w:val="24"/>
          <w:rtl/>
        </w:rPr>
        <w:t xml:space="preserve"> </w:t>
      </w:r>
      <w:r>
        <w:rPr>
          <w:rFonts w:ascii="David" w:hAnsi="David" w:cs="David" w:hint="cs"/>
          <w:sz w:val="24"/>
          <w:szCs w:val="24"/>
          <w:rtl/>
        </w:rPr>
        <w:t xml:space="preserve">גישה זו הוא היעדר הסנקציה שצמודה אליהן </w:t>
      </w:r>
      <w:r>
        <w:rPr>
          <w:rFonts w:ascii="David" w:hAnsi="David" w:cs="David"/>
          <w:sz w:val="24"/>
          <w:szCs w:val="24"/>
          <w:rtl/>
        </w:rPr>
        <w:t>–</w:t>
      </w:r>
      <w:r>
        <w:rPr>
          <w:rFonts w:ascii="David" w:hAnsi="David" w:cs="David" w:hint="cs"/>
          <w:sz w:val="24"/>
          <w:szCs w:val="24"/>
          <w:rtl/>
        </w:rPr>
        <w:t xml:space="preserve"> הן מלכתחילה הן בדיעבד.</w:t>
      </w:r>
      <w:r w:rsidR="000D794E">
        <w:rPr>
          <w:rFonts w:ascii="David" w:hAnsi="David" w:cs="David" w:hint="cs"/>
          <w:sz w:val="24"/>
          <w:szCs w:val="24"/>
          <w:rtl/>
        </w:rPr>
        <w:t xml:space="preserve"> במובן זה 'דרכי השלום'</w:t>
      </w:r>
      <w:r>
        <w:rPr>
          <w:rFonts w:ascii="David" w:hAnsi="David" w:cs="David" w:hint="cs"/>
          <w:sz w:val="24"/>
          <w:szCs w:val="24"/>
          <w:rtl/>
        </w:rPr>
        <w:t xml:space="preserve"> </w:t>
      </w:r>
    </w:p>
    <w:p w14:paraId="2D9371C0" w14:textId="4D3137EE" w:rsidR="000D794E" w:rsidRPr="00B076FE" w:rsidRDefault="000D794E" w:rsidP="000D794E">
      <w:pPr>
        <w:autoSpaceDE w:val="0"/>
        <w:autoSpaceDN w:val="0"/>
        <w:bidi w:val="0"/>
        <w:adjustRightInd w:val="0"/>
        <w:spacing w:after="0" w:line="480" w:lineRule="auto"/>
        <w:rPr>
          <w:rFonts w:ascii="David" w:hAnsi="David" w:cs="David"/>
          <w:sz w:val="24"/>
          <w:szCs w:val="24"/>
        </w:rPr>
      </w:pPr>
      <w:r w:rsidRPr="00B076FE">
        <w:rPr>
          <w:rFonts w:ascii="SBL Greek" w:hAnsi="SBL Greek" w:cs="Times New Roman"/>
          <w:i/>
          <w:iCs/>
          <w:sz w:val="24"/>
          <w:szCs w:val="24"/>
        </w:rPr>
        <w:t>“</w:t>
      </w:r>
      <w:r w:rsidRPr="00B076FE">
        <w:rPr>
          <w:rFonts w:ascii="Times New Roman" w:hAnsi="Times New Roman" w:cs="Times New Roman"/>
          <w:i/>
          <w:iCs/>
          <w:sz w:val="24"/>
          <w:szCs w:val="24"/>
        </w:rPr>
        <w:t xml:space="preserve">create </w:t>
      </w:r>
      <w:r w:rsidRPr="00B076FE">
        <w:rPr>
          <w:rFonts w:ascii="Times New Roman" w:hAnsi="Times New Roman" w:cs="Times New Roman"/>
          <w:sz w:val="24"/>
          <w:szCs w:val="24"/>
        </w:rPr>
        <w:t>the normative worlds in which law is predominantly a system of meaning rather than an imposition of force.</w:t>
      </w:r>
      <w:r w:rsidRPr="00B076FE">
        <w:rPr>
          <w:rFonts w:ascii="SBL Greek" w:hAnsi="SBL Greek" w:cs="David"/>
          <w:sz w:val="24"/>
          <w:szCs w:val="24"/>
        </w:rPr>
        <w:t>”</w:t>
      </w:r>
      <w:r w:rsidR="00B076FE">
        <w:rPr>
          <w:rStyle w:val="a5"/>
          <w:rFonts w:ascii="David" w:hAnsi="David" w:cs="David"/>
          <w:sz w:val="24"/>
          <w:szCs w:val="24"/>
        </w:rPr>
        <w:footnoteReference w:id="87"/>
      </w:r>
    </w:p>
    <w:p w14:paraId="0423216B" w14:textId="77777777" w:rsidR="000D794E" w:rsidRDefault="000D794E" w:rsidP="000D794E">
      <w:pPr>
        <w:autoSpaceDE w:val="0"/>
        <w:autoSpaceDN w:val="0"/>
        <w:bidi w:val="0"/>
        <w:adjustRightInd w:val="0"/>
        <w:spacing w:after="0" w:line="240" w:lineRule="auto"/>
        <w:rPr>
          <w:rFonts w:ascii="David" w:hAnsi="David" w:cs="David"/>
          <w:sz w:val="24"/>
          <w:szCs w:val="24"/>
          <w:rtl/>
        </w:rPr>
      </w:pPr>
      <w:r>
        <w:rPr>
          <w:rFonts w:ascii="David" w:hAnsi="David" w:cs="David" w:hint="cs"/>
          <w:sz w:val="24"/>
          <w:szCs w:val="24"/>
          <w:rtl/>
        </w:rPr>
        <w:t xml:space="preserve"> </w:t>
      </w:r>
      <w:r w:rsidR="006D0780">
        <w:rPr>
          <w:rFonts w:ascii="David" w:hAnsi="David" w:cs="David" w:hint="cs"/>
          <w:sz w:val="24"/>
          <w:szCs w:val="24"/>
          <w:rtl/>
        </w:rPr>
        <w:t xml:space="preserve"> </w:t>
      </w:r>
    </w:p>
    <w:p w14:paraId="2FEE1514" w14:textId="1B561C26" w:rsidR="00CB3DC9" w:rsidRDefault="00C04BBC" w:rsidP="00CB3DC9">
      <w:pPr>
        <w:autoSpaceDE w:val="0"/>
        <w:autoSpaceDN w:val="0"/>
        <w:adjustRightInd w:val="0"/>
        <w:spacing w:after="0" w:line="480" w:lineRule="auto"/>
        <w:jc w:val="both"/>
        <w:rPr>
          <w:rFonts w:ascii="David" w:hAnsi="David" w:cs="David"/>
          <w:sz w:val="24"/>
          <w:szCs w:val="24"/>
          <w:rtl/>
        </w:rPr>
      </w:pPr>
      <w:r>
        <w:rPr>
          <w:rFonts w:ascii="David" w:hAnsi="David" w:cs="David" w:hint="cs"/>
          <w:sz w:val="24"/>
          <w:szCs w:val="24"/>
          <w:rtl/>
        </w:rPr>
        <w:t xml:space="preserve">זאת ועוד, </w:t>
      </w:r>
      <w:r w:rsidR="000D794E">
        <w:rPr>
          <w:rFonts w:ascii="David" w:hAnsi="David" w:cs="David" w:hint="cs"/>
          <w:sz w:val="24"/>
          <w:szCs w:val="24"/>
          <w:rtl/>
        </w:rPr>
        <w:t xml:space="preserve">הסבתו של הנימוק </w:t>
      </w:r>
      <w:r w:rsidR="00E516A2">
        <w:rPr>
          <w:rFonts w:ascii="David" w:hAnsi="David" w:cs="David" w:hint="cs"/>
          <w:sz w:val="24"/>
          <w:szCs w:val="24"/>
          <w:rtl/>
        </w:rPr>
        <w:t xml:space="preserve">'מפני דרכי שלום' </w:t>
      </w:r>
      <w:r w:rsidR="000D794E">
        <w:rPr>
          <w:rFonts w:ascii="David" w:hAnsi="David" w:cs="David" w:hint="cs"/>
          <w:sz w:val="24"/>
          <w:szCs w:val="24"/>
          <w:rtl/>
        </w:rPr>
        <w:t xml:space="preserve">מנימוק שמצדיק כלל מסוים לנימוק שמצדיק קטגוריה </w:t>
      </w:r>
      <w:r w:rsidR="006D0780">
        <w:rPr>
          <w:rFonts w:ascii="David" w:hAnsi="David" w:cs="David" w:hint="cs"/>
          <w:sz w:val="24"/>
          <w:szCs w:val="24"/>
          <w:rtl/>
        </w:rPr>
        <w:t xml:space="preserve">שלמה, ובהרחבה גדולה יותר את הנומוס כולו, מצייר אותו כנרטיב פיידאי </w:t>
      </w:r>
      <w:r w:rsidR="003811BF">
        <w:rPr>
          <w:rFonts w:ascii="David" w:hAnsi="David" w:cs="David" w:hint="cs"/>
          <w:sz w:val="24"/>
          <w:szCs w:val="24"/>
          <w:rtl/>
        </w:rPr>
        <w:t xml:space="preserve">גם </w:t>
      </w:r>
      <w:r w:rsidR="006D0780">
        <w:rPr>
          <w:rFonts w:ascii="David" w:hAnsi="David" w:cs="David" w:hint="cs"/>
          <w:sz w:val="24"/>
          <w:szCs w:val="24"/>
          <w:rtl/>
        </w:rPr>
        <w:t xml:space="preserve">במובן </w:t>
      </w:r>
      <w:r>
        <w:rPr>
          <w:rFonts w:ascii="David" w:hAnsi="David" w:cs="David" w:hint="cs"/>
          <w:sz w:val="24"/>
          <w:szCs w:val="24"/>
          <w:rtl/>
        </w:rPr>
        <w:t>הפדגוגי</w:t>
      </w:r>
      <w:r w:rsidR="00CB3DC9">
        <w:rPr>
          <w:rFonts w:ascii="David" w:hAnsi="David" w:cs="David" w:hint="cs"/>
          <w:sz w:val="24"/>
          <w:szCs w:val="24"/>
          <w:rtl/>
        </w:rPr>
        <w:t xml:space="preserve">, כפי שהסביר </w:t>
      </w:r>
      <w:r w:rsidR="00731E23">
        <w:rPr>
          <w:rFonts w:ascii="David" w:hAnsi="David" w:cs="David" w:hint="cs"/>
          <w:sz w:val="24"/>
          <w:szCs w:val="24"/>
          <w:rtl/>
        </w:rPr>
        <w:t xml:space="preserve">זאת </w:t>
      </w:r>
      <w:r w:rsidR="00CB3DC9">
        <w:rPr>
          <w:rFonts w:ascii="David" w:hAnsi="David" w:cs="David" w:hint="cs"/>
          <w:sz w:val="24"/>
          <w:szCs w:val="24"/>
          <w:rtl/>
        </w:rPr>
        <w:t>קאבר:</w:t>
      </w:r>
    </w:p>
    <w:p w14:paraId="4B3E0FE9" w14:textId="3B10D748" w:rsidR="00145991" w:rsidRDefault="00C04BBC" w:rsidP="009F4425">
      <w:pPr>
        <w:autoSpaceDE w:val="0"/>
        <w:autoSpaceDN w:val="0"/>
        <w:bidi w:val="0"/>
        <w:adjustRightInd w:val="0"/>
        <w:spacing w:after="0" w:line="360" w:lineRule="auto"/>
        <w:ind w:left="720"/>
        <w:jc w:val="both"/>
        <w:rPr>
          <w:rFonts w:ascii="David" w:hAnsi="David" w:cs="David"/>
          <w:sz w:val="24"/>
          <w:szCs w:val="24"/>
          <w:rtl/>
        </w:rPr>
      </w:pPr>
      <w:r w:rsidRPr="00087E01">
        <w:rPr>
          <w:rFonts w:ascii="David" w:hAnsi="David" w:cs="David" w:hint="cs"/>
          <w:sz w:val="24"/>
          <w:szCs w:val="24"/>
          <w:rtl/>
        </w:rPr>
        <w:t xml:space="preserve"> </w:t>
      </w:r>
      <w:r w:rsidR="00775A42" w:rsidRPr="00087E01">
        <w:rPr>
          <w:rFonts w:ascii="Times New Roman" w:hAnsi="Times New Roman" w:cs="Times New Roman"/>
          <w:sz w:val="24"/>
          <w:szCs w:val="24"/>
        </w:rPr>
        <w:t>I shall call "paideic," because the term suggests: (</w:t>
      </w:r>
      <w:r w:rsidR="00087E01">
        <w:rPr>
          <w:rFonts w:ascii="Times New Roman" w:hAnsi="Times New Roman" w:cs="Times New Roman"/>
          <w:sz w:val="24"/>
          <w:szCs w:val="24"/>
        </w:rPr>
        <w:t>1</w:t>
      </w:r>
      <w:r w:rsidR="00775A42" w:rsidRPr="00087E01">
        <w:rPr>
          <w:rFonts w:ascii="Times New Roman" w:hAnsi="Times New Roman" w:cs="Times New Roman"/>
          <w:sz w:val="24"/>
          <w:szCs w:val="24"/>
        </w:rPr>
        <w:t>) a common body of precept</w:t>
      </w:r>
      <w:r w:rsidR="00775A42" w:rsidRPr="00087E01">
        <w:rPr>
          <w:rFonts w:ascii="David" w:hAnsi="David" w:cs="David"/>
          <w:sz w:val="24"/>
          <w:szCs w:val="24"/>
        </w:rPr>
        <w:t xml:space="preserve"> </w:t>
      </w:r>
      <w:r w:rsidR="00087E01" w:rsidRPr="00087E01">
        <w:rPr>
          <w:rFonts w:ascii="Times New Roman" w:hAnsi="Times New Roman" w:cs="Times New Roman"/>
          <w:sz w:val="24"/>
          <w:szCs w:val="24"/>
        </w:rPr>
        <w:t xml:space="preserve">and narrative, (2) a common and personal way of being educated into this corpus, and </w:t>
      </w:r>
      <w:r w:rsidR="00087E01" w:rsidRPr="00895A2A">
        <w:rPr>
          <w:rFonts w:asciiTheme="majorBidi" w:hAnsiTheme="majorBidi" w:cstheme="majorBidi"/>
          <w:sz w:val="24"/>
          <w:szCs w:val="24"/>
        </w:rPr>
        <w:t>(3)</w:t>
      </w:r>
      <w:r w:rsidR="00087E01" w:rsidRPr="00087E01">
        <w:rPr>
          <w:rFonts w:ascii="Arial" w:hAnsi="Arial" w:cs="Arial"/>
          <w:b/>
          <w:bCs/>
          <w:sz w:val="24"/>
          <w:szCs w:val="24"/>
        </w:rPr>
        <w:t xml:space="preserve"> </w:t>
      </w:r>
      <w:r w:rsidR="00087E01" w:rsidRPr="00087E01">
        <w:rPr>
          <w:rFonts w:ascii="Times New Roman" w:hAnsi="Times New Roman" w:cs="Times New Roman"/>
          <w:sz w:val="24"/>
          <w:szCs w:val="24"/>
        </w:rPr>
        <w:t>a sense of direction or growth that is constituted as the individual and his community work out the implications of</w:t>
      </w:r>
      <w:r w:rsidR="00087E01">
        <w:rPr>
          <w:rFonts w:ascii="Times New Roman" w:hAnsi="Times New Roman" w:cs="Times New Roman"/>
          <w:sz w:val="24"/>
          <w:szCs w:val="24"/>
        </w:rPr>
        <w:t xml:space="preserve"> </w:t>
      </w:r>
      <w:r w:rsidR="00087E01" w:rsidRPr="00087E01">
        <w:rPr>
          <w:rFonts w:ascii="Times New Roman" w:hAnsi="Times New Roman" w:cs="Times New Roman"/>
          <w:sz w:val="24"/>
          <w:szCs w:val="24"/>
        </w:rPr>
        <w:t xml:space="preserve">their law. Law as Torah is pedagogic. It requires both the discipline of study and the projection of understanding onto the future that is </w:t>
      </w:r>
      <w:r w:rsidR="00087E01">
        <w:rPr>
          <w:rFonts w:ascii="Times New Roman" w:hAnsi="Times New Roman" w:cs="Times New Roman"/>
          <w:sz w:val="24"/>
          <w:szCs w:val="24"/>
        </w:rPr>
        <w:t>i</w:t>
      </w:r>
      <w:r w:rsidR="00087E01" w:rsidRPr="00087E01">
        <w:rPr>
          <w:rFonts w:ascii="Times New Roman" w:hAnsi="Times New Roman" w:cs="Times New Roman"/>
          <w:sz w:val="24"/>
          <w:szCs w:val="24"/>
        </w:rPr>
        <w:t>nterpretation. Obedience is correlative to understanding. Discourse is initiatory, celebratory, expressive, and performative, rather than</w:t>
      </w:r>
      <w:r w:rsidR="00087E01">
        <w:rPr>
          <w:rFonts w:ascii="Times New Roman" w:hAnsi="Times New Roman" w:cs="Times New Roman"/>
          <w:sz w:val="24"/>
          <w:szCs w:val="24"/>
        </w:rPr>
        <w:t xml:space="preserve"> </w:t>
      </w:r>
      <w:r w:rsidR="00087E01" w:rsidRPr="00087E01">
        <w:rPr>
          <w:rFonts w:ascii="Times New Roman" w:hAnsi="Times New Roman" w:cs="Times New Roman"/>
          <w:sz w:val="24"/>
          <w:szCs w:val="24"/>
        </w:rPr>
        <w:t xml:space="preserve">critical and analytic. </w:t>
      </w:r>
      <w:r w:rsidR="00087E01">
        <w:rPr>
          <w:rFonts w:ascii="Times New Roman" w:hAnsi="Times New Roman" w:cs="Times New Roman"/>
          <w:sz w:val="24"/>
          <w:szCs w:val="24"/>
        </w:rPr>
        <w:t>I</w:t>
      </w:r>
      <w:r w:rsidR="00087E01" w:rsidRPr="00087E01">
        <w:rPr>
          <w:rFonts w:ascii="Times New Roman" w:hAnsi="Times New Roman" w:cs="Times New Roman"/>
          <w:sz w:val="24"/>
          <w:szCs w:val="24"/>
        </w:rPr>
        <w:t>nterpersonal commitments are characterized by reciprocal acknowledgment, the recognition that individuals have particular</w:t>
      </w:r>
      <w:r w:rsidR="004544E0">
        <w:rPr>
          <w:rFonts w:ascii="Times New Roman" w:hAnsi="Times New Roman" w:cs="Times New Roman"/>
          <w:sz w:val="24"/>
          <w:szCs w:val="24"/>
        </w:rPr>
        <w:t xml:space="preserve"> </w:t>
      </w:r>
      <w:r w:rsidR="00087E01" w:rsidRPr="00087E01">
        <w:rPr>
          <w:rFonts w:ascii="Times New Roman" w:hAnsi="Times New Roman" w:cs="Times New Roman"/>
          <w:sz w:val="24"/>
          <w:szCs w:val="24"/>
        </w:rPr>
        <w:t>needs and strong obligations to render person-specific responses.</w:t>
      </w:r>
    </w:p>
    <w:p w14:paraId="1437FE95" w14:textId="77777777" w:rsidR="00C129D2" w:rsidRDefault="00C129D2" w:rsidP="001E3792">
      <w:pPr>
        <w:autoSpaceDE w:val="0"/>
        <w:autoSpaceDN w:val="0"/>
        <w:adjustRightInd w:val="0"/>
        <w:spacing w:after="0" w:line="480" w:lineRule="auto"/>
        <w:jc w:val="both"/>
        <w:rPr>
          <w:rFonts w:ascii="David" w:hAnsi="David" w:cs="David"/>
          <w:sz w:val="24"/>
          <w:szCs w:val="24"/>
          <w:rtl/>
        </w:rPr>
      </w:pPr>
    </w:p>
    <w:p w14:paraId="101FC43E" w14:textId="01719750" w:rsidR="009F4425" w:rsidRDefault="00895A2A" w:rsidP="001E3792">
      <w:pPr>
        <w:autoSpaceDE w:val="0"/>
        <w:autoSpaceDN w:val="0"/>
        <w:adjustRightInd w:val="0"/>
        <w:spacing w:after="0" w:line="480" w:lineRule="auto"/>
        <w:jc w:val="both"/>
        <w:rPr>
          <w:rFonts w:ascii="David" w:hAnsi="David" w:cs="David"/>
          <w:sz w:val="24"/>
          <w:szCs w:val="24"/>
          <w:rtl/>
        </w:rPr>
      </w:pPr>
      <w:r>
        <w:rPr>
          <w:rFonts w:ascii="David" w:hAnsi="David" w:cs="David" w:hint="cs"/>
          <w:sz w:val="24"/>
          <w:szCs w:val="24"/>
          <w:rtl/>
        </w:rPr>
        <w:t xml:space="preserve">ניתן לראות </w:t>
      </w:r>
      <w:r w:rsidR="004F51E2">
        <w:rPr>
          <w:rFonts w:ascii="David" w:hAnsi="David" w:cs="David" w:hint="cs"/>
          <w:sz w:val="24"/>
          <w:szCs w:val="24"/>
          <w:rtl/>
        </w:rPr>
        <w:t>ש</w:t>
      </w:r>
      <w:r>
        <w:rPr>
          <w:rFonts w:ascii="David" w:hAnsi="David" w:cs="David" w:hint="cs"/>
          <w:sz w:val="24"/>
          <w:szCs w:val="24"/>
          <w:rtl/>
        </w:rPr>
        <w:t xml:space="preserve">הטקסטים </w:t>
      </w:r>
      <w:r w:rsidR="00735FD7">
        <w:rPr>
          <w:rFonts w:ascii="David" w:hAnsi="David" w:cs="David" w:hint="cs"/>
          <w:sz w:val="24"/>
          <w:szCs w:val="24"/>
          <w:rtl/>
        </w:rPr>
        <w:t>ש</w:t>
      </w:r>
      <w:r>
        <w:rPr>
          <w:rFonts w:ascii="David" w:hAnsi="David" w:cs="David" w:hint="cs"/>
          <w:sz w:val="24"/>
          <w:szCs w:val="24"/>
          <w:rtl/>
        </w:rPr>
        <w:t xml:space="preserve">אותם מאפיינת הגישה הפוזיטיבית הם טקסטים </w:t>
      </w:r>
      <w:r w:rsidR="00EA50AE">
        <w:rPr>
          <w:rFonts w:ascii="David" w:hAnsi="David" w:cs="David" w:hint="cs"/>
          <w:sz w:val="24"/>
          <w:szCs w:val="24"/>
          <w:rtl/>
        </w:rPr>
        <w:t xml:space="preserve">משוכללים </w:t>
      </w:r>
      <w:r>
        <w:rPr>
          <w:rFonts w:ascii="David" w:hAnsi="David" w:cs="David" w:hint="cs"/>
          <w:sz w:val="24"/>
          <w:szCs w:val="24"/>
          <w:rtl/>
        </w:rPr>
        <w:t xml:space="preserve">ומורכבים יותר מאשר ההלכות האופייניות לשתי הגישות האחרות. בעוד שבגישות הקודמות מדובר בכללים </w:t>
      </w:r>
      <w:r w:rsidR="004F51E2">
        <w:rPr>
          <w:rFonts w:ascii="David" w:hAnsi="David" w:cs="David" w:hint="cs"/>
          <w:sz w:val="24"/>
          <w:szCs w:val="24"/>
          <w:rtl/>
        </w:rPr>
        <w:lastRenderedPageBreak/>
        <w:t xml:space="preserve">שמנוסחים באופן תמציתי </w:t>
      </w:r>
      <w:r w:rsidR="004F51E2">
        <w:rPr>
          <w:rFonts w:ascii="David" w:hAnsi="David" w:cs="David"/>
          <w:sz w:val="24"/>
          <w:szCs w:val="24"/>
          <w:rtl/>
        </w:rPr>
        <w:t>–</w:t>
      </w:r>
      <w:r w:rsidR="004F51E2">
        <w:rPr>
          <w:rFonts w:ascii="David" w:hAnsi="David" w:cs="David" w:hint="cs"/>
          <w:sz w:val="24"/>
          <w:szCs w:val="24"/>
          <w:rtl/>
        </w:rPr>
        <w:t xml:space="preserve"> בדרך כלל כתקנות </w:t>
      </w:r>
      <w:r w:rsidR="004F51E2">
        <w:rPr>
          <w:rFonts w:ascii="David" w:hAnsi="David" w:cs="David"/>
          <w:sz w:val="24"/>
          <w:szCs w:val="24"/>
          <w:rtl/>
        </w:rPr>
        <w:t>–</w:t>
      </w:r>
      <w:r w:rsidR="009E5A61">
        <w:rPr>
          <w:rFonts w:ascii="David" w:hAnsi="David" w:cs="David" w:hint="cs"/>
          <w:sz w:val="24"/>
          <w:szCs w:val="24"/>
          <w:rtl/>
        </w:rPr>
        <w:t xml:space="preserve"> </w:t>
      </w:r>
      <w:r>
        <w:rPr>
          <w:rFonts w:ascii="David" w:hAnsi="David" w:cs="David" w:hint="cs"/>
          <w:sz w:val="24"/>
          <w:szCs w:val="24"/>
          <w:rtl/>
        </w:rPr>
        <w:t xml:space="preserve">כאן </w:t>
      </w:r>
      <w:r w:rsidR="0018478D">
        <w:rPr>
          <w:rFonts w:ascii="David" w:hAnsi="David" w:cs="David" w:hint="cs"/>
          <w:sz w:val="24"/>
          <w:szCs w:val="24"/>
          <w:rtl/>
        </w:rPr>
        <w:t xml:space="preserve">נמצא </w:t>
      </w:r>
      <w:r>
        <w:rPr>
          <w:rFonts w:ascii="David" w:hAnsi="David" w:cs="David" w:hint="cs"/>
          <w:sz w:val="24"/>
          <w:szCs w:val="24"/>
          <w:rtl/>
        </w:rPr>
        <w:t xml:space="preserve">טקסט </w:t>
      </w:r>
      <w:r w:rsidR="00765AFD">
        <w:rPr>
          <w:rFonts w:ascii="David" w:hAnsi="David" w:cs="David" w:hint="cs"/>
          <w:sz w:val="24"/>
          <w:szCs w:val="24"/>
          <w:rtl/>
        </w:rPr>
        <w:t>ש</w:t>
      </w:r>
      <w:r>
        <w:rPr>
          <w:rFonts w:ascii="David" w:hAnsi="David" w:cs="David" w:hint="cs"/>
          <w:sz w:val="24"/>
          <w:szCs w:val="24"/>
          <w:rtl/>
        </w:rPr>
        <w:t>מורכב מכמה חלקים: הכלל או הקטגוריה המשפטית</w:t>
      </w:r>
      <w:r w:rsidR="00765AFD">
        <w:rPr>
          <w:rFonts w:ascii="David" w:hAnsi="David" w:cs="David" w:hint="cs"/>
          <w:sz w:val="24"/>
          <w:szCs w:val="24"/>
          <w:rtl/>
        </w:rPr>
        <w:t>;</w:t>
      </w:r>
      <w:r>
        <w:rPr>
          <w:rFonts w:ascii="David" w:hAnsi="David" w:cs="David" w:hint="cs"/>
          <w:sz w:val="24"/>
          <w:szCs w:val="24"/>
          <w:rtl/>
        </w:rPr>
        <w:t xml:space="preserve"> ההנמקה, דהיינו הנרטיב</w:t>
      </w:r>
      <w:r w:rsidR="00765AFD">
        <w:rPr>
          <w:rFonts w:ascii="David" w:hAnsi="David" w:cs="David" w:hint="cs"/>
          <w:sz w:val="24"/>
          <w:szCs w:val="24"/>
          <w:rtl/>
        </w:rPr>
        <w:t>;</w:t>
      </w:r>
      <w:r>
        <w:rPr>
          <w:rFonts w:ascii="David" w:hAnsi="David" w:cs="David" w:hint="cs"/>
          <w:sz w:val="24"/>
          <w:szCs w:val="24"/>
          <w:rtl/>
        </w:rPr>
        <w:t xml:space="preserve"> סיפור (בתלמוד הירושלמי)</w:t>
      </w:r>
      <w:r w:rsidR="00765AFD">
        <w:rPr>
          <w:rFonts w:ascii="David" w:hAnsi="David" w:cs="David" w:hint="cs"/>
          <w:sz w:val="24"/>
          <w:szCs w:val="24"/>
          <w:rtl/>
        </w:rPr>
        <w:t>;</w:t>
      </w:r>
      <w:r>
        <w:rPr>
          <w:rFonts w:ascii="David" w:hAnsi="David" w:cs="David" w:hint="cs"/>
          <w:sz w:val="24"/>
          <w:szCs w:val="24"/>
          <w:rtl/>
        </w:rPr>
        <w:t xml:space="preserve"> ומדרש פסוקים </w:t>
      </w:r>
      <w:r w:rsidR="00C129D2">
        <w:rPr>
          <w:rFonts w:ascii="David" w:hAnsi="David" w:cs="David" w:hint="cs"/>
          <w:sz w:val="24"/>
          <w:szCs w:val="24"/>
          <w:rtl/>
        </w:rPr>
        <w:t>(</w:t>
      </w:r>
      <w:r>
        <w:rPr>
          <w:rFonts w:ascii="David" w:hAnsi="David" w:cs="David" w:hint="cs"/>
          <w:sz w:val="24"/>
          <w:szCs w:val="24"/>
          <w:rtl/>
        </w:rPr>
        <w:t xml:space="preserve">במקרה של המכילתא </w:t>
      </w:r>
      <w:r w:rsidR="00EA50AE">
        <w:rPr>
          <w:rFonts w:ascii="David" w:hAnsi="David" w:cs="David" w:hint="cs"/>
          <w:sz w:val="24"/>
          <w:szCs w:val="24"/>
          <w:rtl/>
        </w:rPr>
        <w:t xml:space="preserve">אפילו </w:t>
      </w:r>
      <w:r w:rsidR="00C129D2">
        <w:rPr>
          <w:rFonts w:ascii="David" w:hAnsi="David" w:cs="David" w:hint="cs"/>
          <w:sz w:val="24"/>
          <w:szCs w:val="24"/>
          <w:rtl/>
        </w:rPr>
        <w:t>שני מדרשים, אחד להפקת הכלל הנקודתי [שכנו=קהילתו], ושני להחלת 'דרכי שלום' על הנומוס כולו)</w:t>
      </w:r>
      <w:r>
        <w:rPr>
          <w:rFonts w:ascii="David" w:hAnsi="David" w:cs="David" w:hint="cs"/>
          <w:sz w:val="24"/>
          <w:szCs w:val="24"/>
          <w:rtl/>
        </w:rPr>
        <w:t xml:space="preserve">. המורכבות הטקסטואלית </w:t>
      </w:r>
      <w:r w:rsidR="000A66E4">
        <w:rPr>
          <w:rFonts w:ascii="David" w:hAnsi="David" w:cs="David" w:hint="cs"/>
          <w:sz w:val="24"/>
          <w:szCs w:val="24"/>
          <w:rtl/>
        </w:rPr>
        <w:t xml:space="preserve">הזו </w:t>
      </w:r>
      <w:r>
        <w:rPr>
          <w:rFonts w:ascii="David" w:hAnsi="David" w:cs="David" w:hint="cs"/>
          <w:sz w:val="24"/>
          <w:szCs w:val="24"/>
          <w:rtl/>
        </w:rPr>
        <w:t xml:space="preserve">יוצרת </w:t>
      </w:r>
    </w:p>
    <w:p w14:paraId="56AF29D5" w14:textId="52457D6B" w:rsidR="00895A2A" w:rsidRDefault="007207C3" w:rsidP="00895A2A">
      <w:pPr>
        <w:autoSpaceDE w:val="0"/>
        <w:autoSpaceDN w:val="0"/>
        <w:bidi w:val="0"/>
        <w:adjustRightInd w:val="0"/>
        <w:spacing w:after="0" w:line="360" w:lineRule="auto"/>
        <w:jc w:val="both"/>
        <w:rPr>
          <w:rFonts w:ascii="Times New Roman" w:hAnsi="Times New Roman" w:cs="Times New Roman"/>
          <w:sz w:val="24"/>
          <w:szCs w:val="24"/>
        </w:rPr>
      </w:pPr>
      <w:r>
        <w:rPr>
          <w:rFonts w:ascii="SBL Greek" w:hAnsi="SBL Greek" w:cs="Times New Roman"/>
          <w:sz w:val="24"/>
          <w:szCs w:val="24"/>
        </w:rPr>
        <w:t>“</w:t>
      </w:r>
      <w:r>
        <w:rPr>
          <w:rFonts w:ascii="Times New Roman" w:hAnsi="Times New Roman" w:cs="Times New Roman"/>
          <w:sz w:val="24"/>
          <w:szCs w:val="24"/>
        </w:rPr>
        <w:t>d</w:t>
      </w:r>
      <w:r w:rsidR="00895A2A" w:rsidRPr="00087E01">
        <w:rPr>
          <w:rFonts w:ascii="Times New Roman" w:hAnsi="Times New Roman" w:cs="Times New Roman"/>
          <w:sz w:val="24"/>
          <w:szCs w:val="24"/>
        </w:rPr>
        <w:t>iscourse</w:t>
      </w:r>
      <w:r w:rsidR="00D0627B">
        <w:rPr>
          <w:rFonts w:ascii="Times New Roman" w:hAnsi="Times New Roman" w:cs="Times New Roman"/>
          <w:sz w:val="24"/>
          <w:szCs w:val="24"/>
        </w:rPr>
        <w:t xml:space="preserve"> [which] is</w:t>
      </w:r>
      <w:r w:rsidR="00895A2A" w:rsidRPr="00087E01">
        <w:rPr>
          <w:rFonts w:ascii="Times New Roman" w:hAnsi="Times New Roman" w:cs="Times New Roman"/>
          <w:sz w:val="24"/>
          <w:szCs w:val="24"/>
        </w:rPr>
        <w:t xml:space="preserve"> initiatory, celebratory, expressive, and performative, rather than</w:t>
      </w:r>
      <w:r w:rsidR="00895A2A">
        <w:rPr>
          <w:rFonts w:ascii="Times New Roman" w:hAnsi="Times New Roman" w:cs="Times New Roman"/>
          <w:sz w:val="24"/>
          <w:szCs w:val="24"/>
        </w:rPr>
        <w:t xml:space="preserve"> </w:t>
      </w:r>
      <w:r w:rsidR="00895A2A" w:rsidRPr="00087E01">
        <w:rPr>
          <w:rFonts w:ascii="Times New Roman" w:hAnsi="Times New Roman" w:cs="Times New Roman"/>
          <w:sz w:val="24"/>
          <w:szCs w:val="24"/>
        </w:rPr>
        <w:t>critical and analytic</w:t>
      </w:r>
      <w:r>
        <w:rPr>
          <w:rFonts w:ascii="SBL Greek" w:hAnsi="SBL Greek" w:cs="Times New Roman"/>
          <w:sz w:val="24"/>
          <w:szCs w:val="24"/>
        </w:rPr>
        <w:t>”</w:t>
      </w:r>
      <w:r w:rsidR="00D0627B">
        <w:rPr>
          <w:rFonts w:ascii="Times New Roman" w:hAnsi="Times New Roman" w:cs="Times New Roman"/>
          <w:sz w:val="24"/>
          <w:szCs w:val="24"/>
        </w:rPr>
        <w:t>,</w:t>
      </w:r>
      <w:r w:rsidR="00B076FE">
        <w:rPr>
          <w:rStyle w:val="a5"/>
          <w:rFonts w:ascii="Times New Roman" w:hAnsi="Times New Roman" w:cs="Times New Roman"/>
          <w:sz w:val="24"/>
          <w:szCs w:val="24"/>
        </w:rPr>
        <w:footnoteReference w:id="88"/>
      </w:r>
    </w:p>
    <w:p w14:paraId="27F2AB75" w14:textId="2B04A9C2" w:rsidR="001B02D2" w:rsidRPr="001B02D2" w:rsidRDefault="001B02D2" w:rsidP="001B02D2">
      <w:pPr>
        <w:autoSpaceDE w:val="0"/>
        <w:autoSpaceDN w:val="0"/>
        <w:adjustRightInd w:val="0"/>
        <w:spacing w:after="0" w:line="360" w:lineRule="auto"/>
        <w:jc w:val="both"/>
        <w:rPr>
          <w:rFonts w:ascii="David" w:hAnsi="David" w:cs="David"/>
          <w:sz w:val="24"/>
          <w:szCs w:val="24"/>
          <w:rtl/>
        </w:rPr>
      </w:pPr>
      <w:r w:rsidRPr="001B02D2">
        <w:rPr>
          <w:rFonts w:ascii="David" w:hAnsi="David" w:cs="David"/>
          <w:sz w:val="24"/>
          <w:szCs w:val="24"/>
          <w:rtl/>
        </w:rPr>
        <w:t>ומתוו</w:t>
      </w:r>
      <w:r w:rsidR="00FC3208">
        <w:rPr>
          <w:rFonts w:ascii="David" w:hAnsi="David" w:cs="David"/>
          <w:sz w:val="24"/>
          <w:szCs w:val="24"/>
          <w:rtl/>
        </w:rPr>
        <w:t>ַ</w:t>
      </w:r>
      <w:r w:rsidRPr="001B02D2">
        <w:rPr>
          <w:rFonts w:ascii="David" w:hAnsi="David" w:cs="David"/>
          <w:sz w:val="24"/>
          <w:szCs w:val="24"/>
          <w:rtl/>
        </w:rPr>
        <w:t>ה</w:t>
      </w:r>
    </w:p>
    <w:p w14:paraId="4D5B34C4" w14:textId="47725E3D" w:rsidR="00841166" w:rsidRDefault="00841166" w:rsidP="00841166">
      <w:pPr>
        <w:autoSpaceDE w:val="0"/>
        <w:autoSpaceDN w:val="0"/>
        <w:bidi w:val="0"/>
        <w:adjustRightInd w:val="0"/>
        <w:spacing w:after="0" w:line="360" w:lineRule="auto"/>
        <w:jc w:val="both"/>
        <w:rPr>
          <w:rFonts w:ascii="Times New Roman" w:hAnsi="Times New Roman"/>
          <w:sz w:val="24"/>
          <w:szCs w:val="24"/>
        </w:rPr>
      </w:pPr>
      <w:r>
        <w:rPr>
          <w:rFonts w:ascii="SBL Greek" w:hAnsi="SBL Greek" w:cs="Times New Roman"/>
          <w:sz w:val="24"/>
          <w:szCs w:val="24"/>
        </w:rPr>
        <w:t>“</w:t>
      </w:r>
      <w:r w:rsidRPr="00087E01">
        <w:rPr>
          <w:rFonts w:ascii="Times New Roman" w:hAnsi="Times New Roman" w:cs="Times New Roman"/>
          <w:sz w:val="24"/>
          <w:szCs w:val="24"/>
        </w:rPr>
        <w:t>a sense of direction or growth that is constituted as the individual and his community work out the implications of</w:t>
      </w:r>
      <w:r>
        <w:rPr>
          <w:rFonts w:ascii="Times New Roman" w:hAnsi="Times New Roman" w:cs="Times New Roman"/>
          <w:sz w:val="24"/>
          <w:szCs w:val="24"/>
        </w:rPr>
        <w:t xml:space="preserve"> </w:t>
      </w:r>
      <w:r w:rsidRPr="00087E01">
        <w:rPr>
          <w:rFonts w:ascii="Times New Roman" w:hAnsi="Times New Roman" w:cs="Times New Roman"/>
          <w:sz w:val="24"/>
          <w:szCs w:val="24"/>
        </w:rPr>
        <w:t>their law</w:t>
      </w:r>
      <w:r w:rsidR="00E51CDA">
        <w:rPr>
          <w:rFonts w:ascii="Times New Roman" w:hAnsi="Times New Roman" w:cs="Times New Roman"/>
          <w:sz w:val="24"/>
          <w:szCs w:val="24"/>
        </w:rPr>
        <w:t>,</w:t>
      </w:r>
      <w:r w:rsidR="001B02D2">
        <w:rPr>
          <w:rFonts w:ascii="SBL Greek" w:hAnsi="SBL Greek" w:cs="Times New Roman"/>
          <w:sz w:val="24"/>
          <w:szCs w:val="24"/>
        </w:rPr>
        <w:t>”</w:t>
      </w:r>
      <w:r w:rsidR="00FC27DF">
        <w:rPr>
          <w:rStyle w:val="a5"/>
          <w:rFonts w:ascii="Times New Roman" w:hAnsi="Times New Roman"/>
          <w:sz w:val="24"/>
          <w:szCs w:val="24"/>
        </w:rPr>
        <w:footnoteReference w:id="89"/>
      </w:r>
    </w:p>
    <w:p w14:paraId="70DBBF5E" w14:textId="1A513C6B" w:rsidR="00757784" w:rsidRPr="00757784" w:rsidRDefault="001B02D2" w:rsidP="00F402A9">
      <w:pPr>
        <w:autoSpaceDE w:val="0"/>
        <w:autoSpaceDN w:val="0"/>
        <w:adjustRightInd w:val="0"/>
        <w:spacing w:after="0" w:line="480" w:lineRule="auto"/>
        <w:jc w:val="both"/>
        <w:rPr>
          <w:rFonts w:ascii="David" w:hAnsi="David" w:cs="David"/>
          <w:sz w:val="24"/>
          <w:szCs w:val="24"/>
          <w:rtl/>
        </w:rPr>
      </w:pPr>
      <w:r w:rsidRPr="00757784">
        <w:rPr>
          <w:rFonts w:ascii="David" w:hAnsi="David" w:cs="David"/>
          <w:sz w:val="24"/>
          <w:szCs w:val="24"/>
          <w:rtl/>
        </w:rPr>
        <w:t xml:space="preserve">ביחס למטרת קיום הכלל הנקודתי, </w:t>
      </w:r>
      <w:r w:rsidR="00151A56">
        <w:rPr>
          <w:rFonts w:ascii="David" w:hAnsi="David" w:cs="David" w:hint="cs"/>
          <w:sz w:val="24"/>
          <w:szCs w:val="24"/>
          <w:rtl/>
        </w:rPr>
        <w:t>ל</w:t>
      </w:r>
      <w:r w:rsidRPr="00757784">
        <w:rPr>
          <w:rFonts w:ascii="David" w:hAnsi="David" w:cs="David"/>
          <w:sz w:val="24"/>
          <w:szCs w:val="24"/>
          <w:rtl/>
        </w:rPr>
        <w:t>קטגוריה המשפטית</w:t>
      </w:r>
      <w:r w:rsidR="00F402A9">
        <w:rPr>
          <w:rFonts w:ascii="David" w:hAnsi="David" w:cs="David" w:hint="cs"/>
          <w:sz w:val="24"/>
          <w:szCs w:val="24"/>
          <w:rtl/>
        </w:rPr>
        <w:t>,</w:t>
      </w:r>
      <w:r w:rsidRPr="00757784">
        <w:rPr>
          <w:rFonts w:ascii="David" w:hAnsi="David" w:cs="David"/>
          <w:sz w:val="24"/>
          <w:szCs w:val="24"/>
          <w:rtl/>
        </w:rPr>
        <w:t xml:space="preserve"> ו</w:t>
      </w:r>
      <w:r w:rsidR="00151A56">
        <w:rPr>
          <w:rFonts w:ascii="David" w:hAnsi="David" w:cs="David" w:hint="cs"/>
          <w:sz w:val="24"/>
          <w:szCs w:val="24"/>
          <w:rtl/>
        </w:rPr>
        <w:t>ל</w:t>
      </w:r>
      <w:r w:rsidRPr="00757784">
        <w:rPr>
          <w:rFonts w:ascii="David" w:hAnsi="David" w:cs="David"/>
          <w:sz w:val="24"/>
          <w:szCs w:val="24"/>
          <w:rtl/>
        </w:rPr>
        <w:t>נומוס כולו שאליו הם משתייכים</w:t>
      </w:r>
      <w:r w:rsidR="00E51CDA" w:rsidRPr="00757784">
        <w:rPr>
          <w:rFonts w:ascii="David" w:hAnsi="David" w:cs="David"/>
          <w:sz w:val="24"/>
          <w:szCs w:val="24"/>
          <w:rtl/>
        </w:rPr>
        <w:t>. בדרך אגב מעניין לציין</w:t>
      </w:r>
      <w:r w:rsidR="00083FB4" w:rsidRPr="00757784">
        <w:rPr>
          <w:rFonts w:ascii="David" w:hAnsi="David" w:cs="David"/>
          <w:sz w:val="24"/>
          <w:szCs w:val="24"/>
          <w:rtl/>
        </w:rPr>
        <w:t>,</w:t>
      </w:r>
      <w:r w:rsidR="00E51CDA" w:rsidRPr="00757784">
        <w:rPr>
          <w:rFonts w:ascii="David" w:hAnsi="David" w:cs="David"/>
          <w:sz w:val="24"/>
          <w:szCs w:val="24"/>
          <w:rtl/>
        </w:rPr>
        <w:t xml:space="preserve"> </w:t>
      </w:r>
      <w:r w:rsidR="00083FB4" w:rsidRPr="00757784">
        <w:rPr>
          <w:rFonts w:ascii="David" w:hAnsi="David" w:cs="David"/>
          <w:sz w:val="24"/>
          <w:szCs w:val="24"/>
          <w:rtl/>
        </w:rPr>
        <w:t xml:space="preserve">שהאיכות הפיידאית שמוענקת לכללים בגישה הפוזיטיבית, לפחות בכל האמור בעירוב חצרות, מתממשת </w:t>
      </w:r>
      <w:r w:rsidR="006220E4">
        <w:rPr>
          <w:rFonts w:ascii="David" w:hAnsi="David" w:cs="David" w:hint="cs"/>
          <w:sz w:val="24"/>
          <w:szCs w:val="24"/>
          <w:rtl/>
        </w:rPr>
        <w:t xml:space="preserve">גם </w:t>
      </w:r>
      <w:r w:rsidR="00083FB4" w:rsidRPr="00757784">
        <w:rPr>
          <w:rFonts w:ascii="David" w:hAnsi="David" w:cs="David"/>
          <w:sz w:val="24"/>
          <w:szCs w:val="24"/>
          <w:rtl/>
        </w:rPr>
        <w:t xml:space="preserve">באופן של חניכה אישית ממשית, כפי שתיאר אותה ר' מאיר: </w:t>
      </w:r>
    </w:p>
    <w:p w14:paraId="3EA55E70" w14:textId="5B5DD236" w:rsidR="001E3792" w:rsidRDefault="00757784" w:rsidP="00757784">
      <w:pPr>
        <w:autoSpaceDE w:val="0"/>
        <w:autoSpaceDN w:val="0"/>
        <w:bidi w:val="0"/>
        <w:adjustRightInd w:val="0"/>
        <w:spacing w:after="0" w:line="360" w:lineRule="auto"/>
        <w:jc w:val="both"/>
        <w:rPr>
          <w:rFonts w:ascii="Times New Roman" w:hAnsi="Times New Roman" w:cs="Times New Roman"/>
          <w:sz w:val="24"/>
          <w:szCs w:val="24"/>
        </w:rPr>
      </w:pPr>
      <w:r w:rsidRPr="00757784">
        <w:rPr>
          <w:rFonts w:ascii="Times New Roman" w:hAnsi="Times New Roman" w:cs="Times New Roman"/>
          <w:sz w:val="24"/>
          <w:szCs w:val="24"/>
        </w:rPr>
        <w:t xml:space="preserve">“Jewish women did not hesitate to send their </w:t>
      </w:r>
      <w:r w:rsidRPr="00757784">
        <w:rPr>
          <w:rFonts w:ascii="Times New Roman" w:hAnsi="Times New Roman" w:cs="Times New Roman"/>
          <w:i/>
          <w:iCs/>
          <w:sz w:val="24"/>
          <w:szCs w:val="24"/>
        </w:rPr>
        <w:t>eruv</w:t>
      </w:r>
      <w:r w:rsidRPr="00757784">
        <w:rPr>
          <w:rFonts w:ascii="Times New Roman" w:hAnsi="Times New Roman" w:cs="Times New Roman"/>
          <w:sz w:val="24"/>
          <w:szCs w:val="24"/>
        </w:rPr>
        <w:t xml:space="preserve"> by means of their young sons and daughters in order to train them in the performance of mitzvot”</w:t>
      </w:r>
      <w:r w:rsidR="00405C69">
        <w:rPr>
          <w:rFonts w:ascii="Times New Roman" w:hAnsi="Times New Roman" w:cs="Times New Roman"/>
          <w:sz w:val="24"/>
          <w:szCs w:val="24"/>
        </w:rPr>
        <w:t xml:space="preserve"> (T</w:t>
      </w:r>
      <w:r w:rsidRPr="00757784">
        <w:rPr>
          <w:rFonts w:ascii="Times New Roman" w:hAnsi="Times New Roman" w:cs="Times New Roman"/>
          <w:sz w:val="24"/>
          <w:szCs w:val="24"/>
        </w:rPr>
        <w:t>.</w:t>
      </w:r>
      <w:r w:rsidR="00405C69">
        <w:rPr>
          <w:rFonts w:ascii="Times New Roman" w:hAnsi="Times New Roman" w:cs="Times New Roman"/>
          <w:sz w:val="24"/>
          <w:szCs w:val="24"/>
        </w:rPr>
        <w:t xml:space="preserve"> Eruvin </w:t>
      </w:r>
      <w:r w:rsidR="00257B76">
        <w:rPr>
          <w:rFonts w:ascii="Times New Roman" w:hAnsi="Times New Roman" w:cs="Times New Roman"/>
          <w:sz w:val="24"/>
          <w:szCs w:val="24"/>
        </w:rPr>
        <w:t>2 [3] 11).</w:t>
      </w:r>
    </w:p>
    <w:p w14:paraId="39565B60" w14:textId="77777777" w:rsidR="0078090D" w:rsidRDefault="0078090D" w:rsidP="0078090D">
      <w:pPr>
        <w:autoSpaceDE w:val="0"/>
        <w:autoSpaceDN w:val="0"/>
        <w:bidi w:val="0"/>
        <w:adjustRightInd w:val="0"/>
        <w:spacing w:after="0" w:line="360" w:lineRule="auto"/>
        <w:jc w:val="both"/>
        <w:rPr>
          <w:rFonts w:ascii="Times New Roman" w:hAnsi="Times New Roman" w:cs="Times New Roman"/>
          <w:sz w:val="24"/>
          <w:szCs w:val="24"/>
        </w:rPr>
      </w:pPr>
    </w:p>
    <w:p w14:paraId="7DDB6F57" w14:textId="3987917D" w:rsidR="0023136F" w:rsidRPr="0023136F" w:rsidRDefault="0023136F" w:rsidP="0023136F">
      <w:pPr>
        <w:autoSpaceDE w:val="0"/>
        <w:autoSpaceDN w:val="0"/>
        <w:adjustRightInd w:val="0"/>
        <w:spacing w:after="0" w:line="360" w:lineRule="auto"/>
        <w:jc w:val="both"/>
        <w:rPr>
          <w:rFonts w:ascii="David" w:hAnsi="David" w:cs="David"/>
          <w:sz w:val="24"/>
          <w:szCs w:val="24"/>
        </w:rPr>
      </w:pPr>
      <w:r>
        <w:rPr>
          <w:rFonts w:ascii="Times New Roman" w:hAnsi="Times New Roman" w:cs="Times New Roman"/>
          <w:sz w:val="24"/>
          <w:szCs w:val="24"/>
        </w:rPr>
        <w:tab/>
      </w:r>
      <w:r w:rsidRPr="0023136F">
        <w:rPr>
          <w:rFonts w:ascii="David" w:hAnsi="David" w:cs="David"/>
          <w:sz w:val="24"/>
          <w:szCs w:val="24"/>
        </w:rPr>
        <w:tab/>
      </w:r>
    </w:p>
    <w:p w14:paraId="4A2E668E" w14:textId="3DFF14AA" w:rsidR="006B1847" w:rsidRDefault="00B72C69" w:rsidP="006B1847">
      <w:pPr>
        <w:autoSpaceDE w:val="0"/>
        <w:autoSpaceDN w:val="0"/>
        <w:bidi w:val="0"/>
        <w:adjustRightInd w:val="0"/>
        <w:spacing w:after="0" w:line="360" w:lineRule="auto"/>
        <w:jc w:val="both"/>
        <w:rPr>
          <w:rFonts w:ascii="Times New Roman" w:hAnsi="Times New Roman" w:cs="Times New Roman"/>
          <w:b/>
          <w:bCs/>
          <w:sz w:val="24"/>
          <w:szCs w:val="24"/>
        </w:rPr>
      </w:pPr>
      <w:r w:rsidRPr="00B72C69">
        <w:rPr>
          <w:rFonts w:ascii="Times New Roman" w:hAnsi="Times New Roman" w:cs="Times New Roman"/>
          <w:b/>
          <w:bCs/>
          <w:sz w:val="24"/>
          <w:szCs w:val="24"/>
        </w:rPr>
        <w:t xml:space="preserve">VI. </w:t>
      </w:r>
      <w:r w:rsidR="006F2F8B" w:rsidRPr="00B72C69">
        <w:rPr>
          <w:rFonts w:ascii="Times New Roman" w:hAnsi="Times New Roman" w:cs="Times New Roman"/>
          <w:b/>
          <w:bCs/>
          <w:sz w:val="24"/>
          <w:szCs w:val="24"/>
        </w:rPr>
        <w:t>Summary</w:t>
      </w:r>
    </w:p>
    <w:p w14:paraId="7DC88935" w14:textId="5F4F019C" w:rsidR="00257B76" w:rsidRDefault="00257B76" w:rsidP="005059EF">
      <w:pPr>
        <w:autoSpaceDE w:val="0"/>
        <w:autoSpaceDN w:val="0"/>
        <w:adjustRightInd w:val="0"/>
        <w:spacing w:after="0" w:line="480" w:lineRule="auto"/>
        <w:jc w:val="both"/>
        <w:rPr>
          <w:rFonts w:ascii="David" w:hAnsi="David" w:cs="David"/>
          <w:sz w:val="24"/>
          <w:szCs w:val="24"/>
          <w:rtl/>
        </w:rPr>
      </w:pPr>
      <w:r>
        <w:rPr>
          <w:rFonts w:ascii="David" w:hAnsi="David" w:cs="David" w:hint="cs"/>
          <w:sz w:val="24"/>
          <w:szCs w:val="24"/>
          <w:rtl/>
        </w:rPr>
        <w:t xml:space="preserve">'מפני דרכי שלום' הוא מונח שנוצר בהלכה התנאית ומשמש </w:t>
      </w:r>
      <w:r w:rsidR="007900D8">
        <w:rPr>
          <w:rFonts w:ascii="David" w:hAnsi="David" w:cs="David" w:hint="cs"/>
          <w:sz w:val="24"/>
          <w:szCs w:val="24"/>
          <w:rtl/>
        </w:rPr>
        <w:t xml:space="preserve">בה </w:t>
      </w:r>
      <w:r>
        <w:rPr>
          <w:rFonts w:ascii="David" w:hAnsi="David" w:cs="David" w:hint="cs"/>
          <w:sz w:val="24"/>
          <w:szCs w:val="24"/>
          <w:rtl/>
        </w:rPr>
        <w:t>כהנמקה משפטית. כפ</w:t>
      </w:r>
      <w:r w:rsidR="006419CD">
        <w:rPr>
          <w:rFonts w:ascii="David" w:hAnsi="David" w:cs="David" w:hint="cs"/>
          <w:sz w:val="24"/>
          <w:szCs w:val="24"/>
          <w:rtl/>
        </w:rPr>
        <w:t xml:space="preserve">י שראינו במאמר זה, למרות שניתן היה לצפות </w:t>
      </w:r>
      <w:r w:rsidR="00151A56">
        <w:rPr>
          <w:rFonts w:ascii="David" w:hAnsi="David" w:cs="David" w:hint="cs"/>
          <w:sz w:val="24"/>
          <w:szCs w:val="24"/>
          <w:rtl/>
        </w:rPr>
        <w:t xml:space="preserve">כי </w:t>
      </w:r>
      <w:r w:rsidR="00BD3D8F">
        <w:rPr>
          <w:rFonts w:ascii="David" w:hAnsi="David" w:cs="David" w:hint="cs"/>
          <w:sz w:val="24"/>
          <w:szCs w:val="24"/>
          <w:rtl/>
        </w:rPr>
        <w:t>ה</w:t>
      </w:r>
      <w:r w:rsidR="00151A56">
        <w:rPr>
          <w:rFonts w:ascii="David" w:hAnsi="David" w:cs="David" w:hint="cs"/>
          <w:sz w:val="24"/>
          <w:szCs w:val="24"/>
          <w:rtl/>
        </w:rPr>
        <w:t>הנמקה ת</w:t>
      </w:r>
      <w:r w:rsidR="006419CD">
        <w:rPr>
          <w:rFonts w:ascii="David" w:hAnsi="David" w:cs="David" w:hint="cs"/>
          <w:sz w:val="24"/>
          <w:szCs w:val="24"/>
          <w:rtl/>
        </w:rPr>
        <w:t>תפקד באופן זהה בכל מופעי</w:t>
      </w:r>
      <w:r w:rsidR="00151A56">
        <w:rPr>
          <w:rFonts w:ascii="David" w:hAnsi="David" w:cs="David" w:hint="cs"/>
          <w:sz w:val="24"/>
          <w:szCs w:val="24"/>
          <w:rtl/>
        </w:rPr>
        <w:t>ה</w:t>
      </w:r>
      <w:r w:rsidR="00BD3D8F">
        <w:rPr>
          <w:rFonts w:ascii="David" w:hAnsi="David" w:cs="David" w:hint="cs"/>
          <w:sz w:val="24"/>
          <w:szCs w:val="24"/>
          <w:rtl/>
        </w:rPr>
        <w:t>,</w:t>
      </w:r>
      <w:r w:rsidR="006419CD">
        <w:rPr>
          <w:rFonts w:ascii="David" w:hAnsi="David" w:cs="David" w:hint="cs"/>
          <w:sz w:val="24"/>
          <w:szCs w:val="24"/>
          <w:rtl/>
        </w:rPr>
        <w:t xml:space="preserve"> אופן השימוש </w:t>
      </w:r>
      <w:r w:rsidR="00151A56">
        <w:rPr>
          <w:rFonts w:ascii="David" w:hAnsi="David" w:cs="David" w:hint="cs"/>
          <w:sz w:val="24"/>
          <w:szCs w:val="24"/>
          <w:rtl/>
        </w:rPr>
        <w:t xml:space="preserve">בה </w:t>
      </w:r>
      <w:r w:rsidR="006419CD">
        <w:rPr>
          <w:rFonts w:ascii="David" w:hAnsi="David" w:cs="David" w:hint="cs"/>
          <w:sz w:val="24"/>
          <w:szCs w:val="24"/>
          <w:rtl/>
        </w:rPr>
        <w:t xml:space="preserve">הסתבר כמגוון יותר. </w:t>
      </w:r>
      <w:r w:rsidR="00041BFA">
        <w:rPr>
          <w:rFonts w:ascii="David" w:hAnsi="David" w:cs="David" w:hint="cs"/>
          <w:sz w:val="24"/>
          <w:szCs w:val="24"/>
          <w:rtl/>
        </w:rPr>
        <w:t>ה</w:t>
      </w:r>
      <w:r w:rsidR="006419CD">
        <w:rPr>
          <w:rFonts w:ascii="David" w:hAnsi="David" w:cs="David" w:hint="cs"/>
          <w:sz w:val="24"/>
          <w:szCs w:val="24"/>
          <w:rtl/>
        </w:rPr>
        <w:t>גיוון התחוור לנו קודם כל מ</w:t>
      </w:r>
      <w:r w:rsidR="004C5B54">
        <w:rPr>
          <w:rFonts w:ascii="David" w:hAnsi="David" w:cs="David" w:hint="cs"/>
          <w:sz w:val="24"/>
          <w:szCs w:val="24"/>
          <w:rtl/>
        </w:rPr>
        <w:t xml:space="preserve">תוך </w:t>
      </w:r>
      <w:r w:rsidR="006419CD">
        <w:rPr>
          <w:rFonts w:ascii="David" w:hAnsi="David" w:cs="David" w:hint="cs"/>
          <w:sz w:val="24"/>
          <w:szCs w:val="24"/>
          <w:rtl/>
        </w:rPr>
        <w:t xml:space="preserve">שימת הלב לנרטיבים שונים שנקשרו במונח, </w:t>
      </w:r>
      <w:r w:rsidR="004C5B54">
        <w:rPr>
          <w:rFonts w:ascii="David" w:hAnsi="David" w:cs="David" w:hint="cs"/>
          <w:sz w:val="24"/>
          <w:szCs w:val="24"/>
          <w:rtl/>
        </w:rPr>
        <w:t>ואשר שיקפו יחס ערכי משתנה כלפי</w:t>
      </w:r>
      <w:r w:rsidR="005F6B4D">
        <w:rPr>
          <w:rFonts w:ascii="David" w:hAnsi="David" w:cs="David" w:hint="cs"/>
          <w:sz w:val="24"/>
          <w:szCs w:val="24"/>
          <w:rtl/>
        </w:rPr>
        <w:t xml:space="preserve"> ההלכות שהוא מנמק</w:t>
      </w:r>
      <w:r w:rsidR="004C5B54">
        <w:rPr>
          <w:rFonts w:ascii="David" w:hAnsi="David" w:cs="David" w:hint="cs"/>
          <w:sz w:val="24"/>
          <w:szCs w:val="24"/>
          <w:rtl/>
        </w:rPr>
        <w:t xml:space="preserve"> (מסתייג, נטרלי-</w:t>
      </w:r>
      <w:r w:rsidR="005F6B4D">
        <w:rPr>
          <w:rFonts w:ascii="David" w:hAnsi="David" w:cs="David" w:hint="cs"/>
          <w:sz w:val="24"/>
          <w:szCs w:val="24"/>
          <w:rtl/>
        </w:rPr>
        <w:t>פרגמט</w:t>
      </w:r>
      <w:r w:rsidR="004C5B54">
        <w:rPr>
          <w:rFonts w:ascii="David" w:hAnsi="David" w:cs="David" w:hint="cs"/>
          <w:sz w:val="24"/>
          <w:szCs w:val="24"/>
          <w:rtl/>
        </w:rPr>
        <w:t>י או חיובי)</w:t>
      </w:r>
      <w:r w:rsidR="005F6B4D">
        <w:rPr>
          <w:rFonts w:ascii="David" w:hAnsi="David" w:cs="David" w:hint="cs"/>
          <w:sz w:val="24"/>
          <w:szCs w:val="24"/>
          <w:rtl/>
        </w:rPr>
        <w:t>. בירור אופי הזיקה ש</w:t>
      </w:r>
      <w:r w:rsidR="00BA402B">
        <w:rPr>
          <w:rFonts w:ascii="David" w:hAnsi="David" w:cs="David" w:hint="cs"/>
          <w:sz w:val="24"/>
          <w:szCs w:val="24"/>
          <w:rtl/>
        </w:rPr>
        <w:t xml:space="preserve">מתקיים </w:t>
      </w:r>
      <w:r w:rsidR="005F6B4D">
        <w:rPr>
          <w:rFonts w:ascii="David" w:hAnsi="David" w:cs="David" w:hint="cs"/>
          <w:sz w:val="24"/>
          <w:szCs w:val="24"/>
          <w:rtl/>
        </w:rPr>
        <w:t xml:space="preserve">בין </w:t>
      </w:r>
      <w:r w:rsidR="00CD5D41">
        <w:rPr>
          <w:rFonts w:ascii="David" w:hAnsi="David" w:cs="David" w:hint="cs"/>
          <w:sz w:val="24"/>
          <w:szCs w:val="24"/>
          <w:rtl/>
        </w:rPr>
        <w:t>ה</w:t>
      </w:r>
      <w:r w:rsidR="005F6B4D">
        <w:rPr>
          <w:rFonts w:ascii="David" w:hAnsi="David" w:cs="David" w:hint="cs"/>
          <w:sz w:val="24"/>
          <w:szCs w:val="24"/>
          <w:rtl/>
        </w:rPr>
        <w:t>נומוס לנרטיב</w:t>
      </w:r>
      <w:r w:rsidR="00151A56">
        <w:rPr>
          <w:rFonts w:ascii="David" w:hAnsi="David" w:cs="David" w:hint="cs"/>
          <w:sz w:val="24"/>
          <w:szCs w:val="24"/>
          <w:rtl/>
        </w:rPr>
        <w:t>, הן מבחינת היחס שבין הנרטיב לנורמה הספציפית הן מבחינת היחס בינו לבין הנומוס כולו,</w:t>
      </w:r>
      <w:r w:rsidR="005F6B4D">
        <w:rPr>
          <w:rFonts w:ascii="David" w:hAnsi="David" w:cs="David" w:hint="cs"/>
          <w:sz w:val="24"/>
          <w:szCs w:val="24"/>
          <w:rtl/>
        </w:rPr>
        <w:t xml:space="preserve"> </w:t>
      </w:r>
      <w:r w:rsidR="006B29B6">
        <w:rPr>
          <w:rFonts w:ascii="David" w:hAnsi="David" w:cs="David" w:hint="cs"/>
          <w:sz w:val="24"/>
          <w:szCs w:val="24"/>
          <w:rtl/>
        </w:rPr>
        <w:t>הוסיף ו</w:t>
      </w:r>
      <w:r w:rsidR="005F6B4D">
        <w:rPr>
          <w:rFonts w:ascii="David" w:hAnsi="David" w:cs="David" w:hint="cs"/>
          <w:sz w:val="24"/>
          <w:szCs w:val="24"/>
          <w:rtl/>
        </w:rPr>
        <w:t xml:space="preserve">חידד הבדלים </w:t>
      </w:r>
      <w:r w:rsidR="00151A56">
        <w:rPr>
          <w:rFonts w:ascii="David" w:hAnsi="David" w:cs="David" w:hint="cs"/>
          <w:sz w:val="24"/>
          <w:szCs w:val="24"/>
          <w:rtl/>
        </w:rPr>
        <w:t xml:space="preserve">נוספים ביניהן. </w:t>
      </w:r>
      <w:r w:rsidR="00B4466E">
        <w:rPr>
          <w:rFonts w:ascii="David" w:hAnsi="David" w:cs="David" w:hint="cs"/>
          <w:sz w:val="24"/>
          <w:szCs w:val="24"/>
          <w:rtl/>
        </w:rPr>
        <w:t xml:space="preserve">הבדל אחד התבטא בהשלכות המשפטיות שנלוו לשימוש בהצדקת 'מפני דרכי השלום'. </w:t>
      </w:r>
      <w:r w:rsidR="00255D53">
        <w:rPr>
          <w:rFonts w:ascii="David" w:hAnsi="David" w:cs="David" w:hint="cs"/>
          <w:sz w:val="24"/>
          <w:szCs w:val="24"/>
          <w:rtl/>
        </w:rPr>
        <w:t>ככל שמדובר בגישות שמתאפיינות בדפוס אימפריאלי</w:t>
      </w:r>
      <w:r w:rsidR="00BA402B">
        <w:rPr>
          <w:rFonts w:ascii="David" w:hAnsi="David" w:cs="David" w:hint="cs"/>
          <w:sz w:val="24"/>
          <w:szCs w:val="24"/>
          <w:rtl/>
        </w:rPr>
        <w:t>,</w:t>
      </w:r>
      <w:r w:rsidR="00255D53">
        <w:rPr>
          <w:rFonts w:ascii="David" w:hAnsi="David" w:cs="David" w:hint="cs"/>
          <w:sz w:val="24"/>
          <w:szCs w:val="24"/>
          <w:rtl/>
        </w:rPr>
        <w:t xml:space="preserve"> השימוש ב</w:t>
      </w:r>
      <w:r w:rsidR="00041BFA" w:rsidRPr="00041BFA">
        <w:rPr>
          <w:rFonts w:ascii="David" w:hAnsi="David" w:cs="David"/>
          <w:sz w:val="24"/>
          <w:szCs w:val="24"/>
          <w:rtl/>
        </w:rPr>
        <w:t xml:space="preserve">מונח </w:t>
      </w:r>
      <w:r w:rsidR="00B4466E">
        <w:rPr>
          <w:rFonts w:ascii="David" w:hAnsi="David" w:cs="David" w:hint="cs"/>
          <w:sz w:val="24"/>
          <w:szCs w:val="24"/>
          <w:rtl/>
        </w:rPr>
        <w:t xml:space="preserve">'דרכי שלום' </w:t>
      </w:r>
      <w:r w:rsidR="004E21F8">
        <w:rPr>
          <w:rFonts w:ascii="David" w:hAnsi="David" w:cs="David" w:hint="cs"/>
          <w:sz w:val="24"/>
          <w:szCs w:val="24"/>
          <w:rtl/>
        </w:rPr>
        <w:t>ה</w:t>
      </w:r>
      <w:r w:rsidR="00B4466E">
        <w:rPr>
          <w:rFonts w:ascii="David" w:hAnsi="David" w:cs="David" w:hint="cs"/>
          <w:sz w:val="24"/>
          <w:szCs w:val="24"/>
          <w:rtl/>
        </w:rPr>
        <w:t xml:space="preserve">דגיש כי אין בכוחה של הנורמה המוצדקת על ידיו </w:t>
      </w:r>
      <w:r w:rsidR="007A6825">
        <w:rPr>
          <w:rFonts w:ascii="David" w:hAnsi="David" w:cs="David" w:hint="cs"/>
          <w:sz w:val="24"/>
          <w:szCs w:val="24"/>
          <w:rtl/>
        </w:rPr>
        <w:t>להטיל סנקציות משפטיות</w:t>
      </w:r>
      <w:r w:rsidR="00B4466E">
        <w:rPr>
          <w:rFonts w:ascii="David" w:hAnsi="David" w:cs="David" w:hint="cs"/>
          <w:sz w:val="24"/>
          <w:szCs w:val="24"/>
          <w:rtl/>
        </w:rPr>
        <w:t>:</w:t>
      </w:r>
      <w:r w:rsidR="00255D53">
        <w:rPr>
          <w:rFonts w:ascii="David" w:hAnsi="David" w:cs="David" w:hint="cs"/>
          <w:sz w:val="24"/>
          <w:szCs w:val="24"/>
          <w:rtl/>
        </w:rPr>
        <w:t xml:space="preserve"> </w:t>
      </w:r>
      <w:r w:rsidR="00B4466E">
        <w:rPr>
          <w:rFonts w:ascii="David" w:hAnsi="David" w:cs="David" w:hint="cs"/>
          <w:sz w:val="24"/>
          <w:szCs w:val="24"/>
          <w:rtl/>
        </w:rPr>
        <w:t xml:space="preserve">בגישה המסתייגת </w:t>
      </w:r>
      <w:r w:rsidR="002537F7">
        <w:rPr>
          <w:rFonts w:ascii="David" w:hAnsi="David" w:cs="David" w:hint="cs"/>
          <w:sz w:val="24"/>
          <w:szCs w:val="24"/>
          <w:rtl/>
        </w:rPr>
        <w:t xml:space="preserve">השימוש במונח </w:t>
      </w:r>
      <w:r w:rsidR="004E21F8">
        <w:rPr>
          <w:rFonts w:ascii="David" w:hAnsi="David" w:cs="David" w:hint="cs"/>
          <w:sz w:val="24"/>
          <w:szCs w:val="24"/>
          <w:rtl/>
        </w:rPr>
        <w:t>ה</w:t>
      </w:r>
      <w:r w:rsidR="00B4466E">
        <w:rPr>
          <w:rFonts w:ascii="David" w:hAnsi="David" w:cs="David" w:hint="cs"/>
          <w:sz w:val="24"/>
          <w:szCs w:val="24"/>
          <w:rtl/>
        </w:rPr>
        <w:t>צדיק נסיגה מן הנורמה הראויה והסרת סנקציה אפשרית על מי שלא מקיים אותה</w:t>
      </w:r>
      <w:r w:rsidR="002537F7">
        <w:rPr>
          <w:rFonts w:ascii="David" w:hAnsi="David" w:cs="David" w:hint="cs"/>
          <w:sz w:val="24"/>
          <w:szCs w:val="24"/>
          <w:rtl/>
        </w:rPr>
        <w:t>;</w:t>
      </w:r>
      <w:r w:rsidR="00B4466E">
        <w:rPr>
          <w:rFonts w:ascii="David" w:hAnsi="David" w:cs="David" w:hint="cs"/>
          <w:sz w:val="24"/>
          <w:szCs w:val="24"/>
          <w:rtl/>
        </w:rPr>
        <w:t xml:space="preserve"> </w:t>
      </w:r>
      <w:r w:rsidR="002537F7">
        <w:rPr>
          <w:rFonts w:ascii="David" w:hAnsi="David" w:cs="David" w:hint="cs"/>
          <w:sz w:val="24"/>
          <w:szCs w:val="24"/>
          <w:rtl/>
        </w:rPr>
        <w:t>ו</w:t>
      </w:r>
      <w:r w:rsidR="00B4466E">
        <w:rPr>
          <w:rFonts w:ascii="David" w:hAnsi="David" w:cs="David" w:hint="cs"/>
          <w:sz w:val="24"/>
          <w:szCs w:val="24"/>
          <w:rtl/>
        </w:rPr>
        <w:t xml:space="preserve">בגישה הפרגמטית </w:t>
      </w:r>
      <w:r w:rsidR="004E21F8">
        <w:rPr>
          <w:rFonts w:ascii="David" w:hAnsi="David" w:cs="David" w:hint="cs"/>
          <w:sz w:val="24"/>
          <w:szCs w:val="24"/>
          <w:rtl/>
        </w:rPr>
        <w:t>ה</w:t>
      </w:r>
      <w:r w:rsidR="00B4466E">
        <w:rPr>
          <w:rFonts w:ascii="David" w:hAnsi="David" w:cs="David" w:hint="cs"/>
          <w:sz w:val="24"/>
          <w:szCs w:val="24"/>
          <w:rtl/>
        </w:rPr>
        <w:t xml:space="preserve">דגישה ההנמקה 'מפני דרכי שלום' כי מלכתחילה </w:t>
      </w:r>
      <w:r w:rsidR="002537F7">
        <w:rPr>
          <w:rFonts w:ascii="David" w:hAnsi="David" w:cs="David" w:hint="cs"/>
          <w:sz w:val="24"/>
          <w:szCs w:val="24"/>
          <w:rtl/>
        </w:rPr>
        <w:t xml:space="preserve">אין בכוחה של הנורמה </w:t>
      </w:r>
      <w:r w:rsidR="002537F7">
        <w:rPr>
          <w:rFonts w:ascii="David" w:hAnsi="David" w:cs="David"/>
          <w:sz w:val="24"/>
          <w:szCs w:val="24"/>
          <w:rtl/>
        </w:rPr>
        <w:t>–</w:t>
      </w:r>
      <w:r w:rsidR="002537F7">
        <w:rPr>
          <w:rFonts w:ascii="David" w:hAnsi="David" w:cs="David" w:hint="cs"/>
          <w:sz w:val="24"/>
          <w:szCs w:val="24"/>
          <w:rtl/>
        </w:rPr>
        <w:t xml:space="preserve"> שנתפסת כראויה - </w:t>
      </w:r>
      <w:r w:rsidR="002537F7">
        <w:rPr>
          <w:rFonts w:ascii="David" w:hAnsi="David" w:cs="David" w:hint="cs"/>
          <w:sz w:val="24"/>
          <w:szCs w:val="24"/>
          <w:rtl/>
        </w:rPr>
        <w:lastRenderedPageBreak/>
        <w:t>להטיל סנקציה משפטית על העובר עליה. הבדל אחר נוגע למקומה ומטרתה של הנורמה בתוך כלל העולם הנורמטיבי, כלומר בתוך הנומוס. בעוד שההלכות מן הטיפוס האימפריאלי</w:t>
      </w:r>
      <w:r w:rsidR="00AB1416">
        <w:rPr>
          <w:rFonts w:ascii="David" w:hAnsi="David" w:cs="David" w:hint="cs"/>
          <w:sz w:val="24"/>
          <w:szCs w:val="24"/>
          <w:rtl/>
        </w:rPr>
        <w:t xml:space="preserve"> (הגישה המסתייגת והגישה הפרגמטית-נטראלית)</w:t>
      </w:r>
      <w:r w:rsidR="002537F7">
        <w:rPr>
          <w:rFonts w:ascii="David" w:hAnsi="David" w:cs="David" w:hint="cs"/>
          <w:sz w:val="24"/>
          <w:szCs w:val="24"/>
          <w:rtl/>
        </w:rPr>
        <w:t xml:space="preserve"> </w:t>
      </w:r>
      <w:r w:rsidR="00AB1416">
        <w:rPr>
          <w:rFonts w:ascii="David" w:hAnsi="David" w:cs="David" w:hint="cs"/>
          <w:sz w:val="24"/>
          <w:szCs w:val="24"/>
          <w:rtl/>
        </w:rPr>
        <w:t>היוו כללים משפטיים ש</w:t>
      </w:r>
      <w:r w:rsidR="002537F7">
        <w:rPr>
          <w:rFonts w:ascii="David" w:hAnsi="David" w:cs="David" w:hint="cs"/>
          <w:sz w:val="24"/>
          <w:szCs w:val="24"/>
          <w:rtl/>
        </w:rPr>
        <w:t>עיצבו מקטעים נקודתיים</w:t>
      </w:r>
      <w:r w:rsidR="00AB1416">
        <w:rPr>
          <w:rFonts w:ascii="David" w:hAnsi="David" w:cs="David" w:hint="cs"/>
          <w:sz w:val="24"/>
          <w:szCs w:val="24"/>
          <w:rtl/>
        </w:rPr>
        <w:t xml:space="preserve">, ההלכות מן </w:t>
      </w:r>
      <w:r w:rsidR="00255D53">
        <w:rPr>
          <w:rFonts w:ascii="David" w:hAnsi="David" w:cs="David" w:hint="cs"/>
          <w:sz w:val="24"/>
          <w:szCs w:val="24"/>
          <w:rtl/>
        </w:rPr>
        <w:t xml:space="preserve">הגישה </w:t>
      </w:r>
      <w:r w:rsidR="00AB1416">
        <w:rPr>
          <w:rFonts w:ascii="David" w:hAnsi="David" w:cs="David" w:hint="cs"/>
          <w:sz w:val="24"/>
          <w:szCs w:val="24"/>
          <w:rtl/>
        </w:rPr>
        <w:t xml:space="preserve">הפוזיטיבית, </w:t>
      </w:r>
      <w:r w:rsidR="00255D53">
        <w:rPr>
          <w:rFonts w:ascii="David" w:hAnsi="David" w:cs="David" w:hint="cs"/>
          <w:sz w:val="24"/>
          <w:szCs w:val="24"/>
          <w:rtl/>
        </w:rPr>
        <w:t>שמאופיינת בדפוס פיידאי</w:t>
      </w:r>
      <w:r w:rsidR="00AB1416">
        <w:rPr>
          <w:rFonts w:ascii="David" w:hAnsi="David" w:cs="David" w:hint="cs"/>
          <w:sz w:val="24"/>
          <w:szCs w:val="24"/>
          <w:rtl/>
        </w:rPr>
        <w:t>,</w:t>
      </w:r>
      <w:r w:rsidR="00255D53">
        <w:rPr>
          <w:rFonts w:ascii="David" w:hAnsi="David" w:cs="David" w:hint="cs"/>
          <w:sz w:val="24"/>
          <w:szCs w:val="24"/>
          <w:rtl/>
        </w:rPr>
        <w:t xml:space="preserve"> ניסח</w:t>
      </w:r>
      <w:r w:rsidR="00AB1416">
        <w:rPr>
          <w:rFonts w:ascii="David" w:hAnsi="David" w:cs="David" w:hint="cs"/>
          <w:sz w:val="24"/>
          <w:szCs w:val="24"/>
          <w:rtl/>
        </w:rPr>
        <w:t>ו</w:t>
      </w:r>
      <w:r w:rsidR="00255D53">
        <w:rPr>
          <w:rFonts w:ascii="David" w:hAnsi="David" w:cs="David" w:hint="cs"/>
          <w:sz w:val="24"/>
          <w:szCs w:val="24"/>
          <w:rtl/>
        </w:rPr>
        <w:t xml:space="preserve"> אותו כעיקרון </w:t>
      </w:r>
      <w:r w:rsidR="00041BFA" w:rsidRPr="00041BFA">
        <w:rPr>
          <w:rFonts w:ascii="David" w:hAnsi="David" w:cs="David"/>
          <w:sz w:val="24"/>
          <w:szCs w:val="24"/>
          <w:rtl/>
        </w:rPr>
        <w:t>מטא</w:t>
      </w:r>
      <w:r w:rsidR="00D53EDC">
        <w:rPr>
          <w:rFonts w:ascii="David" w:hAnsi="David" w:cs="David" w:hint="cs"/>
          <w:sz w:val="24"/>
          <w:szCs w:val="24"/>
          <w:rtl/>
        </w:rPr>
        <w:t>־הלכתי</w:t>
      </w:r>
      <w:r w:rsidR="007A6825">
        <w:rPr>
          <w:rFonts w:ascii="David" w:hAnsi="David" w:cs="David" w:hint="cs"/>
          <w:sz w:val="24"/>
          <w:szCs w:val="24"/>
          <w:rtl/>
        </w:rPr>
        <w:t>,</w:t>
      </w:r>
      <w:r w:rsidR="00D53EDC">
        <w:rPr>
          <w:rFonts w:ascii="David" w:hAnsi="David" w:cs="David" w:hint="cs"/>
          <w:sz w:val="24"/>
          <w:szCs w:val="24"/>
          <w:rtl/>
        </w:rPr>
        <w:t xml:space="preserve"> </w:t>
      </w:r>
      <w:r w:rsidR="004C5B54">
        <w:rPr>
          <w:rFonts w:ascii="David" w:hAnsi="David" w:cs="David" w:hint="cs"/>
          <w:sz w:val="24"/>
          <w:szCs w:val="24"/>
          <w:rtl/>
        </w:rPr>
        <w:t>שנושא עימ</w:t>
      </w:r>
      <w:r w:rsidR="00AB1416">
        <w:rPr>
          <w:rFonts w:ascii="David" w:hAnsi="David" w:cs="David" w:hint="cs"/>
          <w:sz w:val="24"/>
          <w:szCs w:val="24"/>
          <w:rtl/>
        </w:rPr>
        <w:t>ו</w:t>
      </w:r>
      <w:r w:rsidR="004C5B54">
        <w:rPr>
          <w:rFonts w:ascii="David" w:hAnsi="David" w:cs="David" w:hint="cs"/>
          <w:sz w:val="24"/>
          <w:szCs w:val="24"/>
          <w:rtl/>
        </w:rPr>
        <w:t xml:space="preserve"> איכויות פדגוגיות</w:t>
      </w:r>
      <w:r w:rsidR="00E96918">
        <w:rPr>
          <w:rFonts w:ascii="David" w:hAnsi="David" w:cs="David" w:hint="cs"/>
          <w:sz w:val="24"/>
          <w:szCs w:val="24"/>
          <w:rtl/>
        </w:rPr>
        <w:t>,</w:t>
      </w:r>
      <w:r w:rsidR="001F5131">
        <w:rPr>
          <w:rFonts w:ascii="David" w:hAnsi="David" w:cs="David" w:hint="cs"/>
          <w:sz w:val="24"/>
          <w:szCs w:val="24"/>
          <w:rtl/>
        </w:rPr>
        <w:t xml:space="preserve"> </w:t>
      </w:r>
      <w:r w:rsidR="00F92BB5">
        <w:rPr>
          <w:rFonts w:ascii="David" w:hAnsi="David" w:cs="David" w:hint="cs"/>
          <w:sz w:val="24"/>
          <w:szCs w:val="24"/>
          <w:rtl/>
        </w:rPr>
        <w:t>כמתוו</w:t>
      </w:r>
      <w:r w:rsidR="00AB1416">
        <w:rPr>
          <w:rFonts w:ascii="David" w:hAnsi="David" w:cs="David" w:hint="cs"/>
          <w:sz w:val="24"/>
          <w:szCs w:val="24"/>
          <w:rtl/>
        </w:rPr>
        <w:t>ה</w:t>
      </w:r>
      <w:r w:rsidR="00F92BB5">
        <w:rPr>
          <w:rFonts w:ascii="David" w:hAnsi="David" w:cs="David" w:hint="cs"/>
          <w:sz w:val="24"/>
          <w:szCs w:val="24"/>
          <w:rtl/>
        </w:rPr>
        <w:t xml:space="preserve"> </w:t>
      </w:r>
      <w:r w:rsidR="00F32324">
        <w:rPr>
          <w:rFonts w:ascii="David" w:hAnsi="David" w:cs="David" w:hint="cs"/>
          <w:sz w:val="24"/>
          <w:szCs w:val="24"/>
          <w:rtl/>
        </w:rPr>
        <w:t xml:space="preserve">תחושת </w:t>
      </w:r>
      <w:r w:rsidR="00F92BB5">
        <w:rPr>
          <w:rFonts w:ascii="David" w:hAnsi="David" w:cs="David" w:hint="cs"/>
          <w:sz w:val="24"/>
          <w:szCs w:val="24"/>
          <w:rtl/>
        </w:rPr>
        <w:t>כיוון</w:t>
      </w:r>
      <w:r w:rsidR="00F32324">
        <w:rPr>
          <w:rFonts w:ascii="David" w:hAnsi="David" w:cs="David" w:hint="cs"/>
          <w:sz w:val="24"/>
          <w:szCs w:val="24"/>
          <w:rtl/>
        </w:rPr>
        <w:t xml:space="preserve"> וצמיחה </w:t>
      </w:r>
      <w:r w:rsidR="00BD4338">
        <w:rPr>
          <w:rFonts w:ascii="David" w:hAnsi="David" w:cs="David" w:hint="cs"/>
          <w:sz w:val="24"/>
          <w:szCs w:val="24"/>
          <w:rtl/>
        </w:rPr>
        <w:t>של הנומוס כולו</w:t>
      </w:r>
      <w:r w:rsidR="004C5B54">
        <w:rPr>
          <w:rFonts w:ascii="David" w:hAnsi="David" w:cs="David" w:hint="cs"/>
          <w:sz w:val="24"/>
          <w:szCs w:val="24"/>
          <w:rtl/>
        </w:rPr>
        <w:t>.</w:t>
      </w:r>
    </w:p>
    <w:p w14:paraId="4664043F" w14:textId="400F95F2" w:rsidR="00341BCC" w:rsidRDefault="0009618B" w:rsidP="00E804A4">
      <w:pPr>
        <w:autoSpaceDE w:val="0"/>
        <w:autoSpaceDN w:val="0"/>
        <w:adjustRightInd w:val="0"/>
        <w:spacing w:after="0" w:line="48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האם </w:t>
      </w:r>
      <w:r w:rsidR="00AB1416">
        <w:rPr>
          <w:rFonts w:ascii="David" w:hAnsi="David" w:cs="David" w:hint="cs"/>
          <w:sz w:val="24"/>
          <w:szCs w:val="24"/>
          <w:rtl/>
        </w:rPr>
        <w:t xml:space="preserve">התקיימו </w:t>
      </w:r>
      <w:r>
        <w:rPr>
          <w:rFonts w:ascii="David" w:hAnsi="David" w:cs="David" w:hint="cs"/>
          <w:sz w:val="24"/>
          <w:szCs w:val="24"/>
          <w:rtl/>
        </w:rPr>
        <w:t xml:space="preserve">גישות </w:t>
      </w:r>
      <w:r w:rsidR="00A06687">
        <w:rPr>
          <w:rFonts w:ascii="David" w:hAnsi="David" w:cs="David" w:hint="cs"/>
          <w:sz w:val="24"/>
          <w:szCs w:val="24"/>
          <w:rtl/>
        </w:rPr>
        <w:t xml:space="preserve">אלו באופן </w:t>
      </w:r>
      <w:r>
        <w:rPr>
          <w:rFonts w:ascii="David" w:hAnsi="David" w:cs="David" w:hint="cs"/>
          <w:sz w:val="24"/>
          <w:szCs w:val="24"/>
          <w:rtl/>
        </w:rPr>
        <w:t>מקביל בתוך הנומוס של תקופת המשנה, או שמא יש לראות בהן גיש</w:t>
      </w:r>
      <w:r w:rsidR="000E2B12">
        <w:rPr>
          <w:rFonts w:ascii="David" w:hAnsi="David" w:cs="David" w:hint="cs"/>
          <w:sz w:val="24"/>
          <w:szCs w:val="24"/>
          <w:rtl/>
        </w:rPr>
        <w:t>ה</w:t>
      </w:r>
      <w:r>
        <w:rPr>
          <w:rFonts w:ascii="David" w:hAnsi="David" w:cs="David" w:hint="cs"/>
          <w:sz w:val="24"/>
          <w:szCs w:val="24"/>
          <w:rtl/>
        </w:rPr>
        <w:t xml:space="preserve"> מתפתח</w:t>
      </w:r>
      <w:r w:rsidR="000E2B12">
        <w:rPr>
          <w:rFonts w:ascii="David" w:hAnsi="David" w:cs="David" w:hint="cs"/>
          <w:sz w:val="24"/>
          <w:szCs w:val="24"/>
          <w:rtl/>
        </w:rPr>
        <w:t>ת</w:t>
      </w:r>
      <w:r>
        <w:rPr>
          <w:rFonts w:ascii="David" w:hAnsi="David" w:cs="David" w:hint="cs"/>
          <w:sz w:val="24"/>
          <w:szCs w:val="24"/>
          <w:rtl/>
        </w:rPr>
        <w:t xml:space="preserve"> או מתחלפת על ציר כרונולוגי לאורך תקופה זו? </w:t>
      </w:r>
      <w:r w:rsidR="0060510F">
        <w:rPr>
          <w:rFonts w:ascii="David" w:hAnsi="David" w:cs="David" w:hint="cs"/>
          <w:sz w:val="24"/>
          <w:szCs w:val="24"/>
          <w:rtl/>
        </w:rPr>
        <w:t xml:space="preserve">ראשית </w:t>
      </w:r>
      <w:r w:rsidR="007F0834">
        <w:rPr>
          <w:rFonts w:ascii="David" w:hAnsi="David" w:cs="David" w:hint="cs"/>
          <w:sz w:val="24"/>
          <w:szCs w:val="24"/>
          <w:rtl/>
        </w:rPr>
        <w:t>יש לומר</w:t>
      </w:r>
      <w:r w:rsidR="00867B88">
        <w:rPr>
          <w:rFonts w:ascii="David" w:hAnsi="David" w:cs="David" w:hint="cs"/>
          <w:sz w:val="24"/>
          <w:szCs w:val="24"/>
          <w:rtl/>
        </w:rPr>
        <w:t>,</w:t>
      </w:r>
      <w:r w:rsidR="007F0834">
        <w:rPr>
          <w:rFonts w:ascii="David" w:hAnsi="David" w:cs="David" w:hint="cs"/>
          <w:sz w:val="24"/>
          <w:szCs w:val="24"/>
          <w:rtl/>
        </w:rPr>
        <w:t xml:space="preserve"> כי מתוך הנתונים השונים שנלווים להלכות 'מפני דרכי שלום' קשה להצביע על ה</w:t>
      </w:r>
      <w:r w:rsidR="00D15F9E">
        <w:rPr>
          <w:rFonts w:ascii="David" w:hAnsi="David" w:cs="David" w:hint="cs"/>
          <w:sz w:val="24"/>
          <w:szCs w:val="24"/>
          <w:rtl/>
        </w:rPr>
        <w:t>"</w:t>
      </w:r>
      <w:r w:rsidR="007F0834">
        <w:rPr>
          <w:rFonts w:ascii="David" w:hAnsi="David" w:cs="David" w:hint="cs"/>
          <w:sz w:val="24"/>
          <w:szCs w:val="24"/>
          <w:rtl/>
        </w:rPr>
        <w:t>רגע בזמן</w:t>
      </w:r>
      <w:r w:rsidR="00D15F9E">
        <w:rPr>
          <w:rFonts w:ascii="David" w:hAnsi="David" w:cs="David" w:hint="cs"/>
          <w:sz w:val="24"/>
          <w:szCs w:val="24"/>
          <w:rtl/>
        </w:rPr>
        <w:t>"</w:t>
      </w:r>
      <w:r w:rsidR="007F0834">
        <w:rPr>
          <w:rFonts w:ascii="David" w:hAnsi="David" w:cs="David" w:hint="cs"/>
          <w:sz w:val="24"/>
          <w:szCs w:val="24"/>
          <w:rtl/>
        </w:rPr>
        <w:t xml:space="preserve"> שבו התחיל</w:t>
      </w:r>
      <w:r w:rsidR="0060510F">
        <w:rPr>
          <w:rFonts w:ascii="David" w:hAnsi="David" w:cs="David" w:hint="cs"/>
          <w:sz w:val="24"/>
          <w:szCs w:val="24"/>
          <w:rtl/>
        </w:rPr>
        <w:t xml:space="preserve">ו </w:t>
      </w:r>
      <w:r w:rsidR="00EA5AC0">
        <w:rPr>
          <w:rFonts w:ascii="David" w:hAnsi="David" w:cs="David" w:hint="cs"/>
          <w:sz w:val="24"/>
          <w:szCs w:val="24"/>
          <w:rtl/>
        </w:rPr>
        <w:t xml:space="preserve">חכמים </w:t>
      </w:r>
      <w:r w:rsidR="0060510F">
        <w:rPr>
          <w:rFonts w:ascii="David" w:hAnsi="David" w:cs="David" w:hint="cs"/>
          <w:sz w:val="24"/>
          <w:szCs w:val="24"/>
          <w:rtl/>
        </w:rPr>
        <w:t>להשתמש ב</w:t>
      </w:r>
      <w:r w:rsidR="008248A3">
        <w:rPr>
          <w:rFonts w:ascii="David" w:hAnsi="David" w:cs="David" w:hint="cs"/>
          <w:sz w:val="24"/>
          <w:szCs w:val="24"/>
          <w:rtl/>
        </w:rPr>
        <w:t>ו</w:t>
      </w:r>
      <w:r w:rsidR="0060510F">
        <w:rPr>
          <w:rFonts w:ascii="David" w:hAnsi="David" w:cs="David" w:hint="cs"/>
          <w:sz w:val="24"/>
          <w:szCs w:val="24"/>
          <w:rtl/>
        </w:rPr>
        <w:t xml:space="preserve"> כהצדקה משפטית</w:t>
      </w:r>
      <w:r w:rsidR="00CD5D41">
        <w:rPr>
          <w:rFonts w:ascii="David" w:hAnsi="David" w:cs="David" w:hint="cs"/>
          <w:sz w:val="24"/>
          <w:szCs w:val="24"/>
          <w:rtl/>
        </w:rPr>
        <w:t>.</w:t>
      </w:r>
      <w:r w:rsidR="00F22446">
        <w:rPr>
          <w:rFonts w:ascii="David" w:hAnsi="David" w:cs="David" w:hint="cs"/>
          <w:sz w:val="24"/>
          <w:szCs w:val="24"/>
          <w:rtl/>
        </w:rPr>
        <w:t xml:space="preserve"> </w:t>
      </w:r>
      <w:r w:rsidR="00341BCC">
        <w:rPr>
          <w:rFonts w:ascii="David" w:hAnsi="David" w:cs="David" w:hint="cs"/>
          <w:sz w:val="24"/>
          <w:szCs w:val="24"/>
          <w:rtl/>
        </w:rPr>
        <w:t xml:space="preserve">רובן הגדול של ההלכות </w:t>
      </w:r>
      <w:r w:rsidR="002B03A6">
        <w:rPr>
          <w:rFonts w:ascii="David" w:hAnsi="David" w:cs="David" w:hint="cs"/>
          <w:sz w:val="24"/>
          <w:szCs w:val="24"/>
          <w:rtl/>
        </w:rPr>
        <w:t xml:space="preserve">שמנומקות 'מפני דרכי שלום' </w:t>
      </w:r>
      <w:r w:rsidR="00341BCC">
        <w:rPr>
          <w:rFonts w:ascii="David" w:hAnsi="David" w:cs="David" w:hint="cs"/>
          <w:sz w:val="24"/>
          <w:szCs w:val="24"/>
          <w:rtl/>
        </w:rPr>
        <w:t xml:space="preserve">הן </w:t>
      </w:r>
      <w:r w:rsidR="00867B88">
        <w:rPr>
          <w:rFonts w:ascii="David" w:hAnsi="David" w:cs="David" w:hint="cs"/>
          <w:sz w:val="24"/>
          <w:szCs w:val="24"/>
          <w:rtl/>
        </w:rPr>
        <w:t xml:space="preserve">תקנות </w:t>
      </w:r>
      <w:r w:rsidR="00341BCC">
        <w:rPr>
          <w:rFonts w:ascii="David" w:hAnsi="David" w:cs="David" w:hint="cs"/>
          <w:sz w:val="24"/>
          <w:szCs w:val="24"/>
          <w:rtl/>
        </w:rPr>
        <w:t>אנונימיות</w:t>
      </w:r>
      <w:r w:rsidR="00EA5AC0">
        <w:rPr>
          <w:rFonts w:ascii="David" w:hAnsi="David" w:cs="David" w:hint="cs"/>
          <w:sz w:val="24"/>
          <w:szCs w:val="24"/>
          <w:rtl/>
        </w:rPr>
        <w:t>, מנוסחות בקצרה וחסרות רקע מספיק כדי לקבוע את זמן</w:t>
      </w:r>
      <w:r w:rsidR="00100643">
        <w:rPr>
          <w:rFonts w:ascii="David" w:hAnsi="David" w:cs="David" w:hint="cs"/>
          <w:sz w:val="24"/>
          <w:szCs w:val="24"/>
          <w:rtl/>
        </w:rPr>
        <w:t xml:space="preserve"> חקיקתן המדויק</w:t>
      </w:r>
      <w:r w:rsidR="00EA5AC0">
        <w:rPr>
          <w:rFonts w:ascii="David" w:hAnsi="David" w:cs="David" w:hint="cs"/>
          <w:sz w:val="24"/>
          <w:szCs w:val="24"/>
          <w:rtl/>
        </w:rPr>
        <w:t xml:space="preserve"> בתוך תקופת המשנה</w:t>
      </w:r>
      <w:r w:rsidR="00100643">
        <w:rPr>
          <w:rFonts w:ascii="David" w:hAnsi="David" w:cs="David" w:hint="cs"/>
          <w:sz w:val="24"/>
          <w:szCs w:val="24"/>
          <w:rtl/>
        </w:rPr>
        <w:t>.</w:t>
      </w:r>
      <w:r w:rsidR="00F22446">
        <w:rPr>
          <w:rFonts w:ascii="David" w:hAnsi="David" w:cs="David" w:hint="cs"/>
          <w:sz w:val="24"/>
          <w:szCs w:val="24"/>
          <w:rtl/>
        </w:rPr>
        <w:t xml:space="preserve"> </w:t>
      </w:r>
      <w:r w:rsidR="00EA5AC0">
        <w:rPr>
          <w:rFonts w:ascii="David" w:hAnsi="David" w:cs="David" w:hint="cs"/>
          <w:sz w:val="24"/>
          <w:szCs w:val="24"/>
          <w:rtl/>
        </w:rPr>
        <w:t xml:space="preserve">ככלל, נראה כי </w:t>
      </w:r>
      <w:r w:rsidR="00EA5AC0">
        <w:rPr>
          <w:rFonts w:ascii="David" w:hAnsi="David" w:cs="David" w:hint="cs"/>
          <w:sz w:val="24"/>
          <w:szCs w:val="24"/>
          <w:rtl/>
        </w:rPr>
        <w:t>ה</w:t>
      </w:r>
      <w:r w:rsidR="00EA5AC0">
        <w:rPr>
          <w:rFonts w:ascii="David" w:hAnsi="David" w:cs="David" w:hint="cs"/>
          <w:sz w:val="24"/>
          <w:szCs w:val="24"/>
          <w:rtl/>
        </w:rPr>
        <w:t xml:space="preserve">שימוש </w:t>
      </w:r>
      <w:r w:rsidR="00EA5AC0">
        <w:rPr>
          <w:rFonts w:ascii="David" w:hAnsi="David" w:cs="David" w:hint="cs"/>
          <w:sz w:val="24"/>
          <w:szCs w:val="24"/>
          <w:rtl/>
        </w:rPr>
        <w:t xml:space="preserve">בנימוק </w:t>
      </w:r>
      <w:r w:rsidR="00EA5AC0">
        <w:rPr>
          <w:rFonts w:ascii="David" w:hAnsi="David" w:cs="David" w:hint="cs"/>
          <w:sz w:val="24"/>
          <w:szCs w:val="24"/>
          <w:rtl/>
        </w:rPr>
        <w:t>לא התרחש לפני דור אושא (אמצע המאה השניה לספירה)</w:t>
      </w:r>
      <w:r w:rsidR="00EA5AC0">
        <w:rPr>
          <w:rFonts w:ascii="David" w:hAnsi="David" w:cs="David" w:hint="cs"/>
          <w:sz w:val="24"/>
          <w:szCs w:val="24"/>
          <w:rtl/>
        </w:rPr>
        <w:t xml:space="preserve">, שכן </w:t>
      </w:r>
      <w:r w:rsidR="00100643">
        <w:rPr>
          <w:rFonts w:ascii="David" w:hAnsi="David" w:cs="David" w:hint="cs"/>
          <w:sz w:val="24"/>
          <w:szCs w:val="24"/>
          <w:rtl/>
        </w:rPr>
        <w:t xml:space="preserve">בהלכה שקשורה במס מחצית השקל עולה כי הנימוק מובא להלכה </w:t>
      </w:r>
      <w:r w:rsidR="00A91C5A">
        <w:rPr>
          <w:rFonts w:ascii="David" w:hAnsi="David" w:cs="David" w:hint="cs"/>
          <w:sz w:val="24"/>
          <w:szCs w:val="24"/>
          <w:rtl/>
        </w:rPr>
        <w:t xml:space="preserve">שהיא </w:t>
      </w:r>
      <w:r w:rsidR="00100643">
        <w:rPr>
          <w:rFonts w:ascii="David" w:hAnsi="David" w:cs="David" w:hint="cs"/>
          <w:sz w:val="24"/>
          <w:szCs w:val="24"/>
          <w:rtl/>
        </w:rPr>
        <w:t>ל</w:t>
      </w:r>
      <w:r w:rsidR="00B017BF">
        <w:rPr>
          <w:rFonts w:ascii="David" w:hAnsi="David" w:cs="David" w:hint="cs"/>
          <w:sz w:val="24"/>
          <w:szCs w:val="24"/>
          <w:rtl/>
        </w:rPr>
        <w:t>כל הפחות מאוחרת ל</w:t>
      </w:r>
      <w:r w:rsidR="00100643">
        <w:rPr>
          <w:rFonts w:ascii="David" w:hAnsi="David" w:cs="David" w:hint="cs"/>
          <w:sz w:val="24"/>
          <w:szCs w:val="24"/>
          <w:rtl/>
        </w:rPr>
        <w:t>זמנו של רבן יוחנן בן זכאי</w:t>
      </w:r>
      <w:r w:rsidR="00100643">
        <w:rPr>
          <w:rFonts w:ascii="David" w:hAnsi="David" w:cs="David" w:hint="cs"/>
          <w:sz w:val="24"/>
          <w:szCs w:val="24"/>
          <w:rtl/>
        </w:rPr>
        <w:t>,</w:t>
      </w:r>
      <w:r w:rsidR="00100643">
        <w:rPr>
          <w:rFonts w:ascii="David" w:hAnsi="David" w:cs="David" w:hint="cs"/>
          <w:sz w:val="24"/>
          <w:szCs w:val="24"/>
          <w:rtl/>
        </w:rPr>
        <w:t xml:space="preserve"> </w:t>
      </w:r>
      <w:r w:rsidR="00100643">
        <w:rPr>
          <w:rFonts w:ascii="David" w:hAnsi="David" w:cs="David" w:hint="cs"/>
          <w:sz w:val="24"/>
          <w:szCs w:val="24"/>
          <w:rtl/>
        </w:rPr>
        <w:t>ו</w:t>
      </w:r>
      <w:r w:rsidR="00341BCC">
        <w:rPr>
          <w:rFonts w:ascii="David" w:hAnsi="David" w:cs="David" w:hint="cs"/>
          <w:sz w:val="24"/>
          <w:szCs w:val="24"/>
          <w:rtl/>
        </w:rPr>
        <w:t xml:space="preserve">במקורות שבהם </w:t>
      </w:r>
      <w:r w:rsidR="00867B88">
        <w:rPr>
          <w:rFonts w:ascii="David" w:hAnsi="David" w:cs="David" w:hint="cs"/>
          <w:sz w:val="24"/>
          <w:szCs w:val="24"/>
          <w:rtl/>
        </w:rPr>
        <w:t xml:space="preserve">אמנם </w:t>
      </w:r>
      <w:r w:rsidR="00341BCC">
        <w:rPr>
          <w:rFonts w:ascii="David" w:hAnsi="David" w:cs="David" w:hint="cs"/>
          <w:sz w:val="24"/>
          <w:szCs w:val="24"/>
          <w:rtl/>
        </w:rPr>
        <w:t xml:space="preserve">מופיעים שמות </w:t>
      </w:r>
      <w:r w:rsidR="002B03A6">
        <w:rPr>
          <w:rFonts w:ascii="David" w:hAnsi="David" w:cs="David" w:hint="cs"/>
          <w:sz w:val="24"/>
          <w:szCs w:val="24"/>
          <w:rtl/>
        </w:rPr>
        <w:t xml:space="preserve">חכמים </w:t>
      </w:r>
      <w:r w:rsidR="00341BCC">
        <w:rPr>
          <w:rFonts w:ascii="David" w:hAnsi="David" w:cs="David" w:hint="cs"/>
          <w:sz w:val="24"/>
          <w:szCs w:val="24"/>
          <w:rtl/>
        </w:rPr>
        <w:t xml:space="preserve">הם כנראה מדור </w:t>
      </w:r>
      <w:r w:rsidR="00A91C5A">
        <w:rPr>
          <w:rFonts w:ascii="David" w:hAnsi="David" w:cs="David" w:hint="cs"/>
          <w:sz w:val="24"/>
          <w:szCs w:val="24"/>
          <w:rtl/>
        </w:rPr>
        <w:t>אושא</w:t>
      </w:r>
      <w:r w:rsidR="00EA5AC0">
        <w:rPr>
          <w:rFonts w:ascii="David" w:hAnsi="David" w:cs="David" w:hint="cs"/>
          <w:sz w:val="24"/>
          <w:szCs w:val="24"/>
          <w:rtl/>
        </w:rPr>
        <w:t xml:space="preserve"> </w:t>
      </w:r>
      <w:r w:rsidR="00341BCC">
        <w:rPr>
          <w:rFonts w:ascii="David" w:hAnsi="David" w:cs="David" w:hint="cs"/>
          <w:sz w:val="24"/>
          <w:szCs w:val="24"/>
          <w:rtl/>
        </w:rPr>
        <w:t xml:space="preserve">ואילך. </w:t>
      </w:r>
      <w:r w:rsidR="00F22446">
        <w:rPr>
          <w:rFonts w:ascii="David" w:hAnsi="David" w:cs="David" w:hint="cs"/>
          <w:sz w:val="24"/>
          <w:szCs w:val="24"/>
          <w:rtl/>
        </w:rPr>
        <w:t>האם ניתן ל</w:t>
      </w:r>
      <w:r w:rsidR="00CD5D41">
        <w:rPr>
          <w:rFonts w:ascii="David" w:hAnsi="David" w:cs="David" w:hint="cs"/>
          <w:sz w:val="24"/>
          <w:szCs w:val="24"/>
          <w:rtl/>
        </w:rPr>
        <w:t>שייך</w:t>
      </w:r>
      <w:r w:rsidR="00F22446">
        <w:rPr>
          <w:rFonts w:ascii="David" w:hAnsi="David" w:cs="David" w:hint="cs"/>
          <w:sz w:val="24"/>
          <w:szCs w:val="24"/>
          <w:rtl/>
        </w:rPr>
        <w:t xml:space="preserve"> </w:t>
      </w:r>
      <w:r w:rsidR="00324D2B">
        <w:rPr>
          <w:rFonts w:ascii="David" w:hAnsi="David" w:cs="David" w:hint="cs"/>
          <w:sz w:val="24"/>
          <w:szCs w:val="24"/>
          <w:rtl/>
        </w:rPr>
        <w:t xml:space="preserve">כל אחת מן </w:t>
      </w:r>
      <w:r w:rsidR="00F22446">
        <w:rPr>
          <w:rFonts w:ascii="David" w:hAnsi="David" w:cs="David" w:hint="cs"/>
          <w:sz w:val="24"/>
          <w:szCs w:val="24"/>
          <w:rtl/>
        </w:rPr>
        <w:t>הגישות לפרק זמן שונ</w:t>
      </w:r>
      <w:r w:rsidR="00324D2B">
        <w:rPr>
          <w:rFonts w:ascii="David" w:hAnsi="David" w:cs="David" w:hint="cs"/>
          <w:sz w:val="24"/>
          <w:szCs w:val="24"/>
          <w:rtl/>
        </w:rPr>
        <w:t>ה</w:t>
      </w:r>
      <w:r w:rsidR="00F22446">
        <w:rPr>
          <w:rFonts w:ascii="David" w:hAnsi="David" w:cs="David" w:hint="cs"/>
          <w:sz w:val="24"/>
          <w:szCs w:val="24"/>
          <w:rtl/>
        </w:rPr>
        <w:t>?</w:t>
      </w:r>
      <w:r w:rsidR="00FB1188">
        <w:rPr>
          <w:rFonts w:ascii="David" w:hAnsi="David" w:cs="David" w:hint="cs"/>
          <w:sz w:val="24"/>
          <w:szCs w:val="24"/>
          <w:rtl/>
        </w:rPr>
        <w:t xml:space="preserve"> כאן אוכל רק להצביע על כך שההלכות מן הגישה הפוזטיבית</w:t>
      </w:r>
      <w:r w:rsidR="003163EC">
        <w:rPr>
          <w:rFonts w:ascii="David" w:hAnsi="David" w:cs="David" w:hint="cs"/>
          <w:sz w:val="24"/>
          <w:szCs w:val="24"/>
          <w:rtl/>
        </w:rPr>
        <w:t xml:space="preserve"> </w:t>
      </w:r>
      <w:r w:rsidR="00FB1188">
        <w:rPr>
          <w:rFonts w:ascii="David" w:hAnsi="David" w:cs="David" w:hint="cs"/>
          <w:sz w:val="24"/>
          <w:szCs w:val="24"/>
          <w:rtl/>
        </w:rPr>
        <w:t xml:space="preserve">נראות </w:t>
      </w:r>
      <w:r w:rsidR="00C23129">
        <w:rPr>
          <w:rFonts w:ascii="David" w:hAnsi="David" w:cs="David" w:hint="cs"/>
          <w:sz w:val="24"/>
          <w:szCs w:val="24"/>
          <w:rtl/>
        </w:rPr>
        <w:t>כ</w:t>
      </w:r>
      <w:r w:rsidR="00FB1188">
        <w:rPr>
          <w:rFonts w:ascii="David" w:hAnsi="David" w:cs="David" w:hint="cs"/>
          <w:sz w:val="24"/>
          <w:szCs w:val="24"/>
          <w:rtl/>
        </w:rPr>
        <w:t>מאוחרות ל</w:t>
      </w:r>
      <w:r w:rsidR="00167F61">
        <w:rPr>
          <w:rFonts w:ascii="David" w:hAnsi="David" w:cs="David" w:hint="cs"/>
          <w:sz w:val="24"/>
          <w:szCs w:val="24"/>
          <w:rtl/>
        </w:rPr>
        <w:t>הלכות</w:t>
      </w:r>
      <w:r w:rsidR="00FB1188">
        <w:rPr>
          <w:rFonts w:ascii="David" w:hAnsi="David" w:cs="David" w:hint="cs"/>
          <w:sz w:val="24"/>
          <w:szCs w:val="24"/>
          <w:rtl/>
        </w:rPr>
        <w:t xml:space="preserve"> האחרות. </w:t>
      </w:r>
      <w:r w:rsidR="00D8741B">
        <w:rPr>
          <w:rFonts w:ascii="David" w:hAnsi="David" w:cs="David" w:hint="cs"/>
          <w:sz w:val="24"/>
          <w:szCs w:val="24"/>
          <w:rtl/>
        </w:rPr>
        <w:t xml:space="preserve">במהלך המאמר </w:t>
      </w:r>
      <w:r w:rsidR="00FB1188">
        <w:rPr>
          <w:rFonts w:ascii="David" w:hAnsi="David" w:cs="David" w:hint="cs"/>
          <w:sz w:val="24"/>
          <w:szCs w:val="24"/>
          <w:rtl/>
        </w:rPr>
        <w:t>עמדתי על כך ש</w:t>
      </w:r>
      <w:r w:rsidR="00620064">
        <w:rPr>
          <w:rFonts w:ascii="David" w:hAnsi="David" w:cs="David" w:hint="cs"/>
          <w:sz w:val="24"/>
          <w:szCs w:val="24"/>
          <w:rtl/>
        </w:rPr>
        <w:t>דרשתו של רבי שמעון ב</w:t>
      </w:r>
      <w:r w:rsidR="00FB1188">
        <w:rPr>
          <w:rFonts w:ascii="David" w:hAnsi="David" w:cs="David" w:hint="cs"/>
          <w:sz w:val="24"/>
          <w:szCs w:val="24"/>
          <w:rtl/>
        </w:rPr>
        <w:t>מכילתא דרשב"י נראית כפיתוח של הכלל בתוספתא (אשר חסר את הרובד המטא־הלכתי)</w:t>
      </w:r>
      <w:r w:rsidR="00A15101">
        <w:rPr>
          <w:rFonts w:ascii="David" w:hAnsi="David" w:cs="David" w:hint="cs"/>
          <w:sz w:val="24"/>
          <w:szCs w:val="24"/>
          <w:rtl/>
        </w:rPr>
        <w:t>.</w:t>
      </w:r>
      <w:r w:rsidR="00FB1188">
        <w:rPr>
          <w:rFonts w:ascii="David" w:hAnsi="David" w:cs="David" w:hint="cs"/>
          <w:sz w:val="24"/>
          <w:szCs w:val="24"/>
          <w:rtl/>
        </w:rPr>
        <w:t xml:space="preserve"> ו</w:t>
      </w:r>
      <w:r w:rsidR="00A15101">
        <w:rPr>
          <w:rFonts w:ascii="David" w:hAnsi="David" w:cs="David" w:hint="cs"/>
          <w:sz w:val="24"/>
          <w:szCs w:val="24"/>
          <w:rtl/>
        </w:rPr>
        <w:t xml:space="preserve">אילו </w:t>
      </w:r>
      <w:r w:rsidR="00620064">
        <w:rPr>
          <w:rFonts w:ascii="David" w:hAnsi="David" w:cs="David" w:hint="cs"/>
          <w:sz w:val="24"/>
          <w:szCs w:val="24"/>
          <w:rtl/>
        </w:rPr>
        <w:t>ב</w:t>
      </w:r>
      <w:r w:rsidR="00FB1188">
        <w:rPr>
          <w:rFonts w:ascii="David" w:hAnsi="David" w:cs="David" w:hint="cs"/>
          <w:sz w:val="24"/>
          <w:szCs w:val="24"/>
          <w:rtl/>
        </w:rPr>
        <w:t xml:space="preserve">תלמוד הירושלמי </w:t>
      </w:r>
      <w:r w:rsidR="00A91C5A">
        <w:rPr>
          <w:rFonts w:ascii="David" w:hAnsi="David" w:cs="David" w:hint="cs"/>
          <w:sz w:val="24"/>
          <w:szCs w:val="24"/>
          <w:rtl/>
        </w:rPr>
        <w:t xml:space="preserve">השימוש בנימוק </w:t>
      </w:r>
      <w:r w:rsidR="00A15101">
        <w:rPr>
          <w:rFonts w:ascii="David" w:hAnsi="David" w:cs="David" w:hint="cs"/>
          <w:sz w:val="24"/>
          <w:szCs w:val="24"/>
          <w:rtl/>
        </w:rPr>
        <w:t>עשוי להסתבר</w:t>
      </w:r>
      <w:r w:rsidR="00FB1188">
        <w:rPr>
          <w:rFonts w:ascii="David" w:hAnsi="David" w:cs="David" w:hint="cs"/>
          <w:sz w:val="24"/>
          <w:szCs w:val="24"/>
          <w:rtl/>
        </w:rPr>
        <w:t xml:space="preserve"> כמאוחר </w:t>
      </w:r>
      <w:r w:rsidR="00867B88">
        <w:rPr>
          <w:rFonts w:ascii="David" w:hAnsi="David" w:cs="David" w:hint="cs"/>
          <w:sz w:val="24"/>
          <w:szCs w:val="24"/>
          <w:rtl/>
        </w:rPr>
        <w:t xml:space="preserve">הן </w:t>
      </w:r>
      <w:r w:rsidR="00FB1188">
        <w:rPr>
          <w:rFonts w:ascii="David" w:hAnsi="David" w:cs="David" w:hint="cs"/>
          <w:sz w:val="24"/>
          <w:szCs w:val="24"/>
          <w:rtl/>
        </w:rPr>
        <w:t>מתוך שמו של הדובר</w:t>
      </w:r>
      <w:r w:rsidR="00CD5D41">
        <w:rPr>
          <w:rFonts w:ascii="David" w:hAnsi="David" w:cs="David" w:hint="cs"/>
          <w:sz w:val="24"/>
          <w:szCs w:val="24"/>
          <w:rtl/>
        </w:rPr>
        <w:t xml:space="preserve"> (אם הוא </w:t>
      </w:r>
      <w:r w:rsidR="00651191">
        <w:rPr>
          <w:rFonts w:ascii="David" w:hAnsi="David" w:cs="David" w:hint="cs"/>
          <w:sz w:val="24"/>
          <w:szCs w:val="24"/>
          <w:rtl/>
        </w:rPr>
        <w:t>האמורא יהושע בן לוי)</w:t>
      </w:r>
      <w:r w:rsidR="00620064">
        <w:rPr>
          <w:rFonts w:ascii="David" w:hAnsi="David" w:cs="David" w:hint="cs"/>
          <w:sz w:val="24"/>
          <w:szCs w:val="24"/>
          <w:rtl/>
        </w:rPr>
        <w:t>,</w:t>
      </w:r>
      <w:r w:rsidR="00FB1188">
        <w:rPr>
          <w:rFonts w:ascii="David" w:hAnsi="David" w:cs="David" w:hint="cs"/>
          <w:sz w:val="24"/>
          <w:szCs w:val="24"/>
          <w:rtl/>
        </w:rPr>
        <w:t xml:space="preserve"> אך במיוחד מהאופן שבו מוצג 'עירוב חצרות' כקטגוריה </w:t>
      </w:r>
      <w:r w:rsidR="00167F61">
        <w:rPr>
          <w:rFonts w:ascii="David" w:hAnsi="David" w:cs="David" w:hint="cs"/>
          <w:sz w:val="24"/>
          <w:szCs w:val="24"/>
          <w:rtl/>
        </w:rPr>
        <w:t xml:space="preserve">הלכתית </w:t>
      </w:r>
      <w:r w:rsidR="00FB1188">
        <w:rPr>
          <w:rFonts w:ascii="David" w:hAnsi="David" w:cs="David" w:hint="cs"/>
          <w:sz w:val="24"/>
          <w:szCs w:val="24"/>
          <w:rtl/>
        </w:rPr>
        <w:t xml:space="preserve">ידועה ומובחנת. אם </w:t>
      </w:r>
      <w:r w:rsidR="002B03A6">
        <w:rPr>
          <w:rFonts w:ascii="David" w:hAnsi="David" w:cs="David" w:hint="cs"/>
          <w:sz w:val="24"/>
          <w:szCs w:val="24"/>
          <w:rtl/>
        </w:rPr>
        <w:t xml:space="preserve">אמנם </w:t>
      </w:r>
      <w:r w:rsidR="00FB1188">
        <w:rPr>
          <w:rFonts w:ascii="David" w:hAnsi="David" w:cs="David" w:hint="cs"/>
          <w:sz w:val="24"/>
          <w:szCs w:val="24"/>
          <w:rtl/>
        </w:rPr>
        <w:t xml:space="preserve">כך הוא הדבר, יתכן </w:t>
      </w:r>
      <w:r w:rsidR="00296712">
        <w:rPr>
          <w:rFonts w:ascii="David" w:hAnsi="David" w:cs="David" w:hint="cs"/>
          <w:sz w:val="24"/>
          <w:szCs w:val="24"/>
          <w:rtl/>
        </w:rPr>
        <w:t>שהנמקת 'מפני דרכי השלום</w:t>
      </w:r>
      <w:r w:rsidR="00167F61">
        <w:rPr>
          <w:rFonts w:ascii="David" w:hAnsi="David" w:cs="David" w:hint="cs"/>
          <w:sz w:val="24"/>
          <w:szCs w:val="24"/>
          <w:rtl/>
        </w:rPr>
        <w:t>' עברה שינויים במהלך תקופת המשנה ובמיוחד בסופה</w:t>
      </w:r>
      <w:r w:rsidR="00E804A4">
        <w:rPr>
          <w:rFonts w:ascii="David" w:hAnsi="David" w:cs="David" w:hint="cs"/>
          <w:sz w:val="24"/>
          <w:szCs w:val="24"/>
          <w:rtl/>
        </w:rPr>
        <w:t>, ש</w:t>
      </w:r>
      <w:r w:rsidR="00167F61">
        <w:rPr>
          <w:rFonts w:ascii="David" w:hAnsi="David" w:cs="David" w:hint="cs"/>
          <w:sz w:val="24"/>
          <w:szCs w:val="24"/>
          <w:rtl/>
        </w:rPr>
        <w:t xml:space="preserve">נגעו </w:t>
      </w:r>
      <w:r w:rsidR="002B03A6">
        <w:rPr>
          <w:rFonts w:ascii="David" w:hAnsi="David" w:cs="David" w:hint="cs"/>
          <w:sz w:val="24"/>
          <w:szCs w:val="24"/>
          <w:rtl/>
        </w:rPr>
        <w:t xml:space="preserve">בעיקר </w:t>
      </w:r>
      <w:r w:rsidR="00167F61">
        <w:rPr>
          <w:rFonts w:ascii="David" w:hAnsi="David" w:cs="David" w:hint="cs"/>
          <w:sz w:val="24"/>
          <w:szCs w:val="24"/>
          <w:rtl/>
        </w:rPr>
        <w:t xml:space="preserve">לנרטיבים </w:t>
      </w:r>
      <w:r w:rsidR="002B03A6">
        <w:rPr>
          <w:rFonts w:ascii="David" w:hAnsi="David" w:cs="David" w:hint="cs"/>
          <w:sz w:val="24"/>
          <w:szCs w:val="24"/>
          <w:rtl/>
        </w:rPr>
        <w:t xml:space="preserve">חדשים </w:t>
      </w:r>
      <w:r w:rsidR="00167F61">
        <w:rPr>
          <w:rFonts w:ascii="David" w:hAnsi="David" w:cs="David" w:hint="cs"/>
          <w:sz w:val="24"/>
          <w:szCs w:val="24"/>
          <w:rtl/>
        </w:rPr>
        <w:t>שנקשרו בה</w:t>
      </w:r>
      <w:r w:rsidR="00EC7277">
        <w:rPr>
          <w:rFonts w:ascii="David" w:hAnsi="David" w:cs="David" w:hint="cs"/>
          <w:sz w:val="24"/>
          <w:szCs w:val="24"/>
          <w:rtl/>
        </w:rPr>
        <w:t>:</w:t>
      </w:r>
      <w:r w:rsidR="00167F61">
        <w:rPr>
          <w:rFonts w:ascii="David" w:hAnsi="David" w:cs="David" w:hint="cs"/>
          <w:sz w:val="24"/>
          <w:szCs w:val="24"/>
          <w:rtl/>
        </w:rPr>
        <w:t xml:space="preserve"> </w:t>
      </w:r>
      <w:r w:rsidR="00EC7277">
        <w:rPr>
          <w:rFonts w:ascii="David" w:hAnsi="David" w:cs="David" w:hint="cs"/>
          <w:sz w:val="24"/>
          <w:szCs w:val="24"/>
          <w:rtl/>
        </w:rPr>
        <w:t>'דרכי שלום' כ</w:t>
      </w:r>
      <w:r w:rsidR="002B03A6">
        <w:rPr>
          <w:rFonts w:ascii="David" w:hAnsi="David" w:cs="David" w:hint="cs"/>
          <w:sz w:val="24"/>
          <w:szCs w:val="24"/>
          <w:rtl/>
        </w:rPr>
        <w:t xml:space="preserve">מייצג את </w:t>
      </w:r>
      <w:r w:rsidR="00167F61">
        <w:rPr>
          <w:rFonts w:ascii="David" w:hAnsi="David" w:cs="David" w:hint="cs"/>
          <w:sz w:val="24"/>
          <w:szCs w:val="24"/>
          <w:rtl/>
        </w:rPr>
        <w:t xml:space="preserve">מטרתו </w:t>
      </w:r>
      <w:r w:rsidR="00EC7277">
        <w:rPr>
          <w:rFonts w:ascii="David" w:hAnsi="David" w:cs="David" w:hint="cs"/>
          <w:sz w:val="24"/>
          <w:szCs w:val="24"/>
          <w:rtl/>
        </w:rPr>
        <w:t xml:space="preserve">(או אחת ממטרותיו הראשיות) </w:t>
      </w:r>
      <w:r w:rsidR="00167F61">
        <w:rPr>
          <w:rFonts w:ascii="David" w:hAnsi="David" w:cs="David" w:hint="cs"/>
          <w:sz w:val="24"/>
          <w:szCs w:val="24"/>
          <w:rtl/>
        </w:rPr>
        <w:t>של הנומוס</w:t>
      </w:r>
      <w:r w:rsidR="00EC7277">
        <w:rPr>
          <w:rFonts w:ascii="David" w:hAnsi="David" w:cs="David" w:hint="cs"/>
          <w:sz w:val="24"/>
          <w:szCs w:val="24"/>
          <w:rtl/>
        </w:rPr>
        <w:t xml:space="preserve">; 'דרכי שלום' כ"חזון של חיים חלופיים" במובן של ערך נשאף ולא </w:t>
      </w:r>
      <w:r w:rsidR="00620064">
        <w:rPr>
          <w:rFonts w:ascii="David" w:hAnsi="David" w:cs="David" w:hint="cs"/>
          <w:sz w:val="24"/>
          <w:szCs w:val="24"/>
          <w:rtl/>
        </w:rPr>
        <w:t>כ</w:t>
      </w:r>
      <w:r w:rsidR="00EC7277">
        <w:rPr>
          <w:rFonts w:ascii="David" w:hAnsi="David" w:cs="David" w:hint="cs"/>
          <w:sz w:val="24"/>
          <w:szCs w:val="24"/>
          <w:rtl/>
        </w:rPr>
        <w:t>מציאות נסבלת</w:t>
      </w:r>
      <w:r w:rsidR="00620064">
        <w:rPr>
          <w:rFonts w:ascii="David" w:hAnsi="David" w:cs="David" w:hint="cs"/>
          <w:sz w:val="24"/>
          <w:szCs w:val="24"/>
          <w:rtl/>
        </w:rPr>
        <w:t xml:space="preserve"> של ויתור על הנורמות</w:t>
      </w:r>
      <w:r w:rsidR="00EC7277">
        <w:rPr>
          <w:rFonts w:ascii="David" w:hAnsi="David" w:cs="David" w:hint="cs"/>
          <w:sz w:val="24"/>
          <w:szCs w:val="24"/>
          <w:rtl/>
        </w:rPr>
        <w:t xml:space="preserve">. </w:t>
      </w:r>
      <w:r w:rsidR="00E804A4">
        <w:rPr>
          <w:rFonts w:ascii="David" w:hAnsi="David" w:cs="David" w:hint="cs"/>
          <w:sz w:val="24"/>
          <w:szCs w:val="24"/>
          <w:rtl/>
        </w:rPr>
        <w:t xml:space="preserve">בירור היחס ההיסטורי שבין הגישות השונות ממתין אפוא למחקר נוסף. </w:t>
      </w:r>
    </w:p>
    <w:p w14:paraId="697F34D1" w14:textId="77777777" w:rsidR="00EC7277" w:rsidRDefault="00EC7277" w:rsidP="00EC7277">
      <w:pPr>
        <w:autoSpaceDE w:val="0"/>
        <w:autoSpaceDN w:val="0"/>
        <w:adjustRightInd w:val="0"/>
        <w:spacing w:after="0" w:line="480" w:lineRule="auto"/>
        <w:jc w:val="both"/>
        <w:rPr>
          <w:rFonts w:ascii="David" w:hAnsi="David" w:cs="David"/>
          <w:sz w:val="24"/>
          <w:szCs w:val="24"/>
          <w:rtl/>
        </w:rPr>
      </w:pPr>
    </w:p>
    <w:p w14:paraId="0A0D1004" w14:textId="77777777" w:rsidR="00F402A9" w:rsidRDefault="00F402A9" w:rsidP="00F402A9">
      <w:pPr>
        <w:autoSpaceDE w:val="0"/>
        <w:autoSpaceDN w:val="0"/>
        <w:bidi w:val="0"/>
        <w:adjustRightInd w:val="0"/>
        <w:spacing w:after="0" w:line="360" w:lineRule="auto"/>
        <w:jc w:val="both"/>
        <w:rPr>
          <w:rFonts w:ascii="Times New Roman" w:hAnsi="Times New Roman" w:cs="Times New Roman"/>
          <w:sz w:val="24"/>
          <w:szCs w:val="24"/>
        </w:rPr>
      </w:pPr>
    </w:p>
    <w:p w14:paraId="650782A6" w14:textId="6C2C0680" w:rsidR="00002551" w:rsidRDefault="00002551" w:rsidP="00002551">
      <w:pPr>
        <w:autoSpaceDE w:val="0"/>
        <w:autoSpaceDN w:val="0"/>
        <w:bidi w:val="0"/>
        <w:adjustRightInd w:val="0"/>
        <w:spacing w:after="0" w:line="360" w:lineRule="auto"/>
        <w:jc w:val="both"/>
        <w:rPr>
          <w:rFonts w:ascii="Times New Roman" w:hAnsi="Times New Roman" w:cs="Times New Roman"/>
          <w:sz w:val="24"/>
          <w:szCs w:val="24"/>
        </w:rPr>
      </w:pPr>
    </w:p>
    <w:p w14:paraId="7002416D" w14:textId="77777777" w:rsidR="00002551" w:rsidRPr="00757784" w:rsidRDefault="00002551" w:rsidP="00002551">
      <w:pPr>
        <w:autoSpaceDE w:val="0"/>
        <w:autoSpaceDN w:val="0"/>
        <w:bidi w:val="0"/>
        <w:adjustRightInd w:val="0"/>
        <w:spacing w:after="0" w:line="360" w:lineRule="auto"/>
        <w:jc w:val="both"/>
        <w:rPr>
          <w:rFonts w:ascii="Times New Roman" w:hAnsi="Times New Roman" w:cs="Times New Roman"/>
          <w:sz w:val="24"/>
          <w:szCs w:val="24"/>
        </w:rPr>
      </w:pPr>
    </w:p>
    <w:p w14:paraId="7C5411CF" w14:textId="77777777" w:rsidR="00D0627B" w:rsidRDefault="00D0627B" w:rsidP="00D0627B">
      <w:pPr>
        <w:autoSpaceDE w:val="0"/>
        <w:autoSpaceDN w:val="0"/>
        <w:bidi w:val="0"/>
        <w:adjustRightInd w:val="0"/>
        <w:spacing w:after="0" w:line="360" w:lineRule="auto"/>
        <w:jc w:val="both"/>
        <w:rPr>
          <w:rFonts w:ascii="David" w:hAnsi="David" w:cs="David"/>
          <w:sz w:val="24"/>
          <w:szCs w:val="24"/>
        </w:rPr>
      </w:pPr>
    </w:p>
    <w:p w14:paraId="31CEDF66" w14:textId="47F10854" w:rsidR="006348A0" w:rsidRDefault="006348A0" w:rsidP="003811BF">
      <w:pPr>
        <w:autoSpaceDE w:val="0"/>
        <w:autoSpaceDN w:val="0"/>
        <w:adjustRightInd w:val="0"/>
        <w:spacing w:after="0" w:line="480" w:lineRule="auto"/>
        <w:jc w:val="both"/>
        <w:rPr>
          <w:rFonts w:ascii="David" w:hAnsi="David" w:cs="David"/>
          <w:sz w:val="24"/>
          <w:szCs w:val="24"/>
          <w:rtl/>
        </w:rPr>
      </w:pPr>
    </w:p>
    <w:sectPr w:rsidR="006348A0" w:rsidSect="00D92222">
      <w:footerReference w:type="defaul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27244" w14:textId="77777777" w:rsidR="00260166" w:rsidRDefault="00260166" w:rsidP="000803B1">
      <w:pPr>
        <w:spacing w:after="0" w:line="240" w:lineRule="auto"/>
      </w:pPr>
      <w:r>
        <w:separator/>
      </w:r>
    </w:p>
  </w:endnote>
  <w:endnote w:type="continuationSeparator" w:id="0">
    <w:p w14:paraId="7883FBFF" w14:textId="77777777" w:rsidR="00260166" w:rsidRDefault="00260166" w:rsidP="00080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NRW S+ Times">
    <w:altName w:val="Cambria"/>
    <w:panose1 w:val="00000000000000000000"/>
    <w:charset w:val="00"/>
    <w:family w:val="roman"/>
    <w:notTrueType/>
    <w:pitch w:val="default"/>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SBL Greek">
    <w:panose1 w:val="02000000000000000000"/>
    <w:charset w:val="00"/>
    <w:family w:val="auto"/>
    <w:pitch w:val="variable"/>
    <w:sig w:usb0="C00000EF" w:usb1="0001A0CB" w:usb2="00000000" w:usb3="00000000" w:csb0="00000009"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SC700">
    <w:altName w:val="Times New Roman"/>
    <w:panose1 w:val="00000000000000000000"/>
    <w:charset w:val="00"/>
    <w:family w:val="roman"/>
    <w:notTrueType/>
    <w:pitch w:val="default"/>
    <w:sig w:usb0="00000003" w:usb1="00000000" w:usb2="00000000" w:usb3="00000000" w:csb0="00000001" w:csb1="00000000"/>
  </w:font>
  <w:font w:name="MFFrankRuhl">
    <w:altName w:val="Arial"/>
    <w:panose1 w:val="00000000000000000000"/>
    <w:charset w:val="B1"/>
    <w:family w:val="auto"/>
    <w:notTrueType/>
    <w:pitch w:val="default"/>
    <w:sig w:usb0="00000801" w:usb1="00000000" w:usb2="00000000" w:usb3="00000000" w:csb0="00000020" w:csb1="00000000"/>
  </w:font>
  <w:font w:name="var(--pharos-font-family-serif)">
    <w:altName w:val="Cambria"/>
    <w:panose1 w:val="00000000000000000000"/>
    <w:charset w:val="00"/>
    <w:family w:val="roman"/>
    <w:notTrueType/>
    <w:pitch w:val="default"/>
  </w:font>
  <w:font w:name="Code">
    <w:altName w:val="Calibri"/>
    <w:panose1 w:val="00000000000000000000"/>
    <w:charset w:val="00"/>
    <w:family w:val="swiss"/>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68820096"/>
      <w:docPartObj>
        <w:docPartGallery w:val="Page Numbers (Bottom of Page)"/>
        <w:docPartUnique/>
      </w:docPartObj>
    </w:sdtPr>
    <w:sdtEndPr/>
    <w:sdtContent>
      <w:p w14:paraId="7765CA57" w14:textId="6A72480D" w:rsidR="00963FCE" w:rsidRDefault="00963FCE">
        <w:pPr>
          <w:pStyle w:val="af"/>
        </w:pPr>
        <w:r>
          <w:fldChar w:fldCharType="begin"/>
        </w:r>
        <w:r>
          <w:instrText>PAGE   \* MERGEFORMAT</w:instrText>
        </w:r>
        <w:r>
          <w:fldChar w:fldCharType="separate"/>
        </w:r>
        <w:r>
          <w:rPr>
            <w:rtl/>
            <w:lang w:val="he-IL"/>
          </w:rPr>
          <w:t>2</w:t>
        </w:r>
        <w:r>
          <w:fldChar w:fldCharType="end"/>
        </w:r>
      </w:p>
    </w:sdtContent>
  </w:sdt>
  <w:p w14:paraId="7E63FD69" w14:textId="77777777" w:rsidR="00963FCE" w:rsidRDefault="00963FC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B64E7" w14:textId="77777777" w:rsidR="00260166" w:rsidRDefault="00260166" w:rsidP="000803B1">
      <w:pPr>
        <w:spacing w:after="0" w:line="240" w:lineRule="auto"/>
      </w:pPr>
      <w:r>
        <w:separator/>
      </w:r>
    </w:p>
  </w:footnote>
  <w:footnote w:type="continuationSeparator" w:id="0">
    <w:p w14:paraId="6C67D580" w14:textId="77777777" w:rsidR="00260166" w:rsidRDefault="00260166" w:rsidP="000803B1">
      <w:pPr>
        <w:spacing w:after="0" w:line="240" w:lineRule="auto"/>
      </w:pPr>
      <w:r>
        <w:continuationSeparator/>
      </w:r>
    </w:p>
  </w:footnote>
  <w:footnote w:id="1">
    <w:p w14:paraId="12492922" w14:textId="2A91D9DA" w:rsidR="000803B1" w:rsidRPr="00846D23" w:rsidRDefault="000803B1" w:rsidP="00846D23">
      <w:pPr>
        <w:autoSpaceDE w:val="0"/>
        <w:autoSpaceDN w:val="0"/>
        <w:bidi w:val="0"/>
        <w:adjustRightInd w:val="0"/>
        <w:spacing w:after="0" w:line="480" w:lineRule="auto"/>
        <w:jc w:val="both"/>
        <w:rPr>
          <w:rFonts w:asciiTheme="majorBidi" w:hAnsiTheme="majorBidi" w:cstheme="majorBidi"/>
          <w:sz w:val="20"/>
          <w:szCs w:val="20"/>
        </w:rPr>
      </w:pPr>
      <w:r w:rsidRPr="00846D23">
        <w:rPr>
          <w:rFonts w:asciiTheme="majorBidi" w:hAnsiTheme="majorBidi" w:cstheme="majorBidi"/>
          <w:sz w:val="20"/>
          <w:szCs w:val="20"/>
        </w:rPr>
        <w:footnoteRef/>
      </w:r>
      <w:r w:rsidRPr="00846D23">
        <w:rPr>
          <w:rFonts w:asciiTheme="majorBidi" w:hAnsiTheme="majorBidi" w:cstheme="majorBidi"/>
          <w:sz w:val="20"/>
          <w:szCs w:val="20"/>
        </w:rPr>
        <w:t xml:space="preserve">. </w:t>
      </w:r>
      <w:r w:rsidR="00846D23" w:rsidRPr="00846D23">
        <w:rPr>
          <w:rFonts w:asciiTheme="majorBidi" w:hAnsiTheme="majorBidi" w:cstheme="majorBidi"/>
          <w:sz w:val="20"/>
          <w:szCs w:val="20"/>
        </w:rPr>
        <w:t xml:space="preserve">The expression </w:t>
      </w:r>
      <w:r w:rsidR="00846D23" w:rsidRPr="00846D23">
        <w:rPr>
          <w:rFonts w:asciiTheme="majorBidi" w:hAnsiTheme="majorBidi" w:cstheme="majorBidi"/>
          <w:i/>
          <w:iCs/>
          <w:sz w:val="20"/>
          <w:szCs w:val="20"/>
        </w:rPr>
        <w:t>mipnei darkhei shalom</w:t>
      </w:r>
      <w:r w:rsidR="00846D23" w:rsidRPr="00846D23">
        <w:rPr>
          <w:rFonts w:asciiTheme="majorBidi" w:hAnsiTheme="majorBidi" w:cstheme="majorBidi"/>
          <w:sz w:val="20"/>
          <w:szCs w:val="20"/>
        </w:rPr>
        <w:t xml:space="preserve"> appears in the following sources</w:t>
      </w:r>
      <w:r w:rsidR="00846D23">
        <w:rPr>
          <w:rFonts w:asciiTheme="majorBidi" w:hAnsiTheme="majorBidi" w:cstheme="majorBidi"/>
          <w:sz w:val="20"/>
          <w:szCs w:val="20"/>
        </w:rPr>
        <w:t>:</w:t>
      </w:r>
      <w:r w:rsidR="00846D23" w:rsidRPr="00846D23">
        <w:rPr>
          <w:rFonts w:asciiTheme="majorBidi" w:hAnsiTheme="majorBidi" w:cstheme="majorBidi"/>
          <w:sz w:val="20"/>
          <w:szCs w:val="20"/>
        </w:rPr>
        <w:t xml:space="preserve"> </w:t>
      </w:r>
      <w:r w:rsidRPr="00846D23">
        <w:rPr>
          <w:rFonts w:asciiTheme="majorBidi" w:hAnsiTheme="majorBidi" w:cstheme="majorBidi"/>
          <w:sz w:val="20"/>
          <w:szCs w:val="20"/>
        </w:rPr>
        <w:t xml:space="preserve">M. Shevi‘it 3:4 and 5:9, M. Shekalim 1:3, M. Gittin 8:9, M. Demai 4:2; T. Pe’ah 3:1; T. Eruvin 5:11, T. Nedarim 2:7, T. Gittin 3:13:14, T. Avodah Zarah 1:3, T. Ḥullin 10:13; among the minor tractates, Kallah Rabbati 3:1; Mekhilta de-Rabbi Shimon Bar Yohai, Genizah fragment, New York, JTS ENA 1340.4. The fragment parallels the Epstein-Melamed edition of the </w:t>
      </w:r>
      <w:r w:rsidRPr="00846D23">
        <w:rPr>
          <w:rFonts w:asciiTheme="majorBidi" w:hAnsiTheme="majorBidi" w:cstheme="majorBidi"/>
          <w:i/>
          <w:iCs/>
          <w:sz w:val="20"/>
          <w:szCs w:val="20"/>
        </w:rPr>
        <w:t>Mekhilta,</w:t>
      </w:r>
      <w:r w:rsidRPr="00846D23">
        <w:rPr>
          <w:rFonts w:asciiTheme="majorBidi" w:hAnsiTheme="majorBidi" w:cstheme="majorBidi"/>
          <w:sz w:val="20"/>
          <w:szCs w:val="20"/>
        </w:rPr>
        <w:t xml:space="preserve"> 9–10, and was published in Shraga Abramson, “A New Fragment of the Mekhilta De-Rabbi Shim‘on Bar Yoḥai,’” </w:t>
      </w:r>
      <w:r w:rsidRPr="00846D23">
        <w:rPr>
          <w:rFonts w:asciiTheme="majorBidi" w:hAnsiTheme="majorBidi" w:cstheme="majorBidi"/>
          <w:i/>
          <w:iCs/>
          <w:sz w:val="20"/>
          <w:szCs w:val="20"/>
          <w:u w:val="single"/>
        </w:rPr>
        <w:t>Tarbiz</w:t>
      </w:r>
      <w:r w:rsidRPr="00846D23">
        <w:rPr>
          <w:rFonts w:asciiTheme="majorBidi" w:hAnsiTheme="majorBidi" w:cstheme="majorBidi"/>
          <w:sz w:val="20"/>
          <w:szCs w:val="20"/>
        </w:rPr>
        <w:t xml:space="preserve"> 41 (1971): 361–72; Menahem Kahana, </w:t>
      </w:r>
      <w:r w:rsidRPr="00846D23">
        <w:rPr>
          <w:rFonts w:asciiTheme="majorBidi" w:hAnsiTheme="majorBidi" w:cstheme="majorBidi"/>
          <w:i/>
          <w:iCs/>
          <w:sz w:val="20"/>
          <w:szCs w:val="20"/>
        </w:rPr>
        <w:t>Manuscripts of the Halakhic Midrashim: An Annotated Catalogue</w:t>
      </w:r>
      <w:r w:rsidRPr="00846D23">
        <w:rPr>
          <w:rFonts w:asciiTheme="majorBidi" w:hAnsiTheme="majorBidi" w:cstheme="majorBidi"/>
          <w:sz w:val="20"/>
          <w:szCs w:val="20"/>
        </w:rPr>
        <w:t xml:space="preserve"> (Jerusalem: Israel Academy of Humanities and Yad Izhak Ben-Zvi, 1995), 46. For the entire fragment, see Shraga Abramson, </w:t>
      </w:r>
      <w:r w:rsidRPr="00846D23">
        <w:rPr>
          <w:rFonts w:asciiTheme="majorBidi" w:hAnsiTheme="majorBidi" w:cstheme="majorBidi"/>
          <w:i/>
          <w:sz w:val="20"/>
          <w:szCs w:val="20"/>
        </w:rPr>
        <w:t>The Gnizah Fragments of the Halakhic Midrashim</w:t>
      </w:r>
      <w:r w:rsidRPr="00846D23">
        <w:rPr>
          <w:rFonts w:asciiTheme="majorBidi" w:hAnsiTheme="majorBidi" w:cstheme="majorBidi"/>
          <w:iCs/>
          <w:sz w:val="20"/>
          <w:szCs w:val="20"/>
        </w:rPr>
        <w:t>, vol. 1.</w:t>
      </w:r>
      <w:r w:rsidRPr="00846D23">
        <w:rPr>
          <w:rFonts w:asciiTheme="majorBidi" w:hAnsiTheme="majorBidi" w:cstheme="majorBidi"/>
          <w:sz w:val="20"/>
          <w:szCs w:val="20"/>
        </w:rPr>
        <w:t xml:space="preserve"> (Jerusalem: Magnes, 2005), 154–55. </w:t>
      </w:r>
    </w:p>
  </w:footnote>
  <w:footnote w:id="2">
    <w:p w14:paraId="1BBBB6AD" w14:textId="2F5BFF71" w:rsidR="000803B1" w:rsidRPr="00E21391" w:rsidRDefault="000803B1" w:rsidP="00846D23">
      <w:pPr>
        <w:pStyle w:val="Default"/>
        <w:spacing w:line="480" w:lineRule="auto"/>
        <w:jc w:val="both"/>
        <w:rPr>
          <w:rFonts w:asciiTheme="majorBidi" w:hAnsiTheme="majorBidi" w:cstheme="majorBidi"/>
          <w:sz w:val="20"/>
          <w:szCs w:val="20"/>
        </w:rPr>
      </w:pPr>
      <w:r w:rsidRPr="00846D23">
        <w:rPr>
          <w:rFonts w:asciiTheme="majorBidi" w:hAnsiTheme="majorBidi" w:cstheme="majorBidi"/>
          <w:sz w:val="20"/>
          <w:szCs w:val="20"/>
        </w:rPr>
        <w:footnoteRef/>
      </w:r>
      <w:r w:rsidRPr="00846D23">
        <w:rPr>
          <w:rFonts w:asciiTheme="majorBidi" w:hAnsiTheme="majorBidi" w:cstheme="majorBidi"/>
          <w:sz w:val="20"/>
          <w:szCs w:val="20"/>
          <w:lang w:val="en-AU"/>
        </w:rPr>
        <w:t>. See Eliezer Bugard, “Mipenei darkhei shalom” (</w:t>
      </w:r>
      <w:r w:rsidRPr="00846D23">
        <w:rPr>
          <w:rFonts w:asciiTheme="majorBidi" w:hAnsiTheme="majorBidi" w:cstheme="majorBidi"/>
          <w:sz w:val="20"/>
          <w:szCs w:val="20"/>
        </w:rPr>
        <w:t>Master’s thesis, Bar Ilan University, 1977). For Hayes,</w:t>
      </w:r>
      <w:r w:rsidRPr="00E21391">
        <w:rPr>
          <w:rFonts w:asciiTheme="majorBidi" w:hAnsiTheme="majorBidi" w:cstheme="majorBidi"/>
          <w:sz w:val="20"/>
          <w:szCs w:val="20"/>
        </w:rPr>
        <w:t xml:space="preserve"> the two justifications are representative of two opposite situations: Christine Elizabeth Hayes, </w:t>
      </w:r>
      <w:r w:rsidRPr="00E21391">
        <w:rPr>
          <w:rFonts w:asciiTheme="majorBidi" w:hAnsiTheme="majorBidi" w:cstheme="majorBidi"/>
          <w:i/>
          <w:iCs/>
          <w:sz w:val="20"/>
          <w:szCs w:val="20"/>
        </w:rPr>
        <w:t xml:space="preserve">Between the Babylonian and Palestinian Talmuds: </w:t>
      </w:r>
      <w:r w:rsidRPr="00E21391">
        <w:rPr>
          <w:rFonts w:asciiTheme="majorBidi" w:hAnsiTheme="majorBidi" w:cstheme="majorBidi"/>
          <w:i/>
          <w:iCs/>
          <w:color w:val="111111"/>
          <w:sz w:val="20"/>
          <w:szCs w:val="20"/>
        </w:rPr>
        <w:t xml:space="preserve">Accounting for Halakhic Difference in Selected Sugyot from Tractate Avodah Zarah </w:t>
      </w:r>
      <w:r w:rsidRPr="00E21391">
        <w:rPr>
          <w:rFonts w:asciiTheme="majorBidi" w:hAnsiTheme="majorBidi" w:cstheme="majorBidi"/>
          <w:color w:val="111111"/>
          <w:sz w:val="20"/>
          <w:szCs w:val="20"/>
        </w:rPr>
        <w:t>(</w:t>
      </w:r>
      <w:r w:rsidRPr="00E21391">
        <w:rPr>
          <w:rFonts w:asciiTheme="majorBidi" w:hAnsiTheme="majorBidi" w:cstheme="majorBidi"/>
          <w:sz w:val="20"/>
          <w:szCs w:val="20"/>
        </w:rPr>
        <w:t>New York: Oxford University Press, 1997),</w:t>
      </w:r>
      <w:r w:rsidRPr="00E21391">
        <w:rPr>
          <w:rFonts w:asciiTheme="majorBidi" w:hAnsiTheme="majorBidi" w:cstheme="majorBidi"/>
          <w:i/>
          <w:iCs/>
          <w:sz w:val="20"/>
          <w:szCs w:val="20"/>
        </w:rPr>
        <w:t xml:space="preserve"> </w:t>
      </w:r>
      <w:r w:rsidRPr="00E21391">
        <w:rPr>
          <w:rFonts w:asciiTheme="majorBidi" w:hAnsiTheme="majorBidi" w:cstheme="majorBidi"/>
          <w:sz w:val="20"/>
          <w:szCs w:val="20"/>
        </w:rPr>
        <w:t xml:space="preserve">238 n. 46. Würzburger argues the same way: Walter S. Würzburger, </w:t>
      </w:r>
      <w:r w:rsidRPr="00E21391">
        <w:rPr>
          <w:rFonts w:asciiTheme="majorBidi" w:hAnsiTheme="majorBidi" w:cstheme="majorBidi"/>
          <w:i/>
          <w:iCs/>
          <w:color w:val="000000" w:themeColor="text1"/>
          <w:sz w:val="20"/>
          <w:szCs w:val="20"/>
        </w:rPr>
        <w:t>Ethics of Responsibility: Pluralistic Approaches to Covenantal Ethics</w:t>
      </w:r>
      <w:r w:rsidRPr="00E21391">
        <w:rPr>
          <w:rFonts w:asciiTheme="majorBidi" w:hAnsiTheme="majorBidi" w:cstheme="majorBidi"/>
          <w:color w:val="000000" w:themeColor="text1"/>
          <w:sz w:val="20"/>
          <w:szCs w:val="20"/>
        </w:rPr>
        <w:t xml:space="preserve"> (</w:t>
      </w:r>
      <w:r w:rsidRPr="00E21391">
        <w:rPr>
          <w:rFonts w:asciiTheme="majorBidi" w:hAnsiTheme="majorBidi" w:cstheme="majorBidi"/>
          <w:color w:val="000000" w:themeColor="text1"/>
          <w:sz w:val="20"/>
          <w:szCs w:val="20"/>
          <w:shd w:val="clear" w:color="auto" w:fill="FFFFFF"/>
        </w:rPr>
        <w:t>Philadelphia: Jewish Publication Society, 1994),</w:t>
      </w:r>
      <w:r w:rsidRPr="00E21391">
        <w:rPr>
          <w:rFonts w:asciiTheme="majorBidi" w:hAnsiTheme="majorBidi" w:cstheme="majorBidi"/>
          <w:i/>
          <w:iCs/>
          <w:color w:val="000000" w:themeColor="text1"/>
          <w:sz w:val="20"/>
          <w:szCs w:val="20"/>
        </w:rPr>
        <w:t xml:space="preserve"> </w:t>
      </w:r>
      <w:r w:rsidRPr="00E21391">
        <w:rPr>
          <w:rFonts w:asciiTheme="majorBidi" w:hAnsiTheme="majorBidi" w:cstheme="majorBidi"/>
          <w:color w:val="000000" w:themeColor="text1"/>
          <w:sz w:val="20"/>
          <w:szCs w:val="20"/>
        </w:rPr>
        <w:t xml:space="preserve">49. See also </w:t>
      </w:r>
      <w:r w:rsidRPr="00E21391">
        <w:rPr>
          <w:rFonts w:asciiTheme="majorBidi" w:hAnsiTheme="majorBidi" w:cstheme="majorBidi"/>
          <w:sz w:val="20"/>
          <w:szCs w:val="20"/>
        </w:rPr>
        <w:t xml:space="preserve">Walter S. </w:t>
      </w:r>
      <w:r w:rsidRPr="00E21391">
        <w:rPr>
          <w:rFonts w:asciiTheme="majorBidi" w:hAnsiTheme="majorBidi" w:cstheme="majorBidi"/>
          <w:color w:val="000000" w:themeColor="text1"/>
          <w:sz w:val="20"/>
          <w:szCs w:val="20"/>
        </w:rPr>
        <w:t xml:space="preserve">Würzburger, “Darkei Shalom,” </w:t>
      </w:r>
      <w:r w:rsidRPr="00E21391">
        <w:rPr>
          <w:rFonts w:asciiTheme="majorBidi" w:hAnsiTheme="majorBidi" w:cstheme="majorBidi"/>
          <w:i/>
          <w:iCs/>
          <w:color w:val="000000" w:themeColor="text1"/>
          <w:sz w:val="20"/>
          <w:szCs w:val="20"/>
        </w:rPr>
        <w:t>Gesher:</w:t>
      </w:r>
      <w:r w:rsidRPr="00E21391">
        <w:rPr>
          <w:rFonts w:asciiTheme="majorBidi" w:hAnsiTheme="majorBidi" w:cstheme="majorBidi"/>
          <w:i/>
          <w:iCs/>
          <w:sz w:val="20"/>
          <w:szCs w:val="20"/>
        </w:rPr>
        <w:t xml:space="preserve"> Bridging the Spectrum of Orthodox Jewish Scholarship </w:t>
      </w:r>
      <w:r w:rsidRPr="00E21391">
        <w:rPr>
          <w:rFonts w:asciiTheme="majorBidi" w:hAnsiTheme="majorBidi" w:cstheme="majorBidi"/>
          <w:color w:val="000000" w:themeColor="text1"/>
          <w:sz w:val="20"/>
          <w:szCs w:val="20"/>
        </w:rPr>
        <w:t>6 (1978): 82</w:t>
      </w:r>
      <w:r w:rsidRPr="00E21391">
        <w:rPr>
          <w:rFonts w:asciiTheme="majorBidi" w:hAnsiTheme="majorBidi" w:cstheme="majorBidi"/>
          <w:sz w:val="20"/>
          <w:szCs w:val="20"/>
        </w:rPr>
        <w:t xml:space="preserve">. For similar argumentation, see </w:t>
      </w:r>
      <w:r w:rsidRPr="00E21391">
        <w:rPr>
          <w:rFonts w:asciiTheme="majorBidi" w:hAnsiTheme="majorBidi" w:cstheme="majorBidi"/>
          <w:color w:val="auto"/>
          <w:sz w:val="20"/>
          <w:szCs w:val="20"/>
        </w:rPr>
        <w:t>Daniel L. Schiff, “Principles of Power: The Application of Ethical Norms within the Halacha” (Rabbinic thesis, Hebrew Union College</w:t>
      </w:r>
      <w:r w:rsidRPr="00E21391">
        <w:rPr>
          <w:rFonts w:asciiTheme="majorBidi" w:hAnsiTheme="majorBidi" w:cstheme="majorBidi"/>
          <w:sz w:val="20"/>
          <w:szCs w:val="20"/>
        </w:rPr>
        <w:t>—</w:t>
      </w:r>
      <w:r w:rsidRPr="00E21391">
        <w:rPr>
          <w:rFonts w:asciiTheme="majorBidi" w:hAnsiTheme="majorBidi" w:cstheme="majorBidi"/>
          <w:color w:val="auto"/>
          <w:sz w:val="20"/>
          <w:szCs w:val="20"/>
        </w:rPr>
        <w:t xml:space="preserve">Jewish Institute for Religion, 1987); Jennie Rosenn, </w:t>
      </w:r>
      <w:r w:rsidRPr="00E21391">
        <w:rPr>
          <w:rFonts w:asciiTheme="majorBidi" w:hAnsiTheme="majorBidi" w:cstheme="majorBidi"/>
          <w:i/>
          <w:iCs/>
          <w:color w:val="auto"/>
          <w:sz w:val="20"/>
          <w:szCs w:val="20"/>
        </w:rPr>
        <w:t xml:space="preserve">“Mipnei Darhei Shalom </w:t>
      </w:r>
      <w:r w:rsidRPr="00E21391">
        <w:rPr>
          <w:rFonts w:asciiTheme="majorBidi" w:hAnsiTheme="majorBidi" w:cstheme="majorBidi"/>
          <w:color w:val="auto"/>
          <w:sz w:val="20"/>
          <w:szCs w:val="20"/>
        </w:rPr>
        <w:t>in Rabbinic Tradition”</w:t>
      </w:r>
      <w:r w:rsidRPr="00E21391">
        <w:rPr>
          <w:rFonts w:asciiTheme="majorBidi" w:hAnsiTheme="majorBidi" w:cstheme="majorBidi"/>
          <w:sz w:val="20"/>
          <w:szCs w:val="20"/>
        </w:rPr>
        <w:t xml:space="preserve"> (</w:t>
      </w:r>
      <w:r w:rsidRPr="00E21391">
        <w:rPr>
          <w:rFonts w:asciiTheme="majorBidi" w:hAnsiTheme="majorBidi" w:cstheme="majorBidi"/>
          <w:color w:val="auto"/>
          <w:sz w:val="20"/>
          <w:szCs w:val="20"/>
        </w:rPr>
        <w:t xml:space="preserve">Rabbinic thesis, Hebrew Union College—Jewish Institute of Religion, 1997); David Novak, </w:t>
      </w:r>
      <w:r w:rsidRPr="00E21391">
        <w:rPr>
          <w:rFonts w:asciiTheme="majorBidi" w:hAnsiTheme="majorBidi" w:cstheme="majorBidi"/>
          <w:i/>
          <w:iCs/>
          <w:color w:val="auto"/>
          <w:sz w:val="20"/>
          <w:szCs w:val="20"/>
        </w:rPr>
        <w:t xml:space="preserve">Covenantal Rights: A Study in Jewish Political Theory </w:t>
      </w:r>
      <w:r w:rsidRPr="00E21391">
        <w:rPr>
          <w:rFonts w:asciiTheme="majorBidi" w:hAnsiTheme="majorBidi" w:cstheme="majorBidi"/>
          <w:color w:val="auto"/>
          <w:sz w:val="20"/>
          <w:szCs w:val="20"/>
        </w:rPr>
        <w:t>(Princeton, NJ: Princeton University Press, 2000)</w:t>
      </w:r>
      <w:r w:rsidRPr="00E21391">
        <w:rPr>
          <w:rFonts w:asciiTheme="majorBidi" w:hAnsiTheme="majorBidi" w:cstheme="majorBidi"/>
          <w:sz w:val="20"/>
          <w:szCs w:val="20"/>
        </w:rPr>
        <w:t xml:space="preserve">. Jonathan K. Crane limits his study to enactments concerning Jewish–Gentile relations. See </w:t>
      </w:r>
      <w:bookmarkStart w:id="1" w:name="_Hlk14426929"/>
      <w:r w:rsidRPr="00E21391">
        <w:rPr>
          <w:rFonts w:asciiTheme="majorBidi" w:hAnsiTheme="majorBidi" w:cstheme="majorBidi"/>
          <w:sz w:val="20"/>
          <w:szCs w:val="20"/>
        </w:rPr>
        <w:t>Jonathan K. Crane</w:t>
      </w:r>
      <w:bookmarkEnd w:id="1"/>
      <w:r w:rsidRPr="00E21391">
        <w:rPr>
          <w:rFonts w:asciiTheme="majorBidi" w:hAnsiTheme="majorBidi" w:cstheme="majorBidi"/>
          <w:sz w:val="20"/>
          <w:szCs w:val="20"/>
        </w:rPr>
        <w:t xml:space="preserve">, “Because . . . : Justifying Law/Rationalizing Ethics,” </w:t>
      </w:r>
      <w:r w:rsidRPr="00E21391">
        <w:rPr>
          <w:rFonts w:asciiTheme="majorBidi" w:hAnsiTheme="majorBidi" w:cstheme="majorBidi"/>
          <w:i/>
          <w:iCs/>
          <w:color w:val="222222"/>
          <w:sz w:val="20"/>
          <w:szCs w:val="20"/>
          <w:shd w:val="clear" w:color="auto" w:fill="FFFFFF"/>
        </w:rPr>
        <w:t xml:space="preserve">Journal of the Society of Christian Ethics </w:t>
      </w:r>
      <w:r w:rsidRPr="00E21391">
        <w:rPr>
          <w:rFonts w:asciiTheme="majorBidi" w:hAnsiTheme="majorBidi" w:cstheme="majorBidi"/>
          <w:sz w:val="20"/>
          <w:szCs w:val="20"/>
        </w:rPr>
        <w:t>25 (2005): 55–77</w:t>
      </w:r>
      <w:r w:rsidR="00D121F1">
        <w:rPr>
          <w:rFonts w:asciiTheme="majorBidi" w:hAnsiTheme="majorBidi" w:cstheme="majorBidi"/>
          <w:sz w:val="20"/>
          <w:szCs w:val="20"/>
        </w:rPr>
        <w:t xml:space="preserve">; Bruch Roth, Analysis of the Rabbinic Usage of </w:t>
      </w:r>
      <w:r w:rsidR="00D121F1">
        <w:rPr>
          <w:rFonts w:ascii="SBL Greek" w:hAnsi="SBL Greek" w:cstheme="majorBidi"/>
          <w:sz w:val="20"/>
          <w:szCs w:val="20"/>
        </w:rPr>
        <w:t>“</w:t>
      </w:r>
      <w:r w:rsidR="00D121F1">
        <w:rPr>
          <w:rFonts w:asciiTheme="majorBidi" w:hAnsiTheme="majorBidi" w:cstheme="majorBidi"/>
          <w:sz w:val="20"/>
          <w:szCs w:val="20"/>
        </w:rPr>
        <w:t>Because of the Ways of Peace</w:t>
      </w:r>
      <w:r w:rsidR="00D121F1">
        <w:rPr>
          <w:rFonts w:ascii="SBL Greek" w:hAnsi="SBL Greek" w:cstheme="majorBidi"/>
          <w:sz w:val="20"/>
          <w:szCs w:val="20"/>
        </w:rPr>
        <w:t>,”</w:t>
      </w:r>
      <w:r w:rsidR="00D121F1">
        <w:rPr>
          <w:rFonts w:asciiTheme="majorBidi" w:hAnsiTheme="majorBidi" w:cstheme="majorBidi"/>
          <w:sz w:val="20"/>
          <w:szCs w:val="20"/>
        </w:rPr>
        <w:t xml:space="preserve"> </w:t>
      </w:r>
      <w:r w:rsidR="00330028" w:rsidRPr="00E21391">
        <w:rPr>
          <w:rFonts w:asciiTheme="majorBidi" w:hAnsiTheme="majorBidi" w:cstheme="majorBidi"/>
          <w:sz w:val="20"/>
          <w:szCs w:val="20"/>
          <w:lang w:val="en-AU"/>
        </w:rPr>
        <w:t>(</w:t>
      </w:r>
      <w:r w:rsidR="00330028" w:rsidRPr="00E21391">
        <w:rPr>
          <w:rFonts w:asciiTheme="majorBidi" w:hAnsiTheme="majorBidi" w:cstheme="majorBidi"/>
          <w:sz w:val="20"/>
          <w:szCs w:val="20"/>
        </w:rPr>
        <w:t>Master’s thesis</w:t>
      </w:r>
      <w:r w:rsidR="00330028">
        <w:rPr>
          <w:rFonts w:asciiTheme="majorBidi" w:hAnsiTheme="majorBidi" w:cstheme="majorBidi"/>
          <w:sz w:val="20"/>
          <w:szCs w:val="20"/>
        </w:rPr>
        <w:t xml:space="preserve">, Towson University, 2014).  </w:t>
      </w:r>
    </w:p>
  </w:footnote>
  <w:footnote w:id="3">
    <w:p w14:paraId="0B5BBC9B" w14:textId="77777777" w:rsidR="000803B1" w:rsidRDefault="000803B1" w:rsidP="00314F27">
      <w:pPr>
        <w:pStyle w:val="a3"/>
        <w:jc w:val="both"/>
        <w:rPr>
          <w:rFonts w:asciiTheme="majorBidi" w:hAnsiTheme="majorBidi" w:cstheme="majorBidi"/>
        </w:rPr>
      </w:pPr>
      <w:r w:rsidRPr="00E21391">
        <w:rPr>
          <w:rFonts w:asciiTheme="majorBidi" w:hAnsiTheme="majorBidi" w:cstheme="majorBidi"/>
        </w:rPr>
        <w:footnoteRef/>
      </w:r>
      <w:r w:rsidRPr="00E21391">
        <w:rPr>
          <w:rFonts w:asciiTheme="majorBidi" w:hAnsiTheme="majorBidi" w:cstheme="majorBidi"/>
        </w:rPr>
        <w:t>. Michael Matthew Pitkowsky, “‘</w:t>
      </w:r>
      <w:r w:rsidRPr="00E21391">
        <w:rPr>
          <w:rFonts w:asciiTheme="majorBidi" w:hAnsiTheme="majorBidi" w:cstheme="majorBidi"/>
          <w:i/>
          <w:iCs/>
        </w:rPr>
        <w:t>Mipenei Darkei Shalom</w:t>
      </w:r>
      <w:r w:rsidRPr="00E21391">
        <w:rPr>
          <w:rFonts w:asciiTheme="majorBidi" w:hAnsiTheme="majorBidi" w:cstheme="majorBidi"/>
        </w:rPr>
        <w:t xml:space="preserve">’ (Because of the Paths of Peace) and Related Terms: A Case Study of How Concepts and Terminology Developed from Tannaitic to Talmudic Literature” (PhD diss., Jewish Theological Seminary of America, 2011). Pitkowsky observes changes that occurred in the transition </w:t>
      </w:r>
    </w:p>
    <w:p w14:paraId="595F2ACC" w14:textId="77777777" w:rsidR="000803B1" w:rsidRPr="00E21391" w:rsidRDefault="000803B1" w:rsidP="00314F27">
      <w:pPr>
        <w:pStyle w:val="a3"/>
        <w:jc w:val="both"/>
        <w:rPr>
          <w:rFonts w:asciiTheme="majorBidi" w:hAnsiTheme="majorBidi" w:cstheme="majorBidi"/>
        </w:rPr>
      </w:pPr>
      <w:r w:rsidRPr="00E21391">
        <w:rPr>
          <w:rFonts w:asciiTheme="majorBidi" w:hAnsiTheme="majorBidi" w:cstheme="majorBidi"/>
        </w:rPr>
        <w:t>from the Tannaitic to the Amoraic level. His conclusions about the former level (171) are very general and do not explain the phenomena that he observes in his overview.</w:t>
      </w:r>
    </w:p>
  </w:footnote>
  <w:footnote w:id="4">
    <w:p w14:paraId="05CC82AE" w14:textId="458A7971" w:rsidR="00486047" w:rsidRDefault="00486047" w:rsidP="00314F27">
      <w:pPr>
        <w:autoSpaceDE w:val="0"/>
        <w:autoSpaceDN w:val="0"/>
        <w:bidi w:val="0"/>
        <w:adjustRightInd w:val="0"/>
        <w:spacing w:after="0" w:line="480" w:lineRule="auto"/>
        <w:jc w:val="both"/>
      </w:pPr>
      <w:r w:rsidRPr="00040A75">
        <w:rPr>
          <w:rStyle w:val="a5"/>
          <w:rFonts w:asciiTheme="majorBidi" w:hAnsiTheme="majorBidi" w:cstheme="majorBidi"/>
          <w:vertAlign w:val="baseline"/>
        </w:rPr>
        <w:footnoteRef/>
      </w:r>
      <w:r w:rsidR="00CC53E2">
        <w:rPr>
          <w:rFonts w:asciiTheme="majorBidi" w:hAnsiTheme="majorBidi" w:cstheme="majorBidi"/>
        </w:rPr>
        <w:t>.</w:t>
      </w:r>
      <w:r w:rsidRPr="00040A75">
        <w:rPr>
          <w:rFonts w:asciiTheme="majorBidi" w:hAnsiTheme="majorBidi" w:cstheme="majorBidi"/>
        </w:rPr>
        <w:t xml:space="preserve"> </w:t>
      </w:r>
      <w:r w:rsidR="005B2F8D">
        <w:rPr>
          <w:rFonts w:ascii="TimesNewRomanPSMT" w:hAnsi="TimesNewRomanPSMT" w:cs="TimesNewRomanPSMT"/>
          <w:color w:val="20231D"/>
          <w:sz w:val="18"/>
          <w:szCs w:val="18"/>
        </w:rPr>
        <w:t xml:space="preserve">Robert M. Cover, </w:t>
      </w:r>
      <w:r w:rsidR="005B2F8D">
        <w:rPr>
          <w:rFonts w:ascii="TimesNewRomanPS-ItalicMT" w:hAnsi="TimesNewRomanPS-ItalicMT" w:cs="TimesNewRomanPS-ItalicMT"/>
          <w:i/>
          <w:iCs/>
          <w:color w:val="20231D"/>
          <w:sz w:val="18"/>
          <w:szCs w:val="18"/>
        </w:rPr>
        <w:t>The Supreme Court, 1982 Term – Foreword: Nomos and Narrative</w:t>
      </w:r>
      <w:r w:rsidR="005B2F8D">
        <w:rPr>
          <w:rFonts w:ascii="TimesNewRomanPSMT" w:hAnsi="TimesNewRomanPSMT" w:cs="TimesNewRomanPSMT"/>
          <w:color w:val="20231D"/>
          <w:sz w:val="18"/>
          <w:szCs w:val="18"/>
        </w:rPr>
        <w:t xml:space="preserve">, </w:t>
      </w:r>
      <w:r w:rsidR="005B2F8D">
        <w:rPr>
          <w:rFonts w:ascii="TimesNewRomanPSMT-SC700" w:hAnsi="TimesNewRomanPSMT-SC700" w:cs="TimesNewRomanPSMT-SC700"/>
          <w:color w:val="20231D"/>
          <w:sz w:val="18"/>
          <w:szCs w:val="18"/>
        </w:rPr>
        <w:t>97 H</w:t>
      </w:r>
      <w:r w:rsidR="005B2F8D">
        <w:rPr>
          <w:rFonts w:ascii="TimesNewRomanPSMT-SC700" w:hAnsi="TimesNewRomanPSMT-SC700" w:cs="TimesNewRomanPSMT-SC700"/>
          <w:color w:val="20231D"/>
          <w:sz w:val="13"/>
          <w:szCs w:val="13"/>
        </w:rPr>
        <w:t>arv</w:t>
      </w:r>
      <w:r w:rsidR="005B2F8D">
        <w:rPr>
          <w:rFonts w:ascii="TimesNewRomanPSMT-SC700" w:hAnsi="TimesNewRomanPSMT-SC700" w:cs="TimesNewRomanPSMT-SC700"/>
          <w:color w:val="20231D"/>
          <w:sz w:val="18"/>
          <w:szCs w:val="18"/>
        </w:rPr>
        <w:t>. L. R</w:t>
      </w:r>
      <w:r w:rsidR="005B2F8D">
        <w:rPr>
          <w:rFonts w:ascii="TimesNewRomanPSMT-SC700" w:hAnsi="TimesNewRomanPSMT-SC700" w:cs="TimesNewRomanPSMT-SC700"/>
          <w:color w:val="20231D"/>
          <w:sz w:val="13"/>
          <w:szCs w:val="13"/>
        </w:rPr>
        <w:t>ev</w:t>
      </w:r>
      <w:r w:rsidR="005B2F8D">
        <w:rPr>
          <w:rFonts w:ascii="TimesNewRomanPSMT-SC700" w:hAnsi="TimesNewRomanPSMT-SC700" w:cs="TimesNewRomanPSMT-SC700"/>
          <w:color w:val="20231D"/>
          <w:sz w:val="18"/>
          <w:szCs w:val="18"/>
        </w:rPr>
        <w:t xml:space="preserve">. </w:t>
      </w:r>
      <w:r w:rsidR="005B2F8D">
        <w:rPr>
          <w:rFonts w:ascii="TimesNewRomanPSMT" w:hAnsi="TimesNewRomanPSMT" w:cs="TimesNewRomanPSMT"/>
          <w:color w:val="20231D"/>
          <w:sz w:val="18"/>
          <w:szCs w:val="18"/>
        </w:rPr>
        <w:t>4 (1983)</w:t>
      </w:r>
      <w:r w:rsidR="005B2F8D">
        <w:t>.</w:t>
      </w:r>
    </w:p>
    <w:p w14:paraId="0175DA51" w14:textId="4A405B54" w:rsidR="003852AA" w:rsidRPr="00B96E3B" w:rsidRDefault="00893267" w:rsidP="00314F27">
      <w:pPr>
        <w:autoSpaceDE w:val="0"/>
        <w:autoSpaceDN w:val="0"/>
        <w:adjustRightInd w:val="0"/>
        <w:spacing w:after="0" w:line="480" w:lineRule="auto"/>
        <w:jc w:val="both"/>
        <w:rPr>
          <w:rFonts w:ascii="David" w:hAnsi="David" w:cs="David"/>
          <w:sz w:val="20"/>
          <w:szCs w:val="20"/>
          <w:rtl/>
        </w:rPr>
      </w:pPr>
      <w:r w:rsidRPr="00B96E3B">
        <w:rPr>
          <w:rFonts w:ascii="David" w:hAnsi="David" w:cs="David"/>
          <w:sz w:val="20"/>
          <w:szCs w:val="20"/>
          <w:rtl/>
        </w:rPr>
        <w:t xml:space="preserve">מחקרו </w:t>
      </w:r>
      <w:r w:rsidR="003852AA" w:rsidRPr="00B96E3B">
        <w:rPr>
          <w:rFonts w:ascii="David" w:hAnsi="David" w:cs="David"/>
          <w:sz w:val="20"/>
          <w:szCs w:val="20"/>
          <w:rtl/>
        </w:rPr>
        <w:t xml:space="preserve">של קאבר </w:t>
      </w:r>
      <w:r w:rsidRPr="00B96E3B">
        <w:rPr>
          <w:rFonts w:ascii="David" w:hAnsi="David" w:cs="David"/>
          <w:sz w:val="20"/>
          <w:szCs w:val="20"/>
          <w:rtl/>
        </w:rPr>
        <w:t xml:space="preserve">השפיע באופן רב על התאוריה המשפטית החוקתית, וכן </w:t>
      </w:r>
      <w:r w:rsidR="009E2432">
        <w:rPr>
          <w:rFonts w:ascii="David" w:hAnsi="David" w:cs="David" w:hint="cs"/>
          <w:sz w:val="20"/>
          <w:szCs w:val="20"/>
          <w:rtl/>
        </w:rPr>
        <w:t xml:space="preserve">נוצר </w:t>
      </w:r>
      <w:r w:rsidRPr="00B96E3B">
        <w:rPr>
          <w:rFonts w:ascii="David" w:hAnsi="David" w:cs="David"/>
          <w:sz w:val="20"/>
          <w:szCs w:val="20"/>
          <w:rtl/>
        </w:rPr>
        <w:t>בעקבותיו מחקר רב  אינטרדיסציפלינארי וחוץ משפטי. ראו לדוגמה:</w:t>
      </w:r>
    </w:p>
    <w:p w14:paraId="24651DF3" w14:textId="14BBF5CF" w:rsidR="00D84529" w:rsidRPr="00935281" w:rsidRDefault="00893267" w:rsidP="00314F27">
      <w:pPr>
        <w:autoSpaceDE w:val="0"/>
        <w:autoSpaceDN w:val="0"/>
        <w:bidi w:val="0"/>
        <w:adjustRightInd w:val="0"/>
        <w:spacing w:after="0" w:line="480" w:lineRule="auto"/>
        <w:jc w:val="both"/>
        <w:rPr>
          <w:rFonts w:ascii="David" w:hAnsi="David" w:cs="David"/>
          <w:sz w:val="20"/>
          <w:szCs w:val="20"/>
          <w:rtl/>
        </w:rPr>
      </w:pPr>
      <w:r>
        <w:rPr>
          <w:rFonts w:ascii="TimesNewRomanPSMT" w:hAnsi="TimesNewRomanPSMT" w:cs="TimesNewRomanPSMT"/>
          <w:color w:val="20231D"/>
          <w:sz w:val="18"/>
          <w:szCs w:val="18"/>
        </w:rPr>
        <w:t xml:space="preserve">Reva B. Siegel, </w:t>
      </w:r>
      <w:r>
        <w:rPr>
          <w:rFonts w:ascii="TimesNewRomanPS-ItalicMT" w:hAnsi="TimesNewRomanPS-ItalicMT" w:cs="TimesNewRomanPS-ItalicMT"/>
          <w:i/>
          <w:iCs/>
          <w:color w:val="20231D"/>
          <w:sz w:val="18"/>
          <w:szCs w:val="18"/>
        </w:rPr>
        <w:t>Constitutional Culture, Social</w:t>
      </w:r>
      <w:r w:rsidR="00C5235F">
        <w:rPr>
          <w:rFonts w:ascii="TimesNewRomanPS-ItalicMT" w:hAnsi="TimesNewRomanPS-ItalicMT" w:cs="TimesNewRomanPS-ItalicMT"/>
          <w:i/>
          <w:iCs/>
          <w:color w:val="20231D"/>
          <w:sz w:val="18"/>
          <w:szCs w:val="18"/>
        </w:rPr>
        <w:t xml:space="preserve"> </w:t>
      </w:r>
      <w:r>
        <w:rPr>
          <w:rFonts w:ascii="TimesNewRomanPS-ItalicMT" w:hAnsi="TimesNewRomanPS-ItalicMT" w:cs="TimesNewRomanPS-ItalicMT"/>
          <w:i/>
          <w:iCs/>
          <w:color w:val="20231D"/>
          <w:sz w:val="18"/>
          <w:szCs w:val="18"/>
        </w:rPr>
        <w:t>Movement Conflict and Constitutional Change: The Case of the de facto ERA</w:t>
      </w:r>
      <w:r>
        <w:rPr>
          <w:rFonts w:ascii="TimesNewRomanPSMT" w:hAnsi="TimesNewRomanPSMT" w:cs="TimesNewRomanPSMT"/>
          <w:color w:val="20231D"/>
          <w:sz w:val="18"/>
          <w:szCs w:val="18"/>
        </w:rPr>
        <w:t xml:space="preserve">, 94 </w:t>
      </w:r>
      <w:r>
        <w:rPr>
          <w:rFonts w:ascii="TimesNewRomanPSMT-SC700" w:hAnsi="TimesNewRomanPSMT-SC700" w:cs="TimesNewRomanPSMT-SC700"/>
          <w:color w:val="20231D"/>
          <w:sz w:val="18"/>
          <w:szCs w:val="18"/>
        </w:rPr>
        <w:t>C</w:t>
      </w:r>
      <w:r>
        <w:rPr>
          <w:rFonts w:ascii="TimesNewRomanPSMT-SC700" w:hAnsi="TimesNewRomanPSMT-SC700" w:cs="TimesNewRomanPSMT-SC700"/>
          <w:color w:val="20231D"/>
          <w:sz w:val="13"/>
          <w:szCs w:val="13"/>
        </w:rPr>
        <w:t>alif</w:t>
      </w:r>
      <w:r>
        <w:rPr>
          <w:rFonts w:ascii="TimesNewRomanPSMT-SC700" w:hAnsi="TimesNewRomanPSMT-SC700" w:cs="TimesNewRomanPSMT-SC700"/>
          <w:color w:val="20231D"/>
          <w:sz w:val="18"/>
          <w:szCs w:val="18"/>
        </w:rPr>
        <w:t>.</w:t>
      </w:r>
      <w:r w:rsidR="00C5235F">
        <w:rPr>
          <w:rFonts w:ascii="TimesNewRomanPSMT-SC700" w:hAnsi="TimesNewRomanPSMT-SC700" w:cs="TimesNewRomanPSMT-SC700"/>
          <w:color w:val="20231D"/>
          <w:sz w:val="18"/>
          <w:szCs w:val="18"/>
        </w:rPr>
        <w:t xml:space="preserve"> </w:t>
      </w:r>
      <w:r>
        <w:rPr>
          <w:rFonts w:ascii="TimesNewRomanPSMT-SC700" w:hAnsi="TimesNewRomanPSMT-SC700" w:cs="TimesNewRomanPSMT-SC700"/>
          <w:color w:val="20231D"/>
          <w:sz w:val="18"/>
          <w:szCs w:val="18"/>
        </w:rPr>
        <w:t>L. R</w:t>
      </w:r>
      <w:r>
        <w:rPr>
          <w:rFonts w:ascii="TimesNewRomanPSMT-SC700" w:hAnsi="TimesNewRomanPSMT-SC700" w:cs="TimesNewRomanPSMT-SC700"/>
          <w:color w:val="20231D"/>
          <w:sz w:val="13"/>
          <w:szCs w:val="13"/>
        </w:rPr>
        <w:t>ev</w:t>
      </w:r>
      <w:r>
        <w:rPr>
          <w:rFonts w:ascii="TimesNewRomanPSMT-SC700" w:hAnsi="TimesNewRomanPSMT-SC700" w:cs="TimesNewRomanPSMT-SC700"/>
          <w:color w:val="20231D"/>
          <w:sz w:val="18"/>
          <w:szCs w:val="18"/>
        </w:rPr>
        <w:t xml:space="preserve">. </w:t>
      </w:r>
      <w:r>
        <w:rPr>
          <w:rFonts w:ascii="TimesNewRomanPSMT" w:hAnsi="TimesNewRomanPSMT" w:cs="TimesNewRomanPSMT"/>
          <w:color w:val="20231D"/>
          <w:sz w:val="18"/>
          <w:szCs w:val="18"/>
        </w:rPr>
        <w:t xml:space="preserve">1323 (2006); Robert C. Post, </w:t>
      </w:r>
      <w:r>
        <w:rPr>
          <w:rFonts w:ascii="TimesNewRomanPS-ItalicMT" w:hAnsi="TimesNewRomanPS-ItalicMT" w:cs="TimesNewRomanPS-ItalicMT"/>
          <w:i/>
          <w:iCs/>
          <w:color w:val="20231D"/>
          <w:sz w:val="18"/>
          <w:szCs w:val="18"/>
        </w:rPr>
        <w:t>Who’s Afraid of Jurispathic Courts? Violence</w:t>
      </w:r>
      <w:r w:rsidR="00C5235F">
        <w:rPr>
          <w:rFonts w:ascii="TimesNewRomanPS-ItalicMT" w:hAnsi="TimesNewRomanPS-ItalicMT" w:cs="TimesNewRomanPS-ItalicMT"/>
          <w:i/>
          <w:iCs/>
          <w:color w:val="20231D"/>
          <w:sz w:val="18"/>
          <w:szCs w:val="18"/>
        </w:rPr>
        <w:t xml:space="preserve"> </w:t>
      </w:r>
      <w:r>
        <w:rPr>
          <w:rFonts w:ascii="TimesNewRomanPS-ItalicMT" w:hAnsi="TimesNewRomanPS-ItalicMT" w:cs="TimesNewRomanPS-ItalicMT"/>
          <w:i/>
          <w:iCs/>
          <w:color w:val="20231D"/>
          <w:sz w:val="18"/>
          <w:szCs w:val="18"/>
        </w:rPr>
        <w:t xml:space="preserve">and Publoc </w:t>
      </w:r>
      <w:r w:rsidRPr="00E06CEA">
        <w:rPr>
          <w:rFonts w:ascii="TimesNewRomanPS-ItalicMT" w:hAnsi="TimesNewRomanPS-ItalicMT" w:cs="TimesNewRomanPS-ItalicMT"/>
          <w:i/>
          <w:iCs/>
          <w:color w:val="20231D"/>
          <w:sz w:val="20"/>
          <w:szCs w:val="20"/>
        </w:rPr>
        <w:t xml:space="preserve">Reason in </w:t>
      </w:r>
      <w:r w:rsidRPr="00E06CEA">
        <w:rPr>
          <w:rFonts w:ascii="TimesNewRomanPSMT" w:hAnsi="TimesNewRomanPSMT" w:cs="TimesNewRomanPSMT"/>
          <w:color w:val="20231D"/>
          <w:sz w:val="20"/>
          <w:szCs w:val="20"/>
        </w:rPr>
        <w:t xml:space="preserve">Nomos and Narrative, 17 </w:t>
      </w:r>
      <w:r w:rsidRPr="00E06CEA">
        <w:rPr>
          <w:rFonts w:ascii="TimesNewRomanPSMT-SC700" w:hAnsi="TimesNewRomanPSMT-SC700" w:cs="TimesNewRomanPSMT-SC700"/>
          <w:color w:val="20231D"/>
          <w:sz w:val="20"/>
          <w:szCs w:val="20"/>
        </w:rPr>
        <w:t>Yale J.L. &amp; Human</w:t>
      </w:r>
      <w:r w:rsidRPr="00E06CEA">
        <w:rPr>
          <w:rFonts w:ascii="TimesNewRomanPSMT" w:hAnsi="TimesNewRomanPSMT" w:cs="TimesNewRomanPSMT"/>
          <w:color w:val="20231D"/>
          <w:sz w:val="20"/>
          <w:szCs w:val="20"/>
        </w:rPr>
        <w:t>. 9 (2005); Judith</w:t>
      </w:r>
      <w:r w:rsidR="001122D7" w:rsidRPr="00E06CEA">
        <w:rPr>
          <w:rFonts w:ascii="TimesNewRomanPSMT" w:hAnsi="TimesNewRomanPSMT" w:cs="TimesNewRomanPSMT"/>
          <w:color w:val="20231D"/>
          <w:sz w:val="20"/>
          <w:szCs w:val="20"/>
        </w:rPr>
        <w:t xml:space="preserve"> </w:t>
      </w:r>
      <w:r w:rsidRPr="00E06CEA">
        <w:rPr>
          <w:rFonts w:ascii="TimesNewRomanPSMT" w:hAnsi="TimesNewRomanPSMT" w:cs="TimesNewRomanPSMT"/>
          <w:color w:val="20231D"/>
          <w:sz w:val="20"/>
          <w:szCs w:val="20"/>
        </w:rPr>
        <w:t xml:space="preserve">Resnik, </w:t>
      </w:r>
      <w:r w:rsidRPr="00E06CEA">
        <w:rPr>
          <w:rFonts w:ascii="TimesNewRomanPS-ItalicMT" w:hAnsi="TimesNewRomanPS-ItalicMT" w:cs="TimesNewRomanPS-ItalicMT"/>
          <w:i/>
          <w:iCs/>
          <w:color w:val="20231D"/>
          <w:sz w:val="20"/>
          <w:szCs w:val="20"/>
        </w:rPr>
        <w:t>Living Their Legal Commitments: Paideic Communities, Courts, and Robert</w:t>
      </w:r>
      <w:r w:rsidR="001122D7" w:rsidRPr="00E06CEA">
        <w:rPr>
          <w:rFonts w:ascii="TimesNewRomanPS-ItalicMT" w:hAnsi="TimesNewRomanPS-ItalicMT" w:cs="TimesNewRomanPS-ItalicMT"/>
          <w:i/>
          <w:iCs/>
          <w:color w:val="20231D"/>
          <w:sz w:val="20"/>
          <w:szCs w:val="20"/>
        </w:rPr>
        <w:t xml:space="preserve"> </w:t>
      </w:r>
      <w:r w:rsidRPr="00E06CEA">
        <w:rPr>
          <w:rFonts w:ascii="TimesNewRomanPS-ItalicMT" w:hAnsi="TimesNewRomanPS-ItalicMT" w:cs="TimesNewRomanPS-ItalicMT"/>
          <w:i/>
          <w:iCs/>
          <w:color w:val="20231D"/>
          <w:sz w:val="20"/>
          <w:szCs w:val="20"/>
        </w:rPr>
        <w:t>Cover</w:t>
      </w:r>
      <w:r w:rsidRPr="00E06CEA">
        <w:rPr>
          <w:rFonts w:ascii="TimesNewRomanPSMT" w:hAnsi="TimesNewRomanPSMT" w:cs="TimesNewRomanPSMT"/>
          <w:color w:val="20231D"/>
          <w:sz w:val="20"/>
          <w:szCs w:val="20"/>
        </w:rPr>
        <w:t xml:space="preserve">, 17 </w:t>
      </w:r>
      <w:r w:rsidRPr="00E06CEA">
        <w:rPr>
          <w:rFonts w:ascii="TimesNewRomanPSMT-SC700" w:hAnsi="TimesNewRomanPSMT-SC700" w:cs="TimesNewRomanPSMT-SC700"/>
          <w:color w:val="20231D"/>
          <w:sz w:val="20"/>
          <w:szCs w:val="20"/>
        </w:rPr>
        <w:t xml:space="preserve">Yale J.L. &amp; Human. </w:t>
      </w:r>
      <w:r w:rsidRPr="00E06CEA">
        <w:rPr>
          <w:rFonts w:ascii="TimesNewRomanPSMT" w:hAnsi="TimesNewRomanPSMT" w:cs="TimesNewRomanPSMT"/>
          <w:color w:val="20231D"/>
          <w:sz w:val="20"/>
          <w:szCs w:val="20"/>
        </w:rPr>
        <w:t xml:space="preserve">17 (2005); Larry D. Kramer, </w:t>
      </w:r>
      <w:r w:rsidRPr="00E06CEA">
        <w:rPr>
          <w:rFonts w:ascii="TimesNewRomanPS-ItalicMT" w:hAnsi="TimesNewRomanPS-ItalicMT" w:cs="TimesNewRomanPS-ItalicMT"/>
          <w:i/>
          <w:iCs/>
          <w:color w:val="20231D"/>
          <w:sz w:val="20"/>
          <w:szCs w:val="20"/>
        </w:rPr>
        <w:t>Popular Constitutionalism,</w:t>
      </w:r>
      <w:r w:rsidR="001122D7" w:rsidRPr="00E06CEA">
        <w:rPr>
          <w:rFonts w:ascii="TimesNewRomanPS-ItalicMT" w:hAnsi="TimesNewRomanPS-ItalicMT" w:cs="TimesNewRomanPS-ItalicMT"/>
          <w:i/>
          <w:iCs/>
          <w:color w:val="20231D"/>
          <w:sz w:val="20"/>
          <w:szCs w:val="20"/>
        </w:rPr>
        <w:t xml:space="preserve"> </w:t>
      </w:r>
      <w:r w:rsidRPr="00E06CEA">
        <w:rPr>
          <w:rFonts w:ascii="TimesNewRomanPS-ItalicMT" w:hAnsi="TimesNewRomanPS-ItalicMT" w:cs="TimesNewRomanPS-ItalicMT"/>
          <w:i/>
          <w:iCs/>
          <w:color w:val="20231D"/>
          <w:sz w:val="20"/>
          <w:szCs w:val="20"/>
        </w:rPr>
        <w:t>circa 2004</w:t>
      </w:r>
      <w:r w:rsidRPr="00E06CEA">
        <w:rPr>
          <w:rFonts w:ascii="TimesNewRomanPSMT" w:hAnsi="TimesNewRomanPSMT" w:cs="TimesNewRomanPSMT"/>
          <w:color w:val="20231D"/>
          <w:sz w:val="20"/>
          <w:szCs w:val="20"/>
        </w:rPr>
        <w:t xml:space="preserve">, 92 </w:t>
      </w:r>
      <w:r w:rsidRPr="00E06CEA">
        <w:rPr>
          <w:rFonts w:ascii="TimesNewRomanPSMT-SC700" w:hAnsi="TimesNewRomanPSMT-SC700" w:cs="TimesNewRomanPSMT-SC700"/>
          <w:color w:val="20231D"/>
          <w:sz w:val="20"/>
          <w:szCs w:val="20"/>
        </w:rPr>
        <w:t xml:space="preserve">Calif. L. Rev. </w:t>
      </w:r>
      <w:r w:rsidRPr="00E06CEA">
        <w:rPr>
          <w:rFonts w:ascii="TimesNewRomanPSMT" w:hAnsi="TimesNewRomanPSMT" w:cs="TimesNewRomanPSMT"/>
          <w:color w:val="20231D"/>
          <w:sz w:val="20"/>
          <w:szCs w:val="20"/>
        </w:rPr>
        <w:t xml:space="preserve">959, 975 (2004); Perry Dane, </w:t>
      </w:r>
      <w:r w:rsidRPr="00E06CEA">
        <w:rPr>
          <w:rFonts w:ascii="TimesNewRomanPS-ItalicMT" w:hAnsi="TimesNewRomanPS-ItalicMT" w:cs="TimesNewRomanPS-ItalicMT"/>
          <w:i/>
          <w:iCs/>
          <w:color w:val="20231D"/>
          <w:sz w:val="20"/>
          <w:szCs w:val="20"/>
        </w:rPr>
        <w:t>The Public, The Private,</w:t>
      </w:r>
      <w:r w:rsidR="00387204" w:rsidRPr="00E06CEA">
        <w:rPr>
          <w:rFonts w:ascii="TimesNewRomanPS-ItalicMT" w:hAnsi="TimesNewRomanPS-ItalicMT" w:cs="TimesNewRomanPS-ItalicMT"/>
          <w:i/>
          <w:iCs/>
          <w:color w:val="20231D"/>
          <w:sz w:val="20"/>
          <w:szCs w:val="20"/>
        </w:rPr>
        <w:t xml:space="preserve"> </w:t>
      </w:r>
      <w:r w:rsidRPr="00E06CEA">
        <w:rPr>
          <w:rFonts w:ascii="TimesNewRomanPS-ItalicMT" w:hAnsi="TimesNewRomanPS-ItalicMT" w:cs="TimesNewRomanPS-ItalicMT"/>
          <w:i/>
          <w:iCs/>
          <w:color w:val="20231D"/>
          <w:sz w:val="20"/>
          <w:szCs w:val="20"/>
        </w:rPr>
        <w:t xml:space="preserve">and the Sacred: Variations on a Theme of </w:t>
      </w:r>
      <w:r w:rsidRPr="00E06CEA">
        <w:rPr>
          <w:rFonts w:ascii="TimesNewRomanPSMT" w:hAnsi="TimesNewRomanPSMT" w:cs="TimesNewRomanPSMT"/>
          <w:color w:val="20231D"/>
          <w:sz w:val="20"/>
          <w:szCs w:val="20"/>
        </w:rPr>
        <w:t xml:space="preserve">Nomos and Narrative, 8 </w:t>
      </w:r>
      <w:r w:rsidRPr="00E06CEA">
        <w:rPr>
          <w:rFonts w:ascii="TimesNewRomanPSMT-SC700" w:hAnsi="TimesNewRomanPSMT-SC700" w:cs="TimesNewRomanPSMT-SC700"/>
          <w:color w:val="20231D"/>
          <w:sz w:val="20"/>
          <w:szCs w:val="20"/>
        </w:rPr>
        <w:t>Cardozo Stud. L.</w:t>
      </w:r>
      <w:r w:rsidR="001122D7" w:rsidRPr="00E06CEA">
        <w:rPr>
          <w:rFonts w:ascii="TimesNewRomanPSMT-SC700" w:hAnsi="TimesNewRomanPSMT-SC700" w:cs="TimesNewRomanPSMT-SC700"/>
          <w:color w:val="20231D"/>
          <w:sz w:val="20"/>
          <w:szCs w:val="20"/>
        </w:rPr>
        <w:t xml:space="preserve"> </w:t>
      </w:r>
      <w:r w:rsidRPr="00E06CEA">
        <w:rPr>
          <w:rFonts w:ascii="TimesNewRomanPSMT-SC700" w:hAnsi="TimesNewRomanPSMT-SC700" w:cs="TimesNewRomanPSMT-SC700"/>
          <w:color w:val="20231D"/>
          <w:sz w:val="20"/>
          <w:szCs w:val="20"/>
        </w:rPr>
        <w:t xml:space="preserve">&amp; Literature </w:t>
      </w:r>
      <w:r w:rsidRPr="00E06CEA">
        <w:rPr>
          <w:rFonts w:ascii="TimesNewRomanPSMT" w:hAnsi="TimesNewRomanPSMT" w:cs="TimesNewRomanPSMT"/>
          <w:color w:val="20231D"/>
          <w:sz w:val="20"/>
          <w:szCs w:val="20"/>
        </w:rPr>
        <w:t xml:space="preserve">15, 18 (1996); </w:t>
      </w:r>
      <w:r w:rsidR="001122D7" w:rsidRPr="00E06CEA">
        <w:rPr>
          <w:rFonts w:ascii="TimesNewRomanPSMT" w:hAnsi="TimesNewRomanPSMT" w:cs="TimesNewRomanPSMT"/>
          <w:color w:val="20231D"/>
          <w:sz w:val="20"/>
          <w:szCs w:val="20"/>
        </w:rPr>
        <w:t>F</w:t>
      </w:r>
      <w:r w:rsidRPr="00E06CEA">
        <w:rPr>
          <w:rFonts w:ascii="TimesNewRomanPSMT" w:hAnsi="TimesNewRomanPSMT" w:cs="TimesNewRomanPSMT"/>
          <w:color w:val="20231D"/>
          <w:sz w:val="20"/>
          <w:szCs w:val="20"/>
        </w:rPr>
        <w:t xml:space="preserve">ranklin G. Snyder, </w:t>
      </w:r>
      <w:r w:rsidRPr="00E06CEA">
        <w:rPr>
          <w:rFonts w:ascii="TimesNewRomanPS-ItalicMT" w:hAnsi="TimesNewRomanPS-ItalicMT" w:cs="TimesNewRomanPS-ItalicMT"/>
          <w:i/>
          <w:iCs/>
          <w:color w:val="20231D"/>
          <w:sz w:val="20"/>
          <w:szCs w:val="20"/>
        </w:rPr>
        <w:t>Nomos, Narrative, and Adjudication:</w:t>
      </w:r>
      <w:r w:rsidR="001122D7" w:rsidRPr="00E06CEA">
        <w:rPr>
          <w:rFonts w:ascii="TimesNewRomanPS-ItalicMT" w:hAnsi="TimesNewRomanPS-ItalicMT" w:cs="TimesNewRomanPS-ItalicMT"/>
          <w:i/>
          <w:iCs/>
          <w:color w:val="20231D"/>
          <w:sz w:val="20"/>
          <w:szCs w:val="20"/>
        </w:rPr>
        <w:t xml:space="preserve"> </w:t>
      </w:r>
      <w:r w:rsidRPr="00E06CEA">
        <w:rPr>
          <w:rFonts w:ascii="TimesNewRomanPS-ItalicMT" w:hAnsi="TimesNewRomanPS-ItalicMT" w:cs="TimesNewRomanPS-ItalicMT"/>
          <w:i/>
          <w:iCs/>
          <w:color w:val="20231D"/>
          <w:sz w:val="20"/>
          <w:szCs w:val="20"/>
        </w:rPr>
        <w:t>Toward a Jurisgenetic Theory of Law</w:t>
      </w:r>
      <w:r w:rsidRPr="00E06CEA">
        <w:rPr>
          <w:rFonts w:ascii="TimesNewRomanPSMT" w:hAnsi="TimesNewRomanPSMT" w:cs="TimesNewRomanPSMT"/>
          <w:color w:val="20231D"/>
          <w:sz w:val="20"/>
          <w:szCs w:val="20"/>
        </w:rPr>
        <w:t xml:space="preserve">, 40 </w:t>
      </w:r>
      <w:r w:rsidRPr="00E06CEA">
        <w:rPr>
          <w:rFonts w:ascii="TimesNewRomanPSMT-SC700" w:hAnsi="TimesNewRomanPSMT-SC700" w:cs="TimesNewRomanPSMT-SC700"/>
          <w:color w:val="20231D"/>
          <w:sz w:val="20"/>
          <w:szCs w:val="20"/>
        </w:rPr>
        <w:t xml:space="preserve">Wm. &amp; Mary L. Rev. </w:t>
      </w:r>
      <w:r w:rsidRPr="00E06CEA">
        <w:rPr>
          <w:rFonts w:ascii="TimesNewRomanPSMT" w:hAnsi="TimesNewRomanPSMT" w:cs="TimesNewRomanPSMT"/>
          <w:color w:val="20231D"/>
          <w:sz w:val="20"/>
          <w:szCs w:val="20"/>
        </w:rPr>
        <w:t>1623, 1632 (1999);</w:t>
      </w:r>
      <w:r w:rsidR="001122D7" w:rsidRPr="00E06CEA">
        <w:rPr>
          <w:rFonts w:ascii="TimesNewRomanPSMT" w:hAnsi="TimesNewRomanPSMT" w:cs="TimesNewRomanPSMT"/>
          <w:color w:val="20231D"/>
          <w:sz w:val="20"/>
          <w:szCs w:val="20"/>
        </w:rPr>
        <w:t xml:space="preserve"> </w:t>
      </w:r>
      <w:r w:rsidRPr="00E06CEA">
        <w:rPr>
          <w:rFonts w:ascii="TimesNewRomanPSMT" w:hAnsi="TimesNewRomanPSMT" w:cs="TimesNewRomanPSMT"/>
          <w:color w:val="20231D"/>
          <w:sz w:val="20"/>
          <w:szCs w:val="20"/>
        </w:rPr>
        <w:t xml:space="preserve">Ronald R. Garet, </w:t>
      </w:r>
      <w:r w:rsidRPr="00E06CEA">
        <w:rPr>
          <w:rFonts w:ascii="TimesNewRomanPS-ItalicMT" w:hAnsi="TimesNewRomanPS-ItalicMT" w:cs="TimesNewRomanPS-ItalicMT"/>
          <w:i/>
          <w:iCs/>
          <w:color w:val="20231D"/>
          <w:sz w:val="20"/>
          <w:szCs w:val="20"/>
        </w:rPr>
        <w:t>Judges as Prophets: A Coverian Interpretation</w:t>
      </w:r>
      <w:r w:rsidRPr="00E06CEA">
        <w:rPr>
          <w:rFonts w:ascii="TimesNewRomanPSMT" w:hAnsi="TimesNewRomanPSMT" w:cs="TimesNewRomanPSMT"/>
          <w:color w:val="20231D"/>
          <w:sz w:val="20"/>
          <w:szCs w:val="20"/>
        </w:rPr>
        <w:t xml:space="preserve">, 72 </w:t>
      </w:r>
      <w:r w:rsidRPr="00E06CEA">
        <w:rPr>
          <w:rFonts w:ascii="TimesNewRomanPSMT-SC700" w:hAnsi="TimesNewRomanPSMT-SC700" w:cs="TimesNewRomanPSMT-SC700"/>
          <w:color w:val="20231D"/>
          <w:sz w:val="20"/>
          <w:szCs w:val="20"/>
        </w:rPr>
        <w:t>S. Cal. L. Rev.</w:t>
      </w:r>
      <w:r w:rsidRPr="00E06CEA">
        <w:rPr>
          <w:rFonts w:ascii="TimesNewRomanPSMT" w:hAnsi="TimesNewRomanPSMT" w:cs="TimesNewRomanPSMT"/>
          <w:color w:val="20231D"/>
          <w:sz w:val="20"/>
          <w:szCs w:val="20"/>
        </w:rPr>
        <w:t xml:space="preserve"> 385 (1998); James Gray Pope,</w:t>
      </w:r>
      <w:r w:rsidRPr="00E06CEA">
        <w:rPr>
          <w:rFonts w:ascii="TimesNewRomanPS-ItalicMT" w:hAnsi="TimesNewRomanPS-ItalicMT" w:cs="TimesNewRomanPS-ItalicMT"/>
          <w:i/>
          <w:iCs/>
          <w:color w:val="20231D"/>
          <w:sz w:val="20"/>
          <w:szCs w:val="20"/>
        </w:rPr>
        <w:t xml:space="preserve"> Labor’s Constitution of Freedom</w:t>
      </w:r>
      <w:r w:rsidRPr="00E06CEA">
        <w:rPr>
          <w:rFonts w:ascii="TimesNewRomanPSMT" w:hAnsi="TimesNewRomanPSMT" w:cs="TimesNewRomanPSMT"/>
          <w:color w:val="20231D"/>
          <w:sz w:val="20"/>
          <w:szCs w:val="20"/>
        </w:rPr>
        <w:t xml:space="preserve">, 106 </w:t>
      </w:r>
      <w:r w:rsidRPr="00E06CEA">
        <w:rPr>
          <w:rFonts w:ascii="TimesNewRomanPSMT-SC700" w:hAnsi="TimesNewRomanPSMT-SC700" w:cs="TimesNewRomanPSMT-SC700"/>
          <w:color w:val="20231D"/>
          <w:sz w:val="20"/>
          <w:szCs w:val="20"/>
        </w:rPr>
        <w:t xml:space="preserve">Yale L.J. </w:t>
      </w:r>
      <w:r w:rsidRPr="00E06CEA">
        <w:rPr>
          <w:rFonts w:ascii="TimesNewRomanPSMT" w:hAnsi="TimesNewRomanPSMT" w:cs="TimesNewRomanPSMT"/>
          <w:color w:val="20231D"/>
          <w:sz w:val="20"/>
          <w:szCs w:val="20"/>
        </w:rPr>
        <w:t xml:space="preserve">941, 954 (1997); Suzanne Last Stone, </w:t>
      </w:r>
      <w:r w:rsidRPr="00E06CEA">
        <w:rPr>
          <w:rFonts w:ascii="TimesNewRomanPS-ItalicMT" w:hAnsi="TimesNewRomanPS-ItalicMT" w:cs="TimesNewRomanPS-ItalicMT"/>
          <w:i/>
          <w:iCs/>
          <w:color w:val="20231D"/>
          <w:sz w:val="20"/>
          <w:szCs w:val="20"/>
        </w:rPr>
        <w:t>In Pursuit of the Counter-Text: The Turn to the Jewish Legal Model in Contemporary American Legal Theo</w:t>
      </w:r>
      <w:r w:rsidRPr="00E06CEA">
        <w:rPr>
          <w:rFonts w:ascii="TimesNewRomanPSMT" w:hAnsi="TimesNewRomanPSMT" w:cs="TimesNewRomanPSMT"/>
          <w:color w:val="20231D"/>
          <w:sz w:val="20"/>
          <w:szCs w:val="20"/>
        </w:rPr>
        <w:t xml:space="preserve">ry, 106 </w:t>
      </w:r>
      <w:r w:rsidRPr="00E06CEA">
        <w:rPr>
          <w:rFonts w:ascii="TimesNewRomanPSMT-SC700" w:hAnsi="TimesNewRomanPSMT-SC700" w:cs="TimesNewRomanPSMT-SC700"/>
          <w:color w:val="20231D"/>
          <w:sz w:val="20"/>
          <w:szCs w:val="20"/>
        </w:rPr>
        <w:t xml:space="preserve">Harv. L. Rev. </w:t>
      </w:r>
      <w:r w:rsidRPr="00E06CEA">
        <w:rPr>
          <w:rFonts w:ascii="TimesNewRomanPSMT" w:hAnsi="TimesNewRomanPSMT" w:cs="TimesNewRomanPSMT"/>
          <w:color w:val="20231D"/>
          <w:sz w:val="20"/>
          <w:szCs w:val="20"/>
        </w:rPr>
        <w:t>813 (1993);</w:t>
      </w:r>
      <w:r w:rsidR="001122D7" w:rsidRPr="00E06CEA">
        <w:rPr>
          <w:rFonts w:ascii="TimesNewRomanPSMT" w:hAnsi="TimesNewRomanPSMT" w:cs="TimesNewRomanPSMT"/>
          <w:color w:val="20231D"/>
          <w:sz w:val="20"/>
          <w:szCs w:val="20"/>
        </w:rPr>
        <w:t xml:space="preserve"> </w:t>
      </w:r>
      <w:r w:rsidRPr="00E06CEA">
        <w:rPr>
          <w:rFonts w:ascii="TimesNewRomanPSMT" w:hAnsi="TimesNewRomanPSMT" w:cs="TimesNewRomanPSMT"/>
          <w:color w:val="20231D"/>
          <w:sz w:val="20"/>
          <w:szCs w:val="20"/>
        </w:rPr>
        <w:t xml:space="preserve">Joseph Lukinsky, </w:t>
      </w:r>
      <w:r w:rsidRPr="00E06CEA">
        <w:rPr>
          <w:rFonts w:ascii="TimesNewRomanPS-ItalicMT" w:hAnsi="TimesNewRomanPS-ItalicMT" w:cs="TimesNewRomanPS-ItalicMT"/>
          <w:i/>
          <w:iCs/>
          <w:color w:val="20231D"/>
          <w:sz w:val="20"/>
          <w:szCs w:val="20"/>
        </w:rPr>
        <w:t xml:space="preserve">Law in Education: A Reminiscence with Some Footnotes to Robert Cover’s </w:t>
      </w:r>
      <w:r w:rsidRPr="00E06CEA">
        <w:rPr>
          <w:rFonts w:ascii="TimesNewRomanPSMT" w:hAnsi="TimesNewRomanPSMT" w:cs="TimesNewRomanPSMT"/>
          <w:color w:val="20231D"/>
          <w:sz w:val="20"/>
          <w:szCs w:val="20"/>
        </w:rPr>
        <w:t xml:space="preserve">Nomos and Narrative, 96 </w:t>
      </w:r>
      <w:r w:rsidRPr="00E06CEA">
        <w:rPr>
          <w:rFonts w:ascii="TimesNewRomanPSMT-SC700" w:hAnsi="TimesNewRomanPSMT-SC700" w:cs="TimesNewRomanPSMT-SC700"/>
          <w:color w:val="20231D"/>
          <w:sz w:val="20"/>
          <w:szCs w:val="20"/>
        </w:rPr>
        <w:t xml:space="preserve">Yale L.J. </w:t>
      </w:r>
      <w:r w:rsidRPr="00E06CEA">
        <w:rPr>
          <w:rFonts w:ascii="TimesNewRomanPSMT" w:hAnsi="TimesNewRomanPSMT" w:cs="TimesNewRomanPSMT"/>
          <w:color w:val="20231D"/>
          <w:sz w:val="20"/>
          <w:szCs w:val="20"/>
        </w:rPr>
        <w:t xml:space="preserve">1836 (1987); Robert A. Burt, </w:t>
      </w:r>
      <w:r w:rsidRPr="00E06CEA">
        <w:rPr>
          <w:rFonts w:ascii="TimesNewRomanPS-ItalicMT" w:hAnsi="TimesNewRomanPS-ItalicMT" w:cs="TimesNewRomanPS-ItalicMT"/>
          <w:i/>
          <w:iCs/>
          <w:color w:val="20231D"/>
          <w:sz w:val="20"/>
          <w:szCs w:val="20"/>
        </w:rPr>
        <w:t>Constitutional</w:t>
      </w:r>
      <w:r w:rsidRPr="00E06CEA">
        <w:rPr>
          <w:rFonts w:ascii="MFFrankRuhl" w:hAnsi="TimesNewRomanPSMT" w:cs="MFFrankRuhl"/>
          <w:color w:val="20231D"/>
          <w:sz w:val="20"/>
          <w:szCs w:val="20"/>
        </w:rPr>
        <w:t xml:space="preserve"> </w:t>
      </w:r>
      <w:r w:rsidRPr="00E06CEA">
        <w:rPr>
          <w:rFonts w:ascii="TimesNewRomanPS-ItalicMT" w:hAnsi="TimesNewRomanPS-ItalicMT" w:cs="TimesNewRomanPS-ItalicMT"/>
          <w:i/>
          <w:iCs/>
          <w:color w:val="20231D"/>
          <w:sz w:val="20"/>
          <w:szCs w:val="20"/>
        </w:rPr>
        <w:t>Law and the Teaching of the Parables</w:t>
      </w:r>
      <w:r w:rsidRPr="00E06CEA">
        <w:rPr>
          <w:rFonts w:ascii="TimesNewRomanPSMT" w:hAnsi="TimesNewRomanPSMT" w:cs="TimesNewRomanPSMT"/>
          <w:color w:val="20231D"/>
          <w:sz w:val="20"/>
          <w:szCs w:val="20"/>
        </w:rPr>
        <w:t xml:space="preserve">, 93 </w:t>
      </w:r>
      <w:r w:rsidRPr="00E06CEA">
        <w:rPr>
          <w:rFonts w:ascii="TimesNewRomanPSMT-SC700" w:hAnsi="TimesNewRomanPSMT-SC700" w:cs="TimesNewRomanPSMT-SC700"/>
          <w:color w:val="20231D"/>
          <w:sz w:val="20"/>
          <w:szCs w:val="20"/>
        </w:rPr>
        <w:t xml:space="preserve">Yale L.J. </w:t>
      </w:r>
      <w:r w:rsidRPr="00E06CEA">
        <w:rPr>
          <w:rFonts w:ascii="TimesNewRomanPSMT" w:hAnsi="TimesNewRomanPSMT" w:cs="TimesNewRomanPSMT"/>
          <w:color w:val="20231D"/>
          <w:sz w:val="20"/>
          <w:szCs w:val="20"/>
        </w:rPr>
        <w:t>455 (1984)</w:t>
      </w:r>
      <w:r w:rsidRPr="00E06CEA">
        <w:rPr>
          <w:sz w:val="20"/>
          <w:szCs w:val="20"/>
        </w:rPr>
        <w:t>.</w:t>
      </w:r>
    </w:p>
  </w:footnote>
  <w:footnote w:id="5">
    <w:p w14:paraId="2D1D67F8" w14:textId="337B7229" w:rsidR="00B25B33" w:rsidRPr="008C7A5F" w:rsidRDefault="00B25B33" w:rsidP="00B25B33">
      <w:pPr>
        <w:pStyle w:val="a3"/>
        <w:rPr>
          <w:rtl/>
          <w:lang w:bidi="he-IL"/>
        </w:rPr>
      </w:pPr>
      <w:r w:rsidRPr="003F1FBB">
        <w:rPr>
          <w:rStyle w:val="a5"/>
          <w:vertAlign w:val="baseline"/>
        </w:rPr>
        <w:footnoteRef/>
      </w:r>
      <w:r>
        <w:t xml:space="preserve">. </w:t>
      </w:r>
      <w:r w:rsidRPr="003F1FBB">
        <w:t xml:space="preserve"> </w:t>
      </w:r>
      <w:r w:rsidRPr="00F207A5">
        <w:t>Unfortunately, length limitations prevent me from analyzing the totality of the Tannaitic</w:t>
      </w:r>
      <w:r>
        <w:t xml:space="preserve"> </w:t>
      </w:r>
      <w:r w:rsidR="005217FE">
        <w:t>sources.</w:t>
      </w:r>
      <w:r w:rsidRPr="00F207A5">
        <w:t xml:space="preserve"> </w:t>
      </w:r>
      <w:bookmarkStart w:id="2" w:name="_Hlk85449400"/>
      <w:r w:rsidRPr="001A2902">
        <w:rPr>
          <w:highlight w:val="yellow"/>
          <w:lang w:bidi="he-IL"/>
        </w:rPr>
        <w:t>It should be</w:t>
      </w:r>
      <w:r>
        <w:rPr>
          <w:highlight w:val="yellow"/>
          <w:lang w:bidi="he-IL"/>
        </w:rPr>
        <w:t xml:space="preserve"> also</w:t>
      </w:r>
      <w:r w:rsidRPr="001A2902">
        <w:rPr>
          <w:highlight w:val="yellow"/>
          <w:lang w:bidi="he-IL"/>
        </w:rPr>
        <w:t xml:space="preserve"> noted that in some of the laws, which are discussed here only briefly or in a footnote, I dealt in more detail in an article which was devoted to the investigation of the considerations of editing the </w:t>
      </w:r>
      <w:r>
        <w:rPr>
          <w:rFonts w:ascii="SBL Greek" w:hAnsi="SBL Greek"/>
          <w:highlight w:val="yellow"/>
          <w:lang w:bidi="he-IL"/>
        </w:rPr>
        <w:t>‘</w:t>
      </w:r>
      <w:r w:rsidRPr="001A2902">
        <w:rPr>
          <w:highlight w:val="yellow"/>
          <w:lang w:bidi="he-IL"/>
        </w:rPr>
        <w:t>Ways of Peace</w:t>
      </w:r>
      <w:r>
        <w:rPr>
          <w:rFonts w:ascii="SBL Greek" w:hAnsi="SBL Greek"/>
          <w:highlight w:val="yellow"/>
          <w:lang w:bidi="he-IL"/>
        </w:rPr>
        <w:t>’</w:t>
      </w:r>
      <w:r w:rsidRPr="001A2902">
        <w:rPr>
          <w:highlight w:val="yellow"/>
          <w:lang w:bidi="he-IL"/>
        </w:rPr>
        <w:t xml:space="preserve"> </w:t>
      </w:r>
      <w:r w:rsidRPr="00B16FF2">
        <w:rPr>
          <w:rFonts w:asciiTheme="majorBidi" w:hAnsiTheme="majorBidi" w:cstheme="majorBidi"/>
          <w:szCs w:val="24"/>
          <w:highlight w:val="yellow"/>
        </w:rPr>
        <w:t xml:space="preserve">aggregation </w:t>
      </w:r>
      <w:r w:rsidRPr="00B16FF2">
        <w:rPr>
          <w:highlight w:val="yellow"/>
          <w:lang w:bidi="he-IL"/>
        </w:rPr>
        <w:t xml:space="preserve">in </w:t>
      </w:r>
      <w:r>
        <w:rPr>
          <w:highlight w:val="yellow"/>
          <w:lang w:bidi="he-IL"/>
        </w:rPr>
        <w:t>t</w:t>
      </w:r>
      <w:r w:rsidRPr="001A2902">
        <w:rPr>
          <w:highlight w:val="yellow"/>
          <w:lang w:bidi="he-IL"/>
        </w:rPr>
        <w:t>ractate Gittin in the Mishnah</w:t>
      </w:r>
      <w:bookmarkEnd w:id="2"/>
      <w:r>
        <w:rPr>
          <w:lang w:bidi="he-IL"/>
        </w:rPr>
        <w:t xml:space="preserve">: </w:t>
      </w:r>
      <w:r>
        <w:rPr>
          <w:rFonts w:ascii="SBL Greek" w:hAnsi="SBL Greek"/>
          <w:lang w:bidi="he-IL"/>
        </w:rPr>
        <w:t>“</w:t>
      </w:r>
      <w:r w:rsidRPr="00C12B5E">
        <w:rPr>
          <w:lang w:bidi="he-IL"/>
        </w:rPr>
        <w:t>Editorial considerations for halakhic aggregats: a literary-jurisprudential study of the ‘for reason of ways of peace’ aggregat in the Mishna (Gittin 5, 9-10)</w:t>
      </w:r>
      <w:r w:rsidRPr="001A2902">
        <w:rPr>
          <w:highlight w:val="yellow"/>
          <w:lang w:bidi="he-IL"/>
        </w:rPr>
        <w:t>.</w:t>
      </w:r>
      <w:r>
        <w:rPr>
          <w:rFonts w:ascii="SBL Greek" w:hAnsi="SBL Greek"/>
          <w:highlight w:val="yellow"/>
          <w:lang w:bidi="he-IL"/>
        </w:rPr>
        <w:t>”</w:t>
      </w:r>
      <w:r w:rsidRPr="001A2902">
        <w:rPr>
          <w:highlight w:val="yellow"/>
          <w:lang w:bidi="he-IL"/>
        </w:rPr>
        <w:t xml:space="preserve"> This article was accepted for publication in the journal </w:t>
      </w:r>
      <w:r w:rsidRPr="007D3F85">
        <w:rPr>
          <w:i/>
          <w:iCs/>
          <w:highlight w:val="yellow"/>
          <w:lang w:bidi="he-IL"/>
        </w:rPr>
        <w:t>Dine Israel</w:t>
      </w:r>
      <w:r>
        <w:rPr>
          <w:lang w:bidi="he-IL"/>
        </w:rPr>
        <w:t>.</w:t>
      </w:r>
    </w:p>
  </w:footnote>
  <w:footnote w:id="6">
    <w:p w14:paraId="56C44459" w14:textId="53057708" w:rsidR="00B94623" w:rsidRPr="007B3503" w:rsidRDefault="00B94623" w:rsidP="00B94623">
      <w:pPr>
        <w:autoSpaceDE w:val="0"/>
        <w:autoSpaceDN w:val="0"/>
        <w:bidi w:val="0"/>
        <w:adjustRightInd w:val="0"/>
        <w:spacing w:after="0" w:line="480" w:lineRule="auto"/>
        <w:jc w:val="both"/>
        <w:rPr>
          <w:rFonts w:ascii="David" w:hAnsi="David" w:cs="David"/>
          <w:sz w:val="20"/>
          <w:szCs w:val="20"/>
          <w:rtl/>
        </w:rPr>
      </w:pPr>
      <w:r w:rsidRPr="00934739">
        <w:rPr>
          <w:rStyle w:val="a5"/>
          <w:rFonts w:ascii="Times New Roman" w:hAnsi="Times New Roman" w:cs="Times New Roman"/>
          <w:sz w:val="20"/>
          <w:szCs w:val="20"/>
          <w:vertAlign w:val="baseline"/>
        </w:rPr>
        <w:footnoteRef/>
      </w:r>
      <w:r w:rsidRPr="00934739">
        <w:rPr>
          <w:rFonts w:ascii="Times New Roman" w:hAnsi="Times New Roman" w:cs="Times New Roman"/>
          <w:sz w:val="20"/>
          <w:szCs w:val="20"/>
        </w:rPr>
        <w:t>.</w:t>
      </w:r>
      <w:r>
        <w:t xml:space="preserve"> </w:t>
      </w:r>
      <w:r w:rsidRPr="007B3503">
        <w:rPr>
          <w:rFonts w:ascii="David" w:hAnsi="David" w:cs="David"/>
          <w:sz w:val="20"/>
          <w:szCs w:val="20"/>
          <w:rtl/>
        </w:rPr>
        <w:t xml:space="preserve">בחקר ההלכה נעשו </w:t>
      </w:r>
      <w:r>
        <w:rPr>
          <w:rFonts w:ascii="David" w:hAnsi="David" w:cs="David" w:hint="cs"/>
          <w:sz w:val="20"/>
          <w:szCs w:val="20"/>
          <w:rtl/>
        </w:rPr>
        <w:t xml:space="preserve">מספר </w:t>
      </w:r>
      <w:r w:rsidRPr="007B3503">
        <w:rPr>
          <w:rFonts w:ascii="David" w:hAnsi="David" w:cs="David"/>
          <w:sz w:val="20"/>
          <w:szCs w:val="20"/>
          <w:rtl/>
        </w:rPr>
        <w:t>מחקרים בהשראת</w:t>
      </w:r>
      <w:r w:rsidR="00C06BC8">
        <w:rPr>
          <w:rFonts w:ascii="David" w:hAnsi="David" w:cs="David" w:hint="cs"/>
          <w:sz w:val="20"/>
          <w:szCs w:val="20"/>
          <w:rtl/>
        </w:rPr>
        <w:t xml:space="preserve"> המאמר של קאבר</w:t>
      </w:r>
      <w:r w:rsidRPr="007B3503">
        <w:rPr>
          <w:rFonts w:ascii="David" w:hAnsi="David" w:cs="David"/>
          <w:sz w:val="20"/>
          <w:szCs w:val="20"/>
          <w:rtl/>
        </w:rPr>
        <w:t xml:space="preserve">. </w:t>
      </w:r>
      <w:r w:rsidR="00470F37">
        <w:rPr>
          <w:rFonts w:ascii="David" w:hAnsi="David" w:cs="David" w:hint="cs"/>
          <w:sz w:val="20"/>
          <w:szCs w:val="20"/>
          <w:rtl/>
        </w:rPr>
        <w:t xml:space="preserve">בדרך כלל החילו </w:t>
      </w:r>
      <w:r w:rsidRPr="007B3503">
        <w:rPr>
          <w:rFonts w:ascii="David" w:hAnsi="David" w:cs="David"/>
          <w:sz w:val="20"/>
          <w:szCs w:val="20"/>
          <w:rtl/>
        </w:rPr>
        <w:t>מחקרים אלו את המונח</w:t>
      </w:r>
      <w:r>
        <w:rPr>
          <w:rFonts w:ascii="David" w:hAnsi="David" w:cs="David" w:hint="cs"/>
          <w:sz w:val="20"/>
          <w:szCs w:val="20"/>
          <w:rtl/>
        </w:rPr>
        <w:t>ים 'נומוס' ו-</w:t>
      </w:r>
      <w:r w:rsidRPr="007B3503">
        <w:rPr>
          <w:rFonts w:ascii="David" w:hAnsi="David" w:cs="David"/>
          <w:sz w:val="20"/>
          <w:szCs w:val="20"/>
          <w:rtl/>
        </w:rPr>
        <w:t xml:space="preserve">'נרטיב' </w:t>
      </w:r>
      <w:r>
        <w:rPr>
          <w:rFonts w:ascii="David" w:hAnsi="David" w:cs="David" w:hint="cs"/>
          <w:sz w:val="20"/>
          <w:szCs w:val="20"/>
          <w:rtl/>
        </w:rPr>
        <w:t>על החלוקה העקרונית הבינארית</w:t>
      </w:r>
      <w:r w:rsidR="0040049E">
        <w:rPr>
          <w:rFonts w:ascii="David" w:hAnsi="David" w:cs="David" w:hint="cs"/>
          <w:sz w:val="20"/>
          <w:szCs w:val="20"/>
          <w:rtl/>
        </w:rPr>
        <w:t xml:space="preserve"> בין</w:t>
      </w:r>
      <w:r>
        <w:rPr>
          <w:rFonts w:ascii="David" w:hAnsi="David" w:cs="David" w:hint="cs"/>
          <w:sz w:val="20"/>
          <w:szCs w:val="20"/>
          <w:rtl/>
        </w:rPr>
        <w:t xml:space="preserve"> 'הלכה'</w:t>
      </w:r>
      <w:r w:rsidR="00DC7B48">
        <w:rPr>
          <w:rFonts w:ascii="David" w:hAnsi="David" w:cs="David" w:hint="cs"/>
          <w:sz w:val="20"/>
          <w:szCs w:val="20"/>
          <w:rtl/>
        </w:rPr>
        <w:t xml:space="preserve"> (שמהווה את הקורופוס המשפטי)</w:t>
      </w:r>
      <w:r>
        <w:rPr>
          <w:rFonts w:ascii="David" w:hAnsi="David" w:cs="David" w:hint="cs"/>
          <w:sz w:val="20"/>
          <w:szCs w:val="20"/>
          <w:rtl/>
        </w:rPr>
        <w:t xml:space="preserve"> ו'אגדה' </w:t>
      </w:r>
      <w:r w:rsidR="00DC7B48">
        <w:rPr>
          <w:rFonts w:ascii="David" w:hAnsi="David" w:cs="David" w:hint="cs"/>
          <w:sz w:val="20"/>
          <w:szCs w:val="20"/>
          <w:rtl/>
        </w:rPr>
        <w:t>(שכוללת היבטים רעיוניים שמופיעים במגוון רחב של ז'אנרים ספרותיים)</w:t>
      </w:r>
      <w:r w:rsidR="00587422">
        <w:rPr>
          <w:rFonts w:ascii="David" w:hAnsi="David" w:cs="David" w:hint="cs"/>
          <w:sz w:val="20"/>
          <w:szCs w:val="20"/>
          <w:rtl/>
        </w:rPr>
        <w:t xml:space="preserve"> בספרות חז"ל</w:t>
      </w:r>
      <w:r>
        <w:rPr>
          <w:rFonts w:ascii="David" w:hAnsi="David" w:cs="David" w:hint="cs"/>
          <w:sz w:val="20"/>
          <w:szCs w:val="20"/>
          <w:rtl/>
        </w:rPr>
        <w:t>. מחקרים אחרים בחנו את הזיקות בין 'נומוס' ל'נרטיב' באמצעות ניתוח</w:t>
      </w:r>
      <w:r w:rsidRPr="007B3503">
        <w:rPr>
          <w:rFonts w:ascii="David" w:hAnsi="David" w:cs="David"/>
          <w:sz w:val="20"/>
          <w:szCs w:val="20"/>
          <w:rtl/>
        </w:rPr>
        <w:t xml:space="preserve"> סיפורים</w:t>
      </w:r>
      <w:r w:rsidR="00470F37">
        <w:rPr>
          <w:rFonts w:ascii="David" w:hAnsi="David" w:cs="David" w:hint="cs"/>
          <w:sz w:val="20"/>
          <w:szCs w:val="20"/>
          <w:rtl/>
        </w:rPr>
        <w:t>,</w:t>
      </w:r>
      <w:r>
        <w:rPr>
          <w:rFonts w:ascii="David" w:hAnsi="David" w:cs="David" w:hint="cs"/>
          <w:sz w:val="20"/>
          <w:szCs w:val="20"/>
          <w:rtl/>
        </w:rPr>
        <w:t xml:space="preserve"> או יחידות אגדתיות</w:t>
      </w:r>
      <w:r w:rsidR="00470F37">
        <w:rPr>
          <w:rFonts w:ascii="David" w:hAnsi="David" w:cs="David" w:hint="cs"/>
          <w:sz w:val="20"/>
          <w:szCs w:val="20"/>
          <w:rtl/>
        </w:rPr>
        <w:t>,</w:t>
      </w:r>
      <w:r>
        <w:rPr>
          <w:rFonts w:ascii="David" w:hAnsi="David" w:cs="David" w:hint="cs"/>
          <w:sz w:val="20"/>
          <w:szCs w:val="20"/>
          <w:rtl/>
        </w:rPr>
        <w:t xml:space="preserve"> שמשולבים בקורופוסים ההלכתיים של החכמים (המשנה או התלמודים)</w:t>
      </w:r>
      <w:r w:rsidRPr="007B3503">
        <w:rPr>
          <w:rFonts w:ascii="David" w:hAnsi="David" w:cs="David"/>
          <w:sz w:val="20"/>
          <w:szCs w:val="20"/>
          <w:rtl/>
        </w:rPr>
        <w:t>. דוגמאות לכך ניתן לראות במחקרים הבאים:</w:t>
      </w:r>
    </w:p>
    <w:p w14:paraId="427EEF69" w14:textId="77777777" w:rsidR="00B94623" w:rsidRPr="008F7426" w:rsidRDefault="00B94623" w:rsidP="00B94623">
      <w:pPr>
        <w:pStyle w:val="1"/>
        <w:shd w:val="clear" w:color="auto" w:fill="FFFFFF"/>
        <w:bidi w:val="0"/>
        <w:spacing w:before="0" w:after="120" w:line="480" w:lineRule="auto"/>
        <w:rPr>
          <w:rFonts w:asciiTheme="majorBidi" w:hAnsiTheme="majorBidi"/>
          <w:color w:val="auto"/>
          <w:sz w:val="20"/>
          <w:szCs w:val="20"/>
        </w:rPr>
      </w:pPr>
      <w:r>
        <w:rPr>
          <w:rFonts w:asciiTheme="majorBidi" w:hAnsiTheme="majorBidi"/>
          <w:color w:val="auto"/>
          <w:sz w:val="20"/>
          <w:szCs w:val="20"/>
        </w:rPr>
        <w:t xml:space="preserve">Samuel J. Levine, </w:t>
      </w:r>
      <w:r>
        <w:rPr>
          <w:rFonts w:ascii="SBL Greek" w:hAnsi="SBL Greek"/>
          <w:color w:val="auto"/>
          <w:sz w:val="20"/>
          <w:szCs w:val="20"/>
        </w:rPr>
        <w:t>“</w:t>
      </w:r>
      <w:r w:rsidRPr="000D3110">
        <w:rPr>
          <w:rFonts w:asciiTheme="majorBidi" w:hAnsiTheme="majorBidi"/>
          <w:color w:val="auto"/>
          <w:sz w:val="20"/>
          <w:szCs w:val="20"/>
        </w:rPr>
        <w:t>Halacha and Aggada: Translating Rober</w:t>
      </w:r>
      <w:r>
        <w:rPr>
          <w:rFonts w:asciiTheme="majorBidi" w:hAnsiTheme="majorBidi"/>
          <w:color w:val="auto"/>
          <w:sz w:val="20"/>
          <w:szCs w:val="20"/>
        </w:rPr>
        <w:t>t</w:t>
      </w:r>
      <w:r w:rsidRPr="000D3110">
        <w:rPr>
          <w:rFonts w:asciiTheme="majorBidi" w:hAnsiTheme="majorBidi"/>
          <w:color w:val="auto"/>
          <w:sz w:val="20"/>
          <w:szCs w:val="20"/>
        </w:rPr>
        <w:t xml:space="preserve"> Cover’s Nomos and Narrative</w:t>
      </w:r>
      <w:r>
        <w:rPr>
          <w:rFonts w:asciiTheme="majorBidi" w:hAnsiTheme="majorBidi"/>
          <w:color w:val="auto"/>
          <w:sz w:val="20"/>
          <w:szCs w:val="20"/>
        </w:rPr>
        <w:t>,</w:t>
      </w:r>
      <w:r>
        <w:rPr>
          <w:rFonts w:ascii="SBL Greek" w:hAnsi="SBL Greek"/>
          <w:color w:val="auto"/>
          <w:sz w:val="20"/>
          <w:szCs w:val="20"/>
        </w:rPr>
        <w:t>”</w:t>
      </w:r>
      <w:r>
        <w:rPr>
          <w:rFonts w:asciiTheme="majorBidi" w:hAnsiTheme="majorBidi"/>
          <w:color w:val="auto"/>
          <w:sz w:val="20"/>
          <w:szCs w:val="20"/>
        </w:rPr>
        <w:t xml:space="preserve"> </w:t>
      </w:r>
      <w:r w:rsidRPr="0022612F">
        <w:rPr>
          <w:rFonts w:asciiTheme="majorBidi" w:hAnsiTheme="majorBidi"/>
          <w:i/>
          <w:iCs/>
          <w:color w:val="auto"/>
          <w:sz w:val="20"/>
          <w:szCs w:val="20"/>
        </w:rPr>
        <w:t>Utah Law review</w:t>
      </w:r>
      <w:r>
        <w:rPr>
          <w:rFonts w:asciiTheme="majorBidi" w:hAnsiTheme="majorBidi"/>
          <w:color w:val="auto"/>
          <w:sz w:val="20"/>
          <w:szCs w:val="20"/>
        </w:rPr>
        <w:t xml:space="preserve"> 465 (1998): 465-504; </w:t>
      </w:r>
      <w:r w:rsidRPr="000D3110">
        <w:rPr>
          <w:rFonts w:asciiTheme="majorBidi" w:hAnsiTheme="majorBidi"/>
          <w:color w:val="auto"/>
          <w:sz w:val="20"/>
          <w:szCs w:val="20"/>
        </w:rPr>
        <w:t xml:space="preserve"> </w:t>
      </w:r>
      <w:r>
        <w:rPr>
          <w:rFonts w:asciiTheme="majorBidi" w:hAnsiTheme="majorBidi"/>
          <w:color w:val="auto"/>
          <w:sz w:val="20"/>
          <w:szCs w:val="20"/>
        </w:rPr>
        <w:t xml:space="preserve">Shulamit Almog, </w:t>
      </w:r>
      <w:r>
        <w:rPr>
          <w:rFonts w:ascii="SBL Greek" w:hAnsi="SBL Greek"/>
          <w:color w:val="auto"/>
          <w:sz w:val="20"/>
          <w:szCs w:val="20"/>
        </w:rPr>
        <w:t>“</w:t>
      </w:r>
      <w:r>
        <w:rPr>
          <w:rFonts w:asciiTheme="majorBidi" w:hAnsiTheme="majorBidi"/>
          <w:color w:val="auto"/>
          <w:sz w:val="20"/>
          <w:szCs w:val="20"/>
        </w:rPr>
        <w:t>One Yung and the Other Old: Halakha and Agada as Law and Story,</w:t>
      </w:r>
      <w:r>
        <w:rPr>
          <w:rFonts w:ascii="SBL Greek" w:hAnsi="SBL Greek"/>
          <w:color w:val="auto"/>
          <w:sz w:val="20"/>
          <w:szCs w:val="20"/>
        </w:rPr>
        <w:t>”</w:t>
      </w:r>
      <w:r>
        <w:rPr>
          <w:rFonts w:asciiTheme="majorBidi" w:hAnsiTheme="majorBidi"/>
          <w:color w:val="auto"/>
          <w:sz w:val="20"/>
          <w:szCs w:val="20"/>
        </w:rPr>
        <w:t xml:space="preserve"> </w:t>
      </w:r>
      <w:r w:rsidRPr="00B5219B">
        <w:rPr>
          <w:rFonts w:asciiTheme="majorBidi" w:hAnsiTheme="majorBidi"/>
          <w:i/>
          <w:iCs/>
          <w:color w:val="auto"/>
          <w:sz w:val="20"/>
          <w:szCs w:val="20"/>
        </w:rPr>
        <w:t>Canadian Journal of Law and Society</w:t>
      </w:r>
      <w:r>
        <w:rPr>
          <w:rFonts w:asciiTheme="majorBidi" w:hAnsiTheme="majorBidi"/>
          <w:color w:val="auto"/>
          <w:sz w:val="20"/>
          <w:szCs w:val="20"/>
        </w:rPr>
        <w:t xml:space="preserve"> 18 (2003): 27-43; </w:t>
      </w:r>
      <w:r w:rsidRPr="004F0430">
        <w:rPr>
          <w:rFonts w:asciiTheme="majorBidi" w:hAnsiTheme="majorBidi"/>
          <w:color w:val="auto"/>
          <w:sz w:val="20"/>
          <w:szCs w:val="20"/>
        </w:rPr>
        <w:t xml:space="preserve">Steven Fraade, </w:t>
      </w:r>
      <w:r w:rsidRPr="004F0430">
        <w:rPr>
          <w:rFonts w:ascii="SBL Greek" w:hAnsi="SBL Greek"/>
          <w:color w:val="auto"/>
          <w:sz w:val="20"/>
          <w:szCs w:val="20"/>
        </w:rPr>
        <w:t>“</w:t>
      </w:r>
      <w:r w:rsidRPr="004F0430">
        <w:rPr>
          <w:rFonts w:asciiTheme="majorBidi" w:hAnsiTheme="majorBidi"/>
          <w:color w:val="auto"/>
          <w:sz w:val="20"/>
          <w:szCs w:val="20"/>
        </w:rPr>
        <w:t>Nomos and Narrative Before Nomos and Narrative,</w:t>
      </w:r>
      <w:r w:rsidRPr="004F0430">
        <w:rPr>
          <w:rFonts w:ascii="SBL Greek" w:hAnsi="SBL Greek"/>
          <w:color w:val="auto"/>
          <w:sz w:val="20"/>
          <w:szCs w:val="20"/>
        </w:rPr>
        <w:t>”</w:t>
      </w:r>
      <w:r w:rsidRPr="004F0430">
        <w:rPr>
          <w:rFonts w:asciiTheme="majorBidi" w:hAnsiTheme="majorBidi"/>
          <w:color w:val="auto"/>
          <w:sz w:val="20"/>
          <w:szCs w:val="20"/>
        </w:rPr>
        <w:t xml:space="preserve"> </w:t>
      </w:r>
      <w:r w:rsidRPr="004F0430">
        <w:rPr>
          <w:rFonts w:asciiTheme="majorBidi" w:hAnsiTheme="majorBidi"/>
          <w:i/>
          <w:iCs/>
          <w:color w:val="auto"/>
          <w:sz w:val="20"/>
          <w:szCs w:val="20"/>
        </w:rPr>
        <w:t>Yale Journal of Law and Humanities</w:t>
      </w:r>
      <w:r w:rsidRPr="004F0430">
        <w:rPr>
          <w:rFonts w:asciiTheme="majorBidi" w:hAnsiTheme="majorBidi"/>
          <w:color w:val="auto"/>
          <w:sz w:val="20"/>
          <w:szCs w:val="20"/>
        </w:rPr>
        <w:t xml:space="preserve"> 17 (2005): 81-96</w:t>
      </w:r>
      <w:r w:rsidRPr="004F0430">
        <w:rPr>
          <w:rStyle w:val="table-of-contentstitletext3qey-"/>
          <w:rFonts w:asciiTheme="majorBidi" w:hAnsiTheme="majorBidi"/>
          <w:i/>
          <w:iCs/>
          <w:color w:val="auto"/>
          <w:sz w:val="20"/>
          <w:szCs w:val="20"/>
        </w:rPr>
        <w:t>; Legal Fictions : Studies of Law and Narrative in the Discursive Worlds of Ancient Jewish Sectarians and Sages</w:t>
      </w:r>
      <w:r w:rsidRPr="004F0430">
        <w:rPr>
          <w:rFonts w:asciiTheme="majorBidi" w:hAnsiTheme="majorBidi"/>
          <w:color w:val="auto"/>
          <w:sz w:val="20"/>
          <w:szCs w:val="20"/>
        </w:rPr>
        <w:t xml:space="preserve">, </w:t>
      </w:r>
      <w:r w:rsidRPr="004F0430">
        <w:rPr>
          <w:rFonts w:asciiTheme="majorBidi" w:hAnsiTheme="majorBidi"/>
          <w:color w:val="auto"/>
          <w:sz w:val="20"/>
          <w:szCs w:val="20"/>
          <w:shd w:val="clear" w:color="auto" w:fill="FFFFFF"/>
        </w:rPr>
        <w:t>Leiden ; Boston : Brill, 2011; Barry Scott Wimpfheimer</w:t>
      </w:r>
      <w:r w:rsidRPr="004F0430">
        <w:rPr>
          <w:rFonts w:asciiTheme="majorBidi" w:hAnsiTheme="majorBidi"/>
          <w:color w:val="auto"/>
          <w:sz w:val="20"/>
          <w:szCs w:val="20"/>
        </w:rPr>
        <w:t xml:space="preserve">, </w:t>
      </w:r>
      <w:r w:rsidRPr="004F0430">
        <w:rPr>
          <w:rStyle w:val="af1"/>
          <w:rFonts w:asciiTheme="majorBidi" w:hAnsiTheme="majorBidi"/>
          <w:b w:val="0"/>
          <w:bCs w:val="0"/>
          <w:color w:val="auto"/>
          <w:sz w:val="20"/>
          <w:szCs w:val="20"/>
        </w:rPr>
        <w:t>“</w:t>
      </w:r>
      <w:r w:rsidRPr="004F0430">
        <w:rPr>
          <w:rStyle w:val="af1"/>
          <w:rFonts w:ascii="SBL Greek" w:hAnsi="SBL Greek"/>
          <w:b w:val="0"/>
          <w:bCs w:val="0"/>
          <w:color w:val="auto"/>
          <w:sz w:val="20"/>
          <w:szCs w:val="20"/>
        </w:rPr>
        <w:t>‘</w:t>
      </w:r>
      <w:r w:rsidRPr="004F0430">
        <w:rPr>
          <w:rStyle w:val="af1"/>
          <w:rFonts w:asciiTheme="majorBidi" w:hAnsiTheme="majorBidi"/>
          <w:b w:val="0"/>
          <w:bCs w:val="0"/>
          <w:color w:val="auto"/>
          <w:sz w:val="20"/>
          <w:szCs w:val="20"/>
        </w:rPr>
        <w:t>But It Is Not So</w:t>
      </w:r>
      <w:r w:rsidRPr="004F0430">
        <w:rPr>
          <w:rStyle w:val="af1"/>
          <w:rFonts w:ascii="SBL Greek" w:hAnsi="SBL Greek"/>
          <w:b w:val="0"/>
          <w:bCs w:val="0"/>
          <w:color w:val="auto"/>
          <w:sz w:val="20"/>
          <w:szCs w:val="20"/>
        </w:rPr>
        <w:t>’</w:t>
      </w:r>
      <w:r w:rsidRPr="004F0430">
        <w:rPr>
          <w:rStyle w:val="af1"/>
          <w:rFonts w:asciiTheme="majorBidi" w:hAnsiTheme="majorBidi"/>
          <w:b w:val="0"/>
          <w:bCs w:val="0"/>
          <w:color w:val="auto"/>
          <w:sz w:val="20"/>
          <w:szCs w:val="20"/>
        </w:rPr>
        <w:t>:</w:t>
      </w:r>
      <w:r w:rsidRPr="004F0430">
        <w:rPr>
          <w:rFonts w:asciiTheme="majorBidi" w:hAnsiTheme="majorBidi"/>
          <w:color w:val="auto"/>
          <w:sz w:val="20"/>
          <w:szCs w:val="20"/>
        </w:rPr>
        <w:t> Toward a Poetics of Legal Narrative in the Talmud,”</w:t>
      </w:r>
      <w:r w:rsidRPr="004F0430">
        <w:rPr>
          <w:rFonts w:ascii="var(--pharos-font-family-serif)" w:hAnsi="var(--pharos-font-family-serif)"/>
          <w:color w:val="auto"/>
        </w:rPr>
        <w:t xml:space="preserve"> </w:t>
      </w:r>
      <w:r w:rsidRPr="004F0430">
        <w:rPr>
          <w:rFonts w:asciiTheme="majorBidi" w:hAnsiTheme="majorBidi"/>
          <w:i/>
          <w:iCs/>
          <w:color w:val="auto"/>
          <w:sz w:val="20"/>
          <w:szCs w:val="20"/>
        </w:rPr>
        <w:t>prooftexts</w:t>
      </w:r>
      <w:r w:rsidRPr="004F0430">
        <w:rPr>
          <w:rFonts w:asciiTheme="majorBidi" w:hAnsiTheme="majorBidi"/>
          <w:color w:val="auto"/>
          <w:sz w:val="20"/>
          <w:szCs w:val="20"/>
        </w:rPr>
        <w:t xml:space="preserve"> 24 (2004): 51-86; Talmudic Legal Narrative: Broadning the Discource of Jewish Law, </w:t>
      </w:r>
      <w:r w:rsidRPr="008665B9">
        <w:rPr>
          <w:rFonts w:asciiTheme="majorBidi" w:hAnsiTheme="majorBidi"/>
          <w:i/>
          <w:iCs/>
          <w:color w:val="auto"/>
          <w:sz w:val="20"/>
          <w:szCs w:val="20"/>
        </w:rPr>
        <w:t>Dinei Israel</w:t>
      </w:r>
      <w:r w:rsidRPr="004F0430">
        <w:rPr>
          <w:rFonts w:asciiTheme="majorBidi" w:hAnsiTheme="majorBidi"/>
          <w:color w:val="auto"/>
          <w:sz w:val="20"/>
          <w:szCs w:val="20"/>
        </w:rPr>
        <w:t xml:space="preserve"> 24 (2007): 157-196;</w:t>
      </w:r>
      <w:r w:rsidRPr="004F0430">
        <w:rPr>
          <w:rFonts w:asciiTheme="majorBidi" w:hAnsiTheme="majorBidi"/>
          <w:i/>
          <w:iCs/>
          <w:color w:val="auto"/>
          <w:sz w:val="20"/>
          <w:szCs w:val="20"/>
        </w:rPr>
        <w:t xml:space="preserve"> Narrating the law</w:t>
      </w:r>
      <w:r w:rsidRPr="004F0430">
        <w:rPr>
          <w:rFonts w:asciiTheme="majorBidi" w:hAnsiTheme="majorBidi"/>
          <w:i/>
          <w:iCs/>
          <w:color w:val="auto"/>
          <w:sz w:val="20"/>
          <w:szCs w:val="20"/>
          <w:shd w:val="clear" w:color="auto" w:fill="FFFFFF"/>
        </w:rPr>
        <w:t> : </w:t>
      </w:r>
      <w:r w:rsidRPr="004F0430">
        <w:rPr>
          <w:rFonts w:asciiTheme="majorBidi" w:hAnsiTheme="majorBidi"/>
          <w:i/>
          <w:iCs/>
          <w:color w:val="auto"/>
          <w:sz w:val="20"/>
          <w:szCs w:val="20"/>
        </w:rPr>
        <w:t>a poetics of talmudic legal stories</w:t>
      </w:r>
      <w:r w:rsidRPr="004F0430">
        <w:rPr>
          <w:rFonts w:asciiTheme="majorBidi" w:hAnsiTheme="majorBidi"/>
          <w:color w:val="auto"/>
          <w:sz w:val="20"/>
          <w:szCs w:val="20"/>
        </w:rPr>
        <w:t xml:space="preserve">, </w:t>
      </w:r>
      <w:r w:rsidRPr="004F0430">
        <w:rPr>
          <w:rFonts w:asciiTheme="majorBidi" w:hAnsiTheme="majorBidi"/>
          <w:color w:val="auto"/>
          <w:sz w:val="20"/>
          <w:szCs w:val="20"/>
          <w:shd w:val="clear" w:color="auto" w:fill="FFFFFF"/>
        </w:rPr>
        <w:t xml:space="preserve">Philadelphia : University of Pennsylvania Press, </w:t>
      </w:r>
      <w:r w:rsidRPr="008F7426">
        <w:rPr>
          <w:rFonts w:asciiTheme="majorBidi" w:hAnsiTheme="majorBidi"/>
          <w:color w:val="auto"/>
          <w:sz w:val="20"/>
          <w:szCs w:val="20"/>
          <w:shd w:val="clear" w:color="auto" w:fill="FFFFFF"/>
        </w:rPr>
        <w:t>2011</w:t>
      </w:r>
      <w:r>
        <w:rPr>
          <w:rFonts w:asciiTheme="majorBidi" w:hAnsiTheme="majorBidi"/>
          <w:color w:val="auto"/>
          <w:sz w:val="20"/>
          <w:szCs w:val="20"/>
        </w:rPr>
        <w:t>.</w:t>
      </w:r>
      <w:r w:rsidRPr="008F7426">
        <w:rPr>
          <w:rFonts w:asciiTheme="majorBidi" w:hAnsiTheme="majorBidi"/>
          <w:color w:val="auto"/>
          <w:sz w:val="20"/>
          <w:szCs w:val="20"/>
        </w:rPr>
        <w:t xml:space="preserve"> </w:t>
      </w:r>
    </w:p>
    <w:p w14:paraId="1AB36A43" w14:textId="47BF8A6C" w:rsidR="00B94623" w:rsidRPr="00684313" w:rsidRDefault="00B94623" w:rsidP="00B94623">
      <w:pPr>
        <w:pStyle w:val="a3"/>
        <w:bidi/>
        <w:rPr>
          <w:rFonts w:cstheme="minorBidi"/>
          <w:lang w:bidi="he-IL"/>
        </w:rPr>
      </w:pPr>
      <w:r w:rsidRPr="00935281">
        <w:rPr>
          <w:rFonts w:ascii="David" w:hAnsi="David" w:cs="David"/>
          <w:rtl/>
        </w:rPr>
        <w:t>עד כה לא נעשתה עבודה שהחילה את מושגיו של קאבר על הזיקות שמתקיימות בין טעמים הלכתיים לכללים שאותם הם</w:t>
      </w:r>
      <w:r>
        <w:rPr>
          <w:rFonts w:ascii="David" w:hAnsi="David" w:cs="David" w:hint="cs"/>
          <w:rtl/>
          <w:lang w:bidi="he-IL"/>
        </w:rPr>
        <w:t xml:space="preserve"> באים להצדיק</w:t>
      </w:r>
      <w:r w:rsidRPr="00935281">
        <w:rPr>
          <w:rFonts w:ascii="David" w:hAnsi="David" w:cs="David"/>
          <w:rtl/>
        </w:rPr>
        <w:t xml:space="preserve">.   </w:t>
      </w:r>
    </w:p>
  </w:footnote>
  <w:footnote w:id="7">
    <w:p w14:paraId="2CF3E991" w14:textId="77777777" w:rsidR="00854EB8" w:rsidRPr="00136BFF" w:rsidRDefault="00854EB8" w:rsidP="00314F27">
      <w:pPr>
        <w:pStyle w:val="a3"/>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For an overview of research and various scholars’ views, see Vered Noam, </w:t>
      </w:r>
      <w:r w:rsidRPr="00136BFF">
        <w:rPr>
          <w:rFonts w:asciiTheme="majorBidi" w:hAnsiTheme="majorBidi" w:cstheme="majorBidi"/>
          <w:i/>
          <w:iCs/>
        </w:rPr>
        <w:t>Megillat Ta‘anit: Versions, Interpretation, History</w:t>
      </w:r>
      <w:r w:rsidRPr="00136BFF">
        <w:rPr>
          <w:rFonts w:asciiTheme="majorBidi" w:hAnsiTheme="majorBidi" w:cstheme="majorBidi"/>
        </w:rPr>
        <w:t xml:space="preserve"> [Hebrew] (Jerusalem: Yad Izhak Ben-Zvi, 2003), 165–68.</w:t>
      </w:r>
    </w:p>
  </w:footnote>
  <w:footnote w:id="8">
    <w:p w14:paraId="245425BC" w14:textId="77777777" w:rsidR="00854EB8" w:rsidRPr="00136BFF" w:rsidRDefault="00854EB8" w:rsidP="00314F27">
      <w:pPr>
        <w:pStyle w:val="a3"/>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Ibid., 165.</w:t>
      </w:r>
    </w:p>
  </w:footnote>
  <w:footnote w:id="9">
    <w:p w14:paraId="4B3870C4" w14:textId="77777777" w:rsidR="00854EB8" w:rsidRPr="00136BFF" w:rsidRDefault="00854EB8" w:rsidP="00314F27">
      <w:pPr>
        <w:pStyle w:val="a3"/>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The scholion traditions switch between the Pharisees and the Boethusians. See Vered Noam, “Rediscovered Fragments of Variant Biblical and Midrashic Texts” [Hebrew], </w:t>
      </w:r>
      <w:r w:rsidRPr="00136BFF">
        <w:rPr>
          <w:rFonts w:asciiTheme="majorBidi" w:hAnsiTheme="majorBidi" w:cstheme="majorBidi"/>
          <w:i/>
          <w:iCs/>
        </w:rPr>
        <w:t>Issues in Talmudic Research: Conference Commemorating the Fifth Anniversary of the Passing of Ephraim E. Urbach</w:t>
      </w:r>
      <w:r w:rsidRPr="00136BFF">
        <w:rPr>
          <w:rFonts w:asciiTheme="majorBidi" w:hAnsiTheme="majorBidi" w:cstheme="majorBidi"/>
        </w:rPr>
        <w:t xml:space="preserve"> (Jerusalem: Israel Academy of Sciences and Humanities, 2001), 72–76. For a reconstruction of MSS Parma, see Noam, </w:t>
      </w:r>
      <w:r w:rsidRPr="00136BFF">
        <w:rPr>
          <w:rFonts w:asciiTheme="majorBidi" w:hAnsiTheme="majorBidi" w:cstheme="majorBidi"/>
          <w:i/>
          <w:iCs/>
          <w:u w:val="single"/>
        </w:rPr>
        <w:t>Megillat Ta‘anit</w:t>
      </w:r>
      <w:r w:rsidRPr="00136BFF">
        <w:rPr>
          <w:rFonts w:asciiTheme="majorBidi" w:hAnsiTheme="majorBidi" w:cstheme="majorBidi"/>
        </w:rPr>
        <w:t>,</w:t>
      </w:r>
      <w:r w:rsidRPr="00136BFF">
        <w:rPr>
          <w:rFonts w:asciiTheme="majorBidi" w:hAnsiTheme="majorBidi" w:cstheme="majorBidi"/>
          <w:i/>
          <w:iCs/>
        </w:rPr>
        <w:t xml:space="preserve"> </w:t>
      </w:r>
      <w:r w:rsidRPr="00136BFF">
        <w:rPr>
          <w:rFonts w:asciiTheme="majorBidi" w:hAnsiTheme="majorBidi" w:cstheme="majorBidi"/>
        </w:rPr>
        <w:t>165.</w:t>
      </w:r>
    </w:p>
  </w:footnote>
  <w:footnote w:id="10">
    <w:p w14:paraId="4F4AF661" w14:textId="77777777" w:rsidR="00854EB8" w:rsidRPr="00136BFF" w:rsidRDefault="00854EB8" w:rsidP="00314F27">
      <w:pPr>
        <w:pStyle w:val="a3"/>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Eyal Regev, </w:t>
      </w:r>
      <w:r w:rsidRPr="00136BFF">
        <w:rPr>
          <w:rFonts w:asciiTheme="majorBidi" w:hAnsiTheme="majorBidi" w:cstheme="majorBidi"/>
          <w:i/>
          <w:iCs/>
        </w:rPr>
        <w:t>The Sadducees and Their Halakhah: Religion and Society in the Second Temple Period</w:t>
      </w:r>
      <w:r w:rsidRPr="00136BFF">
        <w:rPr>
          <w:rFonts w:asciiTheme="majorBidi" w:hAnsiTheme="majorBidi" w:cstheme="majorBidi"/>
        </w:rPr>
        <w:t xml:space="preserve"> [Hebrew] (Jerusalem: Yad Izhak Ben-Zvi, 2005), 132–37.</w:t>
      </w:r>
    </w:p>
  </w:footnote>
  <w:footnote w:id="11">
    <w:p w14:paraId="09DAC5A7" w14:textId="77777777" w:rsidR="00854EB8" w:rsidRPr="00136BFF" w:rsidRDefault="00854EB8" w:rsidP="00314F27">
      <w:pPr>
        <w:pStyle w:val="a3"/>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Regev, </w:t>
      </w:r>
      <w:r w:rsidRPr="00136BFF">
        <w:rPr>
          <w:rFonts w:asciiTheme="majorBidi" w:hAnsiTheme="majorBidi" w:cstheme="majorBidi"/>
          <w:i/>
          <w:iCs/>
        </w:rPr>
        <w:t>Sadducees</w:t>
      </w:r>
      <w:r w:rsidRPr="00136BFF">
        <w:rPr>
          <w:rFonts w:asciiTheme="majorBidi" w:hAnsiTheme="majorBidi" w:cstheme="majorBidi"/>
        </w:rPr>
        <w:t xml:space="preserve">, 134. According to Regev, at issue here are two conflicting attitudes toward the way God’s act of dwelling should take place: via personal contributions or through equal participation by all. Similar hermeneutics occur in </w:t>
      </w:r>
      <w:r w:rsidRPr="00136BFF">
        <w:rPr>
          <w:rFonts w:asciiTheme="majorBidi" w:hAnsiTheme="majorBidi" w:cstheme="majorBidi"/>
          <w:i/>
          <w:iCs/>
        </w:rPr>
        <w:t>Sifrei Bamidbar</w:t>
      </w:r>
      <w:r w:rsidRPr="00136BFF">
        <w:rPr>
          <w:rFonts w:asciiTheme="majorBidi" w:hAnsiTheme="majorBidi" w:cstheme="majorBidi"/>
        </w:rPr>
        <w:t xml:space="preserve">. On </w:t>
      </w:r>
      <w:r w:rsidRPr="00136BFF">
        <w:rPr>
          <w:rFonts w:asciiTheme="majorBidi" w:hAnsiTheme="majorBidi" w:cstheme="majorBidi"/>
          <w:i/>
          <w:iCs/>
        </w:rPr>
        <w:t>Sifrei Zuta</w:t>
      </w:r>
      <w:r w:rsidRPr="00136BFF">
        <w:rPr>
          <w:rFonts w:asciiTheme="majorBidi" w:hAnsiTheme="majorBidi" w:cstheme="majorBidi"/>
        </w:rPr>
        <w:t xml:space="preserve"> on Numbers, see Menahem I. Kahana, </w:t>
      </w:r>
      <w:r w:rsidRPr="00136BFF">
        <w:rPr>
          <w:rFonts w:asciiTheme="majorBidi" w:hAnsiTheme="majorBidi" w:cstheme="majorBidi"/>
          <w:i/>
          <w:iCs/>
        </w:rPr>
        <w:t>Sifre on Numbers: An Annotated Edition</w:t>
      </w:r>
      <w:r w:rsidRPr="00136BFF">
        <w:rPr>
          <w:rFonts w:asciiTheme="majorBidi" w:hAnsiTheme="majorBidi" w:cstheme="majorBidi"/>
        </w:rPr>
        <w:t xml:space="preserve"> [Hebrew] (Jerusalem: Magnes, 2015), 67, 1176.</w:t>
      </w:r>
    </w:p>
  </w:footnote>
  <w:footnote w:id="12">
    <w:p w14:paraId="28DD460D" w14:textId="37B10EE9" w:rsidR="00854EB8" w:rsidRPr="00136BFF" w:rsidRDefault="00854EB8" w:rsidP="00314F27">
      <w:pPr>
        <w:pStyle w:val="a3"/>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Regev, </w:t>
      </w:r>
      <w:r w:rsidRPr="00136BFF">
        <w:rPr>
          <w:rFonts w:asciiTheme="majorBidi" w:hAnsiTheme="majorBidi" w:cstheme="majorBidi"/>
          <w:i/>
          <w:iCs/>
        </w:rPr>
        <w:t>Sadducees</w:t>
      </w:r>
      <w:r w:rsidRPr="00136BFF">
        <w:rPr>
          <w:rFonts w:asciiTheme="majorBidi" w:hAnsiTheme="majorBidi" w:cstheme="majorBidi"/>
        </w:rPr>
        <w:t xml:space="preserve">, 134. Moshe Beer notes the Pharisees’ economic interest in enacting a permanent tax. See Moshe Beer, “The Sects and the Half Sheqel” [Hebrew], </w:t>
      </w:r>
      <w:r w:rsidRPr="00136BFF">
        <w:rPr>
          <w:rFonts w:asciiTheme="majorBidi" w:hAnsiTheme="majorBidi" w:cstheme="majorBidi"/>
          <w:i/>
          <w:iCs/>
          <w:u w:val="single"/>
        </w:rPr>
        <w:t>Tarbiz</w:t>
      </w:r>
      <w:r w:rsidRPr="00136BFF">
        <w:rPr>
          <w:rFonts w:asciiTheme="majorBidi" w:hAnsiTheme="majorBidi" w:cstheme="majorBidi"/>
        </w:rPr>
        <w:t xml:space="preserve"> 31 (1962): 299. The Judean Desert sect also objected to paying the tax. See John M. Allegro, “Unpublished Fragment of Essene Halakha (4Q Ordinances),”</w:t>
      </w:r>
      <w:r w:rsidRPr="00136BFF">
        <w:rPr>
          <w:rFonts w:asciiTheme="majorBidi" w:hAnsiTheme="majorBidi" w:cstheme="majorBidi"/>
          <w:i/>
          <w:iCs/>
        </w:rPr>
        <w:t xml:space="preserve"> Journal of Semitic Studies</w:t>
      </w:r>
      <w:r w:rsidRPr="00136BFF">
        <w:rPr>
          <w:rFonts w:asciiTheme="majorBidi" w:hAnsiTheme="majorBidi" w:cstheme="majorBidi"/>
        </w:rPr>
        <w:t xml:space="preserve"> 6 (1961): 71–73; John M. Allegro, </w:t>
      </w:r>
      <w:r w:rsidRPr="00136BFF">
        <w:rPr>
          <w:rFonts w:asciiTheme="majorBidi" w:hAnsiTheme="majorBidi" w:cstheme="majorBidi"/>
          <w:i/>
          <w:iCs/>
        </w:rPr>
        <w:t>Qumran Cave 4, I, 4Q158-4q186</w:t>
      </w:r>
      <w:r w:rsidRPr="00136BFF">
        <w:rPr>
          <w:rFonts w:asciiTheme="majorBidi" w:hAnsiTheme="majorBidi" w:cstheme="majorBidi"/>
        </w:rPr>
        <w:t xml:space="preserve">, DJD 5 (Oxford: Clarendon Press, 1968), 6–9; Jacob Liver, “The Half-Shekel in the Scrolls of the Judean Desert Sect” [Hebrew], </w:t>
      </w:r>
      <w:r w:rsidRPr="00136BFF">
        <w:rPr>
          <w:rFonts w:asciiTheme="majorBidi" w:hAnsiTheme="majorBidi" w:cstheme="majorBidi"/>
          <w:i/>
          <w:iCs/>
        </w:rPr>
        <w:t xml:space="preserve">Tarbiz </w:t>
      </w:r>
      <w:r w:rsidRPr="00136BFF">
        <w:rPr>
          <w:rFonts w:asciiTheme="majorBidi" w:hAnsiTheme="majorBidi" w:cstheme="majorBidi"/>
        </w:rPr>
        <w:t>31</w:t>
      </w:r>
      <w:r w:rsidRPr="00136BFF">
        <w:rPr>
          <w:rFonts w:asciiTheme="majorBidi" w:hAnsiTheme="majorBidi" w:cstheme="majorBidi"/>
          <w:i/>
          <w:iCs/>
        </w:rPr>
        <w:t xml:space="preserve"> </w:t>
      </w:r>
      <w:r w:rsidRPr="00136BFF">
        <w:rPr>
          <w:rFonts w:asciiTheme="majorBidi" w:hAnsiTheme="majorBidi" w:cstheme="majorBidi"/>
        </w:rPr>
        <w:t>(1962): 20–21.</w:t>
      </w:r>
      <w:r w:rsidR="008959FE">
        <w:rPr>
          <w:rFonts w:asciiTheme="majorBidi" w:hAnsiTheme="majorBidi" w:cstheme="majorBidi"/>
        </w:rPr>
        <w:t xml:space="preserve"> </w:t>
      </w:r>
      <w:r w:rsidR="008959FE" w:rsidRPr="008959FE">
        <w:rPr>
          <w:rFonts w:asciiTheme="majorBidi" w:hAnsiTheme="majorBidi" w:cstheme="majorBidi"/>
        </w:rPr>
        <w:t>From the other side</w:t>
      </w:r>
      <w:r w:rsidR="008959FE">
        <w:rPr>
          <w:rFonts w:asciiTheme="majorBidi" w:hAnsiTheme="majorBidi" w:cstheme="majorBidi" w:hint="cs"/>
          <w:rtl/>
          <w:lang w:bidi="he-IL"/>
        </w:rPr>
        <w:t xml:space="preserve"> </w:t>
      </w:r>
      <w:r w:rsidR="008959FE">
        <w:rPr>
          <w:rFonts w:asciiTheme="majorBidi" w:hAnsiTheme="majorBidi" w:cstheme="majorBidi"/>
          <w:lang w:bidi="he-IL"/>
        </w:rPr>
        <w:t xml:space="preserve">see </w:t>
      </w:r>
      <w:r w:rsidR="008959FE" w:rsidRPr="008959FE">
        <w:rPr>
          <w:rFonts w:asciiTheme="majorBidi" w:hAnsiTheme="majorBidi" w:cstheme="majorBidi"/>
        </w:rPr>
        <w:t xml:space="preserve">Mira </w:t>
      </w:r>
      <w:bookmarkStart w:id="3" w:name="_Hlk90451844"/>
      <w:r w:rsidR="008959FE" w:rsidRPr="008959FE">
        <w:rPr>
          <w:rFonts w:asciiTheme="majorBidi" w:hAnsiTheme="majorBidi" w:cstheme="majorBidi"/>
        </w:rPr>
        <w:t>Balberg</w:t>
      </w:r>
      <w:bookmarkEnd w:id="3"/>
      <w:r w:rsidR="008959FE" w:rsidRPr="008959FE">
        <w:rPr>
          <w:rFonts w:asciiTheme="majorBidi" w:hAnsiTheme="majorBidi" w:cstheme="majorBidi"/>
        </w:rPr>
        <w:t>, Blood for Thought: The Reinvention of Sacrifice in Early Rabbinic Literature (Oakland: University of California Press, 2017), 114–21</w:t>
      </w:r>
      <w:r w:rsidR="008959FE">
        <w:rPr>
          <w:rFonts w:asciiTheme="majorBidi" w:hAnsiTheme="majorBidi" w:cstheme="majorBidi"/>
        </w:rPr>
        <w:t xml:space="preserve">. </w:t>
      </w:r>
      <w:r w:rsidR="00EB3C59" w:rsidRPr="00EB3C59">
        <w:rPr>
          <w:rFonts w:asciiTheme="majorBidi" w:hAnsiTheme="majorBidi" w:cstheme="majorBidi"/>
          <w:szCs w:val="24"/>
        </w:rPr>
        <w:t xml:space="preserve">Balberg </w:t>
      </w:r>
      <w:r w:rsidR="00EB3C59" w:rsidRPr="00136BFF">
        <w:rPr>
          <w:rFonts w:asciiTheme="majorBidi" w:hAnsiTheme="majorBidi" w:cstheme="majorBidi"/>
          <w:szCs w:val="24"/>
        </w:rPr>
        <w:t>shows how the Mishnah systematically rejects any possibility of personal donations for the funding of public sacrifices.</w:t>
      </w:r>
    </w:p>
  </w:footnote>
  <w:footnote w:id="13">
    <w:p w14:paraId="4AF5BD5C" w14:textId="77777777" w:rsidR="00854EB8" w:rsidRPr="00136BFF" w:rsidRDefault="00854EB8" w:rsidP="00314F27">
      <w:pPr>
        <w:pStyle w:val="a3"/>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w:t>
      </w:r>
      <w:r w:rsidRPr="00136BFF">
        <w:rPr>
          <w:rFonts w:asciiTheme="majorBidi" w:hAnsiTheme="majorBidi" w:cstheme="majorBidi"/>
          <w:color w:val="000000"/>
          <w:shd w:val="clear" w:color="auto" w:fill="FFFFFF"/>
        </w:rPr>
        <w:t xml:space="preserve">The translation follows the Hebrew text of Ms. Kaufmann. English translations of the Mishnah and Babylonian Talmud are based on Isidore Epstein (ed.), </w:t>
      </w:r>
      <w:r w:rsidRPr="00136BFF">
        <w:rPr>
          <w:rFonts w:asciiTheme="majorBidi" w:hAnsiTheme="majorBidi" w:cstheme="majorBidi"/>
          <w:i/>
          <w:iCs/>
          <w:color w:val="000000"/>
          <w:shd w:val="clear" w:color="auto" w:fill="FFFFFF"/>
        </w:rPr>
        <w:t xml:space="preserve">The Soncino Talmud </w:t>
      </w:r>
      <w:r w:rsidRPr="00136BFF">
        <w:rPr>
          <w:rFonts w:asciiTheme="majorBidi" w:hAnsiTheme="majorBidi" w:cstheme="majorBidi"/>
          <w:color w:val="000000"/>
          <w:shd w:val="clear" w:color="auto" w:fill="FFFFFF"/>
        </w:rPr>
        <w:t xml:space="preserve">[CD-ROM] (Chicago, IL: Davka Corp and Judaica Press, 1991-1995); and Michael Danby (trans.), </w:t>
      </w:r>
      <w:r w:rsidRPr="00136BFF">
        <w:rPr>
          <w:rFonts w:asciiTheme="majorBidi" w:hAnsiTheme="majorBidi" w:cstheme="majorBidi"/>
          <w:i/>
          <w:iCs/>
          <w:color w:val="000000"/>
          <w:shd w:val="clear" w:color="auto" w:fill="FFFFFF"/>
        </w:rPr>
        <w:t xml:space="preserve">The Mishnah </w:t>
      </w:r>
      <w:r w:rsidRPr="00136BFF">
        <w:rPr>
          <w:rFonts w:asciiTheme="majorBidi" w:hAnsiTheme="majorBidi" w:cstheme="majorBidi"/>
          <w:color w:val="000000"/>
          <w:shd w:val="clear" w:color="auto" w:fill="FFFFFF"/>
        </w:rPr>
        <w:t>(Oxford</w:t>
      </w:r>
      <w:r w:rsidRPr="00136BFF">
        <w:rPr>
          <w:rFonts w:asciiTheme="majorBidi" w:hAnsiTheme="majorBidi" w:cstheme="majorBidi"/>
        </w:rPr>
        <w:t xml:space="preserve">: </w:t>
      </w:r>
      <w:r w:rsidRPr="00136BFF">
        <w:rPr>
          <w:rFonts w:asciiTheme="majorBidi" w:hAnsiTheme="majorBidi" w:cstheme="majorBidi"/>
          <w:lang w:eastAsia="he-IL" w:bidi="he-IL"/>
        </w:rPr>
        <w:t>Oxford University Press</w:t>
      </w:r>
      <w:r w:rsidRPr="00136BFF">
        <w:rPr>
          <w:rFonts w:asciiTheme="majorBidi" w:hAnsiTheme="majorBidi" w:cstheme="majorBidi"/>
          <w:color w:val="000000"/>
          <w:shd w:val="clear" w:color="auto" w:fill="FFFFFF"/>
        </w:rPr>
        <w:t>, 1933).</w:t>
      </w:r>
    </w:p>
  </w:footnote>
  <w:footnote w:id="14">
    <w:p w14:paraId="506E4D89" w14:textId="7D309C2F" w:rsidR="00854EB8" w:rsidRPr="00136BFF" w:rsidRDefault="00854EB8" w:rsidP="00314F27">
      <w:pPr>
        <w:pStyle w:val="a3"/>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w:t>
      </w:r>
      <w:r w:rsidRPr="00136BFF">
        <w:rPr>
          <w:rFonts w:asciiTheme="majorBidi" w:hAnsiTheme="majorBidi" w:cstheme="majorBidi"/>
          <w:szCs w:val="24"/>
        </w:rPr>
        <w:t>The term “tables”—</w:t>
      </w:r>
      <w:r w:rsidRPr="00136BFF">
        <w:rPr>
          <w:rFonts w:asciiTheme="majorBidi" w:hAnsiTheme="majorBidi" w:cstheme="majorBidi"/>
          <w:i/>
          <w:iCs/>
          <w:szCs w:val="24"/>
        </w:rPr>
        <w:t>shulḥanot</w:t>
      </w:r>
      <w:r w:rsidRPr="00136BFF">
        <w:rPr>
          <w:rFonts w:asciiTheme="majorBidi" w:hAnsiTheme="majorBidi" w:cstheme="majorBidi"/>
          <w:szCs w:val="24"/>
        </w:rPr>
        <w:t xml:space="preserve">—is derived from the Greek τραπεζίτη, which, in the Hellenistic-Roman world, related mainly to the function of </w:t>
      </w:r>
      <w:bookmarkStart w:id="4" w:name="_Hlk28528140"/>
      <w:r w:rsidRPr="00136BFF">
        <w:rPr>
          <w:rFonts w:asciiTheme="majorBidi" w:hAnsiTheme="majorBidi" w:cstheme="majorBidi"/>
          <w:szCs w:val="24"/>
        </w:rPr>
        <w:t>moneychanger</w:t>
      </w:r>
      <w:bookmarkEnd w:id="4"/>
      <w:r w:rsidRPr="00136BFF">
        <w:rPr>
          <w:rFonts w:asciiTheme="majorBidi" w:hAnsiTheme="majorBidi" w:cstheme="majorBidi"/>
          <w:szCs w:val="24"/>
        </w:rPr>
        <w:t xml:space="preserve">. </w:t>
      </w:r>
      <w:r w:rsidRPr="00136BFF">
        <w:rPr>
          <w:rFonts w:asciiTheme="majorBidi" w:hAnsiTheme="majorBidi" w:cstheme="majorBidi"/>
        </w:rPr>
        <w:t xml:space="preserve">See Ze’ev Safrai, </w:t>
      </w:r>
      <w:r w:rsidRPr="00136BFF">
        <w:rPr>
          <w:rFonts w:asciiTheme="majorBidi" w:hAnsiTheme="majorBidi" w:cstheme="majorBidi"/>
          <w:i/>
          <w:iCs/>
        </w:rPr>
        <w:t>Mishnat ’ereẓ yisra’el: masekhet shekalim</w:t>
      </w:r>
      <w:r w:rsidRPr="00136BFF">
        <w:rPr>
          <w:rFonts w:asciiTheme="majorBidi" w:hAnsiTheme="majorBidi" w:cstheme="majorBidi"/>
        </w:rPr>
        <w:t xml:space="preserve"> (Jerusalem: The E.M. Liphshitz College Publishing House, 2009), 70–74.</w:t>
      </w:r>
    </w:p>
  </w:footnote>
  <w:footnote w:id="15">
    <w:p w14:paraId="32A155D0" w14:textId="77777777" w:rsidR="00854EB8" w:rsidRPr="00136BFF" w:rsidRDefault="00854EB8" w:rsidP="00314F27">
      <w:pPr>
        <w:pStyle w:val="a3"/>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Balberg, </w:t>
      </w:r>
      <w:r w:rsidRPr="00136BFF">
        <w:rPr>
          <w:rFonts w:asciiTheme="majorBidi" w:hAnsiTheme="majorBidi" w:cstheme="majorBidi"/>
          <w:i/>
          <w:iCs/>
        </w:rPr>
        <w:t>Blood for Thought</w:t>
      </w:r>
      <w:r w:rsidRPr="00136BFF">
        <w:rPr>
          <w:rFonts w:asciiTheme="majorBidi" w:hAnsiTheme="majorBidi" w:cstheme="majorBidi"/>
        </w:rPr>
        <w:t>, 120.</w:t>
      </w:r>
    </w:p>
  </w:footnote>
  <w:footnote w:id="16">
    <w:p w14:paraId="7265EC9E" w14:textId="77777777" w:rsidR="00854EB8" w:rsidRPr="00136BFF" w:rsidRDefault="00854EB8" w:rsidP="00314F27">
      <w:pPr>
        <w:pStyle w:val="a3"/>
        <w:jc w:val="both"/>
        <w:rPr>
          <w:rFonts w:asciiTheme="majorBidi" w:hAnsiTheme="majorBidi" w:cstheme="majorBidi"/>
          <w:lang w:bidi="he-IL"/>
        </w:rPr>
      </w:pPr>
      <w:r w:rsidRPr="00136BFF">
        <w:rPr>
          <w:rFonts w:asciiTheme="majorBidi" w:hAnsiTheme="majorBidi" w:cstheme="majorBidi"/>
        </w:rPr>
        <w:footnoteRef/>
      </w:r>
      <w:r w:rsidRPr="00136BFF">
        <w:rPr>
          <w:rFonts w:asciiTheme="majorBidi" w:hAnsiTheme="majorBidi" w:cstheme="majorBidi"/>
        </w:rPr>
        <w:t xml:space="preserve">. See Moshe Assis, “On the Jerusalem Talmudic Version of Rabbi Shlomo Syrilio in Tractate Shkalim” [Hebrew], in </w:t>
      </w:r>
      <w:r w:rsidRPr="00136BFF">
        <w:rPr>
          <w:rFonts w:asciiTheme="majorBidi" w:hAnsiTheme="majorBidi" w:cstheme="majorBidi"/>
          <w:i/>
          <w:iCs/>
        </w:rPr>
        <w:t>Studies in Memory of the Rishon Le-Zion R. Yitzhak Nissim</w:t>
      </w:r>
      <w:r w:rsidRPr="00136BFF">
        <w:rPr>
          <w:rFonts w:asciiTheme="majorBidi" w:hAnsiTheme="majorBidi" w:cstheme="majorBidi"/>
        </w:rPr>
        <w:t>, ed. M. Benayahu,</w:t>
      </w:r>
      <w:r w:rsidRPr="00136BFF">
        <w:rPr>
          <w:rFonts w:asciiTheme="majorBidi" w:hAnsiTheme="majorBidi" w:cstheme="majorBidi"/>
          <w:i/>
          <w:iCs/>
        </w:rPr>
        <w:t xml:space="preserve"> </w:t>
      </w:r>
      <w:r w:rsidRPr="00136BFF">
        <w:rPr>
          <w:rFonts w:asciiTheme="majorBidi" w:hAnsiTheme="majorBidi" w:cstheme="majorBidi"/>
        </w:rPr>
        <w:t>vol. 2 (Jerusalem: Yad ha-Rav Nissim, 1985), 126–27 and n. 84; and the discussion of Eliezer</w:t>
      </w:r>
      <w:bookmarkStart w:id="5" w:name="_Hlk30702759"/>
      <w:r w:rsidRPr="00136BFF">
        <w:rPr>
          <w:rFonts w:asciiTheme="majorBidi" w:hAnsiTheme="majorBidi" w:cstheme="majorBidi"/>
        </w:rPr>
        <w:t xml:space="preserve"> Pinczower</w:t>
      </w:r>
      <w:bookmarkEnd w:id="5"/>
      <w:r w:rsidRPr="00136BFF">
        <w:rPr>
          <w:rFonts w:asciiTheme="majorBidi" w:hAnsiTheme="majorBidi" w:cstheme="majorBidi"/>
        </w:rPr>
        <w:t xml:space="preserve">, “Mishnah Masekhet Shekalim—A Critical Edition” [Hebrew] (PhD diss., Hebrew University of Jerusalem, 1998), 135–36. In conclusion, Pinczower states: “It does not appear that the </w:t>
      </w:r>
      <w:r w:rsidRPr="00136BFF">
        <w:rPr>
          <w:rFonts w:asciiTheme="majorBidi" w:hAnsiTheme="majorBidi" w:cstheme="majorBidi"/>
          <w:i/>
          <w:iCs/>
        </w:rPr>
        <w:t>kohen</w:t>
      </w:r>
      <w:r w:rsidRPr="00136BFF">
        <w:rPr>
          <w:rFonts w:asciiTheme="majorBidi" w:hAnsiTheme="majorBidi" w:cstheme="majorBidi"/>
        </w:rPr>
        <w:t xml:space="preserve"> [priest] rule was accidentally omitted from the first part of this Mishna. </w:t>
      </w:r>
      <w:r w:rsidRPr="00136BFF">
        <w:rPr>
          <w:rFonts w:asciiTheme="majorBidi" w:hAnsiTheme="majorBidi" w:cstheme="majorBidi"/>
          <w:lang w:bidi="he-IL"/>
        </w:rPr>
        <w:t xml:space="preserve">Many witnesses to the text </w:t>
      </w:r>
      <w:r w:rsidRPr="00136BFF">
        <w:rPr>
          <w:rFonts w:asciiTheme="majorBidi" w:hAnsiTheme="majorBidi" w:cstheme="majorBidi"/>
        </w:rPr>
        <w:t xml:space="preserve">testify to this version, which Maimonides, too, did not find to be complete.” For details of the switching of formulas between the manuscripts, see Pinczower, </w:t>
      </w:r>
      <w:r w:rsidRPr="00136BFF">
        <w:rPr>
          <w:rFonts w:asciiTheme="majorBidi" w:hAnsiTheme="majorBidi" w:cstheme="majorBidi"/>
          <w:i/>
          <w:iCs/>
        </w:rPr>
        <w:t>Mishnah Masekhet Shekalim</w:t>
      </w:r>
      <w:r w:rsidRPr="00136BFF">
        <w:rPr>
          <w:rFonts w:asciiTheme="majorBidi" w:hAnsiTheme="majorBidi" w:cstheme="majorBidi"/>
        </w:rPr>
        <w:t>, Appendix 11</w:t>
      </w:r>
      <w:r w:rsidRPr="00136BFF">
        <w:rPr>
          <w:rFonts w:asciiTheme="majorBidi" w:hAnsiTheme="majorBidi" w:cstheme="majorBidi"/>
          <w:lang w:bidi="he-IL"/>
        </w:rPr>
        <w:t>.</w:t>
      </w:r>
    </w:p>
  </w:footnote>
  <w:footnote w:id="17">
    <w:p w14:paraId="4B33645B" w14:textId="77777777" w:rsidR="00854EB8" w:rsidRPr="00136BFF" w:rsidRDefault="00854EB8" w:rsidP="00314F27">
      <w:pPr>
        <w:pStyle w:val="a3"/>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See Hanoch Albeck, </w:t>
      </w:r>
      <w:r w:rsidRPr="00136BFF">
        <w:rPr>
          <w:rFonts w:asciiTheme="majorBidi" w:hAnsiTheme="majorBidi" w:cstheme="majorBidi"/>
          <w:i/>
          <w:iCs/>
        </w:rPr>
        <w:t>The Six Orders of the Mishnah (Mo’ed)</w:t>
      </w:r>
      <w:r w:rsidRPr="00136BFF">
        <w:rPr>
          <w:rFonts w:asciiTheme="majorBidi" w:hAnsiTheme="majorBidi" w:cstheme="majorBidi"/>
        </w:rPr>
        <w:t xml:space="preserve"> [Hebrew] (Jerusalem: Bialik Institute and Dvir, 1958), 188. Moshe Assis believes that the Mishnah presents three views. See Moshe Assis, “Le-ferushah shel sugiyah aḥat be-yerushalmi shekalim,” in </w:t>
      </w:r>
      <w:r w:rsidRPr="00136BFF">
        <w:rPr>
          <w:rFonts w:asciiTheme="majorBidi" w:hAnsiTheme="majorBidi" w:cstheme="majorBidi"/>
          <w:i/>
          <w:iCs/>
        </w:rPr>
        <w:t>Mehqerei Talmud: Talmudic Studies Dedicated to the Memory of Professor Eliezer Shimshon Rosenthal</w:t>
      </w:r>
      <w:r w:rsidRPr="00136BFF">
        <w:rPr>
          <w:rFonts w:asciiTheme="majorBidi" w:hAnsiTheme="majorBidi" w:cstheme="majorBidi"/>
        </w:rPr>
        <w:t xml:space="preserve"> [Hebrew], ed. Moshe Bar Asher and David Rosenthal (Jerusalem: Magnes, 1993), 397–98.</w:t>
      </w:r>
    </w:p>
  </w:footnote>
  <w:footnote w:id="18">
    <w:p w14:paraId="0D9DD3C0" w14:textId="77777777" w:rsidR="00854EB8" w:rsidRPr="00136BFF" w:rsidRDefault="00854EB8" w:rsidP="00314F27">
      <w:pPr>
        <w:autoSpaceDE w:val="0"/>
        <w:autoSpaceDN w:val="0"/>
        <w:bidi w:val="0"/>
        <w:adjustRightInd w:val="0"/>
        <w:spacing w:line="480" w:lineRule="auto"/>
        <w:jc w:val="both"/>
        <w:rPr>
          <w:rFonts w:asciiTheme="majorBidi" w:hAnsiTheme="majorBidi" w:cstheme="majorBidi"/>
          <w:sz w:val="20"/>
          <w:szCs w:val="20"/>
        </w:rPr>
      </w:pPr>
      <w:r w:rsidRPr="00CC53E2">
        <w:rPr>
          <w:rStyle w:val="a5"/>
          <w:rFonts w:asciiTheme="majorBidi" w:hAnsiTheme="majorBidi" w:cstheme="majorBidi"/>
          <w:sz w:val="20"/>
          <w:szCs w:val="20"/>
          <w:vertAlign w:val="baseline"/>
        </w:rPr>
        <w:footnoteRef/>
      </w:r>
      <w:r w:rsidRPr="00CC53E2">
        <w:rPr>
          <w:rFonts w:asciiTheme="majorBidi" w:hAnsiTheme="majorBidi" w:cstheme="majorBidi"/>
          <w:sz w:val="20"/>
          <w:szCs w:val="20"/>
        </w:rPr>
        <w:t xml:space="preserve">. </w:t>
      </w:r>
      <w:r w:rsidRPr="00136BFF">
        <w:rPr>
          <w:rFonts w:asciiTheme="majorBidi" w:hAnsiTheme="majorBidi" w:cstheme="majorBidi"/>
          <w:sz w:val="20"/>
          <w:szCs w:val="20"/>
          <w:lang w:bidi="ar-SA"/>
        </w:rPr>
        <w:t>A similar practice of Rabbi Yoḥanan Ben Zakai emerges in M. Eduyyot 8:3: “Rabbi Joshua and Rabbi Judah ben Bathyra testified concerning the widow of [a man belonging to] a family of doubtful lineage [an issa], that she was fit to marry into the priesthood, [and that those of] a family of doubtful lineage are fit to declare who was unclean and who was clean, who was to be put away and who was to be brought near. Rabban Gamaliel said: we accept your testimony, but what can we do since Rabban Yoḥanan ben Zakkai ordained that courts should not be commissioned for this purpose? The priests would listen to you concerning those who might be put away, but not concerning those who might be brought near!” Here too, although Rabban Yoḥanan ben Zakkai opposes the priests' divergent position, he refuses to hold court hearings</w:t>
      </w:r>
      <w:r w:rsidRPr="00136BFF">
        <w:rPr>
          <w:rFonts w:asciiTheme="majorBidi" w:hAnsiTheme="majorBidi" w:cstheme="majorBidi"/>
          <w:sz w:val="20"/>
          <w:szCs w:val="20"/>
        </w:rPr>
        <w:t xml:space="preserve"> for the specific purpose of imposing the Sages’ </w:t>
      </w:r>
      <w:r w:rsidRPr="00136BFF">
        <w:rPr>
          <w:rFonts w:asciiTheme="majorBidi" w:hAnsiTheme="majorBidi" w:cstheme="majorBidi"/>
          <w:sz w:val="20"/>
          <w:szCs w:val="20"/>
          <w:lang w:bidi="ar-SA"/>
        </w:rPr>
        <w:t>halakhic law on the priests. In this case, too, it is evident that Rabban Yoḥanan ben Zakkai's concession stems from his recognition of the limits of the political power of the Sages and not as a result of agreement with the priests' approach. See also David Sabato, “The Teachings of Rabbi Joshua Ben Hanania” [Hebrew] (Ph.D. Diss, Hebrew University of Jerusalem, 2019), 25–27</w:t>
      </w:r>
      <w:r w:rsidRPr="00136BFF">
        <w:rPr>
          <w:rFonts w:asciiTheme="majorBidi" w:hAnsiTheme="majorBidi" w:cstheme="majorBidi"/>
          <w:sz w:val="20"/>
          <w:szCs w:val="20"/>
        </w:rPr>
        <w:t>.</w:t>
      </w:r>
    </w:p>
  </w:footnote>
  <w:footnote w:id="19">
    <w:p w14:paraId="7AD1144F" w14:textId="77777777" w:rsidR="00854EB8" w:rsidRPr="00136BFF" w:rsidRDefault="00854EB8" w:rsidP="00314F27">
      <w:pPr>
        <w:pStyle w:val="a3"/>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For additional disagreements between Sages and priests in the Temple era, see Daniel Tropper</w:t>
      </w:r>
      <w:r w:rsidRPr="00136BFF">
        <w:rPr>
          <w:rFonts w:asciiTheme="majorBidi" w:hAnsiTheme="majorBidi" w:cstheme="majorBidi"/>
          <w:i/>
          <w:iCs/>
        </w:rPr>
        <w:t xml:space="preserve">, </w:t>
      </w:r>
      <w:r w:rsidRPr="00136BFF">
        <w:rPr>
          <w:rFonts w:asciiTheme="majorBidi" w:hAnsiTheme="majorBidi" w:cstheme="majorBidi"/>
        </w:rPr>
        <w:t xml:space="preserve">“The Internal Administration of the Second Temple at Jerusalem” (PhD diss., Yeshiva University, 1970); Daniel Tropper, “Bet Din Shel Kohanim,” </w:t>
      </w:r>
      <w:r w:rsidRPr="00136BFF">
        <w:rPr>
          <w:rFonts w:asciiTheme="majorBidi" w:hAnsiTheme="majorBidi" w:cstheme="majorBidi"/>
          <w:i/>
          <w:iCs/>
        </w:rPr>
        <w:t xml:space="preserve">Jewish Quarterly Review </w:t>
      </w:r>
      <w:r w:rsidRPr="00136BFF">
        <w:rPr>
          <w:rFonts w:asciiTheme="majorBidi" w:hAnsiTheme="majorBidi" w:cstheme="majorBidi"/>
        </w:rPr>
        <w:t xml:space="preserve">68 (1973): 204–21; Ellis Rivkin, </w:t>
      </w:r>
      <w:r w:rsidRPr="00136BFF">
        <w:rPr>
          <w:rFonts w:asciiTheme="majorBidi" w:hAnsiTheme="majorBidi" w:cstheme="majorBidi"/>
          <w:i/>
          <w:iCs/>
        </w:rPr>
        <w:t>A Hidden Revolution</w:t>
      </w:r>
      <w:r w:rsidRPr="00136BFF">
        <w:rPr>
          <w:rFonts w:asciiTheme="majorBidi" w:hAnsiTheme="majorBidi" w:cstheme="majorBidi"/>
        </w:rPr>
        <w:t xml:space="preserve"> (Nashville: Abingdon, 1978). On polemics between Sages and priests, see Steven D. Fraade, </w:t>
      </w:r>
      <w:r w:rsidRPr="00136BFF">
        <w:rPr>
          <w:rFonts w:asciiTheme="majorBidi" w:hAnsiTheme="majorBidi" w:cstheme="majorBidi"/>
          <w:i/>
          <w:iCs/>
        </w:rPr>
        <w:t>From Tradition to Commentary: Torah and Its Interpretation in the Midrash Sifre to Deuteronomy</w:t>
      </w:r>
      <w:r w:rsidRPr="00136BFF">
        <w:rPr>
          <w:rFonts w:asciiTheme="majorBidi" w:hAnsiTheme="majorBidi" w:cstheme="majorBidi"/>
        </w:rPr>
        <w:t xml:space="preserve"> (Albany: State University of New York Press, 1991), 69–121; Meir Bar-Ilan, “Polemics between Sages and Priests towards the End of the Days of the Second Temple,” </w:t>
      </w:r>
      <w:r w:rsidRPr="00136BFF">
        <w:rPr>
          <w:rFonts w:asciiTheme="majorBidi" w:hAnsiTheme="majorBidi" w:cstheme="majorBidi"/>
          <w:i/>
          <w:iCs/>
        </w:rPr>
        <w:t>Moreshet Israel</w:t>
      </w:r>
      <w:r w:rsidRPr="00136BFF">
        <w:rPr>
          <w:rFonts w:asciiTheme="majorBidi" w:hAnsiTheme="majorBidi" w:cstheme="majorBidi"/>
        </w:rPr>
        <w:t xml:space="preserve"> 8 (2011): 37–53.</w:t>
      </w:r>
    </w:p>
  </w:footnote>
  <w:footnote w:id="20">
    <w:p w14:paraId="4205174E" w14:textId="77777777" w:rsidR="00854EB8" w:rsidRPr="00136BFF" w:rsidRDefault="00854EB8" w:rsidP="00314F27">
      <w:pPr>
        <w:pStyle w:val="PS"/>
        <w:spacing w:line="480" w:lineRule="auto"/>
        <w:ind w:firstLine="0"/>
        <w:jc w:val="both"/>
        <w:rPr>
          <w:rFonts w:asciiTheme="majorBidi" w:hAnsiTheme="majorBidi" w:cstheme="majorBidi"/>
          <w:sz w:val="20"/>
        </w:rPr>
      </w:pPr>
      <w:r w:rsidRPr="00136BFF">
        <w:rPr>
          <w:rStyle w:val="a5"/>
          <w:rFonts w:asciiTheme="majorBidi" w:hAnsiTheme="majorBidi" w:cstheme="majorBidi"/>
          <w:sz w:val="20"/>
        </w:rPr>
        <w:footnoteRef/>
      </w:r>
      <w:r w:rsidRPr="00136BFF">
        <w:rPr>
          <w:rFonts w:asciiTheme="majorBidi" w:hAnsiTheme="majorBidi" w:cstheme="majorBidi"/>
          <w:sz w:val="20"/>
        </w:rPr>
        <w:t xml:space="preserve">. Another way of explaining the structure of the enactment (in a manner that does not negate its precursor) is to consider it an individual case of the legal distinction between </w:t>
      </w:r>
      <w:r w:rsidRPr="00136BFF">
        <w:rPr>
          <w:rFonts w:asciiTheme="majorBidi" w:hAnsiTheme="majorBidi" w:cstheme="majorBidi"/>
          <w:i/>
          <w:iCs/>
          <w:sz w:val="20"/>
        </w:rPr>
        <w:t>ab initio</w:t>
      </w:r>
      <w:r w:rsidRPr="00136BFF">
        <w:rPr>
          <w:rFonts w:asciiTheme="majorBidi" w:hAnsiTheme="majorBidi" w:cstheme="majorBidi"/>
          <w:sz w:val="20"/>
        </w:rPr>
        <w:t xml:space="preserve"> and </w:t>
      </w:r>
      <w:r w:rsidRPr="00136BFF">
        <w:rPr>
          <w:rFonts w:asciiTheme="majorBidi" w:hAnsiTheme="majorBidi" w:cstheme="majorBidi"/>
          <w:i/>
          <w:iCs/>
          <w:sz w:val="20"/>
        </w:rPr>
        <w:t>ex post</w:t>
      </w:r>
      <w:r w:rsidRPr="00136BFF">
        <w:rPr>
          <w:rFonts w:asciiTheme="majorBidi" w:hAnsiTheme="majorBidi" w:cstheme="majorBidi"/>
          <w:sz w:val="20"/>
        </w:rPr>
        <w:t xml:space="preserve">, i.e., between a state of affairs that exists or should exist from the outset and one that eventuates after a given action is taken. See Shay Wozner, “Consistency and Effectiveness in the Halakhah, as Reflected by the </w:t>
      </w:r>
      <w:r w:rsidRPr="00136BFF">
        <w:rPr>
          <w:rFonts w:asciiTheme="majorBidi" w:hAnsiTheme="majorBidi" w:cstheme="majorBidi"/>
          <w:i/>
          <w:iCs/>
          <w:sz w:val="20"/>
        </w:rPr>
        <w:t xml:space="preserve">Lekhat’hila–Bede’abad </w:t>
      </w:r>
      <w:r w:rsidRPr="00136BFF">
        <w:rPr>
          <w:rFonts w:asciiTheme="majorBidi" w:hAnsiTheme="majorBidi" w:cstheme="majorBidi"/>
          <w:sz w:val="20"/>
        </w:rPr>
        <w:t xml:space="preserve">Distinction” [Hebrew], </w:t>
      </w:r>
      <w:r w:rsidRPr="00136BFF">
        <w:rPr>
          <w:rFonts w:asciiTheme="majorBidi" w:hAnsiTheme="majorBidi" w:cstheme="majorBidi"/>
          <w:i/>
          <w:iCs/>
          <w:sz w:val="20"/>
        </w:rPr>
        <w:t xml:space="preserve">Dine Israel </w:t>
      </w:r>
      <w:r w:rsidRPr="00136BFF">
        <w:rPr>
          <w:rFonts w:asciiTheme="majorBidi" w:hAnsiTheme="majorBidi" w:cstheme="majorBidi"/>
          <w:sz w:val="20"/>
        </w:rPr>
        <w:t>20–21 (2000–2001): 43–100.</w:t>
      </w:r>
    </w:p>
  </w:footnote>
  <w:footnote w:id="21">
    <w:p w14:paraId="052B5C26" w14:textId="546CC927" w:rsidR="0047176E" w:rsidRPr="0047176E" w:rsidRDefault="0047176E" w:rsidP="00314F27">
      <w:pPr>
        <w:pStyle w:val="a3"/>
        <w:jc w:val="both"/>
        <w:rPr>
          <w:lang w:bidi="he-IL"/>
        </w:rPr>
      </w:pPr>
      <w:r w:rsidRPr="00C82DF3">
        <w:rPr>
          <w:rStyle w:val="a5"/>
          <w:vertAlign w:val="baseline"/>
        </w:rPr>
        <w:footnoteRef/>
      </w:r>
      <w:r w:rsidR="00C82DF3">
        <w:rPr>
          <w:lang w:bidi="he-IL"/>
        </w:rPr>
        <w:t>.</w:t>
      </w:r>
      <w:r w:rsidR="007507F3">
        <w:rPr>
          <w:lang w:bidi="he-IL"/>
        </w:rPr>
        <w:t xml:space="preserve"> </w:t>
      </w:r>
      <w:r w:rsidR="008D3F0E">
        <w:rPr>
          <w:lang w:bidi="he-IL"/>
        </w:rPr>
        <w:t>M</w:t>
      </w:r>
      <w:r>
        <w:rPr>
          <w:lang w:bidi="he-IL"/>
        </w:rPr>
        <w:t>.</w:t>
      </w:r>
      <w:r w:rsidR="007507F3">
        <w:rPr>
          <w:lang w:bidi="he-IL"/>
        </w:rPr>
        <w:t xml:space="preserve"> </w:t>
      </w:r>
      <w:r>
        <w:rPr>
          <w:lang w:bidi="he-IL"/>
        </w:rPr>
        <w:t>Shabat 1:1; 7:2.</w:t>
      </w:r>
    </w:p>
  </w:footnote>
  <w:footnote w:id="22">
    <w:p w14:paraId="0F41E0DB" w14:textId="6C6DD25A" w:rsidR="008E5D2E" w:rsidRPr="00AA4B3B" w:rsidRDefault="008E5D2E" w:rsidP="00314F27">
      <w:pPr>
        <w:pStyle w:val="a3"/>
        <w:jc w:val="both"/>
        <w:rPr>
          <w:rFonts w:asciiTheme="majorBidi" w:hAnsiTheme="majorBidi" w:cstheme="majorBidi"/>
          <w:rtl/>
          <w:lang w:bidi="he-IL"/>
        </w:rPr>
      </w:pPr>
      <w:r w:rsidRPr="00C82DF3">
        <w:rPr>
          <w:rStyle w:val="a5"/>
          <w:rFonts w:asciiTheme="majorBidi" w:hAnsiTheme="majorBidi" w:cstheme="majorBidi"/>
          <w:vertAlign w:val="baseline"/>
        </w:rPr>
        <w:footnoteRef/>
      </w:r>
      <w:r w:rsidR="00C82DF3">
        <w:rPr>
          <w:rFonts w:asciiTheme="majorBidi" w:hAnsiTheme="majorBidi" w:cstheme="majorBidi"/>
        </w:rPr>
        <w:t>.</w:t>
      </w:r>
      <w:r w:rsidR="007507F3">
        <w:rPr>
          <w:rFonts w:asciiTheme="majorBidi" w:hAnsiTheme="majorBidi" w:cstheme="majorBidi"/>
        </w:rPr>
        <w:t xml:space="preserve"> </w:t>
      </w:r>
      <w:r w:rsidR="008D3F0E">
        <w:rPr>
          <w:rFonts w:asciiTheme="majorBidi" w:hAnsiTheme="majorBidi" w:cstheme="majorBidi"/>
          <w:lang w:bidi="he-IL"/>
        </w:rPr>
        <w:t xml:space="preserve">BT </w:t>
      </w:r>
      <w:r w:rsidRPr="00AA4B3B">
        <w:rPr>
          <w:rFonts w:asciiTheme="majorBidi" w:hAnsiTheme="majorBidi" w:cstheme="majorBidi"/>
          <w:lang w:bidi="he-IL"/>
        </w:rPr>
        <w:t>Sab</w:t>
      </w:r>
      <w:r w:rsidR="000C6A57">
        <w:rPr>
          <w:rFonts w:asciiTheme="majorBidi" w:hAnsiTheme="majorBidi" w:cstheme="majorBidi"/>
          <w:lang w:bidi="he-IL"/>
        </w:rPr>
        <w:t>b</w:t>
      </w:r>
      <w:r w:rsidRPr="00AA4B3B">
        <w:rPr>
          <w:rFonts w:asciiTheme="majorBidi" w:hAnsiTheme="majorBidi" w:cstheme="majorBidi"/>
          <w:lang w:bidi="he-IL"/>
        </w:rPr>
        <w:t>at 14b; Eruvin 21b.</w:t>
      </w:r>
    </w:p>
  </w:footnote>
  <w:footnote w:id="23">
    <w:p w14:paraId="5DA14EB6" w14:textId="77777777" w:rsidR="004B35A4" w:rsidRDefault="003C743A" w:rsidP="00314F27">
      <w:pPr>
        <w:pStyle w:val="NormalWeb"/>
        <w:spacing w:line="480" w:lineRule="auto"/>
        <w:jc w:val="both"/>
        <w:rPr>
          <w:rFonts w:asciiTheme="majorBidi" w:hAnsiTheme="majorBidi" w:cstheme="majorBidi"/>
        </w:rPr>
      </w:pPr>
      <w:r w:rsidRPr="00C93E64">
        <w:rPr>
          <w:rStyle w:val="a5"/>
          <w:rFonts w:ascii="David" w:hAnsi="David" w:cs="David"/>
          <w:sz w:val="20"/>
          <w:szCs w:val="20"/>
          <w:vertAlign w:val="baseline"/>
        </w:rPr>
        <w:footnoteRef/>
      </w:r>
      <w:r w:rsidRPr="00C93E64">
        <w:rPr>
          <w:rFonts w:ascii="David" w:hAnsi="David" w:cs="David"/>
          <w:sz w:val="20"/>
          <w:szCs w:val="20"/>
        </w:rPr>
        <w:t>.</w:t>
      </w:r>
      <w:r>
        <w:rPr>
          <w:rFonts w:asciiTheme="majorBidi" w:hAnsiTheme="majorBidi" w:cstheme="majorBidi"/>
        </w:rPr>
        <w:t xml:space="preserve"> </w:t>
      </w:r>
      <w:r w:rsidRPr="00030551">
        <w:rPr>
          <w:rFonts w:ascii="David" w:hAnsi="David" w:cs="David"/>
          <w:sz w:val="20"/>
          <w:szCs w:val="20"/>
          <w:rtl/>
        </w:rPr>
        <w:t>כך בספר היובלים, בספרות קומראן, בהלכה השומרונית המאוחר</w:t>
      </w:r>
      <w:r w:rsidR="00C93E64" w:rsidRPr="00030551">
        <w:rPr>
          <w:rFonts w:ascii="David" w:hAnsi="David" w:cs="David" w:hint="cs"/>
          <w:sz w:val="20"/>
          <w:szCs w:val="20"/>
          <w:rtl/>
        </w:rPr>
        <w:t>ת.</w:t>
      </w:r>
      <w:r w:rsidRPr="00030551">
        <w:rPr>
          <w:rFonts w:ascii="David" w:hAnsi="David" w:cs="David"/>
          <w:sz w:val="20"/>
          <w:szCs w:val="20"/>
          <w:rtl/>
        </w:rPr>
        <w:t xml:space="preserve"> </w:t>
      </w:r>
      <w:r w:rsidR="00C93E64" w:rsidRPr="00030551">
        <w:rPr>
          <w:rFonts w:ascii="David" w:hAnsi="David" w:cs="David" w:hint="cs"/>
          <w:sz w:val="20"/>
          <w:szCs w:val="20"/>
          <w:rtl/>
        </w:rPr>
        <w:t>הצדוקים נטו להחמיר בדין, ובייחוד בדיני שבת, ועל כן יש להניח כי כמו בני כת קומראן והשומרונים גם הם החמירו ואסרו עירוב חצרות.</w:t>
      </w:r>
      <w:r w:rsidR="00C93E64" w:rsidRPr="00030551">
        <w:rPr>
          <w:rFonts w:ascii="David" w:hAnsi="David" w:cs="David"/>
          <w:sz w:val="20"/>
          <w:szCs w:val="20"/>
          <w:rtl/>
        </w:rPr>
        <w:t xml:space="preserve"> </w:t>
      </w:r>
      <w:r w:rsidRPr="00030551">
        <w:rPr>
          <w:rFonts w:ascii="David" w:hAnsi="David" w:cs="David"/>
          <w:sz w:val="20"/>
          <w:szCs w:val="20"/>
          <w:rtl/>
        </w:rPr>
        <w:t>ראו</w:t>
      </w:r>
      <w:r w:rsidR="004B35A4">
        <w:rPr>
          <w:rFonts w:asciiTheme="majorBidi" w:hAnsiTheme="majorBidi" w:cstheme="majorBidi" w:hint="cs"/>
          <w:rtl/>
        </w:rPr>
        <w:t xml:space="preserve"> </w:t>
      </w:r>
    </w:p>
    <w:p w14:paraId="4D2B3FBD" w14:textId="6261414B" w:rsidR="003C743A" w:rsidRPr="00F1070F" w:rsidRDefault="003C743A" w:rsidP="00314F27">
      <w:pPr>
        <w:pStyle w:val="NormalWeb"/>
        <w:spacing w:line="480" w:lineRule="auto"/>
        <w:jc w:val="both"/>
        <w:rPr>
          <w:rFonts w:asciiTheme="majorBidi" w:hAnsiTheme="majorBidi" w:cstheme="majorBidi"/>
          <w:sz w:val="20"/>
          <w:szCs w:val="20"/>
        </w:rPr>
      </w:pPr>
      <w:r w:rsidRPr="00F1070F">
        <w:rPr>
          <w:rFonts w:asciiTheme="majorBidi" w:hAnsiTheme="majorBidi" w:cstheme="majorBidi"/>
          <w:sz w:val="20"/>
          <w:szCs w:val="20"/>
        </w:rPr>
        <w:t xml:space="preserve">Book of Jubilees 2:30: “And they shall not bring in nor take out from house to house on that day.” See Cana Werman, </w:t>
      </w:r>
      <w:r w:rsidRPr="00F1070F">
        <w:rPr>
          <w:rFonts w:asciiTheme="majorBidi" w:hAnsiTheme="majorBidi" w:cstheme="majorBidi"/>
          <w:sz w:val="20"/>
          <w:szCs w:val="20"/>
          <w:rtl/>
        </w:rPr>
        <w:t>‏</w:t>
      </w:r>
      <w:r w:rsidRPr="00F1070F">
        <w:rPr>
          <w:rFonts w:asciiTheme="majorBidi" w:hAnsiTheme="majorBidi" w:cstheme="majorBidi"/>
          <w:sz w:val="20"/>
          <w:szCs w:val="20"/>
        </w:rPr>
        <w:t>The Book of Jubilees: Introduction, Translation and Interpretation, Jerusalem 2015, 163-166, 167-177</w:t>
      </w:r>
      <w:r w:rsidR="00C93E64" w:rsidRPr="00F1070F">
        <w:rPr>
          <w:rFonts w:asciiTheme="majorBidi" w:hAnsiTheme="majorBidi" w:cstheme="majorBidi"/>
          <w:sz w:val="20"/>
          <w:szCs w:val="20"/>
        </w:rPr>
        <w:t>; The Damascus Document 11: 7-8</w:t>
      </w:r>
      <w:r w:rsidR="00C93E64" w:rsidRPr="00F1070F">
        <w:rPr>
          <w:rFonts w:asciiTheme="majorBidi" w:hAnsiTheme="majorBidi" w:cstheme="majorBidi"/>
          <w:color w:val="000000"/>
          <w:sz w:val="20"/>
          <w:szCs w:val="20"/>
        </w:rPr>
        <w:t>: “No man shall carry anything from the house to the outside or from the outside into the house.”</w:t>
      </w:r>
      <w:r w:rsidR="00C93E64" w:rsidRPr="00F1070F">
        <w:rPr>
          <w:rFonts w:asciiTheme="majorBidi" w:hAnsiTheme="majorBidi" w:cstheme="majorBidi"/>
          <w:sz w:val="20"/>
          <w:szCs w:val="20"/>
        </w:rPr>
        <w:t xml:space="preserve"> See Elisha Qimron, </w:t>
      </w:r>
      <w:r w:rsidR="00C93E64" w:rsidRPr="00F1070F">
        <w:rPr>
          <w:rFonts w:asciiTheme="majorBidi" w:hAnsiTheme="majorBidi" w:cstheme="majorBidi"/>
          <w:i/>
          <w:iCs/>
          <w:sz w:val="20"/>
          <w:szCs w:val="20"/>
        </w:rPr>
        <w:t>The Dead Sea Scrolls: The Hebrew Writing</w:t>
      </w:r>
      <w:r w:rsidR="00C93E64" w:rsidRPr="00F1070F">
        <w:rPr>
          <w:rFonts w:asciiTheme="majorBidi" w:hAnsiTheme="majorBidi" w:cstheme="majorBidi"/>
          <w:sz w:val="20"/>
          <w:szCs w:val="20"/>
        </w:rPr>
        <w:t>s (Vol.1), Jerusalem 2010, 46</w:t>
      </w:r>
      <w:r w:rsidR="00C93E64" w:rsidRPr="00F1070F">
        <w:rPr>
          <w:rFonts w:asciiTheme="majorBidi" w:hAnsiTheme="majorBidi" w:cstheme="minorBidi"/>
          <w:sz w:val="20"/>
          <w:szCs w:val="20"/>
        </w:rPr>
        <w:t xml:space="preserve">; </w:t>
      </w:r>
      <w:r w:rsidR="00C93E64" w:rsidRPr="00F1070F">
        <w:rPr>
          <w:color w:val="000000" w:themeColor="text1"/>
          <w:sz w:val="20"/>
          <w:szCs w:val="20"/>
        </w:rPr>
        <w:t xml:space="preserve">H. Weiss, </w:t>
      </w:r>
      <w:r w:rsidR="00C93E64" w:rsidRPr="00F1070F">
        <w:rPr>
          <w:rFonts w:ascii="SBL Greek" w:hAnsi="SBL Greek"/>
          <w:color w:val="000000" w:themeColor="text1"/>
          <w:sz w:val="20"/>
          <w:szCs w:val="20"/>
        </w:rPr>
        <w:t>“</w:t>
      </w:r>
      <w:r w:rsidR="00C93E64" w:rsidRPr="00F1070F">
        <w:rPr>
          <w:color w:val="000000" w:themeColor="text1"/>
          <w:sz w:val="20"/>
          <w:szCs w:val="20"/>
        </w:rPr>
        <w:t>The Sabbath among the Samaritans,</w:t>
      </w:r>
      <w:r w:rsidR="00C93E64" w:rsidRPr="00F1070F">
        <w:rPr>
          <w:rFonts w:ascii="SBL Greek" w:hAnsi="SBL Greek"/>
          <w:color w:val="000000" w:themeColor="text1"/>
          <w:sz w:val="20"/>
          <w:szCs w:val="20"/>
        </w:rPr>
        <w:t>”</w:t>
      </w:r>
      <w:r w:rsidR="00C93E64" w:rsidRPr="00F1070F">
        <w:rPr>
          <w:color w:val="000000" w:themeColor="text1"/>
          <w:sz w:val="20"/>
          <w:szCs w:val="20"/>
        </w:rPr>
        <w:t xml:space="preserve"> </w:t>
      </w:r>
      <w:r w:rsidR="00C93E64" w:rsidRPr="00F1070F">
        <w:rPr>
          <w:i/>
          <w:iCs/>
          <w:color w:val="000000" w:themeColor="text1"/>
          <w:sz w:val="20"/>
          <w:szCs w:val="20"/>
        </w:rPr>
        <w:t>Journal for the Study of Judaism in the Parsian, Hellenistic and Roman Period</w:t>
      </w:r>
      <w:r w:rsidR="00C93E64" w:rsidRPr="00F1070F">
        <w:rPr>
          <w:color w:val="000000" w:themeColor="text1"/>
          <w:sz w:val="20"/>
          <w:szCs w:val="20"/>
        </w:rPr>
        <w:t xml:space="preserve"> 25 (1994): 252-273; </w:t>
      </w:r>
      <w:r w:rsidR="00C93E64" w:rsidRPr="00F1070F">
        <w:rPr>
          <w:rFonts w:asciiTheme="majorBidi" w:hAnsiTheme="majorBidi" w:cstheme="majorBidi"/>
          <w:sz w:val="20"/>
          <w:szCs w:val="20"/>
        </w:rPr>
        <w:t xml:space="preserve">Regev, </w:t>
      </w:r>
      <w:r w:rsidR="00C93E64" w:rsidRPr="00F1070F">
        <w:rPr>
          <w:rFonts w:asciiTheme="majorBidi" w:hAnsiTheme="majorBidi" w:cstheme="majorBidi"/>
          <w:i/>
          <w:iCs/>
          <w:sz w:val="20"/>
          <w:szCs w:val="20"/>
        </w:rPr>
        <w:t>Sadducees</w:t>
      </w:r>
      <w:r w:rsidR="00C93E64" w:rsidRPr="00F1070F">
        <w:rPr>
          <w:rFonts w:asciiTheme="majorBidi" w:hAnsiTheme="majorBidi" w:cstheme="majorBidi"/>
          <w:sz w:val="20"/>
          <w:szCs w:val="20"/>
        </w:rPr>
        <w:t>, 59-66.</w:t>
      </w:r>
    </w:p>
  </w:footnote>
  <w:footnote w:id="24">
    <w:p w14:paraId="13E28F16" w14:textId="7840DB90" w:rsidR="00030551" w:rsidRDefault="00CB597E" w:rsidP="00314F27">
      <w:pPr>
        <w:pStyle w:val="Default"/>
        <w:spacing w:line="480" w:lineRule="auto"/>
        <w:jc w:val="both"/>
        <w:rPr>
          <w:rFonts w:asciiTheme="majorBidi" w:hAnsiTheme="majorBidi" w:cstheme="minorBidi"/>
          <w:sz w:val="20"/>
          <w:szCs w:val="20"/>
        </w:rPr>
      </w:pPr>
      <w:r w:rsidRPr="00BE6E16">
        <w:rPr>
          <w:rStyle w:val="a5"/>
          <w:sz w:val="20"/>
          <w:szCs w:val="20"/>
          <w:vertAlign w:val="baseline"/>
        </w:rPr>
        <w:footnoteRef/>
      </w:r>
      <w:r w:rsidR="00BE6E16">
        <w:rPr>
          <w:rFonts w:asciiTheme="majorBidi" w:hAnsiTheme="majorBidi" w:cstheme="minorBidi"/>
          <w:sz w:val="20"/>
          <w:szCs w:val="20"/>
        </w:rPr>
        <w:t>.</w:t>
      </w:r>
      <w:r w:rsidR="0041027F" w:rsidRPr="00BE6E16">
        <w:rPr>
          <w:rFonts w:asciiTheme="majorBidi" w:hAnsiTheme="majorBidi" w:cstheme="minorBidi"/>
          <w:sz w:val="20"/>
          <w:szCs w:val="20"/>
        </w:rPr>
        <w:t xml:space="preserve"> </w:t>
      </w:r>
      <w:r w:rsidR="00AD61C2">
        <w:rPr>
          <w:rFonts w:asciiTheme="majorBidi" w:hAnsiTheme="majorBidi" w:cstheme="minorBidi"/>
          <w:sz w:val="20"/>
          <w:szCs w:val="20"/>
        </w:rPr>
        <w:t xml:space="preserve"> </w:t>
      </w:r>
      <w:r w:rsidR="00030551" w:rsidRPr="00030551">
        <w:rPr>
          <w:rFonts w:ascii="David" w:hAnsi="David" w:cs="David" w:hint="cs"/>
          <w:sz w:val="20"/>
          <w:szCs w:val="20"/>
          <w:rtl/>
        </w:rPr>
        <w:t>למרות שבמקורות אחרים בספרות התלמודית אמנם מתוארים עימותים שכאלו</w:t>
      </w:r>
      <w:r w:rsidR="00030551">
        <w:rPr>
          <w:rFonts w:ascii="David" w:hAnsi="David" w:cs="David" w:hint="cs"/>
          <w:sz w:val="20"/>
          <w:szCs w:val="20"/>
          <w:rtl/>
        </w:rPr>
        <w:t>. ראו, לדוגמה,</w:t>
      </w:r>
    </w:p>
    <w:p w14:paraId="467D468A" w14:textId="7D4C7035" w:rsidR="00FF710C" w:rsidRPr="00325C65" w:rsidRDefault="00AD61C2" w:rsidP="00314F27">
      <w:pPr>
        <w:pStyle w:val="Default"/>
        <w:spacing w:line="480" w:lineRule="auto"/>
        <w:jc w:val="both"/>
        <w:rPr>
          <w:rFonts w:asciiTheme="majorBidi" w:hAnsiTheme="majorBidi" w:cstheme="minorBidi"/>
          <w:sz w:val="20"/>
          <w:szCs w:val="20"/>
        </w:rPr>
      </w:pPr>
      <w:r>
        <w:rPr>
          <w:rFonts w:asciiTheme="majorBidi" w:hAnsiTheme="majorBidi" w:cstheme="minorBidi"/>
          <w:sz w:val="20"/>
          <w:szCs w:val="20"/>
        </w:rPr>
        <w:t>M</w:t>
      </w:r>
      <w:r w:rsidR="008D3F0E">
        <w:rPr>
          <w:rFonts w:asciiTheme="majorBidi" w:hAnsiTheme="majorBidi" w:cstheme="minorBidi"/>
          <w:sz w:val="20"/>
          <w:szCs w:val="20"/>
        </w:rPr>
        <w:t>.</w:t>
      </w:r>
      <w:r>
        <w:rPr>
          <w:rFonts w:asciiTheme="majorBidi" w:hAnsiTheme="majorBidi" w:cstheme="minorBidi"/>
          <w:sz w:val="20"/>
          <w:szCs w:val="20"/>
        </w:rPr>
        <w:t xml:space="preserve"> </w:t>
      </w:r>
      <w:r w:rsidR="0041027F" w:rsidRPr="00325C65">
        <w:rPr>
          <w:rFonts w:asciiTheme="majorBidi" w:hAnsiTheme="majorBidi" w:cstheme="minorBidi"/>
          <w:sz w:val="20"/>
          <w:szCs w:val="20"/>
        </w:rPr>
        <w:t xml:space="preserve">Eruvin </w:t>
      </w:r>
      <w:r w:rsidR="00FF710C" w:rsidRPr="00325C65">
        <w:rPr>
          <w:rFonts w:asciiTheme="majorBidi" w:hAnsiTheme="majorBidi" w:cstheme="minorBidi"/>
          <w:sz w:val="20"/>
          <w:szCs w:val="20"/>
        </w:rPr>
        <w:t>3:2,</w:t>
      </w:r>
      <w:r w:rsidR="00144738">
        <w:rPr>
          <w:rFonts w:asciiTheme="majorBidi" w:hAnsiTheme="majorBidi" w:cstheme="minorBidi"/>
          <w:sz w:val="20"/>
          <w:szCs w:val="20"/>
        </w:rPr>
        <w:t xml:space="preserve"> </w:t>
      </w:r>
      <w:r w:rsidR="00BC2875" w:rsidRPr="00325C65">
        <w:rPr>
          <w:rFonts w:asciiTheme="majorBidi" w:hAnsiTheme="majorBidi" w:cstheme="minorBidi"/>
          <w:sz w:val="20"/>
          <w:szCs w:val="20"/>
        </w:rPr>
        <w:t>6:2</w:t>
      </w:r>
      <w:r w:rsidR="00FF710C" w:rsidRPr="00325C65">
        <w:rPr>
          <w:rFonts w:asciiTheme="majorBidi" w:hAnsiTheme="majorBidi" w:cstheme="minorBidi"/>
          <w:sz w:val="20"/>
          <w:szCs w:val="20"/>
        </w:rPr>
        <w:t xml:space="preserve">. </w:t>
      </w:r>
    </w:p>
    <w:p w14:paraId="28A109BC" w14:textId="750BF9D3" w:rsidR="00FF710C" w:rsidRPr="00325C65" w:rsidRDefault="00FF710C" w:rsidP="00314F27">
      <w:pPr>
        <w:pStyle w:val="Default"/>
        <w:spacing w:line="480" w:lineRule="auto"/>
        <w:jc w:val="both"/>
        <w:rPr>
          <w:rFonts w:ascii="David" w:hAnsi="David" w:cs="David"/>
          <w:sz w:val="20"/>
          <w:szCs w:val="20"/>
          <w:rtl/>
        </w:rPr>
      </w:pPr>
      <w:r w:rsidRPr="00325C65">
        <w:rPr>
          <w:rFonts w:ascii="David" w:hAnsi="David" w:cs="David"/>
          <w:sz w:val="20"/>
          <w:szCs w:val="20"/>
          <w:rtl/>
        </w:rPr>
        <w:t>משניות</w:t>
      </w:r>
      <w:r w:rsidR="0079642F">
        <w:rPr>
          <w:rFonts w:ascii="David" w:hAnsi="David" w:cs="David" w:hint="cs"/>
          <w:sz w:val="20"/>
          <w:szCs w:val="20"/>
          <w:rtl/>
        </w:rPr>
        <w:t xml:space="preserve"> אלו</w:t>
      </w:r>
      <w:r w:rsidRPr="00325C65">
        <w:rPr>
          <w:rFonts w:ascii="David" w:hAnsi="David" w:cs="David"/>
          <w:sz w:val="20"/>
          <w:szCs w:val="20"/>
          <w:rtl/>
        </w:rPr>
        <w:t xml:space="preserve"> מדברות על צדוקים או על 'מי שאינו מודה בעירוב', שיכול להיות גוי או יהודי. וראו </w:t>
      </w:r>
    </w:p>
    <w:p w14:paraId="7A5E7034" w14:textId="5859C3C8" w:rsidR="00FF710C" w:rsidRPr="00325C65" w:rsidRDefault="00842BEE" w:rsidP="00314F27">
      <w:pPr>
        <w:pStyle w:val="Default"/>
        <w:spacing w:line="480" w:lineRule="auto"/>
        <w:jc w:val="both"/>
        <w:rPr>
          <w:rFonts w:asciiTheme="majorBidi" w:hAnsiTheme="majorBidi" w:cstheme="minorBidi"/>
          <w:sz w:val="20"/>
          <w:szCs w:val="20"/>
        </w:rPr>
      </w:pPr>
      <w:r w:rsidRPr="00325C65">
        <w:rPr>
          <w:rFonts w:asciiTheme="majorBidi" w:hAnsiTheme="majorBidi" w:cstheme="minorBidi"/>
          <w:sz w:val="20"/>
          <w:szCs w:val="20"/>
        </w:rPr>
        <w:t xml:space="preserve">Shmuel and Zeev Safrai, </w:t>
      </w:r>
      <w:r w:rsidRPr="00325C65">
        <w:rPr>
          <w:rFonts w:asciiTheme="majorBidi" w:hAnsiTheme="majorBidi" w:cstheme="minorBidi"/>
          <w:i/>
          <w:iCs/>
          <w:sz w:val="20"/>
          <w:szCs w:val="20"/>
        </w:rPr>
        <w:t>Mishnat Eretz Isreael: Tractate Eruvin</w:t>
      </w:r>
      <w:r w:rsidRPr="00325C65">
        <w:rPr>
          <w:rFonts w:asciiTheme="majorBidi" w:hAnsiTheme="majorBidi" w:cstheme="minorBidi"/>
          <w:sz w:val="20"/>
          <w:szCs w:val="20"/>
        </w:rPr>
        <w:t>, Jerusalem 2009: 96-97</w:t>
      </w:r>
      <w:r w:rsidR="00E6068D" w:rsidRPr="00325C65">
        <w:rPr>
          <w:rFonts w:asciiTheme="majorBidi" w:hAnsiTheme="majorBidi" w:cstheme="minorBidi"/>
          <w:sz w:val="20"/>
          <w:szCs w:val="20"/>
        </w:rPr>
        <w:t>;</w:t>
      </w:r>
    </w:p>
    <w:p w14:paraId="48301B8E" w14:textId="74F67B07" w:rsidR="0002083B" w:rsidRPr="00325C65" w:rsidRDefault="00CB597E" w:rsidP="00314F27">
      <w:pPr>
        <w:pStyle w:val="Default"/>
        <w:spacing w:line="480" w:lineRule="auto"/>
        <w:jc w:val="both"/>
        <w:rPr>
          <w:rFonts w:ascii="Code" w:hAnsi="Code" w:cs="Code"/>
          <w:sz w:val="20"/>
          <w:szCs w:val="20"/>
        </w:rPr>
      </w:pPr>
      <w:r w:rsidRPr="00325C65">
        <w:rPr>
          <w:rFonts w:asciiTheme="majorBidi" w:hAnsiTheme="majorBidi" w:cstheme="majorBidi"/>
          <w:sz w:val="20"/>
          <w:szCs w:val="20"/>
        </w:rPr>
        <w:t>Charlotte Elisheva Fonrobert</w:t>
      </w:r>
      <w:r w:rsidR="0002083B" w:rsidRPr="00325C65">
        <w:rPr>
          <w:rFonts w:asciiTheme="majorBidi" w:hAnsiTheme="majorBidi" w:cstheme="majorBidi"/>
          <w:sz w:val="20"/>
          <w:szCs w:val="20"/>
        </w:rPr>
        <w:t xml:space="preserve">, “The Political Symbolism of the Eruv,” </w:t>
      </w:r>
      <w:r w:rsidR="0002083B" w:rsidRPr="00325C65">
        <w:rPr>
          <w:rFonts w:asciiTheme="majorBidi" w:hAnsiTheme="majorBidi" w:cstheme="majorBidi"/>
          <w:i/>
          <w:iCs/>
          <w:sz w:val="20"/>
          <w:szCs w:val="20"/>
        </w:rPr>
        <w:t>Jewish Social Studies</w:t>
      </w:r>
      <w:r w:rsidR="0002083B" w:rsidRPr="00325C65">
        <w:rPr>
          <w:rFonts w:asciiTheme="majorBidi" w:hAnsiTheme="majorBidi" w:cstheme="majorBidi"/>
          <w:sz w:val="20"/>
          <w:szCs w:val="20"/>
        </w:rPr>
        <w:t xml:space="preserve"> 11 (2005): 9-35. </w:t>
      </w:r>
    </w:p>
    <w:p w14:paraId="7989610C" w14:textId="38268008" w:rsidR="00CB597E" w:rsidRPr="00325C65" w:rsidRDefault="00E6068D" w:rsidP="00DC05FA">
      <w:pPr>
        <w:autoSpaceDE w:val="0"/>
        <w:autoSpaceDN w:val="0"/>
        <w:bidi w:val="0"/>
        <w:adjustRightInd w:val="0"/>
        <w:spacing w:after="0" w:line="480" w:lineRule="auto"/>
        <w:jc w:val="both"/>
        <w:rPr>
          <w:sz w:val="20"/>
          <w:szCs w:val="20"/>
        </w:rPr>
      </w:pPr>
      <w:r w:rsidRPr="00325C65">
        <w:rPr>
          <w:rFonts w:ascii="David" w:hAnsi="David" w:cs="David" w:hint="cs"/>
          <w:sz w:val="20"/>
          <w:szCs w:val="20"/>
          <w:rtl/>
        </w:rPr>
        <w:t xml:space="preserve">פונרוברט </w:t>
      </w:r>
      <w:r w:rsidR="0041027F" w:rsidRPr="00325C65">
        <w:rPr>
          <w:rFonts w:ascii="David" w:hAnsi="David" w:cs="David" w:hint="cs"/>
          <w:sz w:val="20"/>
          <w:szCs w:val="20"/>
          <w:rtl/>
        </w:rPr>
        <w:t xml:space="preserve">עמדה על השימוש בדיני העירוב לצורך יצירת קהילת שותפים. </w:t>
      </w:r>
      <w:r w:rsidR="0002083B" w:rsidRPr="00325C65">
        <w:rPr>
          <w:rFonts w:ascii="David" w:hAnsi="David" w:cs="David"/>
          <w:sz w:val="20"/>
          <w:szCs w:val="20"/>
          <w:rtl/>
        </w:rPr>
        <w:t>ראו במיוחד את דבריה בעמ' 10</w:t>
      </w:r>
      <w:r w:rsidR="00DC05FA">
        <w:rPr>
          <w:rFonts w:ascii="David" w:hAnsi="David" w:cs="David" w:hint="cs"/>
          <w:sz w:val="20"/>
          <w:szCs w:val="20"/>
          <w:rtl/>
        </w:rPr>
        <w:t>.</w:t>
      </w:r>
    </w:p>
  </w:footnote>
  <w:footnote w:id="25">
    <w:p w14:paraId="3937F0F8" w14:textId="7AE6602E" w:rsidR="00BF70B0" w:rsidRPr="009463D7" w:rsidRDefault="00BF70B0" w:rsidP="00314F27">
      <w:pPr>
        <w:pStyle w:val="a3"/>
        <w:jc w:val="both"/>
        <w:rPr>
          <w:lang w:bidi="he-IL"/>
        </w:rPr>
      </w:pPr>
      <w:r w:rsidRPr="00BE6E16">
        <w:rPr>
          <w:rStyle w:val="a5"/>
          <w:vertAlign w:val="baseline"/>
        </w:rPr>
        <w:footnoteRef/>
      </w:r>
      <w:r w:rsidR="00BE6E16">
        <w:t>.</w:t>
      </w:r>
      <w:r w:rsidRPr="00325C65">
        <w:t xml:space="preserve"> </w:t>
      </w:r>
      <w:r w:rsidR="00AD61C2">
        <w:rPr>
          <w:lang w:bidi="he-IL"/>
        </w:rPr>
        <w:t xml:space="preserve">BT </w:t>
      </w:r>
      <w:r w:rsidRPr="00325C65">
        <w:rPr>
          <w:lang w:bidi="he-IL"/>
        </w:rPr>
        <w:t xml:space="preserve">Gittin </w:t>
      </w:r>
      <w:r w:rsidR="009463D7" w:rsidRPr="00325C65">
        <w:rPr>
          <w:lang w:bidi="he-IL"/>
        </w:rPr>
        <w:t>60b.</w:t>
      </w:r>
    </w:p>
  </w:footnote>
  <w:footnote w:id="26">
    <w:p w14:paraId="3AE98E94" w14:textId="4CA5133D" w:rsidR="005A42C3" w:rsidRDefault="005A42C3" w:rsidP="00314F27">
      <w:pPr>
        <w:pStyle w:val="a3"/>
        <w:jc w:val="both"/>
        <w:rPr>
          <w:rtl/>
          <w:lang w:bidi="he-IL"/>
        </w:rPr>
      </w:pPr>
      <w:r w:rsidRPr="00BE6E16">
        <w:rPr>
          <w:rStyle w:val="a5"/>
          <w:vertAlign w:val="baseline"/>
        </w:rPr>
        <w:footnoteRef/>
      </w:r>
      <w:r w:rsidR="00BE6E16">
        <w:t>.</w:t>
      </w:r>
      <w:r>
        <w:t xml:space="preserve"> In some of the Babylonian</w:t>
      </w:r>
      <w:r w:rsidR="000B6607">
        <w:rPr>
          <w:rFonts w:ascii="SBL Greek" w:hAnsi="SBL Greek"/>
        </w:rPr>
        <w:t xml:space="preserve"> Talmud</w:t>
      </w:r>
      <w:r>
        <w:t xml:space="preserve"> </w:t>
      </w:r>
      <w:r w:rsidR="000B6607" w:rsidRPr="000B6607">
        <w:t>manuscripts</w:t>
      </w:r>
      <w:r w:rsidR="000B6607">
        <w:t xml:space="preserve"> t</w:t>
      </w:r>
      <w:r w:rsidR="000B6607" w:rsidRPr="000B6607">
        <w:t xml:space="preserve">he words </w:t>
      </w:r>
      <w:r w:rsidR="00F35BA9">
        <w:rPr>
          <w:rFonts w:ascii="SBL Greek" w:hAnsi="SBL Greek"/>
        </w:rPr>
        <w:t>“</w:t>
      </w:r>
      <w:r w:rsidR="000B6607">
        <w:t>for the owner of the room</w:t>
      </w:r>
      <w:r w:rsidR="000B6607">
        <w:rPr>
          <w:rFonts w:ascii="SBL Greek" w:hAnsi="SBL Greek"/>
        </w:rPr>
        <w:t>”</w:t>
      </w:r>
      <w:r w:rsidR="000B6607">
        <w:t xml:space="preserve"> </w:t>
      </w:r>
      <w:r w:rsidR="000B6607" w:rsidRPr="000B6607">
        <w:t>were added</w:t>
      </w:r>
      <w:r w:rsidR="000B6607">
        <w:rPr>
          <w:lang w:bidi="he-IL"/>
        </w:rPr>
        <w:t>.</w:t>
      </w:r>
    </w:p>
  </w:footnote>
  <w:footnote w:id="27">
    <w:p w14:paraId="1D66B264" w14:textId="1DDC4953" w:rsidR="008B29D8" w:rsidRPr="00D74EF2" w:rsidRDefault="008B29D8" w:rsidP="00314F27">
      <w:pPr>
        <w:autoSpaceDE w:val="0"/>
        <w:autoSpaceDN w:val="0"/>
        <w:bidi w:val="0"/>
        <w:adjustRightInd w:val="0"/>
        <w:spacing w:after="0" w:line="480" w:lineRule="auto"/>
        <w:jc w:val="both"/>
        <w:rPr>
          <w:rFonts w:asciiTheme="majorBidi" w:hAnsiTheme="majorBidi" w:cstheme="majorBidi"/>
          <w:sz w:val="20"/>
          <w:szCs w:val="20"/>
        </w:rPr>
      </w:pPr>
      <w:r w:rsidRPr="00AD61C2">
        <w:rPr>
          <w:rStyle w:val="a5"/>
          <w:rFonts w:asciiTheme="majorBidi" w:hAnsiTheme="majorBidi" w:cstheme="majorBidi"/>
          <w:sz w:val="20"/>
          <w:szCs w:val="20"/>
          <w:vertAlign w:val="baseline"/>
        </w:rPr>
        <w:footnoteRef/>
      </w:r>
      <w:r w:rsidR="00AD61C2">
        <w:rPr>
          <w:rFonts w:asciiTheme="majorBidi" w:hAnsiTheme="majorBidi" w:cstheme="majorBidi"/>
          <w:sz w:val="20"/>
          <w:szCs w:val="20"/>
        </w:rPr>
        <w:t>.</w:t>
      </w:r>
      <w:r w:rsidRPr="00AD61C2">
        <w:rPr>
          <w:rFonts w:asciiTheme="majorBidi" w:hAnsiTheme="majorBidi" w:cstheme="majorBidi"/>
          <w:sz w:val="20"/>
          <w:szCs w:val="20"/>
        </w:rPr>
        <w:t xml:space="preserve"> </w:t>
      </w:r>
      <w:r w:rsidRPr="00D74EF2">
        <w:rPr>
          <w:rFonts w:asciiTheme="majorBidi" w:hAnsiTheme="majorBidi" w:cstheme="majorBidi"/>
          <w:sz w:val="20"/>
          <w:szCs w:val="20"/>
        </w:rPr>
        <w:t xml:space="preserve">The term </w:t>
      </w:r>
      <w:r w:rsidRPr="006D4647">
        <w:rPr>
          <w:rFonts w:ascii="David" w:hAnsi="David" w:cs="David"/>
          <w:sz w:val="20"/>
          <w:szCs w:val="20"/>
        </w:rPr>
        <w:t xml:space="preserve">“ </w:t>
      </w:r>
      <w:r w:rsidRPr="006D4647">
        <w:rPr>
          <w:rFonts w:ascii="David" w:hAnsi="David" w:cs="David"/>
          <w:sz w:val="20"/>
          <w:szCs w:val="20"/>
          <w:rtl/>
        </w:rPr>
        <w:t>משום חשדא/ה</w:t>
      </w:r>
      <w:r w:rsidRPr="006D4647">
        <w:rPr>
          <w:rFonts w:ascii="David" w:hAnsi="David" w:cs="David"/>
          <w:sz w:val="20"/>
          <w:szCs w:val="20"/>
        </w:rPr>
        <w:t>”</w:t>
      </w:r>
      <w:r w:rsidRPr="00D74EF2">
        <w:rPr>
          <w:rFonts w:asciiTheme="majorBidi" w:hAnsiTheme="majorBidi" w:cstheme="majorBidi"/>
          <w:sz w:val="20"/>
          <w:szCs w:val="20"/>
        </w:rPr>
        <w:t xml:space="preserve"> is only found in the Babylonian Talmud. It occurs in the following</w:t>
      </w:r>
    </w:p>
    <w:p w14:paraId="07D66CD7" w14:textId="77777777" w:rsidR="008B29D8" w:rsidRPr="00D74EF2" w:rsidRDefault="008B29D8" w:rsidP="00314F27">
      <w:pPr>
        <w:autoSpaceDE w:val="0"/>
        <w:autoSpaceDN w:val="0"/>
        <w:bidi w:val="0"/>
        <w:adjustRightInd w:val="0"/>
        <w:spacing w:after="0" w:line="480" w:lineRule="auto"/>
        <w:jc w:val="both"/>
        <w:rPr>
          <w:rFonts w:asciiTheme="majorBidi" w:hAnsiTheme="majorBidi" w:cstheme="majorBidi"/>
          <w:sz w:val="20"/>
          <w:szCs w:val="20"/>
        </w:rPr>
      </w:pPr>
      <w:r w:rsidRPr="00D74EF2">
        <w:rPr>
          <w:rFonts w:asciiTheme="majorBidi" w:hAnsiTheme="majorBidi" w:cstheme="majorBidi"/>
          <w:sz w:val="20"/>
          <w:szCs w:val="20"/>
        </w:rPr>
        <w:t>places: BT Berachot 43b, BT Shabbat 23a, BT Shabbat 130a, BT Pesaḥim 13a, BT Rosh ha-</w:t>
      </w:r>
    </w:p>
    <w:p w14:paraId="481A24A9" w14:textId="77777777" w:rsidR="008B29D8" w:rsidRPr="00D74EF2" w:rsidRDefault="008B29D8" w:rsidP="00314F27">
      <w:pPr>
        <w:autoSpaceDE w:val="0"/>
        <w:autoSpaceDN w:val="0"/>
        <w:bidi w:val="0"/>
        <w:adjustRightInd w:val="0"/>
        <w:spacing w:after="0" w:line="480" w:lineRule="auto"/>
        <w:jc w:val="both"/>
        <w:rPr>
          <w:rFonts w:asciiTheme="majorBidi" w:hAnsiTheme="majorBidi" w:cstheme="majorBidi"/>
          <w:sz w:val="20"/>
          <w:szCs w:val="20"/>
        </w:rPr>
      </w:pPr>
      <w:r w:rsidRPr="00D74EF2">
        <w:rPr>
          <w:rFonts w:asciiTheme="majorBidi" w:hAnsiTheme="majorBidi" w:cstheme="majorBidi"/>
          <w:sz w:val="20"/>
          <w:szCs w:val="20"/>
        </w:rPr>
        <w:t>Shannah 24b, BT Gittin 60b, BT Avodah Zarah 43b, and BT Ḥullin 44b. The term addresses a</w:t>
      </w:r>
    </w:p>
    <w:p w14:paraId="2DFD35D9" w14:textId="77777777" w:rsidR="008B29D8" w:rsidRDefault="008B29D8" w:rsidP="00314F27">
      <w:pPr>
        <w:autoSpaceDE w:val="0"/>
        <w:autoSpaceDN w:val="0"/>
        <w:bidi w:val="0"/>
        <w:adjustRightInd w:val="0"/>
        <w:spacing w:after="0" w:line="480" w:lineRule="auto"/>
        <w:jc w:val="both"/>
      </w:pPr>
      <w:r w:rsidRPr="00D74EF2">
        <w:rPr>
          <w:rFonts w:asciiTheme="majorBidi" w:hAnsiTheme="majorBidi" w:cstheme="majorBidi"/>
          <w:sz w:val="20"/>
          <w:szCs w:val="20"/>
        </w:rPr>
        <w:t>certain suspicion about a person/s. It might be liscentiousness (see BT Berachot 43b Rashi s.v.</w:t>
      </w:r>
      <w:r w:rsidRPr="00D74EF2">
        <w:rPr>
          <w:rFonts w:asciiTheme="majorBidi" w:hAnsiTheme="majorBidi" w:cstheme="majorBidi"/>
          <w:i/>
          <w:iCs/>
          <w:sz w:val="20"/>
          <w:szCs w:val="20"/>
        </w:rPr>
        <w:t>meshum ḥashdah</w:t>
      </w:r>
      <w:r w:rsidRPr="00D74EF2">
        <w:rPr>
          <w:rFonts w:asciiTheme="majorBidi" w:hAnsiTheme="majorBidi" w:cstheme="majorBidi"/>
          <w:sz w:val="20"/>
          <w:szCs w:val="20"/>
        </w:rPr>
        <w:t>), not performing a commandment (BT Shabbat 23a), transgressing a</w:t>
      </w:r>
      <w:r>
        <w:rPr>
          <w:rFonts w:asciiTheme="majorBidi" w:hAnsiTheme="majorBidi" w:cstheme="majorBidi"/>
          <w:sz w:val="20"/>
          <w:szCs w:val="20"/>
        </w:rPr>
        <w:t xml:space="preserve"> </w:t>
      </w:r>
      <w:r w:rsidRPr="00D74EF2">
        <w:rPr>
          <w:rFonts w:asciiTheme="majorBidi" w:hAnsiTheme="majorBidi" w:cstheme="majorBidi"/>
          <w:sz w:val="20"/>
          <w:szCs w:val="20"/>
        </w:rPr>
        <w:t>prohibition (BT Shabbat 130a), inappropriate business dealings (BT Pesaḥim 13a), idol worship (BT Rosh ha-Shannah 24b and BT Avodah Zarah 43b), taking advantage of one's position of authority (BT Ḥullin 44b).</w:t>
      </w:r>
    </w:p>
  </w:footnote>
  <w:footnote w:id="28">
    <w:p w14:paraId="253DD2F3" w14:textId="4C4A4767" w:rsidR="003A7874" w:rsidRDefault="00660179">
      <w:pPr>
        <w:pStyle w:val="a3"/>
        <w:rPr>
          <w:rFonts w:ascii="David" w:hAnsi="David" w:cs="David"/>
          <w:lang w:bidi="he-IL"/>
        </w:rPr>
      </w:pPr>
      <w:r w:rsidRPr="00660179">
        <w:rPr>
          <w:rStyle w:val="a5"/>
          <w:vertAlign w:val="baseline"/>
        </w:rPr>
        <w:footnoteRef/>
      </w:r>
      <w:r>
        <w:t xml:space="preserve">. </w:t>
      </w:r>
      <w:r w:rsidRPr="00E550B1">
        <w:rPr>
          <w:rFonts w:ascii="David" w:hAnsi="David" w:cs="David"/>
          <w:rtl/>
          <w:lang w:bidi="he-IL"/>
        </w:rPr>
        <w:t xml:space="preserve">מסורת זו משמשת את רב שרירא גאון לצורך קביעת סדר החכמים שהנהיגו את ישיבות בבל. </w:t>
      </w:r>
      <w:r w:rsidR="003A7874">
        <w:rPr>
          <w:rFonts w:ascii="David" w:hAnsi="David" w:cs="David" w:hint="cs"/>
          <w:rtl/>
          <w:lang w:bidi="he-IL"/>
        </w:rPr>
        <w:t>ו</w:t>
      </w:r>
      <w:r w:rsidRPr="00E550B1">
        <w:rPr>
          <w:rFonts w:ascii="David" w:hAnsi="David" w:cs="David"/>
          <w:rtl/>
          <w:lang w:bidi="he-IL"/>
        </w:rPr>
        <w:t>ראו</w:t>
      </w:r>
    </w:p>
    <w:p w14:paraId="58A215AE" w14:textId="75973FD6" w:rsidR="003A7874" w:rsidRDefault="003A7874">
      <w:pPr>
        <w:pStyle w:val="a3"/>
        <w:rPr>
          <w:rFonts w:cstheme="minorBidi"/>
          <w:rtl/>
          <w:lang w:bidi="he-IL"/>
        </w:rPr>
      </w:pPr>
      <w:r>
        <w:rPr>
          <w:rFonts w:ascii="SBL Greek" w:hAnsi="SBL Greek" w:cs="David"/>
          <w:lang w:bidi="he-IL"/>
        </w:rPr>
        <w:t>Joel Florsheim, “</w:t>
      </w:r>
      <w:r>
        <w:rPr>
          <w:rFonts w:ascii="David" w:hAnsi="David" w:cs="David"/>
          <w:lang w:bidi="he-IL"/>
        </w:rPr>
        <w:t>The Establishment and Early Development of the Babylonian Academies Sura and Pumbadita</w:t>
      </w:r>
      <w:r>
        <w:rPr>
          <w:rFonts w:ascii="SBL Greek" w:hAnsi="SBL Greek" w:cs="David"/>
          <w:lang w:bidi="he-IL"/>
        </w:rPr>
        <w:t>”</w:t>
      </w:r>
      <w:r>
        <w:rPr>
          <w:rFonts w:ascii="David" w:hAnsi="David" w:cs="David"/>
          <w:lang w:bidi="he-IL"/>
        </w:rPr>
        <w:t xml:space="preserve"> [Hebrew], </w:t>
      </w:r>
      <w:r w:rsidRPr="006705F8">
        <w:rPr>
          <w:rFonts w:ascii="David" w:hAnsi="David" w:cs="David"/>
          <w:i/>
          <w:iCs/>
          <w:lang w:bidi="he-IL"/>
        </w:rPr>
        <w:t>Zion</w:t>
      </w:r>
      <w:r>
        <w:rPr>
          <w:rFonts w:ascii="David" w:hAnsi="David" w:cs="David"/>
          <w:lang w:bidi="he-IL"/>
        </w:rPr>
        <w:t xml:space="preserve"> 39 (1974): 196</w:t>
      </w:r>
      <w:r w:rsidR="004E0E7C">
        <w:rPr>
          <w:rFonts w:ascii="David" w:hAnsi="David" w:cs="David"/>
          <w:lang w:bidi="he-IL"/>
        </w:rPr>
        <w:t>.</w:t>
      </w:r>
      <w:r w:rsidR="004D31FB">
        <w:rPr>
          <w:rFonts w:ascii="David" w:hAnsi="David" w:cs="David"/>
          <w:lang w:bidi="he-IL"/>
        </w:rPr>
        <w:t xml:space="preserve"> </w:t>
      </w:r>
    </w:p>
    <w:p w14:paraId="0D756FF3" w14:textId="12BB2C84" w:rsidR="00660179" w:rsidRPr="00660179" w:rsidRDefault="00772EA5">
      <w:pPr>
        <w:pStyle w:val="a3"/>
        <w:rPr>
          <w:rtl/>
          <w:lang w:bidi="he-IL"/>
        </w:rPr>
      </w:pPr>
      <w:r>
        <w:rPr>
          <w:rFonts w:cstheme="minorBidi"/>
          <w:lang w:bidi="he-IL"/>
        </w:rPr>
        <w:t xml:space="preserve">Epistel of Rav Sherira Gaon </w:t>
      </w:r>
      <w:r>
        <w:rPr>
          <w:lang w:bidi="he-IL"/>
        </w:rPr>
        <w:t>97.</w:t>
      </w:r>
    </w:p>
  </w:footnote>
  <w:footnote w:id="29">
    <w:p w14:paraId="2775489C" w14:textId="2B621F55" w:rsidR="00281F69" w:rsidRPr="00281F69" w:rsidRDefault="00281F69" w:rsidP="00314F27">
      <w:pPr>
        <w:pStyle w:val="a3"/>
        <w:jc w:val="both"/>
        <w:rPr>
          <w:lang w:bidi="he-IL"/>
        </w:rPr>
      </w:pPr>
      <w:r w:rsidRPr="00F360C7">
        <w:rPr>
          <w:rStyle w:val="a5"/>
          <w:vertAlign w:val="baseline"/>
        </w:rPr>
        <w:footnoteRef/>
      </w:r>
      <w:r w:rsidR="00F360C7">
        <w:t>.</w:t>
      </w:r>
      <w:r w:rsidRPr="00F360C7">
        <w:t xml:space="preserve"> </w:t>
      </w:r>
      <w:r>
        <w:rPr>
          <w:lang w:bidi="he-IL"/>
        </w:rPr>
        <w:t xml:space="preserve">See Rashi, s.v. </w:t>
      </w:r>
      <w:r>
        <w:rPr>
          <w:rFonts w:ascii="SBL Greek" w:hAnsi="SBL Greek"/>
          <w:lang w:bidi="he-IL"/>
        </w:rPr>
        <w:t>‘</w:t>
      </w:r>
      <w:r w:rsidR="007D3BD3">
        <w:rPr>
          <w:lang w:bidi="he-IL"/>
        </w:rPr>
        <w:t>ela</w:t>
      </w:r>
      <w:r w:rsidR="00885C0C">
        <w:rPr>
          <w:lang w:bidi="he-IL"/>
        </w:rPr>
        <w:t>h</w:t>
      </w:r>
      <w:r w:rsidR="007D3BD3">
        <w:rPr>
          <w:lang w:bidi="he-IL"/>
        </w:rPr>
        <w:t xml:space="preserve"> m</w:t>
      </w:r>
      <w:r w:rsidR="00885C0C">
        <w:rPr>
          <w:lang w:bidi="he-IL"/>
        </w:rPr>
        <w:t>e</w:t>
      </w:r>
      <w:r>
        <w:rPr>
          <w:lang w:bidi="he-IL"/>
        </w:rPr>
        <w:t>shum</w:t>
      </w:r>
      <w:r w:rsidR="007D3BD3">
        <w:rPr>
          <w:lang w:bidi="he-IL"/>
        </w:rPr>
        <w:t xml:space="preserve"> Hashda</w:t>
      </w:r>
      <w:r>
        <w:rPr>
          <w:lang w:bidi="he-IL"/>
        </w:rPr>
        <w:t>.</w:t>
      </w:r>
      <w:r>
        <w:rPr>
          <w:rFonts w:ascii="SBL Greek" w:hAnsi="SBL Greek"/>
          <w:lang w:bidi="he-IL"/>
        </w:rPr>
        <w:t>’</w:t>
      </w:r>
      <w:r>
        <w:rPr>
          <w:lang w:bidi="he-IL"/>
        </w:rPr>
        <w:t xml:space="preserve"> </w:t>
      </w:r>
    </w:p>
  </w:footnote>
  <w:footnote w:id="30">
    <w:p w14:paraId="0EA7B1BA" w14:textId="7CCBA411" w:rsidR="007D3BD3" w:rsidRPr="007D3BD3" w:rsidRDefault="007D3BD3" w:rsidP="00314F27">
      <w:pPr>
        <w:pStyle w:val="a3"/>
        <w:jc w:val="both"/>
        <w:rPr>
          <w:lang w:bidi="he-IL"/>
        </w:rPr>
      </w:pPr>
      <w:r w:rsidRPr="00F360C7">
        <w:rPr>
          <w:rStyle w:val="a5"/>
          <w:vertAlign w:val="baseline"/>
        </w:rPr>
        <w:footnoteRef/>
      </w:r>
      <w:r w:rsidR="00F360C7">
        <w:t>.</w:t>
      </w:r>
      <w:r>
        <w:t xml:space="preserve"> </w:t>
      </w:r>
      <w:r>
        <w:rPr>
          <w:rFonts w:hint="cs"/>
          <w:lang w:bidi="he-IL"/>
        </w:rPr>
        <w:t>S</w:t>
      </w:r>
      <w:r>
        <w:rPr>
          <w:lang w:bidi="he-IL"/>
        </w:rPr>
        <w:t xml:space="preserve">ee Tosfot (in the name of Rabenu Tam), </w:t>
      </w:r>
      <w:r w:rsidRPr="007D3BD3">
        <w:rPr>
          <w:lang w:bidi="he-IL"/>
        </w:rPr>
        <w:t>s.v.</w:t>
      </w:r>
      <w:r>
        <w:rPr>
          <w:lang w:bidi="he-IL"/>
        </w:rPr>
        <w:t xml:space="preserve"> </w:t>
      </w:r>
      <w:r>
        <w:rPr>
          <w:rFonts w:ascii="SBL Greek" w:hAnsi="SBL Greek"/>
          <w:lang w:bidi="he-IL"/>
        </w:rPr>
        <w:t>‘</w:t>
      </w:r>
      <w:r>
        <w:rPr>
          <w:lang w:bidi="he-IL"/>
        </w:rPr>
        <w:t>ela</w:t>
      </w:r>
      <w:r w:rsidR="00885C0C">
        <w:rPr>
          <w:lang w:bidi="he-IL"/>
        </w:rPr>
        <w:t>h</w:t>
      </w:r>
      <w:r>
        <w:rPr>
          <w:lang w:bidi="he-IL"/>
        </w:rPr>
        <w:t xml:space="preserve"> m</w:t>
      </w:r>
      <w:r w:rsidR="00885C0C">
        <w:rPr>
          <w:lang w:bidi="he-IL"/>
        </w:rPr>
        <w:t>e</w:t>
      </w:r>
      <w:r>
        <w:rPr>
          <w:lang w:bidi="he-IL"/>
        </w:rPr>
        <w:t>shum Hashda.</w:t>
      </w:r>
      <w:r>
        <w:rPr>
          <w:rFonts w:ascii="SBL Greek" w:hAnsi="SBL Greek"/>
          <w:lang w:bidi="he-IL"/>
        </w:rPr>
        <w:t>’</w:t>
      </w:r>
    </w:p>
  </w:footnote>
  <w:footnote w:id="31">
    <w:p w14:paraId="67496850" w14:textId="2811807D" w:rsidR="00C41BD1" w:rsidRPr="000954DF" w:rsidRDefault="00354961" w:rsidP="00314F27">
      <w:pPr>
        <w:pStyle w:val="a3"/>
        <w:ind w:left="720" w:hanging="720"/>
        <w:jc w:val="both"/>
        <w:rPr>
          <w:rFonts w:ascii="David" w:hAnsi="David" w:cs="David"/>
          <w:rtl/>
          <w:lang w:bidi="he-IL"/>
        </w:rPr>
      </w:pPr>
      <w:r w:rsidRPr="00F360C7">
        <w:rPr>
          <w:rStyle w:val="a5"/>
          <w:vertAlign w:val="baseline"/>
        </w:rPr>
        <w:footnoteRef/>
      </w:r>
      <w:r w:rsidR="00F360C7">
        <w:t>.</w:t>
      </w:r>
      <w:r>
        <w:t xml:space="preserve"> </w:t>
      </w:r>
      <w:r w:rsidR="00500BE3">
        <w:t>Y</w:t>
      </w:r>
      <w:r w:rsidR="00D9147E">
        <w:t>T</w:t>
      </w:r>
      <w:r w:rsidR="00F360C7">
        <w:t xml:space="preserve"> </w:t>
      </w:r>
      <w:r>
        <w:t xml:space="preserve">Gittin 5:9, 47b, Eruvin 6:7, 23:4. Translation: </w:t>
      </w:r>
      <w:r w:rsidRPr="009D73A3">
        <w:rPr>
          <w:i/>
          <w:iCs/>
        </w:rPr>
        <w:t>The Jerusalem Talmud, Tractates Gittin and Nazir</w:t>
      </w:r>
      <w:r>
        <w:t>, Berlin and New York 2007: 237.</w:t>
      </w:r>
      <w:r w:rsidR="00C41BD1">
        <w:t xml:space="preserve"> </w:t>
      </w:r>
    </w:p>
  </w:footnote>
  <w:footnote w:id="32">
    <w:p w14:paraId="15FA71D8" w14:textId="77777777" w:rsidR="00142C55" w:rsidRDefault="00142C55" w:rsidP="00314F27">
      <w:pPr>
        <w:pStyle w:val="a3"/>
        <w:jc w:val="both"/>
      </w:pPr>
      <w:r w:rsidRPr="00F360C7">
        <w:rPr>
          <w:rStyle w:val="a5"/>
          <w:vertAlign w:val="baseline"/>
        </w:rPr>
        <w:footnoteRef/>
      </w:r>
      <w:r>
        <w:t>.</w:t>
      </w:r>
      <w:r w:rsidRPr="00F360C7">
        <w:t xml:space="preserve"> </w:t>
      </w:r>
      <w:r>
        <w:t>Korban Ha</w:t>
      </w:r>
      <w:r>
        <w:rPr>
          <w:rFonts w:ascii="SBL Greek" w:hAnsi="SBL Greek"/>
        </w:rPr>
        <w:t>’</w:t>
      </w:r>
      <w:r>
        <w:t xml:space="preserve">Eda </w:t>
      </w:r>
      <w:r>
        <w:rPr>
          <w:lang w:bidi="he-IL"/>
        </w:rPr>
        <w:t>s.v.</w:t>
      </w:r>
      <w:r>
        <w:t xml:space="preserve"> u-ve-diur yashan.</w:t>
      </w:r>
    </w:p>
  </w:footnote>
  <w:footnote w:id="33">
    <w:p w14:paraId="68E15AD5" w14:textId="20E7220B" w:rsidR="00F37CB9" w:rsidRDefault="00C12877" w:rsidP="00555BB7">
      <w:pPr>
        <w:autoSpaceDE w:val="0"/>
        <w:autoSpaceDN w:val="0"/>
        <w:bidi w:val="0"/>
        <w:adjustRightInd w:val="0"/>
        <w:spacing w:after="0" w:line="480" w:lineRule="auto"/>
        <w:jc w:val="both"/>
        <w:rPr>
          <w:rFonts w:asciiTheme="majorBidi" w:hAnsiTheme="majorBidi" w:cstheme="majorBidi"/>
          <w:sz w:val="24"/>
          <w:szCs w:val="24"/>
        </w:rPr>
      </w:pPr>
      <w:r w:rsidRPr="00D240BF">
        <w:rPr>
          <w:rStyle w:val="a5"/>
          <w:rFonts w:ascii="Times New Roman" w:hAnsi="Times New Roman" w:cs="Times New Roman"/>
          <w:sz w:val="20"/>
          <w:szCs w:val="20"/>
          <w:vertAlign w:val="baseline"/>
        </w:rPr>
        <w:footnoteRef/>
      </w:r>
      <w:r w:rsidR="00D240BF">
        <w:rPr>
          <w:rFonts w:ascii="Times New Roman" w:hAnsi="Times New Roman" w:cs="Times New Roman"/>
          <w:sz w:val="20"/>
          <w:szCs w:val="20"/>
        </w:rPr>
        <w:t>.</w:t>
      </w:r>
      <w:r w:rsidRPr="001C215B">
        <w:rPr>
          <w:rFonts w:ascii="Times New Roman" w:hAnsi="Times New Roman" w:cs="Times New Roman"/>
          <w:sz w:val="20"/>
          <w:szCs w:val="20"/>
        </w:rPr>
        <w:t xml:space="preserve"> </w:t>
      </w:r>
      <w:r w:rsidR="00AA17EA" w:rsidRPr="001C215B">
        <w:rPr>
          <w:rFonts w:ascii="Times New Roman" w:hAnsi="Times New Roman" w:cs="Times New Roman"/>
          <w:sz w:val="20"/>
          <w:szCs w:val="20"/>
        </w:rPr>
        <w:t xml:space="preserve">Penei Moshe, s.v. teman taninan. </w:t>
      </w:r>
      <w:r w:rsidR="00F37CB9" w:rsidRPr="00555BB7">
        <w:rPr>
          <w:rFonts w:ascii="Times New Roman" w:hAnsi="Times New Roman" w:cs="Times New Roman"/>
          <w:sz w:val="20"/>
          <w:szCs w:val="20"/>
        </w:rPr>
        <w:t xml:space="preserve">This interpretation is based upon a mishnah in tractate </w:t>
      </w:r>
      <w:r w:rsidR="00F37CB9" w:rsidRPr="00555BB7">
        <w:rPr>
          <w:rFonts w:ascii="Times New Roman" w:hAnsi="Times New Roman" w:cs="Times New Roman"/>
          <w:i/>
          <w:iCs/>
          <w:sz w:val="20"/>
          <w:szCs w:val="20"/>
        </w:rPr>
        <w:t>Eruvin</w:t>
      </w:r>
      <w:r w:rsidR="00F37CB9" w:rsidRPr="00555BB7">
        <w:rPr>
          <w:rFonts w:ascii="Times New Roman" w:hAnsi="Times New Roman" w:cs="Times New Roman"/>
          <w:sz w:val="20"/>
          <w:szCs w:val="20"/>
        </w:rPr>
        <w:t xml:space="preserve"> 6:7:</w:t>
      </w:r>
      <w:r w:rsidR="00555BB7" w:rsidRPr="00555BB7">
        <w:rPr>
          <w:rFonts w:asciiTheme="majorBidi" w:hAnsiTheme="majorBidi" w:cstheme="majorBidi"/>
          <w:sz w:val="20"/>
          <w:szCs w:val="20"/>
        </w:rPr>
        <w:t xml:space="preserve"> </w:t>
      </w:r>
      <w:r w:rsidR="00555BB7">
        <w:rPr>
          <w:rFonts w:ascii="SBL Greek" w:hAnsi="SBL Greek" w:cstheme="majorBidi"/>
          <w:sz w:val="20"/>
          <w:szCs w:val="20"/>
        </w:rPr>
        <w:t>“</w:t>
      </w:r>
      <w:r w:rsidR="00F37CB9" w:rsidRPr="00555BB7">
        <w:rPr>
          <w:rFonts w:asciiTheme="majorBidi" w:hAnsiTheme="majorBidi" w:cstheme="majorBidi"/>
          <w:sz w:val="20"/>
          <w:szCs w:val="20"/>
        </w:rPr>
        <w:t xml:space="preserve">Brothers in partnership who ate at the table of their father but who slept in their respective houses require an </w:t>
      </w:r>
      <w:r w:rsidR="00F37CB9" w:rsidRPr="00555BB7">
        <w:rPr>
          <w:rFonts w:asciiTheme="majorBidi" w:hAnsiTheme="majorBidi" w:cstheme="majorBidi"/>
          <w:i/>
          <w:iCs/>
          <w:sz w:val="20"/>
          <w:szCs w:val="20"/>
        </w:rPr>
        <w:t xml:space="preserve">eruv </w:t>
      </w:r>
      <w:r w:rsidR="00F37CB9" w:rsidRPr="00555BB7">
        <w:rPr>
          <w:rFonts w:asciiTheme="majorBidi" w:hAnsiTheme="majorBidi" w:cstheme="majorBidi"/>
          <w:sz w:val="20"/>
          <w:szCs w:val="20"/>
        </w:rPr>
        <w:t>for each one.</w:t>
      </w:r>
      <w:r w:rsidR="00555BB7" w:rsidRPr="00555BB7">
        <w:rPr>
          <w:rFonts w:asciiTheme="majorBidi" w:hAnsiTheme="majorBidi" w:cstheme="majorBidi"/>
          <w:sz w:val="20"/>
          <w:szCs w:val="20"/>
        </w:rPr>
        <w:t xml:space="preserve"> </w:t>
      </w:r>
      <w:r w:rsidR="00F37CB9" w:rsidRPr="00555BB7">
        <w:rPr>
          <w:rFonts w:asciiTheme="majorBidi" w:hAnsiTheme="majorBidi" w:cstheme="majorBidi"/>
          <w:sz w:val="20"/>
          <w:szCs w:val="20"/>
        </w:rPr>
        <w:t xml:space="preserve">Therefore, if one of them forgot and did not prepare an </w:t>
      </w:r>
      <w:r w:rsidR="00F37CB9" w:rsidRPr="00555BB7">
        <w:rPr>
          <w:rFonts w:asciiTheme="majorBidi" w:hAnsiTheme="majorBidi" w:cstheme="majorBidi"/>
          <w:i/>
          <w:iCs/>
          <w:sz w:val="20"/>
          <w:szCs w:val="20"/>
        </w:rPr>
        <w:t>eruv</w:t>
      </w:r>
      <w:r w:rsidR="00F37CB9" w:rsidRPr="00555BB7">
        <w:rPr>
          <w:rFonts w:asciiTheme="majorBidi" w:hAnsiTheme="majorBidi" w:cstheme="majorBidi"/>
          <w:sz w:val="20"/>
          <w:szCs w:val="20"/>
        </w:rPr>
        <w:t>, he annuls his right.</w:t>
      </w:r>
      <w:r w:rsidR="00555BB7" w:rsidRPr="00555BB7">
        <w:rPr>
          <w:rFonts w:asciiTheme="majorBidi" w:hAnsiTheme="majorBidi" w:cstheme="majorBidi"/>
          <w:sz w:val="20"/>
          <w:szCs w:val="20"/>
        </w:rPr>
        <w:t xml:space="preserve"> </w:t>
      </w:r>
      <w:r w:rsidR="00F37CB9" w:rsidRPr="00555BB7">
        <w:rPr>
          <w:rFonts w:asciiTheme="majorBidi" w:hAnsiTheme="majorBidi" w:cstheme="majorBidi"/>
          <w:sz w:val="20"/>
          <w:szCs w:val="20"/>
        </w:rPr>
        <w:t xml:space="preserve">Under what circumstances? When they bring their </w:t>
      </w:r>
      <w:r w:rsidR="00F37CB9" w:rsidRPr="00555BB7">
        <w:rPr>
          <w:rFonts w:asciiTheme="majorBidi" w:hAnsiTheme="majorBidi" w:cstheme="majorBidi"/>
          <w:i/>
          <w:iCs/>
          <w:sz w:val="20"/>
          <w:szCs w:val="20"/>
        </w:rPr>
        <w:t xml:space="preserve">eruv </w:t>
      </w:r>
      <w:r w:rsidR="00F37CB9" w:rsidRPr="00555BB7">
        <w:rPr>
          <w:rFonts w:asciiTheme="majorBidi" w:hAnsiTheme="majorBidi" w:cstheme="majorBidi"/>
          <w:sz w:val="20"/>
          <w:szCs w:val="20"/>
        </w:rPr>
        <w:t>to some other place.</w:t>
      </w:r>
      <w:r w:rsidR="00555BB7" w:rsidRPr="00555BB7">
        <w:rPr>
          <w:rFonts w:asciiTheme="majorBidi" w:hAnsiTheme="majorBidi" w:cstheme="majorBidi"/>
          <w:sz w:val="20"/>
          <w:szCs w:val="20"/>
        </w:rPr>
        <w:t xml:space="preserve"> </w:t>
      </w:r>
      <w:r w:rsidR="00F37CB9" w:rsidRPr="00555BB7">
        <w:rPr>
          <w:rFonts w:asciiTheme="majorBidi" w:hAnsiTheme="majorBidi" w:cstheme="majorBidi"/>
          <w:sz w:val="20"/>
          <w:szCs w:val="20"/>
        </w:rPr>
        <w:t xml:space="preserve">But if the </w:t>
      </w:r>
      <w:r w:rsidR="00F37CB9" w:rsidRPr="00555BB7">
        <w:rPr>
          <w:rFonts w:asciiTheme="majorBidi" w:hAnsiTheme="majorBidi" w:cstheme="majorBidi"/>
          <w:i/>
          <w:iCs/>
          <w:sz w:val="20"/>
          <w:szCs w:val="20"/>
        </w:rPr>
        <w:t xml:space="preserve">eruv </w:t>
      </w:r>
      <w:r w:rsidR="00F37CB9" w:rsidRPr="00555BB7">
        <w:rPr>
          <w:rFonts w:asciiTheme="majorBidi" w:hAnsiTheme="majorBidi" w:cstheme="majorBidi"/>
          <w:sz w:val="20"/>
          <w:szCs w:val="20"/>
        </w:rPr>
        <w:t xml:space="preserve">was brought to them, or if there were no [other] residents with them in the courtyard, they do not have to prepare an </w:t>
      </w:r>
      <w:r w:rsidR="00F37CB9" w:rsidRPr="00555BB7">
        <w:rPr>
          <w:rFonts w:asciiTheme="majorBidi" w:hAnsiTheme="majorBidi" w:cstheme="majorBidi"/>
          <w:i/>
          <w:iCs/>
          <w:sz w:val="20"/>
          <w:szCs w:val="20"/>
        </w:rPr>
        <w:t>eruv</w:t>
      </w:r>
      <w:r w:rsidR="00F37CB9" w:rsidRPr="00555BB7">
        <w:rPr>
          <w:rFonts w:asciiTheme="majorBidi" w:hAnsiTheme="majorBidi" w:cstheme="majorBidi"/>
          <w:sz w:val="20"/>
          <w:szCs w:val="20"/>
        </w:rPr>
        <w:t>.</w:t>
      </w:r>
      <w:r w:rsidR="00555BB7">
        <w:rPr>
          <w:rFonts w:ascii="SBL Greek" w:hAnsi="SBL Greek" w:cstheme="majorBidi"/>
          <w:sz w:val="20"/>
          <w:szCs w:val="20"/>
        </w:rPr>
        <w:t>”</w:t>
      </w:r>
    </w:p>
    <w:p w14:paraId="15EC45C8" w14:textId="6D4A1615" w:rsidR="008044D8" w:rsidRPr="00D60DC7" w:rsidRDefault="00555BB7" w:rsidP="008F38E8">
      <w:pPr>
        <w:autoSpaceDE w:val="0"/>
        <w:autoSpaceDN w:val="0"/>
        <w:adjustRightInd w:val="0"/>
        <w:spacing w:after="0" w:line="480" w:lineRule="auto"/>
        <w:jc w:val="both"/>
        <w:rPr>
          <w:rFonts w:ascii="David" w:hAnsi="David" w:cs="David"/>
          <w:sz w:val="20"/>
          <w:szCs w:val="20"/>
          <w:rtl/>
        </w:rPr>
      </w:pPr>
      <w:bookmarkStart w:id="9" w:name="_Hlk89161903"/>
      <w:r w:rsidRPr="008044D8">
        <w:rPr>
          <w:rFonts w:ascii="David" w:hAnsi="David" w:cs="David"/>
          <w:sz w:val="20"/>
          <w:szCs w:val="20"/>
          <w:rtl/>
        </w:rPr>
        <w:t>שמואל וזאב ספראי מסבירים את המבנה המשפחתי שעומד מאחורי הצירוף 'האחים השותפים'</w:t>
      </w:r>
      <w:r w:rsidRPr="008044D8">
        <w:rPr>
          <w:rFonts w:ascii="Times New Roman" w:hAnsi="Times New Roman" w:cs="Times New Roman" w:hint="cs"/>
          <w:sz w:val="20"/>
          <w:szCs w:val="20"/>
          <w:rtl/>
        </w:rPr>
        <w:t xml:space="preserve">. </w:t>
      </w:r>
      <w:r w:rsidRPr="008044D8">
        <w:rPr>
          <w:rFonts w:ascii="David" w:hAnsi="David" w:cs="David"/>
          <w:sz w:val="20"/>
          <w:szCs w:val="20"/>
          <w:rtl/>
        </w:rPr>
        <w:t>לענייננו חשוב להבין ש</w:t>
      </w:r>
      <w:r w:rsidR="00F50103">
        <w:rPr>
          <w:rFonts w:ascii="David" w:hAnsi="David" w:cs="David" w:hint="cs"/>
          <w:sz w:val="20"/>
          <w:szCs w:val="20"/>
          <w:rtl/>
        </w:rPr>
        <w:t>לא</w:t>
      </w:r>
      <w:r w:rsidRPr="008044D8">
        <w:rPr>
          <w:rFonts w:ascii="David" w:hAnsi="David" w:cs="David"/>
          <w:sz w:val="20"/>
          <w:szCs w:val="20"/>
          <w:rtl/>
        </w:rPr>
        <w:t xml:space="preserve"> מדובר בשותפות מלאה אלא חלקית</w:t>
      </w:r>
      <w:r w:rsidRPr="008044D8">
        <w:rPr>
          <w:rFonts w:ascii="David" w:hAnsi="David" w:cs="David" w:hint="cs"/>
          <w:sz w:val="20"/>
          <w:szCs w:val="20"/>
          <w:rtl/>
        </w:rPr>
        <w:t xml:space="preserve"> (</w:t>
      </w:r>
      <w:r w:rsidRPr="008044D8">
        <w:rPr>
          <w:rFonts w:ascii="David" w:hAnsi="David" w:cs="David"/>
          <w:sz w:val="20"/>
          <w:szCs w:val="20"/>
          <w:rtl/>
        </w:rPr>
        <w:t xml:space="preserve">כפי שעולה מהדגשתה של המשנה שהאחים 'ישנים בבתיהם', </w:t>
      </w:r>
      <w:r w:rsidRPr="00D60DC7">
        <w:rPr>
          <w:rFonts w:ascii="David" w:hAnsi="David" w:cs="David"/>
          <w:sz w:val="20"/>
          <w:szCs w:val="20"/>
          <w:rtl/>
        </w:rPr>
        <w:t xml:space="preserve">ומשתמע מכך שלכל אחד מהם בית והוא עצמאי במידת מה). </w:t>
      </w:r>
      <w:r w:rsidR="008044D8" w:rsidRPr="00D60DC7">
        <w:rPr>
          <w:rFonts w:ascii="David" w:hAnsi="David" w:cs="David"/>
          <w:sz w:val="20"/>
          <w:szCs w:val="20"/>
          <w:rtl/>
        </w:rPr>
        <w:t xml:space="preserve">בהמשך קובעת המשנה שאם בית האב הוא המקום שמניחים בו את העירוב של חצר זו, או שבני המשפחה הם כל מי שדר בה, הרי שהסעודה המשותפת של המשפחה, שהיא גם הסעודה המשותפת של כל דיירי החצר, מהווה למעשה סעודת עירוב, ועל כן הם לא צריכים להניח מזון נוסף חוץ ממנה. </w:t>
      </w:r>
    </w:p>
    <w:p w14:paraId="675069C1" w14:textId="6CB5D5AB" w:rsidR="00555BB7" w:rsidRPr="00B87005" w:rsidRDefault="008044D8" w:rsidP="00CD6C45">
      <w:pPr>
        <w:autoSpaceDE w:val="0"/>
        <w:autoSpaceDN w:val="0"/>
        <w:bidi w:val="0"/>
        <w:adjustRightInd w:val="0"/>
        <w:spacing w:after="0" w:line="480" w:lineRule="auto"/>
        <w:rPr>
          <w:rFonts w:ascii="Times New Roman" w:hAnsi="Times New Roman" w:cs="Times New Roman"/>
          <w:sz w:val="20"/>
          <w:szCs w:val="20"/>
        </w:rPr>
      </w:pPr>
      <w:r w:rsidRPr="008044D8">
        <w:rPr>
          <w:rFonts w:asciiTheme="majorBidi" w:hAnsiTheme="majorBidi" w:cstheme="majorBidi"/>
          <w:sz w:val="20"/>
          <w:szCs w:val="20"/>
        </w:rPr>
        <w:t>See Mishnat Eretz Israel, Tractate Eruvin 203-204.</w:t>
      </w:r>
      <w:r w:rsidR="00792445">
        <w:rPr>
          <w:rFonts w:ascii="Times New Roman" w:hAnsi="Times New Roman" w:cs="Times New Roman"/>
          <w:sz w:val="20"/>
          <w:szCs w:val="20"/>
        </w:rPr>
        <w:t xml:space="preserve"> See also T. Eruvin 5:11: </w:t>
      </w:r>
      <w:r w:rsidR="00792445">
        <w:rPr>
          <w:rFonts w:ascii="SBL Greek" w:hAnsi="SBL Greek" w:cs="Times New Roman"/>
          <w:sz w:val="20"/>
          <w:szCs w:val="20"/>
        </w:rPr>
        <w:t>“</w:t>
      </w:r>
      <w:r w:rsidR="00792445" w:rsidRPr="00792445">
        <w:rPr>
          <w:rFonts w:ascii="Times New Roman" w:hAnsi="Times New Roman" w:cs="Times New Roman"/>
          <w:sz w:val="20"/>
          <w:szCs w:val="20"/>
        </w:rPr>
        <w:t>A house where a</w:t>
      </w:r>
      <w:r w:rsidR="00792445">
        <w:rPr>
          <w:rFonts w:ascii="Times New Roman" w:hAnsi="Times New Roman" w:cs="Times New Roman"/>
          <w:sz w:val="20"/>
          <w:szCs w:val="20"/>
        </w:rPr>
        <w:t xml:space="preserve">n </w:t>
      </w:r>
      <w:r w:rsidR="00792445" w:rsidRPr="00792445">
        <w:rPr>
          <w:rFonts w:ascii="Times New Roman" w:hAnsi="Times New Roman" w:cs="Times New Roman"/>
          <w:i/>
          <w:iCs/>
          <w:sz w:val="20"/>
          <w:szCs w:val="20"/>
        </w:rPr>
        <w:t>eruv</w:t>
      </w:r>
      <w:r w:rsidR="00792445" w:rsidRPr="00792445">
        <w:rPr>
          <w:rFonts w:ascii="Times New Roman" w:hAnsi="Times New Roman" w:cs="Times New Roman"/>
          <w:sz w:val="20"/>
          <w:szCs w:val="20"/>
        </w:rPr>
        <w:t xml:space="preserve"> is placed does not need to set aside a loaf of bread</w:t>
      </w:r>
      <w:r w:rsidR="00792445">
        <w:rPr>
          <w:rFonts w:ascii="Times New Roman" w:hAnsi="Times New Roman" w:cs="Times New Roman"/>
          <w:sz w:val="20"/>
          <w:szCs w:val="20"/>
        </w:rPr>
        <w:t xml:space="preserve"> [for the </w:t>
      </w:r>
      <w:r w:rsidR="00792445" w:rsidRPr="00792445">
        <w:rPr>
          <w:rFonts w:ascii="Times New Roman" w:hAnsi="Times New Roman" w:cs="Times New Roman"/>
          <w:i/>
          <w:iCs/>
          <w:sz w:val="20"/>
          <w:szCs w:val="20"/>
        </w:rPr>
        <w:t>eruv</w:t>
      </w:r>
      <w:r w:rsidR="00792445">
        <w:rPr>
          <w:rFonts w:ascii="Times New Roman" w:hAnsi="Times New Roman" w:cs="Times New Roman"/>
          <w:sz w:val="20"/>
          <w:szCs w:val="20"/>
        </w:rPr>
        <w:t>].</w:t>
      </w:r>
      <w:r w:rsidR="00792445">
        <w:rPr>
          <w:rFonts w:ascii="SBL Greek" w:hAnsi="SBL Greek" w:cs="Times New Roman"/>
          <w:sz w:val="20"/>
          <w:szCs w:val="20"/>
        </w:rPr>
        <w:t>”</w:t>
      </w:r>
    </w:p>
    <w:bookmarkEnd w:id="9"/>
  </w:footnote>
  <w:footnote w:id="34">
    <w:p w14:paraId="067664C3" w14:textId="075CC733" w:rsidR="00230B3C" w:rsidRPr="009375E5" w:rsidRDefault="00230B3C" w:rsidP="00314F27">
      <w:pPr>
        <w:pStyle w:val="aa"/>
        <w:bidi w:val="0"/>
        <w:jc w:val="both"/>
        <w:rPr>
          <w:rFonts w:asciiTheme="majorBidi" w:hAnsiTheme="majorBidi" w:cstheme="majorBidi"/>
          <w:rtl/>
        </w:rPr>
      </w:pPr>
      <w:r w:rsidRPr="00CD6C45">
        <w:rPr>
          <w:rStyle w:val="a5"/>
          <w:rFonts w:asciiTheme="majorBidi" w:hAnsiTheme="majorBidi" w:cstheme="majorBidi"/>
          <w:b w:val="0"/>
          <w:bCs w:val="0"/>
          <w:sz w:val="20"/>
          <w:szCs w:val="20"/>
          <w:vertAlign w:val="baseline"/>
        </w:rPr>
        <w:footnoteRef/>
      </w:r>
      <w:r w:rsidR="008D3F0E" w:rsidRPr="00CD6C45">
        <w:rPr>
          <w:rFonts w:asciiTheme="majorBidi" w:hAnsiTheme="majorBidi" w:cstheme="majorBidi"/>
          <w:b w:val="0"/>
          <w:bCs w:val="0"/>
          <w:sz w:val="20"/>
          <w:szCs w:val="20"/>
        </w:rPr>
        <w:t>.</w:t>
      </w:r>
      <w:r w:rsidRPr="00AA0508">
        <w:rPr>
          <w:b w:val="0"/>
          <w:bCs w:val="0"/>
        </w:rPr>
        <w:t xml:space="preserve"> </w:t>
      </w:r>
      <w:r w:rsidR="00F54426" w:rsidRPr="00AA0508">
        <w:rPr>
          <w:rFonts w:asciiTheme="majorBidi" w:hAnsiTheme="majorBidi" w:cstheme="majorBidi"/>
          <w:b w:val="0"/>
          <w:bCs w:val="0"/>
          <w:sz w:val="20"/>
          <w:szCs w:val="20"/>
        </w:rPr>
        <w:t xml:space="preserve">Eliezer </w:t>
      </w:r>
      <w:r w:rsidR="00F54426" w:rsidRPr="00AA0508">
        <w:rPr>
          <w:rFonts w:ascii="Times New Roman" w:hAnsi="Times New Roman" w:cs="Times New Roman"/>
          <w:b w:val="0"/>
          <w:bCs w:val="0"/>
          <w:sz w:val="20"/>
          <w:szCs w:val="20"/>
        </w:rPr>
        <w:t>Bugrad, 22-24. Bugrad was influenced by the comments of Menachem ha-Meiri in his commentary on the Babylonian Talmud who emphasized the fact that the Babylonian Talmud gives a different reason for the law and comes close to ignoring the reason that the Mishnah itself gives. According to the Meiri, while</w:t>
      </w:r>
      <w:r w:rsidR="00F54426" w:rsidRPr="009375E5">
        <w:rPr>
          <w:rFonts w:ascii="Times New Roman" w:hAnsi="Times New Roman" w:cs="Times New Roman"/>
          <w:b w:val="0"/>
          <w:bCs w:val="0"/>
          <w:sz w:val="20"/>
          <w:szCs w:val="20"/>
        </w:rPr>
        <w:t xml:space="preserve"> </w:t>
      </w:r>
      <w:r w:rsidR="00F54426" w:rsidRPr="009375E5">
        <w:rPr>
          <w:rFonts w:asciiTheme="majorBidi" w:hAnsiTheme="majorBidi" w:cstheme="majorBidi"/>
          <w:b w:val="0"/>
          <w:bCs w:val="0"/>
          <w:sz w:val="20"/>
          <w:szCs w:val="20"/>
        </w:rPr>
        <w:t xml:space="preserve">the reason of </w:t>
      </w:r>
      <w:r w:rsidR="00F54426" w:rsidRPr="009375E5">
        <w:rPr>
          <w:rFonts w:asciiTheme="majorBidi" w:hAnsiTheme="majorBidi" w:cstheme="majorBidi"/>
          <w:b w:val="0"/>
          <w:bCs w:val="0"/>
          <w:i/>
          <w:iCs/>
          <w:sz w:val="20"/>
          <w:szCs w:val="20"/>
        </w:rPr>
        <w:t xml:space="preserve">mipenei darkhei shalom </w:t>
      </w:r>
      <w:r w:rsidR="00F54426" w:rsidRPr="009375E5">
        <w:rPr>
          <w:rFonts w:asciiTheme="majorBidi" w:hAnsiTheme="majorBidi" w:cstheme="majorBidi"/>
          <w:b w:val="0"/>
          <w:bCs w:val="0"/>
          <w:sz w:val="20"/>
          <w:szCs w:val="20"/>
        </w:rPr>
        <w:t xml:space="preserve">may not be the strongest explanation, since this is the reason given in the Mishnah it is therefore the preferable one. For the Meiri’s comments see Kalman Shlezinger, ed. </w:t>
      </w:r>
      <w:r w:rsidR="00F54426" w:rsidRPr="009375E5">
        <w:rPr>
          <w:rFonts w:asciiTheme="majorBidi" w:hAnsiTheme="majorBidi" w:cstheme="majorBidi"/>
          <w:b w:val="0"/>
          <w:bCs w:val="0"/>
          <w:i/>
          <w:iCs/>
          <w:sz w:val="20"/>
          <w:szCs w:val="20"/>
        </w:rPr>
        <w:t xml:space="preserve">Beit Ha-Bechirah al Massechet Gittin </w:t>
      </w:r>
      <w:r w:rsidR="00F54426" w:rsidRPr="009375E5">
        <w:rPr>
          <w:rFonts w:asciiTheme="majorBidi" w:hAnsiTheme="majorBidi" w:cstheme="majorBidi"/>
          <w:b w:val="0"/>
          <w:bCs w:val="0"/>
          <w:sz w:val="20"/>
          <w:szCs w:val="20"/>
        </w:rPr>
        <w:t xml:space="preserve">(New York: Feldheim, 1956), 248-49. On the Meiri’s interpretation </w:t>
      </w:r>
      <w:r w:rsidR="00F54426" w:rsidRPr="00B33ABD">
        <w:rPr>
          <w:rFonts w:asciiTheme="majorBidi" w:hAnsiTheme="majorBidi" w:cstheme="majorBidi"/>
          <w:b w:val="0"/>
          <w:bCs w:val="0"/>
          <w:sz w:val="20"/>
          <w:szCs w:val="20"/>
        </w:rPr>
        <w:t xml:space="preserve">see </w:t>
      </w:r>
      <w:r w:rsidR="00C07AC8" w:rsidRPr="00B33ABD">
        <w:rPr>
          <w:rFonts w:asciiTheme="majorBidi" w:hAnsiTheme="majorBidi" w:cstheme="majorBidi"/>
          <w:b w:val="0"/>
          <w:bCs w:val="0"/>
          <w:sz w:val="20"/>
          <w:szCs w:val="20"/>
        </w:rPr>
        <w:t xml:space="preserve">Sagit </w:t>
      </w:r>
      <w:r w:rsidR="00F54426" w:rsidRPr="00B33ABD">
        <w:rPr>
          <w:rFonts w:asciiTheme="majorBidi" w:hAnsiTheme="majorBidi" w:cstheme="majorBidi"/>
          <w:b w:val="0"/>
          <w:bCs w:val="0"/>
          <w:sz w:val="20"/>
          <w:szCs w:val="20"/>
        </w:rPr>
        <w:t xml:space="preserve">Mor, </w:t>
      </w:r>
      <w:r w:rsidR="009375E5" w:rsidRPr="00B33ABD">
        <w:rPr>
          <w:rFonts w:asciiTheme="majorBidi" w:hAnsiTheme="majorBidi" w:cstheme="majorBidi"/>
          <w:b w:val="0"/>
          <w:bCs w:val="0"/>
          <w:sz w:val="20"/>
          <w:szCs w:val="20"/>
        </w:rPr>
        <w:t>“Tikkun HaOlam” in the Thought of the Sages [Hebrew] (Disertation), Ha’Universita Ha’Ivrit, 2003:</w:t>
      </w:r>
      <w:r w:rsidR="004F3DDD" w:rsidRPr="00B33ABD">
        <w:rPr>
          <w:rFonts w:asciiTheme="majorBidi" w:hAnsiTheme="majorBidi" w:cstheme="majorBidi"/>
          <w:b w:val="0"/>
          <w:bCs w:val="0"/>
          <w:sz w:val="20"/>
          <w:szCs w:val="20"/>
        </w:rPr>
        <w:t xml:space="preserve"> </w:t>
      </w:r>
      <w:r w:rsidR="00F54426" w:rsidRPr="00B33ABD">
        <w:rPr>
          <w:rFonts w:asciiTheme="majorBidi" w:hAnsiTheme="majorBidi" w:cstheme="majorBidi"/>
          <w:b w:val="0"/>
          <w:bCs w:val="0"/>
          <w:sz w:val="20"/>
          <w:szCs w:val="20"/>
        </w:rPr>
        <w:t>211, n. 29.</w:t>
      </w:r>
      <w:r w:rsidR="00F54426" w:rsidRPr="009375E5">
        <w:rPr>
          <w:rFonts w:asciiTheme="majorBidi" w:hAnsiTheme="majorBidi" w:cstheme="majorBidi"/>
          <w:sz w:val="20"/>
          <w:szCs w:val="20"/>
        </w:rPr>
        <w:t xml:space="preserve"> </w:t>
      </w:r>
    </w:p>
  </w:footnote>
  <w:footnote w:id="35">
    <w:p w14:paraId="447A6D39" w14:textId="77777777" w:rsidR="00EC0EAF" w:rsidRPr="00136BFF" w:rsidRDefault="00EC0EAF" w:rsidP="00314F27">
      <w:pPr>
        <w:pStyle w:val="a3"/>
        <w:jc w:val="both"/>
        <w:rPr>
          <w:rFonts w:asciiTheme="majorBidi" w:hAnsiTheme="majorBidi" w:cstheme="majorBidi"/>
          <w:rtl/>
          <w:lang w:bidi="he-IL"/>
        </w:rPr>
      </w:pPr>
      <w:r w:rsidRPr="00136BFF">
        <w:rPr>
          <w:rFonts w:asciiTheme="majorBidi" w:hAnsiTheme="majorBidi" w:cstheme="majorBidi"/>
        </w:rPr>
        <w:footnoteRef/>
      </w:r>
      <w:r w:rsidRPr="00136BFF">
        <w:rPr>
          <w:rFonts w:asciiTheme="majorBidi" w:hAnsiTheme="majorBidi" w:cstheme="majorBidi"/>
        </w:rPr>
        <w:t>. Another example may be seen in the passage in Y. Shevi‘it 5:9 (36a), concerning M. Shevi‘it 5:9: “A woman may lend to another who is suspected of not observing the Sabbatical year a fan or sieve or a hand mill or a stove, but she should not sift or grind with her.” R. Zeira harmonizes this halakhah with previously established rules following the school of Hillel (5:7–8) “This is the general rule: any implement is forbidden whose sole use is one that transgresses, but it is allowed if its use may be either one forbidden or one permissible […] One may sell him produce even in time of sowing […] But if [it is known that these are required] expressly [to transgress the law of the Seventh Year] they are forbidden.” Thus, R. Zeira obtains two outcomes. He bases the halakhah on a rule inherent to the legal category in which it deals and obviates the need for the “ways of peace” rationale, and he limits the Mishnah’s dispensation to lend implements to a woman who is suspected of not observing the sabbatical year.</w:t>
      </w:r>
    </w:p>
  </w:footnote>
  <w:footnote w:id="36">
    <w:p w14:paraId="27BCF17C" w14:textId="77777777" w:rsidR="00EC0EAF" w:rsidRPr="00136BFF" w:rsidRDefault="00EC0EAF" w:rsidP="00314F27">
      <w:pPr>
        <w:pStyle w:val="a3"/>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The order of these halakhot</w:t>
      </w:r>
      <w:r w:rsidRPr="00136BFF">
        <w:rPr>
          <w:rFonts w:asciiTheme="majorBidi" w:hAnsiTheme="majorBidi" w:cstheme="majorBidi"/>
          <w:i/>
          <w:iCs/>
        </w:rPr>
        <w:t xml:space="preserve"> </w:t>
      </w:r>
      <w:r w:rsidRPr="00136BFF">
        <w:rPr>
          <w:rFonts w:asciiTheme="majorBidi" w:hAnsiTheme="majorBidi" w:cstheme="majorBidi"/>
        </w:rPr>
        <w:t xml:space="preserve">varies in different manuscripts of the Mishnah; similarly, the opinion of R. Yose is missing in Halakhah 1 of the Kaufmann manuscript but is found in other manuscripts. See David Weiss Halivni, </w:t>
      </w:r>
      <w:r w:rsidRPr="00136BFF">
        <w:rPr>
          <w:rFonts w:asciiTheme="majorBidi" w:hAnsiTheme="majorBidi" w:cstheme="majorBidi"/>
          <w:i/>
          <w:iCs/>
        </w:rPr>
        <w:t>Sources and Traditions: A Source Critical Commentary on Seder Nashim</w:t>
      </w:r>
      <w:r w:rsidRPr="00136BFF">
        <w:rPr>
          <w:rFonts w:asciiTheme="majorBidi" w:hAnsiTheme="majorBidi" w:cstheme="majorBidi"/>
        </w:rPr>
        <w:t xml:space="preserve"> [Hebrew] (Toronto: Otsreinu, 1968), 678.</w:t>
      </w:r>
    </w:p>
  </w:footnote>
  <w:footnote w:id="37">
    <w:p w14:paraId="1688EA5B" w14:textId="77777777" w:rsidR="00EC0EAF" w:rsidRPr="00136BFF" w:rsidRDefault="00EC0EAF" w:rsidP="00314F27">
      <w:pPr>
        <w:pStyle w:val="a3"/>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w:t>
      </w:r>
      <w:r w:rsidRPr="00136BFF">
        <w:rPr>
          <w:rFonts w:asciiTheme="majorBidi" w:hAnsiTheme="majorBidi" w:cstheme="majorBidi"/>
          <w:color w:val="000000"/>
        </w:rPr>
        <w:t xml:space="preserve">For property acquisition by deaf-mutes, idiots, and minors, see M. Bava Kamma </w:t>
      </w:r>
      <w:r w:rsidRPr="00136BFF">
        <w:rPr>
          <w:rFonts w:asciiTheme="majorBidi" w:hAnsiTheme="majorBidi" w:cstheme="majorBidi"/>
        </w:rPr>
        <w:t xml:space="preserve">4:4; 6:4. </w:t>
      </w:r>
    </w:p>
  </w:footnote>
  <w:footnote w:id="38">
    <w:p w14:paraId="1D936367" w14:textId="77777777" w:rsidR="00EC0EAF" w:rsidRDefault="00EC0EAF" w:rsidP="00314F27">
      <w:pPr>
        <w:pStyle w:val="a3"/>
        <w:jc w:val="both"/>
      </w:pPr>
      <w:r w:rsidRPr="007533E6">
        <w:rPr>
          <w:rStyle w:val="a5"/>
          <w:vertAlign w:val="baseline"/>
        </w:rPr>
        <w:footnoteRef/>
      </w:r>
      <w:r>
        <w:t xml:space="preserve">. </w:t>
      </w:r>
      <w:r>
        <w:rPr>
          <w:rFonts w:asciiTheme="majorBidi" w:hAnsiTheme="majorBidi" w:cstheme="majorBidi"/>
          <w:color w:val="000000"/>
          <w:szCs w:val="24"/>
        </w:rPr>
        <w:t>N</w:t>
      </w:r>
      <w:r w:rsidRPr="00136BFF">
        <w:rPr>
          <w:rFonts w:asciiTheme="majorBidi" w:hAnsiTheme="majorBidi" w:cstheme="majorBidi"/>
          <w:color w:val="000000"/>
          <w:szCs w:val="24"/>
        </w:rPr>
        <w:t xml:space="preserve">ote that the individuals at issue in these halakhot are poor people who are gathering </w:t>
      </w:r>
      <w:r w:rsidRPr="00136BFF">
        <w:rPr>
          <w:rFonts w:asciiTheme="majorBidi" w:hAnsiTheme="majorBidi" w:cstheme="majorBidi"/>
          <w:i/>
          <w:iCs/>
          <w:color w:val="000000"/>
          <w:szCs w:val="24"/>
        </w:rPr>
        <w:t>pe’ah</w:t>
      </w:r>
      <w:r w:rsidRPr="00136BFF">
        <w:rPr>
          <w:rFonts w:asciiTheme="majorBidi" w:hAnsiTheme="majorBidi" w:cstheme="majorBidi"/>
          <w:color w:val="000000"/>
          <w:szCs w:val="24"/>
        </w:rPr>
        <w:t xml:space="preserve"> or forgotten fruit, and not the actual owner of the tree</w:t>
      </w:r>
      <w:r>
        <w:rPr>
          <w:rFonts w:asciiTheme="majorBidi" w:hAnsiTheme="majorBidi" w:cstheme="majorBidi"/>
          <w:color w:val="000000"/>
          <w:szCs w:val="24"/>
        </w:rPr>
        <w:t>.</w:t>
      </w:r>
    </w:p>
  </w:footnote>
  <w:footnote w:id="39">
    <w:p w14:paraId="3A591EB1" w14:textId="77777777" w:rsidR="00EC0EAF" w:rsidRPr="00136BFF" w:rsidRDefault="00EC0EAF" w:rsidP="00314F27">
      <w:pPr>
        <w:pStyle w:val="a3"/>
        <w:jc w:val="both"/>
        <w:rPr>
          <w:rFonts w:asciiTheme="majorBidi" w:hAnsiTheme="majorBidi" w:cstheme="majorBidi"/>
          <w:rtl/>
        </w:rPr>
      </w:pPr>
      <w:r w:rsidRPr="00136BFF">
        <w:rPr>
          <w:rFonts w:asciiTheme="majorBidi" w:hAnsiTheme="majorBidi" w:cstheme="majorBidi"/>
        </w:rPr>
        <w:footnoteRef/>
      </w:r>
      <w:r w:rsidRPr="00136BFF">
        <w:rPr>
          <w:rFonts w:asciiTheme="majorBidi" w:hAnsiTheme="majorBidi" w:cstheme="majorBidi"/>
        </w:rPr>
        <w:t xml:space="preserve">. For property laws that deal with the acquisition of various objects, see M. Kiddushin 1:4–5. </w:t>
      </w:r>
    </w:p>
  </w:footnote>
  <w:footnote w:id="40">
    <w:p w14:paraId="07FB2F97" w14:textId="77777777" w:rsidR="00EC0EAF" w:rsidRPr="00136BFF" w:rsidRDefault="00EC0EAF" w:rsidP="00314F27">
      <w:pPr>
        <w:bidi w:val="0"/>
        <w:spacing w:line="480" w:lineRule="auto"/>
        <w:jc w:val="both"/>
        <w:rPr>
          <w:rFonts w:asciiTheme="majorBidi" w:hAnsiTheme="majorBidi" w:cstheme="majorBidi"/>
          <w:sz w:val="20"/>
          <w:szCs w:val="20"/>
          <w:rtl/>
        </w:rPr>
      </w:pPr>
      <w:r w:rsidRPr="00136BFF">
        <w:rPr>
          <w:rFonts w:asciiTheme="majorBidi" w:hAnsiTheme="majorBidi" w:cstheme="majorBidi"/>
          <w:sz w:val="20"/>
          <w:szCs w:val="20"/>
        </w:rPr>
        <w:footnoteRef/>
      </w:r>
      <w:r w:rsidRPr="00136BFF">
        <w:rPr>
          <w:rFonts w:asciiTheme="majorBidi" w:hAnsiTheme="majorBidi" w:cstheme="majorBidi"/>
          <w:sz w:val="20"/>
          <w:szCs w:val="20"/>
        </w:rPr>
        <w:t xml:space="preserve">. For a similar law concerning finding, see T. Ḥullin 10:13, in Moses S. Zuckermandel, </w:t>
      </w:r>
      <w:r w:rsidRPr="00136BFF">
        <w:rPr>
          <w:rFonts w:asciiTheme="majorBidi" w:hAnsiTheme="majorBidi" w:cstheme="majorBidi"/>
          <w:i/>
          <w:iCs/>
          <w:sz w:val="20"/>
          <w:szCs w:val="20"/>
        </w:rPr>
        <w:t xml:space="preserve">Tosephta </w:t>
      </w:r>
      <w:r w:rsidRPr="00136BFF">
        <w:rPr>
          <w:rFonts w:asciiTheme="majorBidi" w:hAnsiTheme="majorBidi" w:cstheme="majorBidi"/>
          <w:sz w:val="20"/>
          <w:szCs w:val="20"/>
        </w:rPr>
        <w:t xml:space="preserve">(Jerusalem: Wahrmann Books, 1970), 512. </w:t>
      </w:r>
    </w:p>
  </w:footnote>
  <w:footnote w:id="41">
    <w:p w14:paraId="4A5D6BAD" w14:textId="77777777" w:rsidR="00EC0EAF" w:rsidRPr="00136BFF" w:rsidRDefault="00EC0EAF" w:rsidP="00314F27">
      <w:pPr>
        <w:pStyle w:val="a3"/>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Y. Gittin 5:8 (47a–b), in Yaakov Sussmann (ed.), </w:t>
      </w:r>
      <w:r w:rsidRPr="00136BFF">
        <w:rPr>
          <w:rFonts w:asciiTheme="majorBidi" w:hAnsiTheme="majorBidi" w:cstheme="majorBidi"/>
          <w:i/>
          <w:iCs/>
        </w:rPr>
        <w:t>Talmud Yerushalmi</w:t>
      </w:r>
      <w:r w:rsidRPr="00136BFF">
        <w:rPr>
          <w:rFonts w:asciiTheme="majorBidi" w:hAnsiTheme="majorBidi" w:cstheme="majorBidi"/>
        </w:rPr>
        <w:t xml:space="preserve"> (Jerusalem: Academy of the Hebrew Language, 2001), 1078; Y. Eruvin 7:6 (24c), idem., 485. In B. Gittin 61a, R. Hisda interprets the difference between the methods as follows: “What difference does it make? To reclaim [the object] in court.”</w:t>
      </w:r>
    </w:p>
  </w:footnote>
  <w:footnote w:id="42">
    <w:p w14:paraId="7CF8B20C" w14:textId="77777777" w:rsidR="00EC0EAF" w:rsidRPr="00136BFF" w:rsidRDefault="00EC0EAF" w:rsidP="00314F27">
      <w:pPr>
        <w:pStyle w:val="a3"/>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The way rabbis in ensuing generations expressed R. Yose’s thinking—“The sages have made those who are not allowed—to be permitted” (see B. Gittin 30a, B. Bekhorot 18a, B. Bava Meẓia 12a–b)—indicates that, in their opinion, R. Yose does distort the letter of the law.</w:t>
      </w:r>
    </w:p>
  </w:footnote>
  <w:footnote w:id="43">
    <w:p w14:paraId="6BD36D45" w14:textId="77777777" w:rsidR="00EC0EAF" w:rsidRPr="00136BFF" w:rsidRDefault="00EC0EAF" w:rsidP="00314F27">
      <w:pPr>
        <w:pStyle w:val="a3"/>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On the place of “justice” in R. Yose’s halakhic view, see Avigdor Unna</w:t>
      </w:r>
      <w:r w:rsidRPr="00136BFF">
        <w:rPr>
          <w:rFonts w:asciiTheme="majorBidi" w:hAnsiTheme="majorBidi" w:cstheme="majorBidi"/>
          <w:i/>
          <w:iCs/>
        </w:rPr>
        <w:t>, Itim Lamishnah: Studies in the Six Orders of the Mishnah</w:t>
      </w:r>
      <w:r w:rsidRPr="00136BFF">
        <w:rPr>
          <w:rFonts w:asciiTheme="majorBidi" w:hAnsiTheme="majorBidi" w:cstheme="majorBidi"/>
          <w:lang w:val="en-AU" w:bidi="ar-EG"/>
        </w:rPr>
        <w:t xml:space="preserve"> [Hebrew]</w:t>
      </w:r>
      <w:r w:rsidRPr="00136BFF">
        <w:rPr>
          <w:rFonts w:asciiTheme="majorBidi" w:hAnsiTheme="majorBidi" w:cstheme="majorBidi"/>
        </w:rPr>
        <w:t xml:space="preserve"> (Jerusalem: Rubin Mass, 1982), 106–10. For an analysis of similar positions in a different disagreement between R. Yose and the </w:t>
      </w:r>
      <w:r w:rsidRPr="00136BFF">
        <w:rPr>
          <w:rFonts w:asciiTheme="majorBidi" w:hAnsiTheme="majorBidi" w:cstheme="majorBidi"/>
          <w:i/>
          <w:iCs/>
        </w:rPr>
        <w:t>tanna kamma</w:t>
      </w:r>
      <w:r w:rsidRPr="00136BFF">
        <w:rPr>
          <w:rFonts w:asciiTheme="majorBidi" w:hAnsiTheme="majorBidi" w:cstheme="majorBidi"/>
        </w:rPr>
        <w:t xml:space="preserve">, see Yair Lorberbaum, “On Rules and Reasons in Law and Halakhah” [Hebrew], </w:t>
      </w:r>
      <w:r w:rsidRPr="00136BFF">
        <w:rPr>
          <w:rFonts w:asciiTheme="majorBidi" w:hAnsiTheme="majorBidi" w:cstheme="majorBidi"/>
          <w:i/>
          <w:iCs/>
        </w:rPr>
        <w:t>Jerusalem Studies in Jewish Thought</w:t>
      </w:r>
      <w:r w:rsidRPr="00136BFF">
        <w:rPr>
          <w:rFonts w:asciiTheme="majorBidi" w:hAnsiTheme="majorBidi" w:cstheme="majorBidi"/>
        </w:rPr>
        <w:t xml:space="preserve"> </w:t>
      </w:r>
      <w:r w:rsidRPr="00D57A1D">
        <w:rPr>
          <w:rFonts w:asciiTheme="majorBidi" w:hAnsiTheme="majorBidi" w:cstheme="majorBidi"/>
          <w:rtl/>
          <w:lang w:bidi="syr-SY"/>
        </w:rPr>
        <w:t>26</w:t>
      </w:r>
      <w:r w:rsidRPr="00136BFF">
        <w:rPr>
          <w:rFonts w:asciiTheme="majorBidi" w:hAnsiTheme="majorBidi" w:cstheme="majorBidi"/>
          <w:i/>
          <w:iCs/>
        </w:rPr>
        <w:t xml:space="preserve"> </w:t>
      </w:r>
      <w:r>
        <w:rPr>
          <w:rFonts w:asciiTheme="majorBidi" w:hAnsiTheme="majorBidi" w:cstheme="majorBidi"/>
        </w:rPr>
        <w:t>(forthcoming)</w:t>
      </w:r>
      <w:r w:rsidRPr="00136BFF">
        <w:rPr>
          <w:rFonts w:asciiTheme="majorBidi" w:hAnsiTheme="majorBidi" w:cstheme="majorBidi"/>
        </w:rPr>
        <w:t>.</w:t>
      </w:r>
    </w:p>
  </w:footnote>
  <w:footnote w:id="44">
    <w:p w14:paraId="715EAAEF" w14:textId="77777777" w:rsidR="006E53C6" w:rsidRDefault="00636DF4" w:rsidP="00314F27">
      <w:pPr>
        <w:pStyle w:val="a7"/>
        <w:spacing w:line="480" w:lineRule="auto"/>
        <w:ind w:left="0" w:firstLine="0"/>
        <w:jc w:val="both"/>
        <w:rPr>
          <w:lang w:bidi="he-IL"/>
        </w:rPr>
      </w:pPr>
      <w:r>
        <w:rPr>
          <w:rStyle w:val="a5"/>
        </w:rPr>
        <w:footnoteRef/>
      </w:r>
      <w:r w:rsidR="00866EDF">
        <w:rPr>
          <w:lang w:bidi="he-IL"/>
        </w:rPr>
        <w:t xml:space="preserve"> </w:t>
      </w:r>
      <w:r w:rsidR="00866EDF" w:rsidRPr="00866EDF">
        <w:rPr>
          <w:lang w:bidi="he-IL"/>
        </w:rPr>
        <w:t>Additional laws that reflect the pragmatic approach we have not discussed here</w:t>
      </w:r>
      <w:r w:rsidRPr="00E05D7A">
        <w:rPr>
          <w:lang w:bidi="he-IL"/>
        </w:rPr>
        <w:t xml:space="preserve">, for example, are: “The pit which is nearest the [head of the] watercourse is filled from it first.” (mGitt. 5:8); </w:t>
      </w:r>
      <w:r w:rsidRPr="00E05D7A">
        <w:rPr>
          <w:rFonts w:ascii="SBL Greek" w:hAnsi="SBL Greek"/>
          <w:lang w:bidi="he-IL"/>
        </w:rPr>
        <w:t>“</w:t>
      </w:r>
      <w:r w:rsidRPr="00E05D7A">
        <w:rPr>
          <w:lang w:bidi="he-IL"/>
        </w:rPr>
        <w:t>The Sages taught [in a Baraita]: Pigeons of a dovecote and pigeons of an attic are subject to the obligation of sending away the mother bird, because they are ownerless and therefore not considered readily available. But nevertheless, they are subject to the prohibition of robbery due to a rabbinic ordinance to maintain the ways of peace</w:t>
      </w:r>
      <w:r w:rsidRPr="00E05D7A">
        <w:rPr>
          <w:rFonts w:ascii="SBL Greek" w:hAnsi="SBL Greek"/>
          <w:lang w:bidi="he-IL"/>
        </w:rPr>
        <w:t>”</w:t>
      </w:r>
      <w:r w:rsidRPr="00E05D7A">
        <w:rPr>
          <w:lang w:bidi="he-IL"/>
        </w:rPr>
        <w:t xml:space="preserve"> (</w:t>
      </w:r>
      <w:r w:rsidRPr="00E05D7A">
        <w:rPr>
          <w:u w:val="single"/>
          <w:lang w:bidi="he-IL"/>
        </w:rPr>
        <w:t>Tb Hulin</w:t>
      </w:r>
      <w:r w:rsidRPr="00E05D7A">
        <w:rPr>
          <w:lang w:bidi="he-IL"/>
        </w:rPr>
        <w:t xml:space="preserve"> 141:2)</w:t>
      </w:r>
      <w:r w:rsidR="00D911E3">
        <w:rPr>
          <w:lang w:bidi="he-IL"/>
        </w:rPr>
        <w:t>;</w:t>
      </w:r>
      <w:r w:rsidRPr="00E05D7A">
        <w:rPr>
          <w:lang w:bidi="he-IL"/>
        </w:rPr>
        <w:t xml:space="preserve"> </w:t>
      </w:r>
    </w:p>
    <w:p w14:paraId="3181D7C7" w14:textId="453E308A" w:rsidR="00636DF4" w:rsidRPr="00D911E3" w:rsidRDefault="00D911E3" w:rsidP="00314F27">
      <w:pPr>
        <w:pStyle w:val="a7"/>
        <w:spacing w:line="480" w:lineRule="auto"/>
        <w:ind w:left="0" w:firstLine="0"/>
        <w:jc w:val="both"/>
        <w:rPr>
          <w:rFonts w:cstheme="minorBidi"/>
          <w:lang w:bidi="he-IL"/>
        </w:rPr>
      </w:pPr>
      <w:r>
        <w:t xml:space="preserve"> </w:t>
      </w:r>
      <w:r w:rsidRPr="00D911E3">
        <w:rPr>
          <w:rFonts w:ascii="David" w:hAnsi="David" w:cs="David"/>
          <w:rtl/>
          <w:lang w:bidi="he-IL"/>
        </w:rPr>
        <w:t xml:space="preserve">הלכות </w:t>
      </w:r>
      <w:r>
        <w:rPr>
          <w:rFonts w:ascii="David" w:hAnsi="David" w:cs="David" w:hint="cs"/>
          <w:rtl/>
          <w:lang w:bidi="he-IL"/>
        </w:rPr>
        <w:t xml:space="preserve">אחרות </w:t>
      </w:r>
      <w:r w:rsidRPr="00D911E3">
        <w:rPr>
          <w:rFonts w:ascii="David" w:hAnsi="David" w:cs="David"/>
          <w:rtl/>
          <w:lang w:bidi="he-IL"/>
        </w:rPr>
        <w:t>הן אלו שעוסקות ביחסים בין שכנות על</w:t>
      </w:r>
      <w:r>
        <w:rPr>
          <w:rFonts w:cstheme="minorBidi" w:hint="cs"/>
          <w:rtl/>
          <w:lang w:bidi="he-IL"/>
        </w:rPr>
        <w:t xml:space="preserve"> </w:t>
      </w:r>
      <w:r w:rsidRPr="00D911E3">
        <w:rPr>
          <w:rFonts w:ascii="David" w:hAnsi="David" w:cs="David"/>
          <w:rtl/>
          <w:lang w:bidi="he-IL"/>
        </w:rPr>
        <w:t>רקע של הקפדה הלכתית שונה (</w:t>
      </w:r>
      <w:r w:rsidR="008A31D5">
        <w:rPr>
          <w:rFonts w:ascii="David" w:hAnsi="David" w:cs="David" w:hint="cs"/>
          <w:rtl/>
          <w:lang w:bidi="he-IL"/>
        </w:rPr>
        <w:t xml:space="preserve">יחסים בין </w:t>
      </w:r>
      <w:r w:rsidRPr="00D911E3">
        <w:rPr>
          <w:rFonts w:ascii="David" w:hAnsi="David" w:cs="David"/>
          <w:rtl/>
          <w:lang w:bidi="he-IL"/>
        </w:rPr>
        <w:t>'אשת חבר',</w:t>
      </w:r>
      <w:r w:rsidR="00B4573F">
        <w:rPr>
          <w:rFonts w:ascii="David" w:hAnsi="David" w:cs="David" w:hint="cs"/>
          <w:rtl/>
          <w:lang w:bidi="he-IL"/>
        </w:rPr>
        <w:t xml:space="preserve"> שמשתייכת אל זרם החכמים, עם</w:t>
      </w:r>
      <w:r w:rsidRPr="00D911E3">
        <w:rPr>
          <w:rFonts w:ascii="David" w:hAnsi="David" w:cs="David"/>
          <w:rtl/>
          <w:lang w:bidi="he-IL"/>
        </w:rPr>
        <w:t xml:space="preserve"> 'אשת עם הארץ'</w:t>
      </w:r>
      <w:r w:rsidR="00D06A78">
        <w:rPr>
          <w:rFonts w:ascii="David" w:hAnsi="David" w:cs="David" w:hint="cs"/>
          <w:rtl/>
          <w:lang w:bidi="he-IL"/>
        </w:rPr>
        <w:t xml:space="preserve"> שאינה מקפידה על דיני טהרה ועל הפרשת מעשרות מהיבול</w:t>
      </w:r>
      <w:r w:rsidR="00827336">
        <w:rPr>
          <w:rFonts w:ascii="David" w:hAnsi="David" w:cs="David" w:hint="cs"/>
          <w:rtl/>
          <w:lang w:bidi="he-IL"/>
        </w:rPr>
        <w:t>;</w:t>
      </w:r>
      <w:r w:rsidRPr="00D911E3">
        <w:rPr>
          <w:rFonts w:ascii="David" w:hAnsi="David" w:cs="David"/>
          <w:rtl/>
          <w:lang w:bidi="he-IL"/>
        </w:rPr>
        <w:t xml:space="preserve"> ו</w:t>
      </w:r>
      <w:r w:rsidR="00B4573F">
        <w:rPr>
          <w:rFonts w:ascii="David" w:hAnsi="David" w:cs="David" w:hint="cs"/>
          <w:rtl/>
          <w:lang w:bidi="he-IL"/>
        </w:rPr>
        <w:t xml:space="preserve">עם </w:t>
      </w:r>
      <w:r w:rsidRPr="00D911E3">
        <w:rPr>
          <w:rFonts w:ascii="David" w:hAnsi="David" w:cs="David"/>
          <w:rtl/>
          <w:lang w:bidi="he-IL"/>
        </w:rPr>
        <w:t>אישה ש</w:t>
      </w:r>
      <w:r w:rsidR="00827336">
        <w:rPr>
          <w:rFonts w:ascii="David" w:hAnsi="David" w:cs="David" w:hint="cs"/>
          <w:rtl/>
          <w:lang w:bidi="he-IL"/>
        </w:rPr>
        <w:t xml:space="preserve">אינה מקיימת את </w:t>
      </w:r>
      <w:r w:rsidRPr="00D911E3">
        <w:rPr>
          <w:rFonts w:ascii="David" w:hAnsi="David" w:cs="David"/>
          <w:rtl/>
          <w:lang w:bidi="he-IL"/>
        </w:rPr>
        <w:t xml:space="preserve">דיני </w:t>
      </w:r>
      <w:r w:rsidR="008A31D5">
        <w:rPr>
          <w:rFonts w:ascii="David" w:hAnsi="David" w:cs="David" w:hint="cs"/>
          <w:rtl/>
          <w:lang w:bidi="he-IL"/>
        </w:rPr>
        <w:t>שנת השמיטה</w:t>
      </w:r>
      <w:r w:rsidRPr="00D911E3">
        <w:rPr>
          <w:rFonts w:ascii="David" w:hAnsi="David" w:cs="David"/>
          <w:rtl/>
          <w:lang w:bidi="he-IL"/>
        </w:rPr>
        <w:t>), והלכות שעוסקות ביחסים עם גויים.</w:t>
      </w:r>
      <w:r w:rsidR="004E6B11">
        <w:rPr>
          <w:rFonts w:ascii="David" w:hAnsi="David" w:cs="David" w:hint="cs"/>
          <w:rtl/>
          <w:lang w:bidi="he-IL"/>
        </w:rPr>
        <w:t xml:space="preserve"> מעניין לציין כי </w:t>
      </w:r>
      <w:r w:rsidR="006E53C6">
        <w:rPr>
          <w:rFonts w:ascii="David" w:hAnsi="David" w:cs="David" w:hint="cs"/>
          <w:rtl/>
          <w:lang w:bidi="he-IL"/>
        </w:rPr>
        <w:t xml:space="preserve">בהלכות אלו </w:t>
      </w:r>
      <w:r w:rsidR="004E6B11">
        <w:rPr>
          <w:rFonts w:ascii="David" w:hAnsi="David" w:cs="David" w:hint="cs"/>
          <w:rtl/>
          <w:lang w:bidi="he-IL"/>
        </w:rPr>
        <w:t>לא מתלווה לשימוש בהנמק</w:t>
      </w:r>
      <w:r w:rsidR="006E53C6">
        <w:rPr>
          <w:rFonts w:ascii="David" w:hAnsi="David" w:cs="David" w:hint="cs"/>
          <w:rtl/>
          <w:lang w:bidi="he-IL"/>
        </w:rPr>
        <w:t>ה</w:t>
      </w:r>
      <w:r w:rsidR="004E6B11">
        <w:rPr>
          <w:rFonts w:ascii="David" w:hAnsi="David" w:cs="David" w:hint="cs"/>
          <w:rtl/>
          <w:lang w:bidi="he-IL"/>
        </w:rPr>
        <w:t xml:space="preserve"> 'מפני דרכי השלום' נימה ביקורתית או תרעומת, על אף שלכאורה הן 'מכשירות' </w:t>
      </w:r>
      <w:r w:rsidR="006E53C6">
        <w:rPr>
          <w:rFonts w:ascii="David" w:hAnsi="David" w:cs="David" w:hint="cs"/>
          <w:rtl/>
          <w:lang w:bidi="he-IL"/>
        </w:rPr>
        <w:t>הת</w:t>
      </w:r>
      <w:r w:rsidR="00D06A78">
        <w:rPr>
          <w:rFonts w:ascii="David" w:hAnsi="David" w:cs="David" w:hint="cs"/>
          <w:rtl/>
          <w:lang w:bidi="he-IL"/>
        </w:rPr>
        <w:t>נהגות</w:t>
      </w:r>
      <w:r w:rsidR="006E53C6">
        <w:rPr>
          <w:rFonts w:ascii="David" w:hAnsi="David" w:cs="David" w:hint="cs"/>
          <w:rtl/>
          <w:lang w:bidi="he-IL"/>
        </w:rPr>
        <w:t xml:space="preserve"> שלא על פי ההלכה (</w:t>
      </w:r>
      <w:r w:rsidR="00032754">
        <w:rPr>
          <w:rFonts w:ascii="David" w:hAnsi="David" w:cs="David" w:hint="cs"/>
          <w:rtl/>
          <w:lang w:bidi="he-IL"/>
        </w:rPr>
        <w:t xml:space="preserve">לפי פרשנותם </w:t>
      </w:r>
      <w:r w:rsidR="006E53C6">
        <w:rPr>
          <w:rFonts w:ascii="David" w:hAnsi="David" w:cs="David" w:hint="cs"/>
          <w:rtl/>
          <w:lang w:bidi="he-IL"/>
        </w:rPr>
        <w:t xml:space="preserve">של החכמים). </w:t>
      </w:r>
      <w:r w:rsidR="00346B6A">
        <w:rPr>
          <w:rFonts w:ascii="David" w:hAnsi="David" w:cs="David" w:hint="cs"/>
          <w:rtl/>
          <w:lang w:bidi="he-IL"/>
        </w:rPr>
        <w:t>בהלכות שעוסקות ביונים ו</w:t>
      </w:r>
      <w:r w:rsidRPr="00D911E3">
        <w:rPr>
          <w:rFonts w:ascii="David" w:hAnsi="David" w:cs="David"/>
          <w:rtl/>
          <w:lang w:bidi="he-IL"/>
        </w:rPr>
        <w:t>בהלכות שעוסקות ביחסי</w:t>
      </w:r>
      <w:r w:rsidR="00B4573F">
        <w:rPr>
          <w:rFonts w:ascii="David" w:hAnsi="David" w:cs="David" w:hint="cs"/>
          <w:rtl/>
          <w:lang w:bidi="he-IL"/>
        </w:rPr>
        <w:t xml:space="preserve"> הנשים</w:t>
      </w:r>
      <w:r w:rsidRPr="00D911E3">
        <w:rPr>
          <w:rFonts w:ascii="David" w:hAnsi="David" w:cs="David"/>
          <w:rtl/>
          <w:lang w:bidi="he-IL"/>
        </w:rPr>
        <w:t xml:space="preserve"> בתוך הקהילה היהודית עסקתי במאמר</w:t>
      </w:r>
      <w:r w:rsidR="00B4573F">
        <w:rPr>
          <w:rFonts w:ascii="David" w:hAnsi="David" w:cs="David" w:hint="cs"/>
          <w:rtl/>
          <w:lang w:bidi="he-IL"/>
        </w:rPr>
        <w:t>י הנזכר לעיל</w:t>
      </w:r>
      <w:r w:rsidR="00E06CEA">
        <w:rPr>
          <w:rFonts w:ascii="David" w:hAnsi="David" w:cs="David" w:hint="cs"/>
          <w:rtl/>
          <w:lang w:bidi="he-IL"/>
        </w:rPr>
        <w:t xml:space="preserve"> </w:t>
      </w:r>
      <w:r w:rsidR="00931B46">
        <w:rPr>
          <w:rFonts w:ascii="David" w:hAnsi="David" w:cs="David" w:hint="cs"/>
          <w:rtl/>
          <w:lang w:bidi="he-IL"/>
        </w:rPr>
        <w:t>בהערה 5</w:t>
      </w:r>
      <w:r w:rsidRPr="00D911E3">
        <w:rPr>
          <w:rFonts w:ascii="David" w:hAnsi="David" w:cs="David"/>
          <w:rtl/>
          <w:lang w:bidi="he-IL"/>
        </w:rPr>
        <w:t xml:space="preserve">, ואילו להלכות </w:t>
      </w:r>
      <w:r w:rsidR="00931B46">
        <w:rPr>
          <w:rFonts w:ascii="David" w:hAnsi="David" w:cs="David" w:hint="cs"/>
          <w:rtl/>
          <w:lang w:bidi="he-IL"/>
        </w:rPr>
        <w:t>'</w:t>
      </w:r>
      <w:r w:rsidRPr="00D911E3">
        <w:rPr>
          <w:rFonts w:ascii="David" w:hAnsi="David" w:cs="David"/>
          <w:rtl/>
          <w:lang w:bidi="he-IL"/>
        </w:rPr>
        <w:t>דרכי השלום</w:t>
      </w:r>
      <w:r w:rsidR="00931B46">
        <w:rPr>
          <w:rFonts w:ascii="David" w:hAnsi="David" w:cs="David" w:hint="cs"/>
          <w:rtl/>
          <w:lang w:bidi="he-IL"/>
        </w:rPr>
        <w:t>'</w:t>
      </w:r>
      <w:r w:rsidRPr="00D911E3">
        <w:rPr>
          <w:rFonts w:ascii="David" w:hAnsi="David" w:cs="David"/>
          <w:rtl/>
          <w:lang w:bidi="he-IL"/>
        </w:rPr>
        <w:t xml:space="preserve"> עם גויים הוקדש מחקר רב בידי חוקרים אחרים. על כן לא </w:t>
      </w:r>
      <w:r w:rsidR="002E58AC">
        <w:rPr>
          <w:rFonts w:ascii="David" w:hAnsi="David" w:cs="David" w:hint="cs"/>
          <w:rtl/>
          <w:lang w:bidi="he-IL"/>
        </w:rPr>
        <w:t xml:space="preserve">אדון בהן </w:t>
      </w:r>
      <w:r w:rsidRPr="00D911E3">
        <w:rPr>
          <w:rFonts w:ascii="David" w:hAnsi="David" w:cs="David"/>
          <w:rtl/>
          <w:lang w:bidi="he-IL"/>
        </w:rPr>
        <w:t>כאן.</w:t>
      </w:r>
      <w:r w:rsidR="004E6B11">
        <w:rPr>
          <w:rFonts w:cstheme="minorBidi" w:hint="cs"/>
          <w:rtl/>
          <w:lang w:bidi="he-IL"/>
        </w:rPr>
        <w:t xml:space="preserve"> </w:t>
      </w:r>
    </w:p>
  </w:footnote>
  <w:footnote w:id="45">
    <w:p w14:paraId="2302B46E" w14:textId="34FBF367" w:rsidR="00D77E41" w:rsidRPr="00136BFF" w:rsidRDefault="00D77E41" w:rsidP="00314F27">
      <w:pPr>
        <w:pStyle w:val="a3"/>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w:t>
      </w:r>
      <w:r w:rsidRPr="00136BFF">
        <w:rPr>
          <w:rFonts w:asciiTheme="majorBidi" w:hAnsiTheme="majorBidi" w:cstheme="majorBidi"/>
          <w:szCs w:val="24"/>
        </w:rPr>
        <w:t>As noted above, I discuss</w:t>
      </w:r>
      <w:r w:rsidR="0047168D">
        <w:rPr>
          <w:rFonts w:asciiTheme="majorBidi" w:hAnsiTheme="majorBidi" w:cstheme="majorBidi"/>
          <w:szCs w:val="24"/>
        </w:rPr>
        <w:t>ed</w:t>
      </w:r>
      <w:r w:rsidRPr="00136BFF">
        <w:rPr>
          <w:rFonts w:asciiTheme="majorBidi" w:hAnsiTheme="majorBidi" w:cstheme="majorBidi"/>
          <w:szCs w:val="24"/>
        </w:rPr>
        <w:t xml:space="preserve"> these aggregates elsewhere and for this reason will not treat them here. I will emphasize, however, that by examining the data one realizes that the redactor of the Mishnah chose to omit laws that are reasoned in an essentially apologetic manner, and that he gathered together those laws that are rationalized on what appear to be pragmatic or value grounds.</w:t>
      </w:r>
    </w:p>
  </w:footnote>
  <w:footnote w:id="46">
    <w:p w14:paraId="39D0A844" w14:textId="77777777" w:rsidR="00D77E41" w:rsidRPr="00136BFF" w:rsidRDefault="00D77E41" w:rsidP="00314F27">
      <w:pPr>
        <w:pStyle w:val="a3"/>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See n. 1 above. The exegesis is presented with small differences in Jacob Nahum Halevi Epstein and Ezra Zion Melamed (eds.), </w:t>
      </w:r>
      <w:r w:rsidRPr="00136BFF">
        <w:rPr>
          <w:rFonts w:asciiTheme="majorBidi" w:hAnsiTheme="majorBidi" w:cstheme="majorBidi"/>
          <w:i/>
          <w:iCs/>
        </w:rPr>
        <w:t>Mekhilta D'Rabbi Sim‘on b. Jochai</w:t>
      </w:r>
      <w:r w:rsidRPr="00136BFF">
        <w:rPr>
          <w:rFonts w:asciiTheme="majorBidi" w:hAnsiTheme="majorBidi" w:cstheme="majorBidi"/>
        </w:rPr>
        <w:t xml:space="preserve"> (</w:t>
      </w:r>
      <w:r w:rsidRPr="00136BFF">
        <w:rPr>
          <w:rFonts w:asciiTheme="majorBidi" w:hAnsiTheme="majorBidi" w:cstheme="majorBidi"/>
          <w:lang w:bidi="he-IL"/>
        </w:rPr>
        <w:t>Jerusalem: Hillel Press, 1979)</w:t>
      </w:r>
      <w:r w:rsidRPr="00136BFF">
        <w:rPr>
          <w:rFonts w:asciiTheme="majorBidi" w:hAnsiTheme="majorBidi" w:cstheme="majorBidi"/>
        </w:rPr>
        <w:t xml:space="preserve">, 10. </w:t>
      </w:r>
    </w:p>
  </w:footnote>
  <w:footnote w:id="47">
    <w:p w14:paraId="14D41D69" w14:textId="77777777" w:rsidR="00D77E41" w:rsidRPr="00136BFF" w:rsidRDefault="00D77E41" w:rsidP="00314F27">
      <w:pPr>
        <w:pStyle w:val="a3"/>
        <w:jc w:val="both"/>
        <w:rPr>
          <w:rFonts w:asciiTheme="majorBidi" w:hAnsiTheme="majorBidi" w:cstheme="majorBidi"/>
          <w:rtl/>
        </w:rPr>
      </w:pPr>
      <w:r w:rsidRPr="00136BFF">
        <w:rPr>
          <w:rFonts w:asciiTheme="majorBidi" w:hAnsiTheme="majorBidi" w:cstheme="majorBidi"/>
        </w:rPr>
        <w:footnoteRef/>
      </w:r>
      <w:r w:rsidRPr="00136BFF">
        <w:rPr>
          <w:rFonts w:asciiTheme="majorBidi" w:hAnsiTheme="majorBidi" w:cstheme="majorBidi"/>
        </w:rPr>
        <w:t xml:space="preserve">. In the Hebrew, the expression is “his neighbor.” Here I depart from the Biblical translation in favor of the wording in </w:t>
      </w:r>
      <w:r w:rsidRPr="00136BFF">
        <w:rPr>
          <w:rFonts w:asciiTheme="majorBidi" w:hAnsiTheme="majorBidi" w:cstheme="majorBidi"/>
          <w:i/>
          <w:iCs/>
        </w:rPr>
        <w:t>Mekhilta,</w:t>
      </w:r>
      <w:r w:rsidRPr="00136BFF">
        <w:rPr>
          <w:rFonts w:asciiTheme="majorBidi" w:hAnsiTheme="majorBidi" w:cstheme="majorBidi"/>
        </w:rPr>
        <w:t xml:space="preserve"> which is more accurate relative to the wording of the verse that matters most for our purposes.</w:t>
      </w:r>
    </w:p>
  </w:footnote>
  <w:footnote w:id="48">
    <w:p w14:paraId="2878FD6B" w14:textId="77777777" w:rsidR="00D77E41" w:rsidRPr="00136BFF" w:rsidRDefault="00D77E41" w:rsidP="00314F27">
      <w:pPr>
        <w:pStyle w:val="a3"/>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The translation is based on W. David Nelson, </w:t>
      </w:r>
      <w:r w:rsidRPr="00136BFF">
        <w:rPr>
          <w:rFonts w:asciiTheme="majorBidi" w:hAnsiTheme="majorBidi" w:cstheme="majorBidi"/>
          <w:i/>
          <w:iCs/>
        </w:rPr>
        <w:t>Mekhilta De-Rabbi Shimon Bar Yohai: Translated into English, with Critical Introduction and Annotation</w:t>
      </w:r>
      <w:r w:rsidRPr="00136BFF">
        <w:rPr>
          <w:rFonts w:asciiTheme="majorBidi" w:hAnsiTheme="majorBidi" w:cstheme="majorBidi"/>
        </w:rPr>
        <w:t xml:space="preserve"> (Philadelphia: Jewish Publication Society, 2006), 16. I revised the translation in minor ways in accordance with Ms. Antonin 236.1. The translation is partly based on Genizah fragment New York JTS ENA 1340.4. </w:t>
      </w:r>
    </w:p>
  </w:footnote>
  <w:footnote w:id="49">
    <w:p w14:paraId="449EB528" w14:textId="77777777" w:rsidR="00D77E41" w:rsidRPr="00136BFF" w:rsidRDefault="00D77E41" w:rsidP="00314F27">
      <w:pPr>
        <w:pStyle w:val="a3"/>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The location of the verse in Exodus indicates that the Passover at issue is </w:t>
      </w:r>
      <w:r w:rsidRPr="00136BFF">
        <w:rPr>
          <w:rFonts w:asciiTheme="majorBidi" w:hAnsiTheme="majorBidi" w:cstheme="majorBidi"/>
          <w:i/>
          <w:iCs/>
        </w:rPr>
        <w:t>pesaḥ miẓrayim</w:t>
      </w:r>
      <w:r w:rsidRPr="00136BFF">
        <w:rPr>
          <w:rFonts w:asciiTheme="majorBidi" w:hAnsiTheme="majorBidi" w:cstheme="majorBidi"/>
        </w:rPr>
        <w:t xml:space="preserve">, the one-off festival celebrated in Egypt. Nevertheless, R. Yehudah ha-Nasi considers it necessary to emphasize this. Ben Bag Bag does not address himself to the “which Passover?” question. The redaction of his words in the </w:t>
      </w:r>
      <w:r w:rsidRPr="00136BFF">
        <w:rPr>
          <w:rFonts w:asciiTheme="majorBidi" w:hAnsiTheme="majorBidi" w:cstheme="majorBidi"/>
          <w:i/>
          <w:iCs/>
        </w:rPr>
        <w:t>Mekhilta</w:t>
      </w:r>
      <w:r w:rsidRPr="00136BFF">
        <w:rPr>
          <w:rFonts w:asciiTheme="majorBidi" w:hAnsiTheme="majorBidi" w:cstheme="majorBidi"/>
        </w:rPr>
        <w:t xml:space="preserve">, preceding those of R. Yehudah ha-Nasi, gives the impression that he is speaking of </w:t>
      </w:r>
      <w:r w:rsidRPr="00136BFF">
        <w:rPr>
          <w:rFonts w:asciiTheme="majorBidi" w:hAnsiTheme="majorBidi" w:cstheme="majorBidi"/>
          <w:i/>
          <w:iCs/>
        </w:rPr>
        <w:t>pesaḥ miẓrayim</w:t>
      </w:r>
      <w:r w:rsidRPr="00136BFF">
        <w:rPr>
          <w:rFonts w:asciiTheme="majorBidi" w:hAnsiTheme="majorBidi" w:cstheme="majorBidi"/>
        </w:rPr>
        <w:t>.</w:t>
      </w:r>
      <w:r w:rsidRPr="00136BFF">
        <w:rPr>
          <w:rFonts w:asciiTheme="majorBidi" w:hAnsiTheme="majorBidi" w:cstheme="majorBidi"/>
          <w:i/>
          <w:iCs/>
        </w:rPr>
        <w:t xml:space="preserve"> </w:t>
      </w:r>
      <w:r w:rsidRPr="00136BFF">
        <w:rPr>
          <w:rFonts w:asciiTheme="majorBidi" w:hAnsiTheme="majorBidi" w:cstheme="majorBidi"/>
        </w:rPr>
        <w:t>See also T. Pesaḥim 8:12: “</w:t>
      </w:r>
      <w:r w:rsidRPr="00136BFF">
        <w:rPr>
          <w:rFonts w:asciiTheme="majorBidi" w:hAnsiTheme="majorBidi" w:cstheme="majorBidi"/>
          <w:i/>
          <w:iCs/>
        </w:rPr>
        <w:t>Pesaḥ miẓrayim</w:t>
      </w:r>
      <w:r w:rsidRPr="00136BFF">
        <w:rPr>
          <w:rFonts w:asciiTheme="majorBidi" w:hAnsiTheme="majorBidi" w:cstheme="majorBidi"/>
        </w:rPr>
        <w:t xml:space="preserve">: of this is it stated, “And he and his neighbor shall take …,” as is not the case in </w:t>
      </w:r>
      <w:r w:rsidRPr="00136BFF">
        <w:rPr>
          <w:rFonts w:asciiTheme="majorBidi" w:hAnsiTheme="majorBidi" w:cstheme="majorBidi"/>
          <w:i/>
          <w:iCs/>
        </w:rPr>
        <w:t>pesaḥ le-dorot</w:t>
      </w:r>
      <w:r w:rsidRPr="00136BFF">
        <w:rPr>
          <w:rFonts w:asciiTheme="majorBidi" w:hAnsiTheme="majorBidi" w:cstheme="majorBidi"/>
        </w:rPr>
        <w:t>.</w:t>
      </w:r>
    </w:p>
  </w:footnote>
  <w:footnote w:id="50">
    <w:p w14:paraId="17989DB8" w14:textId="77777777" w:rsidR="00D77E41" w:rsidRPr="00136BFF" w:rsidRDefault="00D77E41" w:rsidP="00314F27">
      <w:pPr>
        <w:pStyle w:val="a3"/>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w:t>
      </w:r>
      <w:r w:rsidRPr="00136BFF">
        <w:rPr>
          <w:rFonts w:asciiTheme="majorBidi" w:hAnsiTheme="majorBidi" w:cstheme="majorBidi"/>
          <w:lang w:bidi="syr-SY"/>
        </w:rPr>
        <w:t>Saul Lieberman</w:t>
      </w:r>
      <w:r w:rsidRPr="00136BFF">
        <w:rPr>
          <w:rFonts w:asciiTheme="majorBidi" w:hAnsiTheme="majorBidi" w:cstheme="majorBidi"/>
          <w:i/>
          <w:iCs/>
        </w:rPr>
        <w:t>, The Tosefta: According to Codex Vienna, with Variants from Codices Erfurt, London, Genizah Mss. and Edition Princeps (Venice 1521)</w:t>
      </w:r>
      <w:r w:rsidRPr="00136BFF">
        <w:rPr>
          <w:rFonts w:asciiTheme="majorBidi" w:hAnsiTheme="majorBidi" w:cstheme="majorBidi"/>
        </w:rPr>
        <w:t xml:space="preserve"> (New York: The Jewish Theological Seminary of America, 1962), 187. The English translation is from Jacob Neusner, </w:t>
      </w:r>
      <w:r w:rsidRPr="00136BFF">
        <w:rPr>
          <w:rFonts w:asciiTheme="majorBidi" w:hAnsiTheme="majorBidi" w:cstheme="majorBidi"/>
          <w:i/>
          <w:iCs/>
        </w:rPr>
        <w:t>The Tosefta—Translated from the Hebrew (Moed)</w:t>
      </w:r>
      <w:r w:rsidRPr="00136BFF">
        <w:rPr>
          <w:rFonts w:asciiTheme="majorBidi" w:hAnsiTheme="majorBidi" w:cstheme="majorBidi"/>
        </w:rPr>
        <w:t xml:space="preserve"> (New York: Ktav, 1981), 156.</w:t>
      </w:r>
    </w:p>
  </w:footnote>
  <w:footnote w:id="51">
    <w:p w14:paraId="54E75BAF" w14:textId="77777777" w:rsidR="00D77E41" w:rsidRPr="00136BFF" w:rsidRDefault="00D77E41" w:rsidP="00314F27">
      <w:pPr>
        <w:pStyle w:val="a3"/>
        <w:jc w:val="both"/>
        <w:rPr>
          <w:rFonts w:asciiTheme="majorBidi" w:hAnsiTheme="majorBidi" w:cstheme="majorBidi"/>
          <w:lang w:bidi="he-IL"/>
        </w:rPr>
      </w:pPr>
      <w:r w:rsidRPr="00136BFF">
        <w:rPr>
          <w:rFonts w:asciiTheme="majorBidi" w:hAnsiTheme="majorBidi" w:cstheme="majorBidi"/>
        </w:rPr>
        <w:footnoteRef/>
      </w:r>
      <w:r w:rsidRPr="00136BFF">
        <w:rPr>
          <w:rFonts w:asciiTheme="majorBidi" w:hAnsiTheme="majorBidi" w:cstheme="majorBidi"/>
        </w:rPr>
        <w:t xml:space="preserve">. Liora Elias Bar-Levav, </w:t>
      </w:r>
      <w:r w:rsidRPr="00136BFF">
        <w:rPr>
          <w:rFonts w:asciiTheme="majorBidi" w:hAnsiTheme="majorBidi" w:cstheme="majorBidi"/>
          <w:i/>
          <w:iCs/>
        </w:rPr>
        <w:t>The Mekhilta de­Rabbi Shimeon Ben Yohai on the</w:t>
      </w:r>
      <w:r w:rsidRPr="00136BFF">
        <w:rPr>
          <w:rFonts w:asciiTheme="majorBidi" w:hAnsiTheme="majorBidi" w:cstheme="majorBidi"/>
          <w:i/>
          <w:iCs/>
          <w:lang w:bidi="he-IL"/>
        </w:rPr>
        <w:t xml:space="preserve"> Nezikin Portion </w:t>
      </w:r>
      <w:r w:rsidRPr="00136BFF">
        <w:rPr>
          <w:rFonts w:asciiTheme="majorBidi" w:hAnsiTheme="majorBidi" w:cstheme="majorBidi"/>
          <w:lang w:bidi="he-IL"/>
        </w:rPr>
        <w:t>[Hebrew]</w:t>
      </w:r>
      <w:r w:rsidRPr="00136BFF">
        <w:rPr>
          <w:rFonts w:asciiTheme="majorBidi" w:hAnsiTheme="majorBidi" w:cstheme="majorBidi"/>
          <w:i/>
          <w:iCs/>
          <w:lang w:bidi="he-IL"/>
        </w:rPr>
        <w:t xml:space="preserve">, </w:t>
      </w:r>
      <w:r w:rsidRPr="00136BFF">
        <w:rPr>
          <w:rFonts w:asciiTheme="majorBidi" w:hAnsiTheme="majorBidi" w:cstheme="majorBidi"/>
          <w:lang w:bidi="he-IL"/>
        </w:rPr>
        <w:t>ed.</w:t>
      </w:r>
      <w:r w:rsidRPr="00136BFF">
        <w:rPr>
          <w:rFonts w:asciiTheme="majorBidi" w:hAnsiTheme="majorBidi" w:cstheme="majorBidi"/>
          <w:i/>
          <w:iCs/>
          <w:lang w:bidi="he-IL"/>
        </w:rPr>
        <w:t xml:space="preserve"> </w:t>
      </w:r>
      <w:r w:rsidRPr="00136BFF">
        <w:rPr>
          <w:rFonts w:asciiTheme="majorBidi" w:hAnsiTheme="majorBidi" w:cstheme="majorBidi"/>
        </w:rPr>
        <w:t>Menahem Kahana (</w:t>
      </w:r>
      <w:r w:rsidRPr="00136BFF">
        <w:rPr>
          <w:rFonts w:asciiTheme="majorBidi" w:hAnsiTheme="majorBidi" w:cstheme="majorBidi"/>
          <w:lang w:bidi="he-IL"/>
        </w:rPr>
        <w:t>Jerusalem: Magnes, 2013), 147–48, 243–45, 318–38, especially 336.</w:t>
      </w:r>
    </w:p>
  </w:footnote>
  <w:footnote w:id="52">
    <w:p w14:paraId="4AB5191F" w14:textId="77777777" w:rsidR="00D77E41" w:rsidRPr="00136BFF" w:rsidRDefault="00D77E41" w:rsidP="00314F27">
      <w:pPr>
        <w:pStyle w:val="a3"/>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See Leib Moscovitz, </w:t>
      </w:r>
      <w:r w:rsidRPr="00136BFF">
        <w:rPr>
          <w:rFonts w:asciiTheme="majorBidi" w:hAnsiTheme="majorBidi" w:cstheme="majorBidi"/>
          <w:i/>
          <w:iCs/>
        </w:rPr>
        <w:t xml:space="preserve">The Terminology of the Yerushalmi: The Principal Terms </w:t>
      </w:r>
      <w:r w:rsidRPr="00136BFF">
        <w:rPr>
          <w:rFonts w:asciiTheme="majorBidi" w:hAnsiTheme="majorBidi" w:cstheme="majorBidi"/>
        </w:rPr>
        <w:t xml:space="preserve">[Hebrew] (Jerusalem: Magnes, 2009), 301–2. </w:t>
      </w:r>
    </w:p>
  </w:footnote>
  <w:footnote w:id="53">
    <w:p w14:paraId="055A6186" w14:textId="17C21AE6" w:rsidR="00B22A11" w:rsidRPr="00B22A11" w:rsidRDefault="00B22A11" w:rsidP="00314F27">
      <w:pPr>
        <w:pStyle w:val="a3"/>
        <w:jc w:val="both"/>
        <w:rPr>
          <w:lang w:bidi="he-IL"/>
        </w:rPr>
      </w:pPr>
      <w:r>
        <w:rPr>
          <w:rStyle w:val="a5"/>
        </w:rPr>
        <w:footnoteRef/>
      </w:r>
      <w:r>
        <w:t xml:space="preserve"> </w:t>
      </w:r>
      <w:r>
        <w:rPr>
          <w:lang w:bidi="he-IL"/>
        </w:rPr>
        <w:t xml:space="preserve">Safrai, </w:t>
      </w:r>
      <w:r w:rsidRPr="00552A9E">
        <w:rPr>
          <w:i/>
          <w:iCs/>
          <w:lang w:bidi="he-IL"/>
        </w:rPr>
        <w:t>Mishnat eretz Israe</w:t>
      </w:r>
      <w:r w:rsidR="00270FCB" w:rsidRPr="00552A9E">
        <w:rPr>
          <w:i/>
          <w:iCs/>
          <w:lang w:bidi="he-IL"/>
        </w:rPr>
        <w:t>l</w:t>
      </w:r>
      <w:r w:rsidR="00270FCB">
        <w:rPr>
          <w:lang w:bidi="he-IL"/>
        </w:rPr>
        <w:t>, Tractate Eruvin 93.</w:t>
      </w:r>
    </w:p>
  </w:footnote>
  <w:footnote w:id="54">
    <w:p w14:paraId="19255B4A" w14:textId="76685978" w:rsidR="003548B1" w:rsidRDefault="003548B1" w:rsidP="00314F27">
      <w:pPr>
        <w:pStyle w:val="a3"/>
        <w:jc w:val="both"/>
        <w:rPr>
          <w:lang w:bidi="he-IL"/>
        </w:rPr>
      </w:pPr>
      <w:r w:rsidRPr="00D15A02">
        <w:rPr>
          <w:rStyle w:val="a5"/>
          <w:vertAlign w:val="baseline"/>
        </w:rPr>
        <w:footnoteRef/>
      </w:r>
      <w:r w:rsidR="00821F39">
        <w:t>.</w:t>
      </w:r>
      <w:r>
        <w:t xml:space="preserve"> </w:t>
      </w:r>
      <w:r w:rsidRPr="001A7C2A">
        <w:t>See Judit</w:t>
      </w:r>
      <w:r w:rsidR="001A7C2A">
        <w:t>h</w:t>
      </w:r>
      <w:r w:rsidRPr="001A7C2A">
        <w:t xml:space="preserve"> Hauptman, </w:t>
      </w:r>
      <w:r w:rsidRPr="001A7C2A">
        <w:rPr>
          <w:rFonts w:ascii="SBL Greek" w:hAnsi="SBL Greek"/>
        </w:rPr>
        <w:t>“</w:t>
      </w:r>
      <w:r w:rsidRPr="001A7C2A">
        <w:t>The Talmud's Women in Law and Narrative</w:t>
      </w:r>
      <w:r w:rsidRPr="001A7C2A">
        <w:rPr>
          <w:rFonts w:ascii="SBL Greek" w:hAnsi="SBL Greek"/>
        </w:rPr>
        <w:t>,”</w:t>
      </w:r>
      <w:r w:rsidRPr="001A7C2A">
        <w:t xml:space="preserve"> </w:t>
      </w:r>
      <w:r w:rsidR="009C5F13" w:rsidRPr="001A7C2A">
        <w:rPr>
          <w:i/>
          <w:iCs/>
        </w:rPr>
        <w:t xml:space="preserve">Nashim: A Journal of Jewish Women's Studies &amp; Gender Issues </w:t>
      </w:r>
      <w:r w:rsidR="009C5F13" w:rsidRPr="001A7C2A">
        <w:t>8 (2015): 39-40</w:t>
      </w:r>
      <w:r w:rsidR="00BF3911" w:rsidRPr="001A7C2A">
        <w:t xml:space="preserve">: </w:t>
      </w:r>
      <w:r w:rsidR="00BF3911" w:rsidRPr="001A7C2A">
        <w:rPr>
          <w:rFonts w:ascii="SBL Greek" w:hAnsi="SBL Greek"/>
        </w:rPr>
        <w:t>“</w:t>
      </w:r>
      <w:r w:rsidR="00BF3911" w:rsidRPr="001A7C2A">
        <w:t>It is not surprising that women would deal with the ‘eruv ḥatzerot since they were the ones who cooked the food.</w:t>
      </w:r>
      <w:r w:rsidR="00BF3911" w:rsidRPr="001A7C2A">
        <w:rPr>
          <w:rFonts w:ascii="SBL Greek" w:hAnsi="SBL Greek"/>
        </w:rPr>
        <w:t>”</w:t>
      </w:r>
    </w:p>
  </w:footnote>
  <w:footnote w:id="55">
    <w:p w14:paraId="42F0D150" w14:textId="738A1072" w:rsidR="00700915" w:rsidRDefault="00700915" w:rsidP="00700915">
      <w:pPr>
        <w:pStyle w:val="a3"/>
        <w:jc w:val="both"/>
        <w:rPr>
          <w:rtl/>
          <w:lang w:bidi="he-IL"/>
        </w:rPr>
      </w:pPr>
      <w:r w:rsidRPr="00B71F77">
        <w:rPr>
          <w:rStyle w:val="a5"/>
          <w:vertAlign w:val="baseline"/>
        </w:rPr>
        <w:footnoteRef/>
      </w:r>
      <w:r>
        <w:t xml:space="preserve">. </w:t>
      </w:r>
      <w:r w:rsidRPr="00DC3E55">
        <w:rPr>
          <w:rFonts w:ascii="David" w:hAnsi="David" w:cs="David"/>
          <w:rtl/>
          <w:lang w:bidi="he-IL"/>
        </w:rPr>
        <w:t>ל שאול ליברמן</w:t>
      </w:r>
      <w:r w:rsidR="00373F7A">
        <w:rPr>
          <w:rFonts w:ascii="David" w:hAnsi="David" w:cs="David" w:hint="cs"/>
          <w:rtl/>
          <w:lang w:bidi="he-IL"/>
        </w:rPr>
        <w:t xml:space="preserve"> ה</w:t>
      </w:r>
      <w:r w:rsidRPr="00DC3E55">
        <w:rPr>
          <w:rFonts w:ascii="David" w:hAnsi="David" w:cs="David"/>
          <w:rtl/>
          <w:lang w:bidi="he-IL"/>
        </w:rPr>
        <w:t xml:space="preserve">גיע </w:t>
      </w:r>
      <w:r>
        <w:rPr>
          <w:rFonts w:ascii="David" w:hAnsi="David" w:cs="David" w:hint="cs"/>
          <w:rtl/>
          <w:lang w:bidi="he-IL"/>
        </w:rPr>
        <w:t xml:space="preserve">למסקנה </w:t>
      </w:r>
      <w:r w:rsidRPr="00DC3E55">
        <w:rPr>
          <w:rFonts w:ascii="David" w:hAnsi="David" w:cs="David"/>
          <w:rtl/>
          <w:lang w:bidi="he-IL"/>
        </w:rPr>
        <w:t>שרוב החכמים הארץ ישראלים בסוגיות שעל משנה זו סברו שאין צורך שהמבוגר יעמוד עם הקטן בשעת נתינת העירוב, אלא שיוודא (בהמשך) כי העירוב באמת הגיע ליעדו. ראו</w:t>
      </w:r>
    </w:p>
    <w:p w14:paraId="2B9ACD7E" w14:textId="77777777" w:rsidR="00700915" w:rsidRDefault="00700915" w:rsidP="00700915">
      <w:pPr>
        <w:pStyle w:val="a3"/>
        <w:jc w:val="both"/>
        <w:rPr>
          <w:lang w:bidi="he-IL"/>
        </w:rPr>
      </w:pPr>
      <w:r w:rsidRPr="00136BFF">
        <w:rPr>
          <w:rFonts w:asciiTheme="majorBidi" w:hAnsiTheme="majorBidi" w:cstheme="majorBidi"/>
          <w:lang w:bidi="syr-SY"/>
        </w:rPr>
        <w:t>Saul Lieberman</w:t>
      </w:r>
      <w:r>
        <w:rPr>
          <w:rFonts w:asciiTheme="majorBidi" w:hAnsiTheme="majorBidi" w:cstheme="majorBidi"/>
          <w:lang w:bidi="syr-SY"/>
        </w:rPr>
        <w:t xml:space="preserve">, </w:t>
      </w:r>
      <w:r w:rsidRPr="00277B14">
        <w:rPr>
          <w:rFonts w:asciiTheme="majorBidi" w:hAnsiTheme="majorBidi" w:cstheme="majorBidi"/>
          <w:i/>
          <w:iCs/>
          <w:lang w:bidi="syr-SY"/>
        </w:rPr>
        <w:t>Tosefta Ki-Fshutah Part III</w:t>
      </w:r>
      <w:r>
        <w:rPr>
          <w:rFonts w:asciiTheme="majorBidi" w:hAnsiTheme="majorBidi" w:cstheme="majorBidi"/>
          <w:lang w:bidi="syr-SY"/>
        </w:rPr>
        <w:t>, New York 1962: 331-332.</w:t>
      </w:r>
      <w:r>
        <w:rPr>
          <w:rFonts w:hint="cs"/>
          <w:rtl/>
          <w:lang w:bidi="he-IL"/>
        </w:rPr>
        <w:t xml:space="preserve"> </w:t>
      </w:r>
    </w:p>
    <w:p w14:paraId="6CCA3609" w14:textId="53BA3A24" w:rsidR="00700915" w:rsidRDefault="00700915" w:rsidP="00700915">
      <w:pPr>
        <w:pStyle w:val="a3"/>
        <w:jc w:val="both"/>
        <w:rPr>
          <w:lang w:bidi="he-IL"/>
        </w:rPr>
      </w:pPr>
      <w:r w:rsidRPr="00A11201">
        <w:rPr>
          <w:rFonts w:ascii="David" w:hAnsi="David" w:cs="David"/>
          <w:rtl/>
          <w:lang w:bidi="he-IL"/>
        </w:rPr>
        <w:t>בתלמוד הבבלי</w:t>
      </w:r>
      <w:r w:rsidR="00D02E3D">
        <w:rPr>
          <w:rFonts w:ascii="David" w:hAnsi="David" w:cs="David" w:hint="cs"/>
          <w:rtl/>
          <w:lang w:bidi="he-IL"/>
        </w:rPr>
        <w:t xml:space="preserve"> (עירובין לא ע"ב)</w:t>
      </w:r>
      <w:r w:rsidRPr="00A11201">
        <w:rPr>
          <w:rFonts w:ascii="David" w:hAnsi="David" w:cs="David"/>
          <w:rtl/>
          <w:lang w:bidi="he-IL"/>
        </w:rPr>
        <w:t xml:space="preserve"> </w:t>
      </w:r>
      <w:r w:rsidR="00E70B43">
        <w:rPr>
          <w:rFonts w:ascii="David" w:hAnsi="David" w:cs="David" w:hint="cs"/>
          <w:rtl/>
          <w:lang w:bidi="he-IL"/>
        </w:rPr>
        <w:t xml:space="preserve">מבחינה </w:t>
      </w:r>
      <w:r w:rsidRPr="00A11201">
        <w:rPr>
          <w:rFonts w:ascii="David" w:hAnsi="David" w:cs="David"/>
          <w:rtl/>
          <w:lang w:bidi="he-IL"/>
        </w:rPr>
        <w:t xml:space="preserve">הגמרא </w:t>
      </w:r>
      <w:r w:rsidR="00DE18DA">
        <w:rPr>
          <w:rFonts w:ascii="David" w:hAnsi="David" w:cs="David" w:hint="cs"/>
          <w:rtl/>
          <w:lang w:bidi="he-IL"/>
        </w:rPr>
        <w:t xml:space="preserve"> </w:t>
      </w:r>
      <w:r w:rsidRPr="00A11201">
        <w:rPr>
          <w:rFonts w:ascii="David" w:hAnsi="David" w:cs="David"/>
          <w:rtl/>
          <w:lang w:bidi="he-IL"/>
        </w:rPr>
        <w:t xml:space="preserve">בין עירוב תחומין </w:t>
      </w:r>
      <w:r w:rsidR="00DE18DA">
        <w:rPr>
          <w:rFonts w:ascii="David" w:hAnsi="David" w:cs="David" w:hint="cs"/>
          <w:rtl/>
          <w:lang w:bidi="he-IL"/>
        </w:rPr>
        <w:t xml:space="preserve">(שמגדיל את המרחק שניתן ללכת אותו מחוץ לעיר) </w:t>
      </w:r>
      <w:r w:rsidRPr="00A11201">
        <w:rPr>
          <w:rFonts w:ascii="David" w:hAnsi="David" w:cs="David"/>
          <w:rtl/>
          <w:lang w:bidi="he-IL"/>
        </w:rPr>
        <w:t>לעירוב חצרות, שבו אמנם ניתן לשלוח עירוב ביד קטן.</w:t>
      </w:r>
    </w:p>
  </w:footnote>
  <w:footnote w:id="56">
    <w:p w14:paraId="3D9866F2" w14:textId="0D88E37E" w:rsidR="0040531A" w:rsidRDefault="0040531A" w:rsidP="00AA13E8">
      <w:pPr>
        <w:autoSpaceDE w:val="0"/>
        <w:autoSpaceDN w:val="0"/>
        <w:bidi w:val="0"/>
        <w:adjustRightInd w:val="0"/>
        <w:spacing w:after="0" w:line="480" w:lineRule="auto"/>
        <w:jc w:val="both"/>
      </w:pPr>
      <w:r w:rsidRPr="0040531A">
        <w:rPr>
          <w:rStyle w:val="a5"/>
          <w:rFonts w:asciiTheme="majorBidi" w:hAnsiTheme="majorBidi" w:cstheme="majorBidi"/>
          <w:sz w:val="20"/>
          <w:szCs w:val="20"/>
          <w:vertAlign w:val="baseline"/>
        </w:rPr>
        <w:footnoteRef/>
      </w:r>
      <w:r w:rsidRPr="0040531A">
        <w:rPr>
          <w:rFonts w:asciiTheme="majorBidi" w:hAnsiTheme="majorBidi" w:cstheme="majorBidi"/>
          <w:sz w:val="20"/>
          <w:szCs w:val="20"/>
        </w:rPr>
        <w:t>.</w:t>
      </w:r>
      <w:r w:rsidRPr="0040531A">
        <w:rPr>
          <w:sz w:val="20"/>
          <w:szCs w:val="20"/>
        </w:rPr>
        <w:t xml:space="preserve"> </w:t>
      </w:r>
      <w:r w:rsidRPr="0040531A">
        <w:rPr>
          <w:rFonts w:ascii="Times New Roman" w:hAnsi="Times New Roman" w:cs="Times New Roman"/>
          <w:sz w:val="20"/>
          <w:szCs w:val="20"/>
        </w:rPr>
        <w:t>Y Eruvin 3:2, 20b; Eruvin 7:9, 24b</w:t>
      </w:r>
      <w:r w:rsidRPr="0040531A">
        <w:rPr>
          <w:rFonts w:ascii="Times New Roman" w:hAnsi="Times New Roman" w:cs="Times New Roman"/>
        </w:rPr>
        <w:t>.</w:t>
      </w:r>
      <w:r w:rsidRPr="00AA13E8">
        <w:rPr>
          <w:rFonts w:asciiTheme="majorBidi" w:hAnsiTheme="majorBidi" w:cstheme="majorBidi"/>
          <w:sz w:val="20"/>
          <w:szCs w:val="20"/>
        </w:rPr>
        <w:t xml:space="preserve">There are numerous textual differences between the different versions of this story. See Saul Lieberman, </w:t>
      </w:r>
      <w:r w:rsidRPr="00AA13E8">
        <w:rPr>
          <w:rFonts w:asciiTheme="majorBidi" w:hAnsiTheme="majorBidi" w:cstheme="majorBidi"/>
          <w:i/>
          <w:iCs/>
          <w:sz w:val="20"/>
          <w:szCs w:val="20"/>
        </w:rPr>
        <w:t xml:space="preserve">Ha-Yerushalmi ki-Fshuto </w:t>
      </w:r>
      <w:r w:rsidRPr="00AA13E8">
        <w:rPr>
          <w:rFonts w:asciiTheme="majorBidi" w:hAnsiTheme="majorBidi" w:cstheme="majorBidi"/>
          <w:sz w:val="20"/>
          <w:szCs w:val="20"/>
        </w:rPr>
        <w:t>(Jerusalem: Darom, 1935), 262-263, 336-337, for a discussion of this source and its variants.</w:t>
      </w:r>
      <w:r w:rsidR="00AA13E8" w:rsidRPr="00AA13E8">
        <w:rPr>
          <w:rFonts w:asciiTheme="majorBidi" w:hAnsiTheme="majorBidi" w:cstheme="majorBidi"/>
        </w:rPr>
        <w:t xml:space="preserve"> </w:t>
      </w:r>
      <w:r w:rsidR="00AA13E8" w:rsidRPr="00AA13E8">
        <w:rPr>
          <w:rFonts w:asciiTheme="majorBidi" w:hAnsiTheme="majorBidi" w:cstheme="majorBidi"/>
          <w:sz w:val="20"/>
          <w:szCs w:val="20"/>
        </w:rPr>
        <w:t>This story is also found in the Tanḥuma, Noah, 58:22, Buber ed., 26.</w:t>
      </w:r>
    </w:p>
  </w:footnote>
  <w:footnote w:id="57">
    <w:p w14:paraId="5AC4C225" w14:textId="4CC9E5E2" w:rsidR="00E41996" w:rsidRDefault="00E41996" w:rsidP="00314F27">
      <w:pPr>
        <w:pStyle w:val="a3"/>
        <w:jc w:val="both"/>
        <w:rPr>
          <w:lang w:bidi="he-IL"/>
        </w:rPr>
      </w:pPr>
      <w:r w:rsidRPr="00B71F77">
        <w:rPr>
          <w:rStyle w:val="a5"/>
          <w:vertAlign w:val="baseline"/>
        </w:rPr>
        <w:footnoteRef/>
      </w:r>
      <w:r w:rsidR="00B71F77">
        <w:t>.</w:t>
      </w:r>
      <w:r w:rsidRPr="00B71F77">
        <w:t xml:space="preserve"> </w:t>
      </w:r>
      <w:r w:rsidR="00D915D5">
        <w:rPr>
          <w:lang w:bidi="he-IL"/>
        </w:rPr>
        <w:t>Leiden, Scaliger, 3</w:t>
      </w:r>
      <w:r w:rsidR="00BA5DAC">
        <w:rPr>
          <w:lang w:bidi="he-IL"/>
        </w:rPr>
        <w:t>.</w:t>
      </w:r>
    </w:p>
  </w:footnote>
  <w:footnote w:id="58">
    <w:p w14:paraId="6FDB1C35" w14:textId="715C117B" w:rsidR="00E41996" w:rsidRDefault="00E41996" w:rsidP="00314F27">
      <w:pPr>
        <w:pStyle w:val="3"/>
        <w:shd w:val="clear" w:color="auto" w:fill="FFFFFF"/>
        <w:bidi w:val="0"/>
        <w:spacing w:before="255" w:after="128" w:line="480" w:lineRule="auto"/>
        <w:jc w:val="both"/>
      </w:pPr>
      <w:r w:rsidRPr="00B71F77">
        <w:rPr>
          <w:rStyle w:val="a5"/>
          <w:rFonts w:asciiTheme="majorBidi" w:hAnsiTheme="majorBidi"/>
          <w:sz w:val="20"/>
          <w:szCs w:val="20"/>
          <w:vertAlign w:val="baseline"/>
        </w:rPr>
        <w:footnoteRef/>
      </w:r>
      <w:r w:rsidR="00B71F77">
        <w:rPr>
          <w:rFonts w:asciiTheme="majorBidi" w:hAnsiTheme="majorBidi"/>
          <w:sz w:val="20"/>
          <w:szCs w:val="20"/>
        </w:rPr>
        <w:t>.</w:t>
      </w:r>
      <w:r w:rsidRPr="00BA5DAC">
        <w:rPr>
          <w:rFonts w:asciiTheme="majorBidi" w:hAnsiTheme="majorBidi"/>
          <w:sz w:val="20"/>
          <w:szCs w:val="20"/>
        </w:rPr>
        <w:t xml:space="preserve"> </w:t>
      </w:r>
      <w:r w:rsidR="00816C52" w:rsidRPr="00816C52">
        <w:rPr>
          <w:rFonts w:asciiTheme="majorBidi" w:hAnsiTheme="majorBidi"/>
          <w:color w:val="000000" w:themeColor="text1"/>
          <w:sz w:val="20"/>
          <w:szCs w:val="20"/>
        </w:rPr>
        <w:t>Cairo G</w:t>
      </w:r>
      <w:r w:rsidR="00816C52">
        <w:rPr>
          <w:rFonts w:asciiTheme="majorBidi" w:hAnsiTheme="majorBidi"/>
          <w:color w:val="000000" w:themeColor="text1"/>
          <w:sz w:val="20"/>
          <w:szCs w:val="20"/>
        </w:rPr>
        <w:t>e</w:t>
      </w:r>
      <w:r w:rsidR="00816C52" w:rsidRPr="00816C52">
        <w:rPr>
          <w:rFonts w:asciiTheme="majorBidi" w:hAnsiTheme="majorBidi"/>
          <w:color w:val="000000" w:themeColor="text1"/>
          <w:sz w:val="20"/>
          <w:szCs w:val="20"/>
        </w:rPr>
        <w:t>niza</w:t>
      </w:r>
      <w:r w:rsidR="00816C52">
        <w:rPr>
          <w:rFonts w:asciiTheme="majorBidi" w:hAnsiTheme="majorBidi"/>
          <w:color w:val="000000" w:themeColor="text1"/>
          <w:sz w:val="20"/>
          <w:szCs w:val="20"/>
        </w:rPr>
        <w:t>h</w:t>
      </w:r>
      <w:r w:rsidR="00816C52" w:rsidRPr="00816C52">
        <w:rPr>
          <w:rFonts w:asciiTheme="majorBidi" w:hAnsiTheme="majorBidi"/>
          <w:color w:val="000000" w:themeColor="text1"/>
          <w:sz w:val="20"/>
          <w:szCs w:val="20"/>
        </w:rPr>
        <w:t xml:space="preserve">: </w:t>
      </w:r>
      <w:r w:rsidR="00084509" w:rsidRPr="00816C52">
        <w:rPr>
          <w:rFonts w:asciiTheme="majorBidi" w:hAnsiTheme="majorBidi"/>
          <w:color w:val="000000" w:themeColor="text1"/>
          <w:sz w:val="20"/>
          <w:szCs w:val="20"/>
        </w:rPr>
        <w:t>Cambridge</w:t>
      </w:r>
      <w:r w:rsidR="00BA5DAC" w:rsidRPr="00816C52">
        <w:rPr>
          <w:rFonts w:asciiTheme="majorBidi" w:hAnsiTheme="majorBidi"/>
          <w:color w:val="000000" w:themeColor="text1"/>
          <w:sz w:val="20"/>
          <w:szCs w:val="20"/>
        </w:rPr>
        <w:t>,</w:t>
      </w:r>
      <w:r w:rsidR="00084509" w:rsidRPr="00816C52">
        <w:rPr>
          <w:rFonts w:asciiTheme="majorBidi" w:hAnsiTheme="majorBidi"/>
          <w:color w:val="000000" w:themeColor="text1"/>
          <w:sz w:val="20"/>
          <w:szCs w:val="20"/>
        </w:rPr>
        <w:t xml:space="preserve"> T-S 16, 326; </w:t>
      </w:r>
      <w:r w:rsidR="00BA5DAC" w:rsidRPr="00816C52">
        <w:rPr>
          <w:rFonts w:asciiTheme="majorBidi" w:hAnsiTheme="majorBidi"/>
          <w:color w:val="000000" w:themeColor="text1"/>
          <w:sz w:val="20"/>
          <w:szCs w:val="20"/>
        </w:rPr>
        <w:t>Manchester, Jhon Rylands University. P.49.</w:t>
      </w:r>
    </w:p>
    <w:p w14:paraId="659AC7A9" w14:textId="77777777" w:rsidR="00E73DBB" w:rsidRPr="00E73DBB" w:rsidRDefault="00F5693C" w:rsidP="00F5693C">
      <w:pPr>
        <w:bidi w:val="0"/>
        <w:rPr>
          <w:rFonts w:ascii="David" w:hAnsi="David" w:cs="David"/>
          <w:sz w:val="20"/>
          <w:szCs w:val="20"/>
          <w:rtl/>
        </w:rPr>
      </w:pPr>
      <w:r>
        <w:rPr>
          <w:rFonts w:hint="cs"/>
          <w:rtl/>
        </w:rPr>
        <w:t>ו</w:t>
      </w:r>
      <w:r w:rsidRPr="00E73DBB">
        <w:rPr>
          <w:rFonts w:ascii="David" w:hAnsi="David" w:cs="David"/>
          <w:sz w:val="20"/>
          <w:szCs w:val="20"/>
          <w:rtl/>
        </w:rPr>
        <w:t>כך גם בכתב יד ליידן על המקבילה בעירובין</w:t>
      </w:r>
    </w:p>
    <w:p w14:paraId="7417887A" w14:textId="6B093206" w:rsidR="00F5693C" w:rsidRPr="00E73DBB" w:rsidRDefault="00E73DBB" w:rsidP="00E73DBB">
      <w:pPr>
        <w:bidi w:val="0"/>
        <w:rPr>
          <w:rFonts w:asciiTheme="majorBidi" w:hAnsiTheme="majorBidi" w:cstheme="majorBidi"/>
          <w:sz w:val="20"/>
          <w:szCs w:val="20"/>
        </w:rPr>
      </w:pPr>
      <w:r w:rsidRPr="00E73DBB">
        <w:rPr>
          <w:rFonts w:asciiTheme="majorBidi" w:hAnsiTheme="majorBidi" w:cstheme="majorBidi"/>
          <w:sz w:val="20"/>
          <w:szCs w:val="20"/>
        </w:rPr>
        <w:t>7:9 2</w:t>
      </w:r>
      <w:r w:rsidR="00C46AE7">
        <w:rPr>
          <w:rFonts w:asciiTheme="majorBidi" w:hAnsiTheme="majorBidi" w:cstheme="majorBidi"/>
          <w:sz w:val="20"/>
          <w:szCs w:val="20"/>
        </w:rPr>
        <w:t>4</w:t>
      </w:r>
      <w:r w:rsidRPr="00E73DBB">
        <w:rPr>
          <w:rFonts w:asciiTheme="majorBidi" w:hAnsiTheme="majorBidi" w:cstheme="majorBidi"/>
          <w:sz w:val="20"/>
          <w:szCs w:val="20"/>
        </w:rPr>
        <w:t xml:space="preserve">b. </w:t>
      </w:r>
    </w:p>
  </w:footnote>
  <w:footnote w:id="59">
    <w:p w14:paraId="534E76CF" w14:textId="062D0FE6" w:rsidR="00DB49FF" w:rsidRDefault="00DB49FF">
      <w:pPr>
        <w:pStyle w:val="a3"/>
        <w:rPr>
          <w:lang w:bidi="he-IL"/>
        </w:rPr>
      </w:pPr>
      <w:r w:rsidRPr="00C3377E">
        <w:rPr>
          <w:rStyle w:val="a5"/>
          <w:vertAlign w:val="baseline"/>
        </w:rPr>
        <w:footnoteRef/>
      </w:r>
      <w:r w:rsidR="00C3377E">
        <w:rPr>
          <w:lang w:bidi="he-IL"/>
        </w:rPr>
        <w:t>.</w:t>
      </w:r>
      <w:r w:rsidRPr="00C3377E">
        <w:rPr>
          <w:lang w:bidi="he-IL"/>
        </w:rPr>
        <w:t xml:space="preserve"> </w:t>
      </w:r>
      <w:r>
        <w:rPr>
          <w:lang w:bidi="he-IL"/>
        </w:rPr>
        <w:t xml:space="preserve">See also Bugard, </w:t>
      </w:r>
      <w:r w:rsidR="00B25EDC" w:rsidRPr="00E21391">
        <w:rPr>
          <w:rFonts w:asciiTheme="majorBidi" w:hAnsiTheme="majorBidi" w:cstheme="majorBidi"/>
          <w:lang w:val="en-AU"/>
        </w:rPr>
        <w:t>“Mipenei darkhei shalom</w:t>
      </w:r>
      <w:r w:rsidR="00B25EDC">
        <w:rPr>
          <w:rFonts w:asciiTheme="majorBidi" w:hAnsiTheme="majorBidi" w:cstheme="majorBidi"/>
          <w:lang w:val="en-AU"/>
        </w:rPr>
        <w:t>,</w:t>
      </w:r>
      <w:r w:rsidR="00B25EDC" w:rsidRPr="00E21391">
        <w:rPr>
          <w:rFonts w:asciiTheme="majorBidi" w:hAnsiTheme="majorBidi" w:cstheme="majorBidi"/>
          <w:lang w:val="en-AU"/>
        </w:rPr>
        <w:t xml:space="preserve">” </w:t>
      </w:r>
      <w:r>
        <w:rPr>
          <w:lang w:bidi="he-IL"/>
        </w:rPr>
        <w:t>24</w:t>
      </w:r>
      <w:r w:rsidR="00B25EDC">
        <w:rPr>
          <w:lang w:bidi="he-IL"/>
        </w:rPr>
        <w:t>.</w:t>
      </w:r>
    </w:p>
  </w:footnote>
  <w:footnote w:id="60">
    <w:p w14:paraId="2BD101C1" w14:textId="22503DC0" w:rsidR="00646412" w:rsidRDefault="00646412" w:rsidP="00314F27">
      <w:pPr>
        <w:pStyle w:val="a3"/>
        <w:jc w:val="both"/>
        <w:rPr>
          <w:lang w:bidi="he-IL"/>
        </w:rPr>
      </w:pPr>
      <w:r w:rsidRPr="00C50682">
        <w:rPr>
          <w:rStyle w:val="a5"/>
          <w:vertAlign w:val="baseline"/>
        </w:rPr>
        <w:footnoteRef/>
      </w:r>
      <w:r w:rsidR="00C50682">
        <w:t>.</w:t>
      </w:r>
      <w:r w:rsidRPr="00C50682">
        <w:t xml:space="preserve"> </w:t>
      </w:r>
      <w:r w:rsidR="002F43DE">
        <w:rPr>
          <w:rFonts w:ascii="David" w:hAnsi="David" w:cs="David" w:hint="cs"/>
          <w:rtl/>
          <w:lang w:bidi="he-IL"/>
        </w:rPr>
        <w:t xml:space="preserve">כפי שטענתי לעיל, </w:t>
      </w:r>
      <w:r w:rsidRPr="00660A7B">
        <w:rPr>
          <w:rFonts w:ascii="David" w:hAnsi="David" w:cs="David"/>
          <w:rtl/>
          <w:lang w:bidi="he-IL"/>
        </w:rPr>
        <w:t>מהאופן שבו בנויה הסוגיה אפשר שר' יהושע אומר את הקטע שהובא לעיל כולו</w:t>
      </w:r>
      <w:r w:rsidR="007A5366">
        <w:rPr>
          <w:rFonts w:ascii="David" w:hAnsi="David" w:cs="David" w:hint="cs"/>
          <w:rtl/>
          <w:lang w:bidi="he-IL"/>
        </w:rPr>
        <w:t xml:space="preserve"> (כך מפרשים לדוגמה שמואל וזאב ספראי, שטוענים שר' יהושע מסביר בעזרת הסיפור את הנוהג לשלוח עירוב ביד קטן)</w:t>
      </w:r>
      <w:r w:rsidRPr="00660A7B">
        <w:rPr>
          <w:rFonts w:ascii="David" w:hAnsi="David" w:cs="David"/>
          <w:rtl/>
          <w:lang w:bidi="he-IL"/>
        </w:rPr>
        <w:t xml:space="preserve">. אך </w:t>
      </w:r>
      <w:r w:rsidR="007A5366">
        <w:rPr>
          <w:rFonts w:ascii="David" w:hAnsi="David" w:cs="David" w:hint="cs"/>
          <w:rtl/>
          <w:lang w:bidi="he-IL"/>
        </w:rPr>
        <w:t xml:space="preserve">ישנה אפשרות </w:t>
      </w:r>
      <w:r w:rsidRPr="00660A7B">
        <w:rPr>
          <w:rFonts w:ascii="David" w:hAnsi="David" w:cs="David"/>
          <w:rtl/>
          <w:lang w:bidi="he-IL"/>
        </w:rPr>
        <w:t xml:space="preserve">שרבי יהושע אמר רק את המשפט </w:t>
      </w:r>
      <w:r w:rsidRPr="00501033">
        <w:rPr>
          <w:rFonts w:ascii="David" w:hAnsi="David" w:cs="David"/>
          <w:rtl/>
          <w:lang w:bidi="he-IL"/>
        </w:rPr>
        <w:t>הראשון</w:t>
      </w:r>
      <w:r>
        <w:rPr>
          <w:rFonts w:hint="cs"/>
          <w:rtl/>
          <w:lang w:bidi="he-IL"/>
        </w:rPr>
        <w:t xml:space="preserve">: </w:t>
      </w:r>
    </w:p>
    <w:p w14:paraId="0C3D1BFD" w14:textId="77777777" w:rsidR="00646412" w:rsidRDefault="00646412" w:rsidP="00314F27">
      <w:pPr>
        <w:pStyle w:val="a3"/>
        <w:jc w:val="both"/>
        <w:rPr>
          <w:lang w:bidi="he-IL"/>
        </w:rPr>
      </w:pPr>
      <w:r>
        <w:t xml:space="preserve">R. Yehoshua said: Why do we make </w:t>
      </w:r>
      <w:r>
        <w:rPr>
          <w:rStyle w:val="ac"/>
        </w:rPr>
        <w:t xml:space="preserve">Eruvei Chatzeirot? </w:t>
      </w:r>
      <w:r>
        <w:rPr>
          <w:rFonts w:ascii="SBL Greek" w:hAnsi="SBL Greek" w:cstheme="majorBidi"/>
          <w:szCs w:val="24"/>
        </w:rPr>
        <w:t>‘</w:t>
      </w:r>
      <w:r w:rsidRPr="000803B1">
        <w:rPr>
          <w:rFonts w:asciiTheme="majorBidi" w:hAnsiTheme="majorBidi" w:cstheme="majorBidi"/>
          <w:szCs w:val="24"/>
        </w:rPr>
        <w:t>for reason of ways of peace,</w:t>
      </w:r>
      <w:r>
        <w:rPr>
          <w:rFonts w:ascii="SBL Greek" w:hAnsi="SBL Greek" w:cstheme="majorBidi"/>
          <w:szCs w:val="24"/>
        </w:rPr>
        <w:t>’</w:t>
      </w:r>
    </w:p>
    <w:p w14:paraId="5D1AAA9E" w14:textId="30F974EC" w:rsidR="00646412" w:rsidRPr="00564EA9" w:rsidRDefault="00501033" w:rsidP="004F2BF0">
      <w:pPr>
        <w:pStyle w:val="a3"/>
        <w:jc w:val="both"/>
        <w:rPr>
          <w:rFonts w:asciiTheme="minorHAnsi" w:hAnsiTheme="minorHAnsi" w:cstheme="minorBidi"/>
          <w:szCs w:val="24"/>
          <w:rtl/>
          <w:lang w:bidi="he-IL"/>
        </w:rPr>
      </w:pPr>
      <w:r>
        <w:rPr>
          <w:rFonts w:ascii="David" w:hAnsi="David" w:cs="David" w:hint="cs"/>
          <w:rtl/>
          <w:lang w:bidi="he-IL"/>
        </w:rPr>
        <w:t xml:space="preserve">אם כך הוא הדבר הרי שעורך </w:t>
      </w:r>
      <w:r w:rsidR="00646412" w:rsidRPr="00660A7B">
        <w:rPr>
          <w:rFonts w:ascii="David" w:hAnsi="David" w:cs="David"/>
          <w:rtl/>
          <w:lang w:bidi="he-IL"/>
        </w:rPr>
        <w:t>הסוגי</w:t>
      </w:r>
      <w:r>
        <w:rPr>
          <w:rFonts w:ascii="David" w:hAnsi="David" w:cs="David" w:hint="cs"/>
          <w:rtl/>
          <w:lang w:bidi="he-IL"/>
        </w:rPr>
        <w:t>י</w:t>
      </w:r>
      <w:r w:rsidR="00646412" w:rsidRPr="00660A7B">
        <w:rPr>
          <w:rFonts w:ascii="David" w:hAnsi="David" w:cs="David"/>
          <w:rtl/>
          <w:lang w:bidi="he-IL"/>
        </w:rPr>
        <w:t xml:space="preserve">ה </w:t>
      </w:r>
      <w:r w:rsidR="007A5366">
        <w:rPr>
          <w:rFonts w:ascii="David" w:hAnsi="David" w:cs="David" w:hint="cs"/>
          <w:rtl/>
          <w:lang w:bidi="he-IL"/>
        </w:rPr>
        <w:t>"לוקח את הדברים צעד קדימה" ו</w:t>
      </w:r>
      <w:r>
        <w:rPr>
          <w:rFonts w:ascii="David" w:hAnsi="David" w:cs="David" w:hint="cs"/>
          <w:rtl/>
          <w:lang w:bidi="he-IL"/>
        </w:rPr>
        <w:t>יוצר מהלך מכליל עוד יותר</w:t>
      </w:r>
      <w:r w:rsidR="005A5075">
        <w:rPr>
          <w:rFonts w:ascii="David" w:hAnsi="David" w:cs="David" w:hint="cs"/>
          <w:rtl/>
          <w:lang w:bidi="he-IL"/>
        </w:rPr>
        <w:t xml:space="preserve"> על ידי הדגמת</w:t>
      </w:r>
      <w:r>
        <w:rPr>
          <w:rFonts w:ascii="David" w:hAnsi="David" w:cs="David" w:hint="cs"/>
          <w:rtl/>
          <w:lang w:bidi="he-IL"/>
        </w:rPr>
        <w:t xml:space="preserve"> קביעתו של ר' יהושע </w:t>
      </w:r>
      <w:r w:rsidR="005A5075">
        <w:rPr>
          <w:rFonts w:ascii="David" w:hAnsi="David" w:cs="David" w:hint="cs"/>
          <w:rtl/>
          <w:lang w:bidi="he-IL"/>
        </w:rPr>
        <w:t>ב</w:t>
      </w:r>
      <w:r w:rsidR="00646412" w:rsidRPr="00660A7B">
        <w:rPr>
          <w:rFonts w:ascii="David" w:hAnsi="David" w:cs="David"/>
          <w:rtl/>
          <w:lang w:bidi="he-IL"/>
        </w:rPr>
        <w:t>סיפור ו</w:t>
      </w:r>
      <w:r w:rsidR="005A5075">
        <w:rPr>
          <w:rFonts w:ascii="David" w:hAnsi="David" w:cs="David" w:hint="cs"/>
          <w:rtl/>
          <w:lang w:bidi="he-IL"/>
        </w:rPr>
        <w:t>ב</w:t>
      </w:r>
      <w:r w:rsidR="00646412" w:rsidRPr="00660A7B">
        <w:rPr>
          <w:rFonts w:ascii="David" w:hAnsi="David" w:cs="David"/>
          <w:rtl/>
          <w:lang w:bidi="he-IL"/>
        </w:rPr>
        <w:t xml:space="preserve">דרשה שצמודה אליו. </w:t>
      </w:r>
      <w:r w:rsidR="005A5075">
        <w:rPr>
          <w:rFonts w:ascii="David" w:hAnsi="David" w:cs="David" w:hint="cs"/>
          <w:rtl/>
          <w:lang w:bidi="he-IL"/>
        </w:rPr>
        <w:t>כלומר,</w:t>
      </w:r>
      <w:r w:rsidR="00646412" w:rsidRPr="00660A7B">
        <w:rPr>
          <w:rFonts w:ascii="David" w:hAnsi="David" w:cs="David"/>
          <w:rtl/>
          <w:lang w:bidi="he-IL"/>
        </w:rPr>
        <w:t xml:space="preserve"> יתכן שלפנינו סוגיה שבנויה מ</w:t>
      </w:r>
      <w:r>
        <w:rPr>
          <w:rFonts w:ascii="David" w:hAnsi="David" w:cs="David" w:hint="cs"/>
          <w:rtl/>
          <w:lang w:bidi="he-IL"/>
        </w:rPr>
        <w:t xml:space="preserve">שלושה מרכיבים: </w:t>
      </w:r>
      <w:r w:rsidR="002B2FF5">
        <w:rPr>
          <w:rFonts w:ascii="David" w:hAnsi="David" w:cs="David" w:hint="cs"/>
          <w:rtl/>
          <w:lang w:bidi="he-IL"/>
        </w:rPr>
        <w:t xml:space="preserve">קביעה או </w:t>
      </w:r>
      <w:r w:rsidR="00646412" w:rsidRPr="00660A7B">
        <w:rPr>
          <w:rFonts w:ascii="David" w:hAnsi="David" w:cs="David"/>
          <w:rtl/>
          <w:lang w:bidi="he-IL"/>
        </w:rPr>
        <w:t>מימרא של ר' יהושע</w:t>
      </w:r>
      <w:r w:rsidR="00F42717">
        <w:rPr>
          <w:rFonts w:ascii="David" w:hAnsi="David" w:cs="David" w:hint="cs"/>
          <w:rtl/>
          <w:lang w:bidi="he-IL"/>
        </w:rPr>
        <w:t>;</w:t>
      </w:r>
      <w:r w:rsidR="00646412" w:rsidRPr="00660A7B">
        <w:rPr>
          <w:rFonts w:ascii="David" w:hAnsi="David" w:cs="David"/>
          <w:rtl/>
          <w:lang w:bidi="he-IL"/>
        </w:rPr>
        <w:t xml:space="preserve"> סיפור</w:t>
      </w:r>
      <w:r w:rsidR="00F42717">
        <w:rPr>
          <w:rFonts w:ascii="David" w:hAnsi="David" w:cs="David" w:hint="cs"/>
          <w:rtl/>
          <w:lang w:bidi="he-IL"/>
        </w:rPr>
        <w:t>;</w:t>
      </w:r>
      <w:r w:rsidR="00646412" w:rsidRPr="00660A7B">
        <w:rPr>
          <w:rFonts w:ascii="David" w:hAnsi="David" w:cs="David"/>
          <w:rtl/>
          <w:lang w:bidi="he-IL"/>
        </w:rPr>
        <w:t xml:space="preserve"> ומדרש, שבמקורו אולי כלל </w:t>
      </w:r>
      <w:r w:rsidR="005A5075">
        <w:rPr>
          <w:rFonts w:ascii="David" w:hAnsi="David" w:cs="David" w:hint="cs"/>
          <w:rtl/>
          <w:lang w:bidi="he-IL"/>
        </w:rPr>
        <w:t xml:space="preserve">לא </w:t>
      </w:r>
      <w:r w:rsidR="00F42717">
        <w:rPr>
          <w:rFonts w:ascii="David" w:hAnsi="David" w:cs="David" w:hint="cs"/>
          <w:rtl/>
          <w:lang w:bidi="he-IL"/>
        </w:rPr>
        <w:t>קושר ל</w:t>
      </w:r>
      <w:r w:rsidR="00BE3DC9">
        <w:rPr>
          <w:rFonts w:ascii="David" w:hAnsi="David" w:cs="David" w:hint="cs"/>
          <w:rtl/>
          <w:lang w:bidi="he-IL"/>
        </w:rPr>
        <w:t xml:space="preserve">דיני עירוב חצרות או </w:t>
      </w:r>
      <w:r w:rsidR="00F42717">
        <w:rPr>
          <w:rFonts w:ascii="David" w:hAnsi="David" w:cs="David" w:hint="cs"/>
          <w:rtl/>
          <w:lang w:bidi="he-IL"/>
        </w:rPr>
        <w:t>א</w:t>
      </w:r>
      <w:r w:rsidR="00BE3DC9">
        <w:rPr>
          <w:rFonts w:ascii="David" w:hAnsi="David" w:cs="David" w:hint="cs"/>
          <w:rtl/>
          <w:lang w:bidi="he-IL"/>
        </w:rPr>
        <w:t xml:space="preserve">ל </w:t>
      </w:r>
      <w:r>
        <w:rPr>
          <w:rFonts w:ascii="David" w:hAnsi="David" w:cs="David" w:hint="cs"/>
          <w:rtl/>
          <w:lang w:bidi="he-IL"/>
        </w:rPr>
        <w:t xml:space="preserve">המונח 'מפני </w:t>
      </w:r>
      <w:r w:rsidR="00646412" w:rsidRPr="00660A7B">
        <w:rPr>
          <w:rFonts w:ascii="David" w:hAnsi="David" w:cs="David"/>
          <w:rtl/>
          <w:lang w:bidi="he-IL"/>
        </w:rPr>
        <w:t>דרכי שלום</w:t>
      </w:r>
      <w:r>
        <w:rPr>
          <w:rFonts w:ascii="David" w:hAnsi="David" w:cs="David" w:hint="cs"/>
          <w:rtl/>
          <w:lang w:bidi="he-IL"/>
        </w:rPr>
        <w:t>'</w:t>
      </w:r>
      <w:r w:rsidR="00646412" w:rsidRPr="00660A7B">
        <w:rPr>
          <w:rFonts w:ascii="David" w:hAnsi="David" w:cs="David"/>
          <w:rtl/>
          <w:lang w:bidi="he-IL"/>
        </w:rPr>
        <w:t xml:space="preserve">, אלא למטרתה </w:t>
      </w:r>
      <w:r w:rsidR="00B74AEB">
        <w:rPr>
          <w:rFonts w:ascii="David" w:hAnsi="David" w:cs="David" w:hint="cs"/>
          <w:rtl/>
          <w:lang w:bidi="he-IL"/>
        </w:rPr>
        <w:t xml:space="preserve">הכוללת </w:t>
      </w:r>
      <w:r w:rsidR="00646412" w:rsidRPr="00660A7B">
        <w:rPr>
          <w:rFonts w:ascii="David" w:hAnsi="David" w:cs="David"/>
          <w:rtl/>
          <w:lang w:bidi="he-IL"/>
        </w:rPr>
        <w:t xml:space="preserve">של התורה. </w:t>
      </w:r>
      <w:r w:rsidR="00D87655">
        <w:rPr>
          <w:rFonts w:ascii="David" w:hAnsi="David" w:cs="David" w:hint="cs"/>
          <w:rtl/>
          <w:lang w:bidi="he-IL"/>
        </w:rPr>
        <w:t xml:space="preserve">אם כך הם פני הדברים הרי שהעמדתם </w:t>
      </w:r>
      <w:r w:rsidR="00B93A65">
        <w:rPr>
          <w:rFonts w:ascii="David" w:hAnsi="David" w:cs="David" w:hint="cs"/>
          <w:rtl/>
          <w:lang w:bidi="he-IL"/>
        </w:rPr>
        <w:t xml:space="preserve">של הסיפור והמדרש </w:t>
      </w:r>
      <w:r>
        <w:rPr>
          <w:rFonts w:ascii="David" w:hAnsi="David" w:cs="David" w:hint="cs"/>
          <w:rtl/>
          <w:lang w:bidi="he-IL"/>
        </w:rPr>
        <w:t>כ</w:t>
      </w:r>
      <w:r w:rsidR="00AE04E0">
        <w:rPr>
          <w:rFonts w:ascii="David" w:hAnsi="David" w:cs="David" w:hint="cs"/>
          <w:rtl/>
          <w:lang w:bidi="he-IL"/>
        </w:rPr>
        <w:t>משתלשלים</w:t>
      </w:r>
      <w:r>
        <w:rPr>
          <w:rFonts w:ascii="David" w:hAnsi="David" w:cs="David" w:hint="cs"/>
          <w:rtl/>
          <w:lang w:bidi="he-IL"/>
        </w:rPr>
        <w:t xml:space="preserve"> </w:t>
      </w:r>
      <w:r w:rsidR="002B2FF5">
        <w:rPr>
          <w:rFonts w:ascii="David" w:hAnsi="David" w:cs="David" w:hint="cs"/>
          <w:rtl/>
          <w:lang w:bidi="he-IL"/>
        </w:rPr>
        <w:t xml:space="preserve">מדברי </w:t>
      </w:r>
      <w:r>
        <w:rPr>
          <w:rFonts w:ascii="David" w:hAnsi="David" w:cs="David" w:hint="cs"/>
          <w:rtl/>
          <w:lang w:bidi="he-IL"/>
        </w:rPr>
        <w:t xml:space="preserve">ר' יהושע </w:t>
      </w:r>
      <w:r w:rsidR="00B93A65">
        <w:rPr>
          <w:rFonts w:ascii="David" w:hAnsi="David" w:cs="David" w:hint="cs"/>
          <w:rtl/>
          <w:lang w:bidi="he-IL"/>
        </w:rPr>
        <w:t>היא שקושרת בין עירוב החצרות ל</w:t>
      </w:r>
      <w:r w:rsidR="00677B8F">
        <w:rPr>
          <w:rFonts w:ascii="David" w:hAnsi="David" w:cs="David" w:hint="cs"/>
          <w:rtl/>
          <w:lang w:bidi="he-IL"/>
        </w:rPr>
        <w:t>מטרתה הרחבה של התורה</w:t>
      </w:r>
      <w:r w:rsidR="00646412" w:rsidRPr="00660A7B">
        <w:rPr>
          <w:rFonts w:ascii="David" w:hAnsi="David" w:cs="David"/>
          <w:rtl/>
          <w:lang w:bidi="he-IL"/>
        </w:rPr>
        <w:t xml:space="preserve"> כמשכי</w:t>
      </w:r>
      <w:r w:rsidR="00B93A65">
        <w:rPr>
          <w:rFonts w:ascii="David" w:hAnsi="David" w:cs="David" w:hint="cs"/>
          <w:rtl/>
          <w:lang w:bidi="he-IL"/>
        </w:rPr>
        <w:t>נת</w:t>
      </w:r>
      <w:r w:rsidR="00646412" w:rsidRPr="00660A7B">
        <w:rPr>
          <w:rFonts w:ascii="David" w:hAnsi="David" w:cs="David"/>
          <w:rtl/>
          <w:lang w:bidi="he-IL"/>
        </w:rPr>
        <w:t xml:space="preserve"> שלום</w:t>
      </w:r>
      <w:r>
        <w:rPr>
          <w:rFonts w:ascii="David" w:hAnsi="David" w:cs="David" w:hint="cs"/>
          <w:rtl/>
          <w:lang w:bidi="he-IL"/>
        </w:rPr>
        <w:t>.</w:t>
      </w:r>
      <w:r w:rsidR="00646412" w:rsidRPr="00660A7B">
        <w:rPr>
          <w:rFonts w:ascii="David" w:hAnsi="David" w:cs="David"/>
          <w:rtl/>
          <w:lang w:bidi="he-IL"/>
        </w:rPr>
        <w:t xml:space="preserve"> כך מקבל הנימוק 'מפני דרכי שלום' את המשמעות המטא-הלכתית שלו</w:t>
      </w:r>
      <w:r w:rsidR="00AE04E0">
        <w:rPr>
          <w:rFonts w:ascii="David" w:hAnsi="David" w:cs="David" w:hint="cs"/>
          <w:rtl/>
          <w:lang w:bidi="he-IL"/>
        </w:rPr>
        <w:t>,</w:t>
      </w:r>
      <w:r w:rsidR="00646412" w:rsidRPr="00660A7B">
        <w:rPr>
          <w:rFonts w:ascii="David" w:hAnsi="David" w:cs="David"/>
          <w:rtl/>
          <w:lang w:bidi="he-IL"/>
        </w:rPr>
        <w:t xml:space="preserve"> </w:t>
      </w:r>
      <w:r w:rsidR="00AE04E0">
        <w:rPr>
          <w:rFonts w:ascii="David" w:hAnsi="David" w:cs="David" w:hint="cs"/>
          <w:rtl/>
          <w:lang w:bidi="he-IL"/>
        </w:rPr>
        <w:t>כמימוש ל</w:t>
      </w:r>
      <w:r w:rsidR="00646412" w:rsidRPr="00660A7B">
        <w:rPr>
          <w:rFonts w:ascii="David" w:hAnsi="David" w:cs="David"/>
          <w:rtl/>
          <w:lang w:bidi="he-IL"/>
        </w:rPr>
        <w:t>מטרתה של התורה כולה</w:t>
      </w:r>
      <w:r w:rsidR="004F6C49">
        <w:rPr>
          <w:rFonts w:ascii="David" w:hAnsi="David" w:cs="David" w:hint="cs"/>
          <w:rtl/>
          <w:lang w:bidi="he-IL"/>
        </w:rPr>
        <w:t xml:space="preserve"> </w:t>
      </w:r>
      <w:r w:rsidR="004F6C49">
        <w:rPr>
          <w:rFonts w:ascii="David" w:hAnsi="David" w:cs="David"/>
          <w:rtl/>
          <w:lang w:bidi="he-IL"/>
        </w:rPr>
        <w:t>–</w:t>
      </w:r>
      <w:r w:rsidR="004F6C49">
        <w:rPr>
          <w:rFonts w:ascii="David" w:hAnsi="David" w:cs="David" w:hint="cs"/>
          <w:rtl/>
          <w:lang w:bidi="he-IL"/>
        </w:rPr>
        <w:t xml:space="preserve"> ולא רק של דיני עירוב</w:t>
      </w:r>
      <w:r w:rsidR="008F4009">
        <w:rPr>
          <w:rFonts w:ascii="David" w:hAnsi="David" w:cs="David" w:hint="cs"/>
          <w:rtl/>
          <w:lang w:bidi="he-IL"/>
        </w:rPr>
        <w:t>.</w:t>
      </w:r>
      <w:r w:rsidR="004F6C49">
        <w:rPr>
          <w:rFonts w:ascii="David" w:hAnsi="David" w:cs="David" w:hint="cs"/>
          <w:rtl/>
          <w:lang w:bidi="he-IL"/>
        </w:rPr>
        <w:t xml:space="preserve"> </w:t>
      </w:r>
    </w:p>
  </w:footnote>
  <w:footnote w:id="61">
    <w:p w14:paraId="0031CF0E" w14:textId="60BCCFA8" w:rsidR="00EE5218" w:rsidRPr="00EE5218" w:rsidRDefault="00EE5218">
      <w:pPr>
        <w:pStyle w:val="a3"/>
        <w:rPr>
          <w:lang w:bidi="he-IL"/>
        </w:rPr>
      </w:pPr>
      <w:r w:rsidRPr="00EE5218">
        <w:rPr>
          <w:rStyle w:val="a5"/>
          <w:vertAlign w:val="baseline"/>
        </w:rPr>
        <w:footnoteRef/>
      </w:r>
      <w:r>
        <w:t xml:space="preserve">. </w:t>
      </w:r>
      <w:r w:rsidRPr="00213E20">
        <w:rPr>
          <w:rFonts w:ascii="TimesNewRomanPSMT" w:hAnsi="TimesNewRomanPSMT" w:cs="TimesNewRomanPSMT"/>
          <w:color w:val="20231D"/>
        </w:rPr>
        <w:t>Cover,</w:t>
      </w:r>
      <w:r w:rsidR="004F2BF0">
        <w:rPr>
          <w:rFonts w:ascii="SBL Greek" w:hAnsi="SBL Greek" w:cs="TimesNewRomanPSMT"/>
          <w:color w:val="20231D"/>
        </w:rPr>
        <w:t xml:space="preserve"> </w:t>
      </w:r>
      <w:r w:rsidRPr="005327BD">
        <w:rPr>
          <w:rFonts w:ascii="TimesNewRomanPSMT" w:hAnsi="TimesNewRomanPSMT" w:cs="TimesNewRomanPSMT"/>
          <w:i/>
          <w:iCs/>
          <w:color w:val="20231D"/>
        </w:rPr>
        <w:t>Nomos and Narrative</w:t>
      </w:r>
      <w:r>
        <w:rPr>
          <w:rFonts w:ascii="TimesNewRomanPSMT" w:hAnsi="TimesNewRomanPSMT" w:cs="TimesNewRomanPSMT"/>
          <w:color w:val="20231D"/>
        </w:rPr>
        <w:t>,</w:t>
      </w:r>
      <w:r w:rsidR="009D5C51">
        <w:rPr>
          <w:lang w:bidi="he-IL"/>
        </w:rPr>
        <w:t xml:space="preserve"> 4</w:t>
      </w:r>
      <w:r>
        <w:rPr>
          <w:lang w:bidi="he-IL"/>
        </w:rPr>
        <w:t>.</w:t>
      </w:r>
    </w:p>
  </w:footnote>
  <w:footnote w:id="62">
    <w:p w14:paraId="3015687F" w14:textId="2814DEBB" w:rsidR="00997F23" w:rsidRPr="00213E20" w:rsidRDefault="00997F23" w:rsidP="00314F27">
      <w:pPr>
        <w:pStyle w:val="a3"/>
        <w:jc w:val="both"/>
      </w:pPr>
      <w:r w:rsidRPr="008B3692">
        <w:rPr>
          <w:rStyle w:val="a5"/>
          <w:vertAlign w:val="baseline"/>
        </w:rPr>
        <w:footnoteRef/>
      </w:r>
      <w:r w:rsidR="008B3692">
        <w:t>.</w:t>
      </w:r>
      <w:r w:rsidRPr="008B3692">
        <w:t xml:space="preserve"> </w:t>
      </w:r>
      <w:r w:rsidR="00EE5218">
        <w:rPr>
          <w:rFonts w:ascii="TimesNewRomanPSMT" w:hAnsi="TimesNewRomanPSMT" w:cs="TimesNewRomanPSMT"/>
          <w:color w:val="20231D"/>
        </w:rPr>
        <w:t xml:space="preserve">Ibid, </w:t>
      </w:r>
      <w:r w:rsidR="00E15F04" w:rsidRPr="00213E20">
        <w:rPr>
          <w:rFonts w:ascii="TimesNewRomanPSMT" w:hAnsi="TimesNewRomanPSMT" w:cs="TimesNewRomanPSMT"/>
          <w:color w:val="20231D"/>
        </w:rPr>
        <w:t>4-5.</w:t>
      </w:r>
      <w:r w:rsidRPr="00213E20">
        <w:t xml:space="preserve"> </w:t>
      </w:r>
    </w:p>
  </w:footnote>
  <w:footnote w:id="63">
    <w:p w14:paraId="108B3733" w14:textId="3DD0C73E" w:rsidR="004F3058" w:rsidRPr="004F3058" w:rsidRDefault="004F3058" w:rsidP="00314F27">
      <w:pPr>
        <w:pStyle w:val="a3"/>
        <w:jc w:val="both"/>
        <w:rPr>
          <w:lang w:bidi="he-IL"/>
        </w:rPr>
      </w:pPr>
      <w:r w:rsidRPr="00EA4B84">
        <w:rPr>
          <w:rStyle w:val="a5"/>
          <w:vertAlign w:val="baseline"/>
        </w:rPr>
        <w:footnoteRef/>
      </w:r>
      <w:r w:rsidR="00EA4B84">
        <w:t>.</w:t>
      </w:r>
      <w:r w:rsidRPr="00EA4B84">
        <w:t xml:space="preserve"> </w:t>
      </w:r>
      <w:r>
        <w:rPr>
          <w:lang w:bidi="he-IL"/>
        </w:rPr>
        <w:t>Ibid, 9.</w:t>
      </w:r>
    </w:p>
  </w:footnote>
  <w:footnote w:id="64">
    <w:p w14:paraId="69A57FBA" w14:textId="0D785AD6" w:rsidR="00CD5538" w:rsidRDefault="00CD5538" w:rsidP="00314F27">
      <w:pPr>
        <w:pStyle w:val="a3"/>
        <w:jc w:val="both"/>
      </w:pPr>
      <w:r w:rsidRPr="00EA4B84">
        <w:rPr>
          <w:rStyle w:val="a5"/>
          <w:vertAlign w:val="baseline"/>
        </w:rPr>
        <w:footnoteRef/>
      </w:r>
      <w:r w:rsidR="00EA4B84">
        <w:t>.</w:t>
      </w:r>
      <w:r>
        <w:t xml:space="preserve"> Ibid, 9.</w:t>
      </w:r>
    </w:p>
  </w:footnote>
  <w:footnote w:id="65">
    <w:p w14:paraId="1FC77191" w14:textId="5D4177E4" w:rsidR="001A61A2" w:rsidRDefault="001A61A2" w:rsidP="00314F27">
      <w:pPr>
        <w:pStyle w:val="a3"/>
        <w:jc w:val="both"/>
        <w:rPr>
          <w:lang w:bidi="he-IL"/>
        </w:rPr>
      </w:pPr>
      <w:r w:rsidRPr="00EA4B84">
        <w:rPr>
          <w:rStyle w:val="a5"/>
          <w:vertAlign w:val="baseline"/>
        </w:rPr>
        <w:footnoteRef/>
      </w:r>
      <w:r w:rsidR="00EA4B84">
        <w:t>.</w:t>
      </w:r>
      <w:r>
        <w:t xml:space="preserve"> </w:t>
      </w:r>
      <w:r>
        <w:rPr>
          <w:rFonts w:hint="cs"/>
          <w:lang w:bidi="he-IL"/>
        </w:rPr>
        <w:t>I</w:t>
      </w:r>
      <w:r>
        <w:rPr>
          <w:lang w:bidi="he-IL"/>
        </w:rPr>
        <w:t>bid, 11.</w:t>
      </w:r>
    </w:p>
  </w:footnote>
  <w:footnote w:id="66">
    <w:p w14:paraId="04DECBF2" w14:textId="1600C1A5" w:rsidR="00B01C73" w:rsidRDefault="00B01C73" w:rsidP="00ED5FF1">
      <w:pPr>
        <w:pStyle w:val="a3"/>
        <w:jc w:val="both"/>
        <w:rPr>
          <w:lang w:bidi="he-IL"/>
        </w:rPr>
      </w:pPr>
      <w:r w:rsidRPr="00ED5FF1">
        <w:rPr>
          <w:rStyle w:val="a5"/>
          <w:vertAlign w:val="baseline"/>
        </w:rPr>
        <w:footnoteRef/>
      </w:r>
      <w:r w:rsidR="00ED5FF1">
        <w:rPr>
          <w:lang w:bidi="he-IL"/>
        </w:rPr>
        <w:t>.</w:t>
      </w:r>
      <w:r w:rsidRPr="00ED5FF1">
        <w:rPr>
          <w:lang w:bidi="he-IL"/>
        </w:rPr>
        <w:t xml:space="preserve"> </w:t>
      </w:r>
      <w:r>
        <w:rPr>
          <w:rFonts w:hint="cs"/>
          <w:rtl/>
          <w:lang w:bidi="he-IL"/>
        </w:rPr>
        <w:t xml:space="preserve"> </w:t>
      </w:r>
      <w:r w:rsidR="00E96EE8" w:rsidRPr="00E96EE8">
        <w:rPr>
          <w:rFonts w:ascii="David" w:hAnsi="David" w:cs="David"/>
          <w:rtl/>
          <w:lang w:bidi="he-IL"/>
        </w:rPr>
        <w:t xml:space="preserve">כך, קבוצות נוצריות אינסולריות מהזרם האנבפטיסטי משמשות עבור קאבר דוגמאות פרדיגמטיות לקהילות החיות על פי מערכות אתיות חובקות־כול. אך התֵזה של </w:t>
      </w:r>
      <w:r w:rsidR="00157719">
        <w:rPr>
          <w:rFonts w:ascii="David" w:hAnsi="David" w:cs="David" w:hint="cs"/>
          <w:rtl/>
          <w:lang w:bidi="he-IL"/>
        </w:rPr>
        <w:t>'</w:t>
      </w:r>
      <w:r w:rsidR="00E96EE8" w:rsidRPr="00E96EE8">
        <w:rPr>
          <w:rFonts w:ascii="David" w:hAnsi="David" w:cs="David"/>
          <w:rtl/>
          <w:lang w:bidi="he-IL"/>
        </w:rPr>
        <w:t>נומוס ונרטיב</w:t>
      </w:r>
      <w:r w:rsidR="00157719">
        <w:rPr>
          <w:rFonts w:ascii="David" w:hAnsi="David" w:cs="David" w:hint="cs"/>
          <w:rtl/>
          <w:lang w:bidi="he-IL"/>
        </w:rPr>
        <w:t>'</w:t>
      </w:r>
      <w:r w:rsidR="00E96EE8" w:rsidRPr="00E96EE8">
        <w:rPr>
          <w:rFonts w:ascii="David" w:hAnsi="David" w:cs="David"/>
          <w:rtl/>
          <w:lang w:bidi="he-IL"/>
        </w:rPr>
        <w:t xml:space="preserve"> אינה מוגבלת להן בלבד, והיא יושמה בספרות על קהילות ברמות משתנות של לכידות ומחויבות</w:t>
      </w:r>
      <w:r w:rsidR="002C3B42">
        <w:rPr>
          <w:rFonts w:ascii="David" w:hAnsi="David" w:cs="David" w:hint="cs"/>
          <w:rtl/>
          <w:lang w:bidi="he-IL"/>
        </w:rPr>
        <w:t xml:space="preserve">, ואף </w:t>
      </w:r>
      <w:r w:rsidRPr="00F827E9">
        <w:rPr>
          <w:rFonts w:ascii="David" w:hAnsi="David" w:cs="David"/>
          <w:rtl/>
          <w:lang w:bidi="he-IL"/>
        </w:rPr>
        <w:t>בנוגע לקהילייה הבינלאומית. ראו בעיקר</w:t>
      </w:r>
    </w:p>
    <w:p w14:paraId="49C65CA0" w14:textId="535AF89F" w:rsidR="005B532C" w:rsidRPr="00B95C6B" w:rsidRDefault="005B532C" w:rsidP="00A42477">
      <w:pPr>
        <w:autoSpaceDE w:val="0"/>
        <w:autoSpaceDN w:val="0"/>
        <w:bidi w:val="0"/>
        <w:adjustRightInd w:val="0"/>
        <w:spacing w:after="0" w:line="480" w:lineRule="auto"/>
        <w:jc w:val="both"/>
        <w:rPr>
          <w:rFonts w:asciiTheme="majorBidi" w:hAnsiTheme="majorBidi" w:cstheme="majorBidi"/>
          <w:sz w:val="20"/>
          <w:szCs w:val="20"/>
          <w:rtl/>
        </w:rPr>
      </w:pPr>
      <w:r w:rsidRPr="00B95C6B">
        <w:rPr>
          <w:rFonts w:asciiTheme="majorBidi" w:hAnsiTheme="majorBidi" w:cstheme="majorBidi"/>
          <w:color w:val="20231D"/>
          <w:sz w:val="20"/>
          <w:szCs w:val="20"/>
        </w:rPr>
        <w:t xml:space="preserve">Jeffrey L. Dunoff, </w:t>
      </w:r>
      <w:r w:rsidRPr="00B95C6B">
        <w:rPr>
          <w:rFonts w:asciiTheme="majorBidi" w:hAnsiTheme="majorBidi" w:cstheme="majorBidi"/>
          <w:i/>
          <w:iCs/>
          <w:color w:val="20231D"/>
          <w:sz w:val="20"/>
          <w:szCs w:val="20"/>
        </w:rPr>
        <w:t>A New Approach to Regime Interaction</w:t>
      </w:r>
      <w:r w:rsidRPr="00B95C6B">
        <w:rPr>
          <w:rFonts w:asciiTheme="majorBidi" w:hAnsiTheme="majorBidi" w:cstheme="majorBidi"/>
          <w:color w:val="20231D"/>
          <w:sz w:val="20"/>
          <w:szCs w:val="20"/>
        </w:rPr>
        <w:t xml:space="preserve">, </w:t>
      </w:r>
      <w:r w:rsidRPr="00B95C6B">
        <w:rPr>
          <w:rFonts w:asciiTheme="majorBidi" w:hAnsiTheme="majorBidi" w:cstheme="majorBidi"/>
          <w:i/>
          <w:iCs/>
          <w:color w:val="20231D"/>
          <w:sz w:val="20"/>
          <w:szCs w:val="20"/>
        </w:rPr>
        <w:t xml:space="preserve">in </w:t>
      </w:r>
      <w:r w:rsidRPr="00B95C6B">
        <w:rPr>
          <w:rFonts w:asciiTheme="majorBidi" w:hAnsiTheme="majorBidi" w:cstheme="majorBidi"/>
          <w:color w:val="20231D"/>
          <w:sz w:val="20"/>
          <w:szCs w:val="20"/>
        </w:rPr>
        <w:t>Regime Interaction in International Law: Facing Fragmentation 136, 144–56 (Margaret A. Young ed., 2012)</w:t>
      </w:r>
      <w:r w:rsidR="00B95C6B">
        <w:rPr>
          <w:rFonts w:asciiTheme="majorBidi" w:hAnsiTheme="majorBidi" w:cstheme="majorBidi"/>
          <w:color w:val="20231D"/>
          <w:sz w:val="20"/>
          <w:szCs w:val="20"/>
        </w:rPr>
        <w:t>;</w:t>
      </w:r>
      <w:r w:rsidR="00A42477">
        <w:rPr>
          <w:rFonts w:asciiTheme="majorBidi" w:hAnsiTheme="majorBidi" w:cstheme="majorBidi"/>
          <w:color w:val="20231D"/>
          <w:sz w:val="20"/>
          <w:szCs w:val="20"/>
        </w:rPr>
        <w:t xml:space="preserve"> </w:t>
      </w:r>
      <w:r w:rsidR="00B95C6B" w:rsidRPr="00B95C6B">
        <w:rPr>
          <w:rFonts w:asciiTheme="majorBidi" w:hAnsiTheme="majorBidi" w:cstheme="majorBidi"/>
          <w:color w:val="20231D"/>
          <w:sz w:val="20"/>
          <w:szCs w:val="20"/>
        </w:rPr>
        <w:t>Gunther Teubner, Constitutional Fragments: Societal Constitutionalism and Globalization 152 (2012)</w:t>
      </w:r>
      <w:r w:rsidR="00B95C6B" w:rsidRPr="00B95C6B">
        <w:rPr>
          <w:rFonts w:asciiTheme="majorBidi" w:hAnsiTheme="majorBidi" w:cstheme="majorBidi"/>
          <w:sz w:val="20"/>
          <w:szCs w:val="20"/>
        </w:rPr>
        <w:t>.</w:t>
      </w:r>
    </w:p>
  </w:footnote>
  <w:footnote w:id="67">
    <w:p w14:paraId="546D8F16" w14:textId="498BA2D9" w:rsidR="00C9340B" w:rsidRPr="00C9340B" w:rsidRDefault="00C9340B" w:rsidP="00314F27">
      <w:pPr>
        <w:pStyle w:val="a3"/>
        <w:jc w:val="both"/>
        <w:rPr>
          <w:rFonts w:cstheme="minorBidi"/>
          <w:lang w:bidi="he-IL"/>
        </w:rPr>
      </w:pPr>
      <w:r w:rsidRPr="00EA4B84">
        <w:rPr>
          <w:rStyle w:val="a5"/>
          <w:vertAlign w:val="baseline"/>
        </w:rPr>
        <w:footnoteRef/>
      </w:r>
      <w:r w:rsidR="00EA4B84">
        <w:t>.</w:t>
      </w:r>
      <w:r w:rsidRPr="00EA4B84">
        <w:t xml:space="preserve"> </w:t>
      </w:r>
      <w:r>
        <w:rPr>
          <w:rFonts w:cstheme="minorBidi" w:hint="cs"/>
          <w:lang w:bidi="he-IL"/>
        </w:rPr>
        <w:t>C</w:t>
      </w:r>
      <w:r>
        <w:rPr>
          <w:rFonts w:cstheme="minorBidi"/>
          <w:lang w:bidi="he-IL"/>
        </w:rPr>
        <w:t xml:space="preserve">over, </w:t>
      </w:r>
      <w:r w:rsidR="00EF1E42" w:rsidRPr="00EF1E42">
        <w:rPr>
          <w:rFonts w:cstheme="minorBidi"/>
          <w:i/>
          <w:iCs/>
          <w:lang w:bidi="he-IL"/>
        </w:rPr>
        <w:t>Nomos and Narrative</w:t>
      </w:r>
      <w:r>
        <w:rPr>
          <w:rFonts w:cstheme="minorBidi"/>
          <w:lang w:bidi="he-IL"/>
        </w:rPr>
        <w:t>, 28-29.</w:t>
      </w:r>
    </w:p>
  </w:footnote>
  <w:footnote w:id="68">
    <w:p w14:paraId="758613E6" w14:textId="77777777" w:rsidR="00215386" w:rsidRPr="005C4682" w:rsidRDefault="00215386" w:rsidP="00314F27">
      <w:pPr>
        <w:pStyle w:val="a3"/>
        <w:jc w:val="both"/>
        <w:rPr>
          <w:lang w:bidi="he-IL"/>
        </w:rPr>
      </w:pPr>
      <w:r w:rsidRPr="005C4682">
        <w:rPr>
          <w:rStyle w:val="a5"/>
          <w:vertAlign w:val="baseline"/>
        </w:rPr>
        <w:footnoteRef/>
      </w:r>
      <w:r>
        <w:t xml:space="preserve">. </w:t>
      </w:r>
      <w:r>
        <w:rPr>
          <w:rFonts w:cstheme="minorBidi"/>
          <w:lang w:bidi="he-IL"/>
        </w:rPr>
        <w:t>Ibid, 12.</w:t>
      </w:r>
      <w:r w:rsidRPr="005C4682">
        <w:t xml:space="preserve"> </w:t>
      </w:r>
    </w:p>
  </w:footnote>
  <w:footnote w:id="69">
    <w:p w14:paraId="6927D503" w14:textId="0757B952" w:rsidR="00025478" w:rsidRPr="00025478" w:rsidRDefault="00025478" w:rsidP="00314F27">
      <w:pPr>
        <w:pStyle w:val="a3"/>
        <w:jc w:val="both"/>
        <w:rPr>
          <w:lang w:bidi="he-IL"/>
        </w:rPr>
      </w:pPr>
      <w:r w:rsidRPr="0031047C">
        <w:rPr>
          <w:rStyle w:val="a5"/>
          <w:vertAlign w:val="baseline"/>
        </w:rPr>
        <w:footnoteRef/>
      </w:r>
      <w:r w:rsidR="0031047C">
        <w:t>.</w:t>
      </w:r>
      <w:r>
        <w:t xml:space="preserve"> </w:t>
      </w:r>
      <w:r w:rsidR="0031047C">
        <w:rPr>
          <w:lang w:bidi="he-IL"/>
        </w:rPr>
        <w:t>M</w:t>
      </w:r>
      <w:r>
        <w:rPr>
          <w:lang w:bidi="he-IL"/>
        </w:rPr>
        <w:t>.</w:t>
      </w:r>
      <w:r w:rsidR="0031047C">
        <w:rPr>
          <w:lang w:bidi="he-IL"/>
        </w:rPr>
        <w:t xml:space="preserve"> </w:t>
      </w:r>
      <w:r>
        <w:rPr>
          <w:lang w:bidi="he-IL"/>
        </w:rPr>
        <w:t xml:space="preserve">Avot </w:t>
      </w:r>
      <w:r w:rsidR="00D03E0F">
        <w:rPr>
          <w:lang w:bidi="he-IL"/>
        </w:rPr>
        <w:t>1:2.</w:t>
      </w:r>
    </w:p>
  </w:footnote>
  <w:footnote w:id="70">
    <w:p w14:paraId="64B5BDFC" w14:textId="2D757A92" w:rsidR="0022670B" w:rsidRDefault="0022670B" w:rsidP="00FD3342">
      <w:pPr>
        <w:pStyle w:val="a3"/>
        <w:jc w:val="both"/>
        <w:rPr>
          <w:rtl/>
          <w:lang w:bidi="he-IL"/>
        </w:rPr>
      </w:pPr>
      <w:r w:rsidRPr="00FD3342">
        <w:rPr>
          <w:rStyle w:val="a5"/>
          <w:vertAlign w:val="baseline"/>
        </w:rPr>
        <w:footnoteRef/>
      </w:r>
      <w:r w:rsidR="00FD3342">
        <w:t>.</w:t>
      </w:r>
      <w:r w:rsidRPr="00FD3342">
        <w:t xml:space="preserve"> </w:t>
      </w:r>
      <w:r>
        <w:rPr>
          <w:rFonts w:hint="cs"/>
          <w:rtl/>
          <w:lang w:bidi="he-IL"/>
        </w:rPr>
        <w:t xml:space="preserve"> </w:t>
      </w:r>
      <w:r w:rsidRPr="0022670B">
        <w:rPr>
          <w:rFonts w:ascii="TimesNewRomanPSMT" w:hAnsi="TimesNewRomanPSMT" w:cs="TimesNewRomanPSMT"/>
          <w:color w:val="20231D"/>
        </w:rPr>
        <w:t>Paideia</w:t>
      </w:r>
      <w:r w:rsidRPr="0022670B">
        <w:rPr>
          <w:rFonts w:ascii="MFFrankRuhl" w:hAnsi="TimesNewRomanPSMT" w:cs="MFFrankRuhl"/>
          <w:color w:val="20231D"/>
        </w:rPr>
        <w:t xml:space="preserve"> </w:t>
      </w:r>
      <w:r w:rsidRPr="0022670B">
        <w:rPr>
          <w:rFonts w:ascii="TimesNewRomanPSMT" w:hAnsi="TimesNewRomanPSMT" w:cs="TimesNewRomanPSMT"/>
          <w:color w:val="20231D"/>
        </w:rPr>
        <w:t>(Paideic)</w:t>
      </w:r>
      <w:r>
        <w:rPr>
          <w:rFonts w:ascii="MFFrankRuhl" w:cs="MFFrankRuhl" w:hint="cs"/>
          <w:color w:val="20231D"/>
          <w:rtl/>
          <w:lang w:bidi="he-IL"/>
        </w:rPr>
        <w:t xml:space="preserve"> </w:t>
      </w:r>
      <w:r w:rsidRPr="0022670B">
        <w:rPr>
          <w:rFonts w:ascii="David" w:hAnsi="David" w:cs="David"/>
          <w:color w:val="20231D"/>
          <w:rtl/>
          <w:lang w:bidi="he-IL"/>
        </w:rPr>
        <w:t>פירושו, בתרבות יוון העתיקה, העיצוב התרבותי והחינוכי של אזרחי הפוליס.</w:t>
      </w:r>
    </w:p>
  </w:footnote>
  <w:footnote w:id="71">
    <w:p w14:paraId="4F70052B" w14:textId="2945ECD2" w:rsidR="00084BF1" w:rsidRPr="00084BF1" w:rsidRDefault="00084BF1" w:rsidP="00314F27">
      <w:pPr>
        <w:pStyle w:val="a3"/>
        <w:jc w:val="both"/>
        <w:rPr>
          <w:lang w:bidi="he-IL"/>
        </w:rPr>
      </w:pPr>
      <w:r w:rsidRPr="0031047C">
        <w:rPr>
          <w:rStyle w:val="a5"/>
          <w:vertAlign w:val="baseline"/>
        </w:rPr>
        <w:footnoteRef/>
      </w:r>
      <w:r w:rsidR="0031047C">
        <w:t>.</w:t>
      </w:r>
      <w:r w:rsidRPr="0031047C">
        <w:t xml:space="preserve"> </w:t>
      </w:r>
      <w:r>
        <w:rPr>
          <w:lang w:bidi="he-IL"/>
        </w:rPr>
        <w:t xml:space="preserve">Cover, </w:t>
      </w:r>
      <w:r w:rsidR="0031047C" w:rsidRPr="005327BD">
        <w:rPr>
          <w:i/>
          <w:iCs/>
          <w:lang w:bidi="he-IL"/>
        </w:rPr>
        <w:t xml:space="preserve">Nomos and </w:t>
      </w:r>
      <w:r w:rsidR="00963FCE" w:rsidRPr="005327BD">
        <w:rPr>
          <w:i/>
          <w:iCs/>
          <w:lang w:bidi="he-IL"/>
        </w:rPr>
        <w:t>Narrative</w:t>
      </w:r>
      <w:r>
        <w:rPr>
          <w:lang w:bidi="he-IL"/>
        </w:rPr>
        <w:t>, 12-13.</w:t>
      </w:r>
    </w:p>
  </w:footnote>
  <w:footnote w:id="72">
    <w:p w14:paraId="3BBCEF30" w14:textId="34BE6871" w:rsidR="00154751" w:rsidRDefault="00154751" w:rsidP="00314F27">
      <w:pPr>
        <w:pStyle w:val="a3"/>
        <w:jc w:val="both"/>
        <w:rPr>
          <w:lang w:bidi="he-IL"/>
        </w:rPr>
      </w:pPr>
      <w:r w:rsidRPr="0031047C">
        <w:rPr>
          <w:rStyle w:val="a5"/>
          <w:vertAlign w:val="baseline"/>
        </w:rPr>
        <w:footnoteRef/>
      </w:r>
      <w:r w:rsidR="0031047C">
        <w:t>.</w:t>
      </w:r>
      <w:r>
        <w:t xml:space="preserve"> </w:t>
      </w:r>
      <w:r>
        <w:rPr>
          <w:rFonts w:hint="cs"/>
          <w:lang w:bidi="he-IL"/>
        </w:rPr>
        <w:t>I</w:t>
      </w:r>
      <w:r>
        <w:rPr>
          <w:lang w:bidi="he-IL"/>
        </w:rPr>
        <w:t>bid, 12.</w:t>
      </w:r>
    </w:p>
  </w:footnote>
  <w:footnote w:id="73">
    <w:p w14:paraId="66680222" w14:textId="77777777" w:rsidR="00EA6DDB" w:rsidRPr="001206C4" w:rsidRDefault="00EA6DDB" w:rsidP="00EA6DDB">
      <w:pPr>
        <w:pStyle w:val="a3"/>
        <w:jc w:val="both"/>
        <w:rPr>
          <w:lang w:bidi="he-IL"/>
        </w:rPr>
      </w:pPr>
      <w:r w:rsidRPr="0031047C">
        <w:rPr>
          <w:rStyle w:val="a5"/>
          <w:vertAlign w:val="baseline"/>
        </w:rPr>
        <w:footnoteRef/>
      </w:r>
      <w:r>
        <w:rPr>
          <w:lang w:bidi="he-IL"/>
        </w:rPr>
        <w:t>.</w:t>
      </w:r>
      <w:r w:rsidRPr="0031047C">
        <w:rPr>
          <w:lang w:bidi="he-IL"/>
        </w:rPr>
        <w:t xml:space="preserve"> </w:t>
      </w:r>
      <w:r>
        <w:rPr>
          <w:lang w:bidi="he-IL"/>
        </w:rPr>
        <w:t>M. Avot 1:17.</w:t>
      </w:r>
    </w:p>
  </w:footnote>
  <w:footnote w:id="74">
    <w:p w14:paraId="41A8F458" w14:textId="7514885C" w:rsidR="005F3DAF" w:rsidRDefault="005F3DAF" w:rsidP="00314F27">
      <w:pPr>
        <w:pStyle w:val="a3"/>
        <w:jc w:val="both"/>
      </w:pPr>
      <w:r w:rsidRPr="0031047C">
        <w:rPr>
          <w:rStyle w:val="a5"/>
          <w:vertAlign w:val="baseline"/>
        </w:rPr>
        <w:footnoteRef/>
      </w:r>
      <w:r w:rsidR="0031047C">
        <w:t>.</w:t>
      </w:r>
      <w:r>
        <w:t xml:space="preserve"> Cover, </w:t>
      </w:r>
      <w:r w:rsidR="0031047C" w:rsidRPr="005327BD">
        <w:rPr>
          <w:i/>
          <w:iCs/>
        </w:rPr>
        <w:t xml:space="preserve">Nomos and </w:t>
      </w:r>
      <w:r w:rsidR="00963FCE" w:rsidRPr="005327BD">
        <w:rPr>
          <w:i/>
          <w:iCs/>
        </w:rPr>
        <w:t>Narrative</w:t>
      </w:r>
      <w:r>
        <w:t>, 13.</w:t>
      </w:r>
    </w:p>
  </w:footnote>
  <w:footnote w:id="75">
    <w:p w14:paraId="644378B4" w14:textId="398A10E7" w:rsidR="0093425B" w:rsidRPr="0093425B" w:rsidRDefault="0093425B" w:rsidP="00314F27">
      <w:pPr>
        <w:pStyle w:val="a3"/>
        <w:jc w:val="both"/>
        <w:rPr>
          <w:lang w:bidi="he-IL"/>
        </w:rPr>
      </w:pPr>
      <w:r w:rsidRPr="00A86108">
        <w:rPr>
          <w:rStyle w:val="a5"/>
          <w:vertAlign w:val="baseline"/>
        </w:rPr>
        <w:footnoteRef/>
      </w:r>
      <w:r w:rsidR="00A86108">
        <w:t>.</w:t>
      </w:r>
      <w:r>
        <w:t xml:space="preserve"> </w:t>
      </w:r>
      <w:r>
        <w:rPr>
          <w:lang w:bidi="he-IL"/>
        </w:rPr>
        <w:t>Ibid, 53.</w:t>
      </w:r>
    </w:p>
  </w:footnote>
  <w:footnote w:id="76">
    <w:p w14:paraId="11C54325" w14:textId="74A6CC05" w:rsidR="006B5AC1" w:rsidRPr="00AC2143" w:rsidRDefault="006B5AC1" w:rsidP="00314F27">
      <w:pPr>
        <w:pStyle w:val="a3"/>
        <w:jc w:val="both"/>
        <w:rPr>
          <w:rFonts w:ascii="David" w:hAnsi="David" w:cs="David"/>
          <w:lang w:bidi="he-IL"/>
        </w:rPr>
      </w:pPr>
      <w:r w:rsidRPr="00AC2143">
        <w:rPr>
          <w:rStyle w:val="a5"/>
          <w:vertAlign w:val="baseline"/>
        </w:rPr>
        <w:footnoteRef/>
      </w:r>
      <w:r w:rsidR="00C90ED5" w:rsidRPr="00AC2143">
        <w:t>.</w:t>
      </w:r>
      <w:r w:rsidRPr="00AC2143">
        <w:rPr>
          <w:rFonts w:ascii="David" w:hAnsi="David" w:cs="David"/>
        </w:rPr>
        <w:t xml:space="preserve"> </w:t>
      </w:r>
      <w:r w:rsidRPr="00AC2143">
        <w:rPr>
          <w:rFonts w:ascii="David" w:hAnsi="David" w:cs="David"/>
          <w:rtl/>
          <w:lang w:bidi="he-IL"/>
        </w:rPr>
        <w:t xml:space="preserve">כמובן שניתן </w:t>
      </w:r>
      <w:r w:rsidR="00936A5E" w:rsidRPr="00AC2143">
        <w:rPr>
          <w:rFonts w:ascii="David" w:hAnsi="David" w:cs="David"/>
          <w:rtl/>
          <w:lang w:bidi="he-IL"/>
        </w:rPr>
        <w:t xml:space="preserve">להניח </w:t>
      </w:r>
      <w:r w:rsidR="00730305">
        <w:rPr>
          <w:rFonts w:ascii="David" w:hAnsi="David" w:cs="David" w:hint="cs"/>
          <w:rtl/>
          <w:lang w:bidi="he-IL"/>
        </w:rPr>
        <w:t>ש</w:t>
      </w:r>
      <w:r w:rsidRPr="00AC2143">
        <w:rPr>
          <w:rFonts w:ascii="David" w:hAnsi="David" w:cs="David"/>
          <w:rtl/>
          <w:lang w:bidi="he-IL"/>
        </w:rPr>
        <w:t>המוטיבציה שמניעה אדם כזה היא כלכלית</w:t>
      </w:r>
      <w:r w:rsidR="00730305">
        <w:rPr>
          <w:rFonts w:ascii="David" w:hAnsi="David" w:cs="David" w:hint="cs"/>
          <w:rtl/>
          <w:lang w:bidi="he-IL"/>
        </w:rPr>
        <w:t xml:space="preserve"> (ולא סתם ונדליזם או נקמה בבעל הנחלה, למשל)</w:t>
      </w:r>
      <w:r w:rsidR="00135E6F">
        <w:rPr>
          <w:rFonts w:ascii="David" w:hAnsi="David" w:cs="David" w:hint="cs"/>
          <w:rtl/>
          <w:lang w:bidi="he-IL"/>
        </w:rPr>
        <w:t>,</w:t>
      </w:r>
      <w:r w:rsidRPr="00AC2143">
        <w:rPr>
          <w:rFonts w:ascii="David" w:hAnsi="David" w:cs="David"/>
          <w:rtl/>
          <w:lang w:bidi="he-IL"/>
        </w:rPr>
        <w:t xml:space="preserve"> אולם </w:t>
      </w:r>
      <w:r w:rsidR="00135E6F">
        <w:rPr>
          <w:rFonts w:ascii="David" w:hAnsi="David" w:cs="David" w:hint="cs"/>
          <w:rtl/>
          <w:lang w:bidi="he-IL"/>
        </w:rPr>
        <w:t xml:space="preserve">היא </w:t>
      </w:r>
      <w:r w:rsidRPr="00AC2143">
        <w:rPr>
          <w:rFonts w:ascii="David" w:hAnsi="David" w:cs="David"/>
          <w:rtl/>
          <w:lang w:bidi="he-IL"/>
        </w:rPr>
        <w:t>לא</w:t>
      </w:r>
      <w:r w:rsidR="00135E6F">
        <w:rPr>
          <w:rFonts w:ascii="David" w:hAnsi="David" w:cs="David" w:hint="cs"/>
          <w:rtl/>
          <w:lang w:bidi="he-IL"/>
        </w:rPr>
        <w:t xml:space="preserve"> נאמרת במפורש</w:t>
      </w:r>
      <w:r w:rsidRPr="00AC2143">
        <w:rPr>
          <w:rFonts w:ascii="David" w:hAnsi="David" w:cs="David"/>
          <w:rtl/>
          <w:lang w:bidi="he-IL"/>
        </w:rPr>
        <w:t xml:space="preserve">. במילים אחרות, יש </w:t>
      </w:r>
      <w:r w:rsidR="00936A5E" w:rsidRPr="00AC2143">
        <w:rPr>
          <w:rFonts w:ascii="David" w:hAnsi="David" w:cs="David"/>
          <w:rtl/>
          <w:lang w:bidi="he-IL"/>
        </w:rPr>
        <w:t xml:space="preserve">אמנם </w:t>
      </w:r>
      <w:r w:rsidRPr="00AC2143">
        <w:rPr>
          <w:rFonts w:ascii="David" w:hAnsi="David" w:cs="David"/>
          <w:rtl/>
          <w:lang w:bidi="he-IL"/>
        </w:rPr>
        <w:t>אפשרות לומר ש</w:t>
      </w:r>
      <w:r w:rsidR="00936A5E" w:rsidRPr="00AC2143">
        <w:rPr>
          <w:rFonts w:ascii="David" w:hAnsi="David" w:cs="David"/>
          <w:rtl/>
          <w:lang w:bidi="he-IL"/>
        </w:rPr>
        <w:t>ה</w:t>
      </w:r>
      <w:r w:rsidRPr="00AC2143">
        <w:rPr>
          <w:rFonts w:ascii="David" w:hAnsi="David" w:cs="David"/>
          <w:rtl/>
          <w:lang w:bidi="he-IL"/>
        </w:rPr>
        <w:t xml:space="preserve">אדם שנכנס אל השדה מסתמך על הנומוס הרחב של 'מתנות עניים' (שהפאה היא אחת מהן), </w:t>
      </w:r>
      <w:r w:rsidR="00936A5E" w:rsidRPr="00AC2143">
        <w:rPr>
          <w:rFonts w:ascii="David" w:hAnsi="David" w:cs="David"/>
          <w:rtl/>
          <w:lang w:bidi="he-IL"/>
        </w:rPr>
        <w:t>א</w:t>
      </w:r>
      <w:r w:rsidRPr="00AC2143">
        <w:rPr>
          <w:rFonts w:ascii="David" w:hAnsi="David" w:cs="David"/>
          <w:rtl/>
          <w:lang w:bidi="he-IL"/>
        </w:rPr>
        <w:t>ש</w:t>
      </w:r>
      <w:r w:rsidR="00936A5E" w:rsidRPr="00AC2143">
        <w:rPr>
          <w:rFonts w:ascii="David" w:hAnsi="David" w:cs="David"/>
          <w:rtl/>
          <w:lang w:bidi="he-IL"/>
        </w:rPr>
        <w:t xml:space="preserve">ר </w:t>
      </w:r>
      <w:r w:rsidRPr="00AC2143">
        <w:rPr>
          <w:rFonts w:ascii="David" w:hAnsi="David" w:cs="David"/>
          <w:rtl/>
          <w:lang w:bidi="he-IL"/>
        </w:rPr>
        <w:t xml:space="preserve">מעוגן בטקסט המכונן של החברה היהודית </w:t>
      </w:r>
      <w:r w:rsidR="00C90ED5" w:rsidRPr="00AC2143">
        <w:rPr>
          <w:rFonts w:ascii="David" w:hAnsi="David" w:cs="David"/>
          <w:rtl/>
          <w:lang w:bidi="he-IL"/>
        </w:rPr>
        <w:t xml:space="preserve">כולה </w:t>
      </w:r>
      <w:r w:rsidRPr="00AC2143">
        <w:rPr>
          <w:rFonts w:ascii="David" w:hAnsi="David" w:cs="David"/>
          <w:rtl/>
          <w:lang w:bidi="he-IL"/>
        </w:rPr>
        <w:t xml:space="preserve">(התורה), </w:t>
      </w:r>
      <w:r w:rsidR="00936A5E" w:rsidRPr="00AC2143">
        <w:rPr>
          <w:rFonts w:ascii="David" w:hAnsi="David" w:cs="David"/>
          <w:rtl/>
          <w:lang w:bidi="he-IL"/>
        </w:rPr>
        <w:t xml:space="preserve">וכן </w:t>
      </w:r>
      <w:r w:rsidRPr="00AC2143">
        <w:rPr>
          <w:rFonts w:ascii="David" w:hAnsi="David" w:cs="David"/>
          <w:rtl/>
          <w:lang w:bidi="he-IL"/>
        </w:rPr>
        <w:t xml:space="preserve">שהוא מפרש </w:t>
      </w:r>
      <w:r w:rsidR="00936A5E" w:rsidRPr="00AC2143">
        <w:rPr>
          <w:rFonts w:ascii="David" w:hAnsi="David" w:cs="David"/>
          <w:rtl/>
          <w:lang w:bidi="he-IL"/>
        </w:rPr>
        <w:t>את ה</w:t>
      </w:r>
      <w:r w:rsidRPr="00AC2143">
        <w:rPr>
          <w:rFonts w:ascii="David" w:hAnsi="David" w:cs="David"/>
          <w:rtl/>
          <w:lang w:bidi="he-IL"/>
        </w:rPr>
        <w:t xml:space="preserve">נומוס </w:t>
      </w:r>
      <w:r w:rsidR="00461039" w:rsidRPr="00AC2143">
        <w:rPr>
          <w:rFonts w:ascii="David" w:hAnsi="David" w:cs="David"/>
          <w:rtl/>
          <w:lang w:bidi="he-IL"/>
        </w:rPr>
        <w:t xml:space="preserve">הבסיסי המשותף </w:t>
      </w:r>
      <w:r w:rsidRPr="00AC2143">
        <w:rPr>
          <w:rFonts w:ascii="David" w:hAnsi="David" w:cs="David"/>
          <w:rtl/>
          <w:lang w:bidi="he-IL"/>
        </w:rPr>
        <w:t>באופן שונה משל החכמים</w:t>
      </w:r>
      <w:r w:rsidR="00936A5E" w:rsidRPr="00AC2143">
        <w:rPr>
          <w:rFonts w:ascii="David" w:hAnsi="David" w:cs="David"/>
          <w:rtl/>
          <w:lang w:bidi="he-IL"/>
        </w:rPr>
        <w:t xml:space="preserve"> </w:t>
      </w:r>
      <w:r w:rsidR="00461039" w:rsidRPr="00AC2143">
        <w:rPr>
          <w:rFonts w:ascii="David" w:hAnsi="David" w:cs="David"/>
          <w:rtl/>
          <w:lang w:bidi="he-IL"/>
        </w:rPr>
        <w:t>(</w:t>
      </w:r>
      <w:r w:rsidR="00936A5E" w:rsidRPr="00AC2143">
        <w:rPr>
          <w:rFonts w:ascii="David" w:hAnsi="David" w:cs="David"/>
          <w:rtl/>
          <w:lang w:bidi="he-IL"/>
        </w:rPr>
        <w:t xml:space="preserve">כלומר </w:t>
      </w:r>
      <w:r w:rsidR="00461039" w:rsidRPr="00AC2143">
        <w:rPr>
          <w:rFonts w:ascii="David" w:hAnsi="David" w:cs="David"/>
          <w:rtl/>
          <w:lang w:bidi="he-IL"/>
        </w:rPr>
        <w:t>ש</w:t>
      </w:r>
      <w:r w:rsidR="00936A5E" w:rsidRPr="00AC2143">
        <w:rPr>
          <w:rFonts w:ascii="David" w:hAnsi="David" w:cs="David"/>
          <w:rtl/>
          <w:lang w:bidi="he-IL"/>
        </w:rPr>
        <w:t>ההגדרה שלו ל'עני' שונה מזו של החכמים</w:t>
      </w:r>
      <w:r w:rsidR="00356097">
        <w:rPr>
          <w:rFonts w:ascii="David" w:hAnsi="David" w:cs="David" w:hint="cs"/>
          <w:rtl/>
          <w:lang w:bidi="he-IL"/>
        </w:rPr>
        <w:t>)</w:t>
      </w:r>
      <w:r w:rsidR="00461039" w:rsidRPr="00AC2143">
        <w:rPr>
          <w:rFonts w:ascii="David" w:hAnsi="David" w:cs="David"/>
          <w:rtl/>
          <w:lang w:bidi="he-IL"/>
        </w:rPr>
        <w:t>, ועל כן הוא רואה בעצמו זכאי על פי דין התורה</w:t>
      </w:r>
      <w:r w:rsidRPr="00AC2143">
        <w:rPr>
          <w:rFonts w:ascii="David" w:hAnsi="David" w:cs="David"/>
          <w:rtl/>
          <w:lang w:bidi="he-IL"/>
        </w:rPr>
        <w:t>.</w:t>
      </w:r>
      <w:r w:rsidR="00936A5E" w:rsidRPr="00AC2143">
        <w:rPr>
          <w:rFonts w:ascii="David" w:hAnsi="David" w:cs="David"/>
          <w:rtl/>
          <w:lang w:bidi="he-IL"/>
        </w:rPr>
        <w:t xml:space="preserve"> אולם </w:t>
      </w:r>
      <w:r w:rsidR="00F92476">
        <w:rPr>
          <w:rFonts w:ascii="David" w:hAnsi="David" w:cs="David" w:hint="cs"/>
          <w:rtl/>
          <w:lang w:bidi="he-IL"/>
        </w:rPr>
        <w:t xml:space="preserve">יש </w:t>
      </w:r>
      <w:r w:rsidR="00936A5E" w:rsidRPr="00AC2143">
        <w:rPr>
          <w:rFonts w:ascii="David" w:hAnsi="David" w:cs="David"/>
          <w:rtl/>
          <w:lang w:bidi="he-IL"/>
        </w:rPr>
        <w:t xml:space="preserve">גם אפשרות, לא פחות ראלית, </w:t>
      </w:r>
      <w:r w:rsidR="00C90ED5" w:rsidRPr="00AC2143">
        <w:rPr>
          <w:rFonts w:ascii="David" w:hAnsi="David" w:cs="David"/>
          <w:rtl/>
          <w:lang w:bidi="he-IL"/>
        </w:rPr>
        <w:t xml:space="preserve">להניח </w:t>
      </w:r>
      <w:r w:rsidR="00936A5E" w:rsidRPr="00AC2143">
        <w:rPr>
          <w:rFonts w:ascii="David" w:hAnsi="David" w:cs="David"/>
          <w:rtl/>
          <w:lang w:bidi="he-IL"/>
        </w:rPr>
        <w:t xml:space="preserve">שאדם </w:t>
      </w:r>
      <w:r w:rsidR="00922529">
        <w:rPr>
          <w:rFonts w:ascii="David" w:hAnsi="David" w:cs="David" w:hint="cs"/>
          <w:rtl/>
          <w:lang w:bidi="he-IL"/>
        </w:rPr>
        <w:t>ניצל א</w:t>
      </w:r>
      <w:r w:rsidR="00F92476">
        <w:rPr>
          <w:rFonts w:ascii="David" w:hAnsi="David" w:cs="David" w:hint="cs"/>
          <w:rtl/>
          <w:lang w:bidi="he-IL"/>
        </w:rPr>
        <w:t>ת</w:t>
      </w:r>
      <w:r w:rsidR="00922529">
        <w:rPr>
          <w:rFonts w:ascii="David" w:hAnsi="David" w:cs="David" w:hint="cs"/>
          <w:rtl/>
          <w:lang w:bidi="he-IL"/>
        </w:rPr>
        <w:t xml:space="preserve"> הרגע שבו הותר לעניים להכנס לשדה, ו</w:t>
      </w:r>
      <w:r w:rsidR="00936A5E" w:rsidRPr="00AC2143">
        <w:rPr>
          <w:rFonts w:ascii="David" w:hAnsi="David" w:cs="David"/>
          <w:rtl/>
          <w:lang w:bidi="he-IL"/>
        </w:rPr>
        <w:t xml:space="preserve">השתמש בכוחו כדי להכנס </w:t>
      </w:r>
      <w:r w:rsidR="00922529">
        <w:rPr>
          <w:rFonts w:ascii="David" w:hAnsi="David" w:cs="David" w:hint="cs"/>
          <w:rtl/>
          <w:lang w:bidi="he-IL"/>
        </w:rPr>
        <w:t>לשדה ולאסוף</w:t>
      </w:r>
      <w:r w:rsidR="00A12486">
        <w:rPr>
          <w:rFonts w:ascii="David" w:hAnsi="David" w:cs="David" w:hint="cs"/>
          <w:rtl/>
          <w:lang w:bidi="he-IL"/>
        </w:rPr>
        <w:t xml:space="preserve"> יבול</w:t>
      </w:r>
      <w:r w:rsidR="00936A5E" w:rsidRPr="00AC2143">
        <w:rPr>
          <w:rFonts w:ascii="David" w:hAnsi="David" w:cs="David"/>
          <w:rtl/>
          <w:lang w:bidi="he-IL"/>
        </w:rPr>
        <w:t xml:space="preserve">. </w:t>
      </w:r>
      <w:r w:rsidR="00461039" w:rsidRPr="00AC2143">
        <w:rPr>
          <w:rFonts w:ascii="David" w:hAnsi="David" w:cs="David"/>
          <w:rtl/>
          <w:lang w:bidi="he-IL"/>
        </w:rPr>
        <w:t xml:space="preserve">במקרה זה הנומוס </w:t>
      </w:r>
      <w:r w:rsidR="00922529">
        <w:rPr>
          <w:rFonts w:ascii="David" w:hAnsi="David" w:cs="David" w:hint="cs"/>
          <w:rtl/>
          <w:lang w:bidi="he-IL"/>
        </w:rPr>
        <w:t xml:space="preserve">רלבנטי כהקשר </w:t>
      </w:r>
      <w:r w:rsidR="00F92476">
        <w:rPr>
          <w:rFonts w:ascii="David" w:hAnsi="David" w:cs="David" w:hint="cs"/>
          <w:rtl/>
          <w:lang w:bidi="he-IL"/>
        </w:rPr>
        <w:t xml:space="preserve">שיוצר </w:t>
      </w:r>
      <w:r w:rsidR="00922529">
        <w:rPr>
          <w:rFonts w:ascii="David" w:hAnsi="David" w:cs="David" w:hint="cs"/>
          <w:rtl/>
          <w:lang w:bidi="he-IL"/>
        </w:rPr>
        <w:t>את מרווח הזמן הלגיטימי</w:t>
      </w:r>
      <w:r w:rsidR="00F92476">
        <w:rPr>
          <w:rFonts w:ascii="David" w:hAnsi="David" w:cs="David" w:hint="cs"/>
          <w:rtl/>
          <w:lang w:bidi="he-IL"/>
        </w:rPr>
        <w:t xml:space="preserve"> </w:t>
      </w:r>
      <w:r w:rsidR="00103CA2">
        <w:rPr>
          <w:rFonts w:ascii="David" w:hAnsi="David" w:cs="David" w:hint="cs"/>
          <w:rtl/>
          <w:lang w:bidi="he-IL"/>
        </w:rPr>
        <w:t xml:space="preserve">שבו ניתן להכנס לשדה </w:t>
      </w:r>
      <w:r w:rsidR="00F92476">
        <w:rPr>
          <w:rFonts w:ascii="David" w:hAnsi="David" w:cs="David" w:hint="cs"/>
          <w:rtl/>
          <w:lang w:bidi="he-IL"/>
        </w:rPr>
        <w:t>בעיני החברה</w:t>
      </w:r>
      <w:r w:rsidR="00103CA2">
        <w:rPr>
          <w:rFonts w:ascii="David" w:hAnsi="David" w:cs="David" w:hint="cs"/>
          <w:rtl/>
          <w:lang w:bidi="he-IL"/>
        </w:rPr>
        <w:t>,</w:t>
      </w:r>
      <w:r w:rsidR="00922529">
        <w:rPr>
          <w:rFonts w:ascii="David" w:hAnsi="David" w:cs="David" w:hint="cs"/>
          <w:rtl/>
          <w:lang w:bidi="he-IL"/>
        </w:rPr>
        <w:t xml:space="preserve"> אך הנרטיב שמלווה את </w:t>
      </w:r>
      <w:r w:rsidR="00F92476">
        <w:rPr>
          <w:rFonts w:ascii="David" w:hAnsi="David" w:cs="David" w:hint="cs"/>
          <w:rtl/>
          <w:lang w:bidi="he-IL"/>
        </w:rPr>
        <w:t xml:space="preserve">הנכנס איננו </w:t>
      </w:r>
      <w:r w:rsidR="00DC228E">
        <w:rPr>
          <w:rFonts w:ascii="David" w:hAnsi="David" w:cs="David" w:hint="cs"/>
          <w:rtl/>
          <w:lang w:bidi="he-IL"/>
        </w:rPr>
        <w:t>חלק מהנומוס (כלומר א-נורמטיבי)</w:t>
      </w:r>
      <w:r w:rsidR="00461039" w:rsidRPr="00AC2143">
        <w:rPr>
          <w:rFonts w:ascii="David" w:hAnsi="David" w:cs="David"/>
          <w:rtl/>
          <w:lang w:bidi="he-IL"/>
        </w:rPr>
        <w:t>.</w:t>
      </w:r>
      <w:r w:rsidRPr="00AC2143">
        <w:rPr>
          <w:rFonts w:ascii="David" w:hAnsi="David" w:cs="David"/>
          <w:rtl/>
          <w:lang w:bidi="he-IL"/>
        </w:rPr>
        <w:t xml:space="preserve"> </w:t>
      </w:r>
    </w:p>
  </w:footnote>
  <w:footnote w:id="77">
    <w:p w14:paraId="5A69344D" w14:textId="4B92D1F3" w:rsidR="00754ABE" w:rsidRDefault="00754ABE" w:rsidP="00314F27">
      <w:pPr>
        <w:pStyle w:val="a3"/>
        <w:jc w:val="both"/>
        <w:rPr>
          <w:lang w:bidi="he-IL"/>
        </w:rPr>
      </w:pPr>
      <w:r w:rsidRPr="002D0737">
        <w:rPr>
          <w:rStyle w:val="a5"/>
          <w:vertAlign w:val="baseline"/>
        </w:rPr>
        <w:footnoteRef/>
      </w:r>
      <w:r>
        <w:t xml:space="preserve">. </w:t>
      </w:r>
      <w:r w:rsidRPr="00BD0C7E">
        <w:rPr>
          <w:rFonts w:ascii="David" w:hAnsi="David" w:cs="David"/>
          <w:rtl/>
          <w:lang w:bidi="he-IL"/>
        </w:rPr>
        <w:t xml:space="preserve">וראו את התיאור של קאבר בעמ' 16-15, כיצד סדר משפטי פיידאי – כמו התורה, על הצד הנארטיבי, הריטואלי והנורמטיבי שמאוחד בה – מאוים מתוך עצמו: </w:t>
      </w:r>
    </w:p>
    <w:p w14:paraId="04F45108" w14:textId="74D08FC1" w:rsidR="00754ABE" w:rsidRPr="00A47010" w:rsidRDefault="00754ABE" w:rsidP="00314F27">
      <w:pPr>
        <w:autoSpaceDE w:val="0"/>
        <w:autoSpaceDN w:val="0"/>
        <w:bidi w:val="0"/>
        <w:adjustRightInd w:val="0"/>
        <w:spacing w:after="0" w:line="480" w:lineRule="auto"/>
        <w:jc w:val="both"/>
        <w:rPr>
          <w:sz w:val="20"/>
          <w:szCs w:val="20"/>
        </w:rPr>
      </w:pPr>
      <w:r w:rsidRPr="00A47010">
        <w:rPr>
          <w:rFonts w:ascii="SBL Greek" w:hAnsi="SBL Greek" w:cs="Times New Roman"/>
          <w:sz w:val="20"/>
          <w:szCs w:val="20"/>
        </w:rPr>
        <w:t>“</w:t>
      </w:r>
      <w:r w:rsidR="00303516" w:rsidRPr="00A47010">
        <w:rPr>
          <w:rFonts w:ascii="Times New Roman" w:hAnsi="Times New Roman" w:cs="Times New Roman"/>
          <w:sz w:val="20"/>
          <w:szCs w:val="20"/>
        </w:rPr>
        <w:t>The unification of meaning that stands at its</w:t>
      </w:r>
      <w:r w:rsidR="007A0638">
        <w:rPr>
          <w:rFonts w:ascii="Times New Roman" w:hAnsi="Times New Roman" w:cs="Times New Roman"/>
          <w:sz w:val="20"/>
          <w:szCs w:val="20"/>
        </w:rPr>
        <w:t xml:space="preserve"> [t</w:t>
      </w:r>
      <w:r w:rsidR="00D845D9">
        <w:rPr>
          <w:rFonts w:ascii="Times New Roman" w:hAnsi="Times New Roman" w:cs="Times New Roman"/>
          <w:sz w:val="20"/>
          <w:szCs w:val="20"/>
        </w:rPr>
        <w:t>he paideic]</w:t>
      </w:r>
      <w:r w:rsidR="00303516" w:rsidRPr="00A47010">
        <w:rPr>
          <w:rFonts w:ascii="Times New Roman" w:hAnsi="Times New Roman" w:cs="Times New Roman"/>
          <w:sz w:val="20"/>
          <w:szCs w:val="20"/>
        </w:rPr>
        <w:t xml:space="preserve"> center exists only for an instant, and that instant is itself imaginary. Differences arise immediately about the meaning of creeds, the content of common worship, the identity of those who are brothers and sisters. But even the </w:t>
      </w:r>
      <w:r w:rsidR="00303516" w:rsidRPr="00A47010">
        <w:rPr>
          <w:rFonts w:ascii="Times New Roman" w:hAnsi="Times New Roman" w:cs="Times New Roman"/>
          <w:i/>
          <w:iCs/>
          <w:sz w:val="20"/>
          <w:szCs w:val="20"/>
        </w:rPr>
        <w:t xml:space="preserve">imagined </w:t>
      </w:r>
      <w:r w:rsidR="00303516" w:rsidRPr="00A47010">
        <w:rPr>
          <w:rFonts w:ascii="Times New Roman" w:hAnsi="Times New Roman" w:cs="Times New Roman"/>
          <w:sz w:val="20"/>
          <w:szCs w:val="20"/>
        </w:rPr>
        <w:t xml:space="preserve">instant of unified meaning is like a seed, a legal DNA, a genetic code by which the imagined integration is the template for a thousand real integrations of corpus, discourse, and commitment [...] </w:t>
      </w:r>
      <w:r w:rsidRPr="00A47010">
        <w:rPr>
          <w:rFonts w:ascii="Times New Roman" w:hAnsi="Times New Roman" w:cs="Times New Roman"/>
          <w:sz w:val="20"/>
          <w:szCs w:val="20"/>
        </w:rPr>
        <w:t xml:space="preserve">The </w:t>
      </w:r>
      <w:r w:rsidR="00303516" w:rsidRPr="00A47010">
        <w:rPr>
          <w:rFonts w:ascii="SBL Greek" w:hAnsi="SBL Greek" w:cs="Times New Roman"/>
          <w:sz w:val="20"/>
          <w:szCs w:val="20"/>
        </w:rPr>
        <w:t>‘</w:t>
      </w:r>
      <w:r w:rsidRPr="00A47010">
        <w:rPr>
          <w:rFonts w:ascii="Times New Roman" w:hAnsi="Times New Roman" w:cs="Times New Roman"/>
          <w:sz w:val="20"/>
          <w:szCs w:val="20"/>
        </w:rPr>
        <w:t>Torah</w:t>
      </w:r>
      <w:r w:rsidR="00303516" w:rsidRPr="00A47010">
        <w:rPr>
          <w:rFonts w:ascii="SBL Greek" w:hAnsi="SBL Greek" w:cs="Times New Roman"/>
          <w:sz w:val="20"/>
          <w:szCs w:val="20"/>
        </w:rPr>
        <w:t>’</w:t>
      </w:r>
      <w:r w:rsidRPr="00A47010">
        <w:rPr>
          <w:rFonts w:ascii="Times New Roman" w:hAnsi="Times New Roman" w:cs="Times New Roman"/>
          <w:sz w:val="20"/>
          <w:szCs w:val="20"/>
        </w:rPr>
        <w:t xml:space="preserve"> becomes two, three, many Toroth as surely as there are teachers to teach or students to study. The radical instability of the paideic </w:t>
      </w:r>
      <w:r w:rsidRPr="00A47010">
        <w:rPr>
          <w:rFonts w:ascii="Times New Roman" w:hAnsi="Times New Roman" w:cs="Times New Roman"/>
          <w:i/>
          <w:iCs/>
          <w:sz w:val="20"/>
          <w:szCs w:val="20"/>
        </w:rPr>
        <w:t xml:space="preserve">nomos </w:t>
      </w:r>
      <w:r w:rsidRPr="00A47010">
        <w:rPr>
          <w:rFonts w:ascii="Times New Roman" w:hAnsi="Times New Roman" w:cs="Times New Roman"/>
          <w:sz w:val="20"/>
          <w:szCs w:val="20"/>
        </w:rPr>
        <w:t>forces intentional communities whose members believe themselves to have common meanings for the normative dimensions of their common lives to maintain their coherence as paideic entities by expulsion and exile of the potent flowers of normative meaning.</w:t>
      </w:r>
      <w:r w:rsidRPr="00A47010">
        <w:rPr>
          <w:rFonts w:ascii="SBL Greek" w:hAnsi="SBL Greek"/>
          <w:sz w:val="20"/>
          <w:szCs w:val="20"/>
        </w:rPr>
        <w:t>”</w:t>
      </w:r>
    </w:p>
  </w:footnote>
  <w:footnote w:id="78">
    <w:p w14:paraId="5BD10D6F" w14:textId="4802203F" w:rsidR="00EC48C4" w:rsidRPr="00EC48C4" w:rsidRDefault="00EC48C4" w:rsidP="00314F27">
      <w:pPr>
        <w:pStyle w:val="a3"/>
        <w:rPr>
          <w:lang w:bidi="he-IL"/>
        </w:rPr>
      </w:pPr>
      <w:r w:rsidRPr="005272FB">
        <w:rPr>
          <w:rStyle w:val="a5"/>
          <w:vertAlign w:val="baseline"/>
        </w:rPr>
        <w:footnoteRef/>
      </w:r>
      <w:r w:rsidR="005272FB">
        <w:t>.</w:t>
      </w:r>
      <w:r>
        <w:t xml:space="preserve"> </w:t>
      </w:r>
      <w:r>
        <w:rPr>
          <w:lang w:bidi="he-IL"/>
        </w:rPr>
        <w:t>Ibid, 9.</w:t>
      </w:r>
    </w:p>
  </w:footnote>
  <w:footnote w:id="79">
    <w:p w14:paraId="6AFF6B93" w14:textId="2578E1A2" w:rsidR="00F25E12" w:rsidRPr="00F25E12" w:rsidRDefault="00F25E12">
      <w:pPr>
        <w:pStyle w:val="a3"/>
        <w:rPr>
          <w:lang w:bidi="he-IL"/>
        </w:rPr>
      </w:pPr>
      <w:r w:rsidRPr="00F25E12">
        <w:rPr>
          <w:rStyle w:val="a5"/>
          <w:vertAlign w:val="baseline"/>
        </w:rPr>
        <w:footnoteRef/>
      </w:r>
      <w:r>
        <w:t xml:space="preserve">. </w:t>
      </w:r>
      <w:r w:rsidRPr="00E21391">
        <w:rPr>
          <w:rFonts w:asciiTheme="majorBidi" w:hAnsiTheme="majorBidi" w:cstheme="majorBidi"/>
        </w:rPr>
        <w:t xml:space="preserve">M. Gittin </w:t>
      </w:r>
      <w:r w:rsidR="00A64509">
        <w:rPr>
          <w:rFonts w:asciiTheme="majorBidi" w:hAnsiTheme="majorBidi" w:cstheme="majorBidi"/>
        </w:rPr>
        <w:t>5:</w:t>
      </w:r>
      <w:r w:rsidRPr="00E21391">
        <w:rPr>
          <w:rFonts w:asciiTheme="majorBidi" w:hAnsiTheme="majorBidi" w:cstheme="majorBidi"/>
        </w:rPr>
        <w:t>8</w:t>
      </w:r>
      <w:r>
        <w:rPr>
          <w:lang w:bidi="he-IL"/>
        </w:rPr>
        <w:t>.</w:t>
      </w:r>
    </w:p>
  </w:footnote>
  <w:footnote w:id="80">
    <w:p w14:paraId="14E1D538" w14:textId="17BC3E39" w:rsidR="000B6214" w:rsidRPr="000B6214" w:rsidRDefault="000B6214">
      <w:pPr>
        <w:pStyle w:val="a3"/>
        <w:rPr>
          <w:lang w:bidi="he-IL"/>
        </w:rPr>
      </w:pPr>
      <w:r w:rsidRPr="000B6214">
        <w:rPr>
          <w:rStyle w:val="a5"/>
          <w:vertAlign w:val="baseline"/>
        </w:rPr>
        <w:footnoteRef/>
      </w:r>
      <w:r>
        <w:t xml:space="preserve">. </w:t>
      </w:r>
      <w:r w:rsidR="00F25E12">
        <w:rPr>
          <w:lang w:bidi="he-IL"/>
        </w:rPr>
        <w:t>Ibid.</w:t>
      </w:r>
    </w:p>
  </w:footnote>
  <w:footnote w:id="81">
    <w:p w14:paraId="5403E2B9" w14:textId="1376B648" w:rsidR="00B03261" w:rsidRDefault="00B03261">
      <w:pPr>
        <w:pStyle w:val="a3"/>
        <w:rPr>
          <w:lang w:bidi="he-IL"/>
        </w:rPr>
      </w:pPr>
      <w:r w:rsidRPr="007031D9">
        <w:rPr>
          <w:rStyle w:val="a5"/>
          <w:vertAlign w:val="baseline"/>
        </w:rPr>
        <w:footnoteRef/>
      </w:r>
      <w:r w:rsidR="007031D9" w:rsidRPr="007031D9">
        <w:t>.</w:t>
      </w:r>
      <w:r w:rsidRPr="007031D9">
        <w:t xml:space="preserve"> </w:t>
      </w:r>
      <w:r w:rsidRPr="007031D9">
        <w:rPr>
          <w:rFonts w:hint="cs"/>
          <w:lang w:bidi="he-IL"/>
        </w:rPr>
        <w:t>M</w:t>
      </w:r>
      <w:r w:rsidRPr="007031D9">
        <w:rPr>
          <w:lang w:bidi="he-IL"/>
        </w:rPr>
        <w:t xml:space="preserve">. </w:t>
      </w:r>
      <w:r w:rsidR="00A64509" w:rsidRPr="00E21391">
        <w:rPr>
          <w:rFonts w:asciiTheme="majorBidi" w:hAnsiTheme="majorBidi" w:cstheme="majorBidi"/>
        </w:rPr>
        <w:t>Shevi‘it 3:4 and 5:9</w:t>
      </w:r>
      <w:r w:rsidR="00A64509">
        <w:rPr>
          <w:lang w:bidi="he-IL"/>
        </w:rPr>
        <w:t>; Gittin</w:t>
      </w:r>
      <w:r>
        <w:rPr>
          <w:lang w:bidi="he-IL"/>
        </w:rPr>
        <w:t xml:space="preserve"> </w:t>
      </w:r>
      <w:r w:rsidR="00A64509">
        <w:rPr>
          <w:lang w:bidi="he-IL"/>
        </w:rPr>
        <w:t>5:</w:t>
      </w:r>
      <w:r w:rsidR="00463FB8">
        <w:rPr>
          <w:lang w:bidi="he-IL"/>
        </w:rPr>
        <w:t>9.</w:t>
      </w:r>
    </w:p>
  </w:footnote>
  <w:footnote w:id="82">
    <w:p w14:paraId="4E1898A0" w14:textId="77777777" w:rsidR="00C26896" w:rsidRPr="0085718B" w:rsidRDefault="00C26896" w:rsidP="00314F27">
      <w:pPr>
        <w:pStyle w:val="a3"/>
        <w:jc w:val="both"/>
        <w:rPr>
          <w:rFonts w:cstheme="minorBidi"/>
          <w:lang w:bidi="he-IL"/>
        </w:rPr>
      </w:pPr>
      <w:r w:rsidRPr="00EA22DB">
        <w:rPr>
          <w:rStyle w:val="a5"/>
          <w:vertAlign w:val="baseline"/>
        </w:rPr>
        <w:footnoteRef/>
      </w:r>
      <w:r>
        <w:rPr>
          <w:rFonts w:cstheme="minorBidi"/>
          <w:lang w:bidi="he-IL"/>
        </w:rPr>
        <w:t>.</w:t>
      </w:r>
      <w:r w:rsidRPr="00C26896">
        <w:rPr>
          <w:rFonts w:ascii="David" w:hAnsi="David" w:cs="David"/>
          <w:rtl/>
          <w:lang w:bidi="he-IL"/>
        </w:rPr>
        <w:t xml:space="preserve"> לקבוצה זו אני משייכת גם את אותן הלכות שאמנם מסדירות יחסים עם קבוצות בעלות נומוס אחר (גוים, 'אשת עם הארץ', עבריינית שביעית).  </w:t>
      </w:r>
    </w:p>
  </w:footnote>
  <w:footnote w:id="83">
    <w:p w14:paraId="4161105F" w14:textId="50D1D94E" w:rsidR="00E65007" w:rsidRDefault="00E65007">
      <w:pPr>
        <w:pStyle w:val="a3"/>
      </w:pPr>
      <w:r w:rsidRPr="00887B14">
        <w:rPr>
          <w:rStyle w:val="a5"/>
          <w:vertAlign w:val="baseline"/>
        </w:rPr>
        <w:footnoteRef/>
      </w:r>
      <w:r w:rsidR="00887B14">
        <w:t>.</w:t>
      </w:r>
      <w:r>
        <w:t xml:space="preserve"> </w:t>
      </w:r>
      <w:r>
        <w:rPr>
          <w:rFonts w:ascii="SBL Greek" w:hAnsi="SBL Greek"/>
        </w:rPr>
        <w:t xml:space="preserve">Cover, </w:t>
      </w:r>
      <w:r w:rsidRPr="005327BD">
        <w:rPr>
          <w:i/>
          <w:iCs/>
        </w:rPr>
        <w:t>Nomos and Narrative</w:t>
      </w:r>
      <w:r>
        <w:t xml:space="preserve">, </w:t>
      </w:r>
      <w:r w:rsidR="003F62D6">
        <w:t>16.</w:t>
      </w:r>
    </w:p>
  </w:footnote>
  <w:footnote w:id="84">
    <w:p w14:paraId="40A14B8C" w14:textId="07D4FBD8" w:rsidR="00997959" w:rsidRDefault="00997959" w:rsidP="00314F27">
      <w:pPr>
        <w:pStyle w:val="a3"/>
        <w:rPr>
          <w:rtl/>
          <w:lang w:bidi="he-IL"/>
        </w:rPr>
      </w:pPr>
      <w:r w:rsidRPr="00A440BA">
        <w:rPr>
          <w:rStyle w:val="a5"/>
          <w:vertAlign w:val="baseline"/>
        </w:rPr>
        <w:footnoteRef/>
      </w:r>
      <w:r>
        <w:t>.</w:t>
      </w:r>
      <w:r w:rsidRPr="00A440BA">
        <w:t xml:space="preserve"> </w:t>
      </w:r>
      <w:r w:rsidRPr="00A440BA">
        <w:rPr>
          <w:rFonts w:ascii="David" w:hAnsi="David" w:cs="David"/>
          <w:rtl/>
          <w:lang w:bidi="he-IL"/>
        </w:rPr>
        <w:t xml:space="preserve">בהקשר זה מענין </w:t>
      </w:r>
      <w:r w:rsidR="002D452D">
        <w:rPr>
          <w:rFonts w:ascii="David" w:hAnsi="David" w:cs="David" w:hint="cs"/>
          <w:rtl/>
          <w:lang w:bidi="he-IL"/>
        </w:rPr>
        <w:t xml:space="preserve">לקרא </w:t>
      </w:r>
      <w:r w:rsidRPr="00A440BA">
        <w:rPr>
          <w:rFonts w:ascii="David" w:hAnsi="David" w:cs="David"/>
          <w:rtl/>
          <w:lang w:bidi="he-IL"/>
        </w:rPr>
        <w:t>את המחלוקת</w:t>
      </w:r>
      <w:r w:rsidR="001F3D5C">
        <w:rPr>
          <w:rFonts w:ascii="David" w:hAnsi="David" w:cs="David" w:hint="cs"/>
          <w:rtl/>
          <w:lang w:bidi="he-IL"/>
        </w:rPr>
        <w:t xml:space="preserve"> בין תנא קמא לרבי יוסי</w:t>
      </w:r>
      <w:r w:rsidRPr="00A440BA">
        <w:rPr>
          <w:rFonts w:ascii="David" w:hAnsi="David" w:cs="David"/>
          <w:rtl/>
          <w:lang w:bidi="he-IL"/>
        </w:rPr>
        <w:t xml:space="preserve"> </w:t>
      </w:r>
      <w:r w:rsidR="001F3999">
        <w:rPr>
          <w:rFonts w:ascii="David" w:hAnsi="David" w:cs="David" w:hint="cs"/>
          <w:rtl/>
          <w:lang w:bidi="he-IL"/>
        </w:rPr>
        <w:t xml:space="preserve">גם </w:t>
      </w:r>
      <w:r w:rsidRPr="00A440BA">
        <w:rPr>
          <w:rFonts w:ascii="David" w:hAnsi="David" w:cs="David"/>
          <w:rtl/>
          <w:lang w:bidi="he-IL"/>
        </w:rPr>
        <w:t>ל</w:t>
      </w:r>
      <w:r w:rsidR="002D452D">
        <w:rPr>
          <w:rFonts w:ascii="David" w:hAnsi="David" w:cs="David" w:hint="cs"/>
          <w:rtl/>
          <w:lang w:bidi="he-IL"/>
        </w:rPr>
        <w:t xml:space="preserve">אור </w:t>
      </w:r>
      <w:r w:rsidRPr="00A440BA">
        <w:rPr>
          <w:rFonts w:ascii="David" w:hAnsi="David" w:cs="David"/>
          <w:rtl/>
          <w:lang w:bidi="he-IL"/>
        </w:rPr>
        <w:t xml:space="preserve">תיאורו של פרידריך שאוור </w:t>
      </w:r>
      <w:r w:rsidR="002D452D">
        <w:rPr>
          <w:rFonts w:ascii="David" w:hAnsi="David" w:cs="David" w:hint="cs"/>
          <w:rtl/>
          <w:lang w:bidi="he-IL"/>
        </w:rPr>
        <w:t xml:space="preserve">את הרגעים שבהם המחוקק חש בצורך לנמק באופן מפורש את הכלל שיצר, ואת ההשלכות שיש לשימוש </w:t>
      </w:r>
      <w:r w:rsidR="001F3D5C">
        <w:rPr>
          <w:rFonts w:ascii="David" w:hAnsi="David" w:cs="David" w:hint="cs"/>
          <w:rtl/>
          <w:lang w:bidi="he-IL"/>
        </w:rPr>
        <w:t>בהנמקה מפורשת</w:t>
      </w:r>
      <w:r w:rsidRPr="00A440BA">
        <w:rPr>
          <w:rFonts w:ascii="David" w:hAnsi="David" w:cs="David"/>
          <w:rtl/>
          <w:lang w:bidi="he-IL"/>
        </w:rPr>
        <w:t xml:space="preserve"> לכלל משפטי</w:t>
      </w:r>
      <w:r w:rsidR="002D452D">
        <w:rPr>
          <w:rFonts w:ascii="David" w:hAnsi="David" w:cs="David" w:hint="cs"/>
          <w:rtl/>
          <w:lang w:bidi="he-IL"/>
        </w:rPr>
        <w:t xml:space="preserve"> על המשך התהוותו של </w:t>
      </w:r>
      <w:r w:rsidR="001F3D5C">
        <w:rPr>
          <w:rFonts w:ascii="David" w:hAnsi="David" w:cs="David" w:hint="cs"/>
          <w:rtl/>
          <w:lang w:bidi="he-IL"/>
        </w:rPr>
        <w:t>האורגני</w:t>
      </w:r>
      <w:r w:rsidR="009425AA">
        <w:rPr>
          <w:rFonts w:ascii="David" w:hAnsi="David" w:cs="David" w:hint="cs"/>
          <w:rtl/>
          <w:lang w:bidi="he-IL"/>
        </w:rPr>
        <w:t>ז</w:t>
      </w:r>
      <w:r w:rsidR="001F3D5C">
        <w:rPr>
          <w:rFonts w:ascii="David" w:hAnsi="David" w:cs="David" w:hint="cs"/>
          <w:rtl/>
          <w:lang w:bidi="he-IL"/>
        </w:rPr>
        <w:t xml:space="preserve">ם </w:t>
      </w:r>
      <w:r w:rsidR="002D452D">
        <w:rPr>
          <w:rFonts w:ascii="David" w:hAnsi="David" w:cs="David" w:hint="cs"/>
          <w:rtl/>
          <w:lang w:bidi="he-IL"/>
        </w:rPr>
        <w:t>המשפט</w:t>
      </w:r>
      <w:r w:rsidR="001F3D5C">
        <w:rPr>
          <w:rFonts w:ascii="David" w:hAnsi="David" w:cs="David" w:hint="cs"/>
          <w:rtl/>
          <w:lang w:bidi="he-IL"/>
        </w:rPr>
        <w:t>י</w:t>
      </w:r>
      <w:r w:rsidR="002D452D">
        <w:rPr>
          <w:rFonts w:ascii="David" w:hAnsi="David" w:cs="David" w:hint="cs"/>
          <w:rtl/>
          <w:lang w:bidi="he-IL"/>
        </w:rPr>
        <w:t xml:space="preserve"> כולו</w:t>
      </w:r>
      <w:r w:rsidR="003F7518">
        <w:rPr>
          <w:rFonts w:ascii="David" w:hAnsi="David" w:cs="David" w:hint="cs"/>
          <w:rtl/>
          <w:lang w:bidi="he-IL"/>
        </w:rPr>
        <w:t xml:space="preserve"> (השלכות שקשורות ב'כלליות' שטבועה במערכת המשפט בכלל, ובהנמקות משפטיות בפרט)</w:t>
      </w:r>
      <w:r w:rsidRPr="00A440BA">
        <w:rPr>
          <w:rFonts w:ascii="David" w:hAnsi="David" w:cs="David"/>
          <w:rtl/>
          <w:lang w:bidi="he-IL"/>
        </w:rPr>
        <w:t>. ראו</w:t>
      </w:r>
    </w:p>
    <w:p w14:paraId="4ED375DC" w14:textId="2AF1C822" w:rsidR="00997959" w:rsidRDefault="00997959" w:rsidP="000F21FD">
      <w:pPr>
        <w:pStyle w:val="a3"/>
        <w:ind w:left="600" w:hangingChars="300" w:hanging="600"/>
        <w:rPr>
          <w:lang w:bidi="he-IL"/>
        </w:rPr>
      </w:pPr>
      <w:r w:rsidRPr="00136BFF">
        <w:rPr>
          <w:rFonts w:asciiTheme="majorBidi" w:hAnsiTheme="majorBidi" w:cstheme="majorBidi"/>
        </w:rPr>
        <w:t xml:space="preserve">Frederick Schauer, “Giving Reasons,” </w:t>
      </w:r>
      <w:r w:rsidRPr="00136BFF">
        <w:rPr>
          <w:rFonts w:asciiTheme="majorBidi" w:hAnsiTheme="majorBidi" w:cstheme="majorBidi"/>
          <w:i/>
          <w:iCs/>
        </w:rPr>
        <w:t>Stanford Law Review</w:t>
      </w:r>
      <w:r w:rsidRPr="00136BFF">
        <w:rPr>
          <w:rFonts w:asciiTheme="majorBidi" w:hAnsiTheme="majorBidi" w:cstheme="majorBidi"/>
        </w:rPr>
        <w:t xml:space="preserve"> 47 (1995): 633–59; Frederick Schauer,</w:t>
      </w:r>
      <w:r w:rsidR="00887B14">
        <w:rPr>
          <w:rFonts w:asciiTheme="majorBidi" w:hAnsiTheme="majorBidi" w:cstheme="majorBidi"/>
        </w:rPr>
        <w:t xml:space="preserve"> </w:t>
      </w:r>
      <w:r w:rsidRPr="00136BFF">
        <w:rPr>
          <w:rFonts w:asciiTheme="majorBidi" w:hAnsiTheme="majorBidi" w:cstheme="majorBidi"/>
        </w:rPr>
        <w:t>The</w:t>
      </w:r>
      <w:r>
        <w:rPr>
          <w:rFonts w:asciiTheme="majorBidi" w:hAnsiTheme="majorBidi" w:cstheme="majorBidi"/>
        </w:rPr>
        <w:t xml:space="preserve"> </w:t>
      </w:r>
      <w:r w:rsidRPr="00136BFF">
        <w:rPr>
          <w:rFonts w:asciiTheme="majorBidi" w:hAnsiTheme="majorBidi" w:cstheme="majorBidi"/>
        </w:rPr>
        <w:t>Jurisprudence of Reasons,”</w:t>
      </w:r>
      <w:r w:rsidRPr="00136BFF">
        <w:rPr>
          <w:rFonts w:asciiTheme="majorBidi" w:hAnsiTheme="majorBidi" w:cstheme="majorBidi"/>
          <w:i/>
          <w:iCs/>
        </w:rPr>
        <w:t xml:space="preserve"> Michigan Law Review</w:t>
      </w:r>
      <w:r w:rsidRPr="00136BFF">
        <w:rPr>
          <w:rFonts w:asciiTheme="majorBidi" w:hAnsiTheme="majorBidi" w:cstheme="majorBidi"/>
        </w:rPr>
        <w:t xml:space="preserve"> 85 (1987): 847–70; Schauer, </w:t>
      </w:r>
      <w:r w:rsidRPr="00136BFF">
        <w:rPr>
          <w:rFonts w:asciiTheme="majorBidi" w:hAnsiTheme="majorBidi" w:cstheme="majorBidi"/>
          <w:i/>
          <w:iCs/>
        </w:rPr>
        <w:t>Playing by the Rules</w:t>
      </w:r>
      <w:r w:rsidRPr="00136BFF">
        <w:rPr>
          <w:rFonts w:asciiTheme="majorBidi" w:hAnsiTheme="majorBidi" w:cstheme="majorBidi"/>
        </w:rPr>
        <w:t xml:space="preserve">; Frederick Schauer, </w:t>
      </w:r>
      <w:r w:rsidRPr="00136BFF">
        <w:rPr>
          <w:rFonts w:asciiTheme="majorBidi" w:hAnsiTheme="majorBidi" w:cstheme="majorBidi"/>
          <w:i/>
          <w:iCs/>
        </w:rPr>
        <w:t>Thinking Like a Lawyer: A New Introduction to Legal Reasoning</w:t>
      </w:r>
      <w:r w:rsidRPr="00136BFF">
        <w:rPr>
          <w:rFonts w:asciiTheme="majorBidi" w:hAnsiTheme="majorBidi" w:cstheme="majorBidi"/>
        </w:rPr>
        <w:t xml:space="preserve"> (Cambridge, MA: Harvard University Press, 2009).</w:t>
      </w:r>
      <w:r>
        <w:t xml:space="preserve"> See </w:t>
      </w:r>
      <w:r w:rsidRPr="00363F87">
        <w:rPr>
          <w:rFonts w:asciiTheme="majorBidi" w:hAnsiTheme="majorBidi" w:cstheme="majorBidi"/>
        </w:rPr>
        <w:t>“Giving Reasons,” 638; see also “The Jurisprudence of Reasons,” 864.</w:t>
      </w:r>
    </w:p>
  </w:footnote>
  <w:footnote w:id="85">
    <w:p w14:paraId="559ABC3C" w14:textId="6CF42029" w:rsidR="00DD287E" w:rsidRDefault="00DD287E" w:rsidP="00314F27">
      <w:pPr>
        <w:pStyle w:val="a3"/>
        <w:rPr>
          <w:rtl/>
          <w:lang w:bidi="he-IL"/>
        </w:rPr>
      </w:pPr>
      <w:r w:rsidRPr="00DD287E">
        <w:rPr>
          <w:rStyle w:val="a5"/>
          <w:vertAlign w:val="baseline"/>
        </w:rPr>
        <w:footnoteRef/>
      </w:r>
      <w:r>
        <w:t xml:space="preserve">. </w:t>
      </w:r>
      <w:r w:rsidRPr="00313690">
        <w:rPr>
          <w:rFonts w:ascii="David" w:hAnsi="David" w:cs="David"/>
          <w:rtl/>
          <w:lang w:bidi="he-IL"/>
        </w:rPr>
        <w:t>מה שמחזיר אותנו לדוגמה לכלל האימפריאלי שהביא קאבר עצמו (באמצעות יוסף קארו) מהמשנה</w:t>
      </w:r>
      <w:r w:rsidR="00C43A95">
        <w:rPr>
          <w:rFonts w:ascii="David" w:hAnsi="David" w:cs="David" w:hint="cs"/>
          <w:rtl/>
          <w:lang w:bidi="he-IL"/>
        </w:rPr>
        <w:t xml:space="preserve">: "על שלושה  דברים העולם עומד על </w:t>
      </w:r>
      <w:r w:rsidR="00C43A95" w:rsidRPr="008A0B23">
        <w:rPr>
          <w:rFonts w:ascii="David" w:hAnsi="David" w:cs="David"/>
          <w:color w:val="20231D"/>
          <w:rtl/>
        </w:rPr>
        <w:t>הדין ועל האמת ועל השלום</w:t>
      </w:r>
      <w:r w:rsidR="00C43A95">
        <w:rPr>
          <w:rFonts w:ascii="David" w:hAnsi="David" w:cs="David" w:hint="cs"/>
          <w:rtl/>
          <w:lang w:bidi="he-IL"/>
        </w:rPr>
        <w:t>".</w:t>
      </w:r>
      <w:r w:rsidRPr="00313690">
        <w:rPr>
          <w:rFonts w:ascii="David" w:hAnsi="David" w:cs="David"/>
          <w:rtl/>
          <w:lang w:bidi="he-IL"/>
        </w:rPr>
        <w:t xml:space="preserve"> ראו לעיל. </w:t>
      </w:r>
    </w:p>
  </w:footnote>
  <w:footnote w:id="86">
    <w:p w14:paraId="18FAA8ED" w14:textId="53EB2F52" w:rsidR="00E51A33" w:rsidRPr="00E51A33" w:rsidRDefault="00E51A33" w:rsidP="00314F27">
      <w:pPr>
        <w:pStyle w:val="a3"/>
        <w:rPr>
          <w:rFonts w:cstheme="minorBidi"/>
          <w:rtl/>
          <w:lang w:bidi="he-IL"/>
        </w:rPr>
      </w:pPr>
      <w:r w:rsidRPr="00845468">
        <w:rPr>
          <w:rStyle w:val="a5"/>
          <w:vertAlign w:val="baseline"/>
        </w:rPr>
        <w:footnoteRef/>
      </w:r>
      <w:r w:rsidR="00845468">
        <w:t>.</w:t>
      </w:r>
      <w:r>
        <w:t xml:space="preserve"> </w:t>
      </w:r>
      <w:r w:rsidRPr="00444530">
        <w:rPr>
          <w:rFonts w:ascii="David" w:hAnsi="David" w:cs="David"/>
          <w:rtl/>
          <w:lang w:bidi="he-IL"/>
        </w:rPr>
        <w:t xml:space="preserve">וראו את הצגת האפשרויות להבנת מבנה </w:t>
      </w:r>
      <w:r w:rsidRPr="003079E4">
        <w:rPr>
          <w:rFonts w:ascii="David" w:hAnsi="David" w:cs="David"/>
          <w:rtl/>
          <w:lang w:bidi="he-IL"/>
        </w:rPr>
        <w:t>הסוג</w:t>
      </w:r>
      <w:r w:rsidR="002D5BDA">
        <w:rPr>
          <w:rFonts w:ascii="David" w:hAnsi="David" w:cs="David" w:hint="cs"/>
          <w:rtl/>
          <w:lang w:bidi="he-IL"/>
        </w:rPr>
        <w:t>י</w:t>
      </w:r>
      <w:r w:rsidRPr="003079E4">
        <w:rPr>
          <w:rFonts w:ascii="David" w:hAnsi="David" w:cs="David"/>
          <w:rtl/>
          <w:lang w:bidi="he-IL"/>
        </w:rPr>
        <w:t xml:space="preserve">יה בהערה </w:t>
      </w:r>
      <w:r w:rsidR="003A5C33" w:rsidRPr="003079E4">
        <w:rPr>
          <w:rFonts w:ascii="David" w:hAnsi="David" w:cs="David" w:hint="cs"/>
          <w:rtl/>
          <w:lang w:bidi="he-IL"/>
        </w:rPr>
        <w:t xml:space="preserve"> 6</w:t>
      </w:r>
      <w:r w:rsidR="006F71B0">
        <w:rPr>
          <w:rFonts w:ascii="David" w:hAnsi="David" w:cs="David" w:hint="cs"/>
          <w:rtl/>
          <w:lang w:bidi="he-IL"/>
        </w:rPr>
        <w:t>3</w:t>
      </w:r>
      <w:r w:rsidR="00444530" w:rsidRPr="003079E4">
        <w:rPr>
          <w:rFonts w:ascii="David" w:hAnsi="David" w:cs="David"/>
          <w:rtl/>
          <w:lang w:bidi="he-IL"/>
        </w:rPr>
        <w:t xml:space="preserve"> </w:t>
      </w:r>
      <w:r w:rsidRPr="003079E4">
        <w:rPr>
          <w:rFonts w:ascii="David" w:hAnsi="David" w:cs="David"/>
          <w:rtl/>
          <w:lang w:bidi="he-IL"/>
        </w:rPr>
        <w:t>לעיל</w:t>
      </w:r>
      <w:r w:rsidR="00845468" w:rsidRPr="003079E4">
        <w:rPr>
          <w:rFonts w:ascii="David" w:hAnsi="David" w:cs="David"/>
          <w:rtl/>
          <w:lang w:bidi="he-IL"/>
        </w:rPr>
        <w:t>.</w:t>
      </w:r>
    </w:p>
  </w:footnote>
  <w:footnote w:id="87">
    <w:p w14:paraId="743B74BB" w14:textId="0E92BE7F" w:rsidR="00B076FE" w:rsidRPr="00B076FE" w:rsidRDefault="00B076FE" w:rsidP="00314F27">
      <w:pPr>
        <w:pStyle w:val="a3"/>
      </w:pPr>
      <w:r w:rsidRPr="00B076FE">
        <w:rPr>
          <w:rStyle w:val="a5"/>
          <w:vertAlign w:val="baseline"/>
        </w:rPr>
        <w:footnoteRef/>
      </w:r>
      <w:r>
        <w:t xml:space="preserve">. Cover, </w:t>
      </w:r>
      <w:r w:rsidRPr="005327BD">
        <w:rPr>
          <w:i/>
          <w:iCs/>
        </w:rPr>
        <w:t>Nomos and Narrative</w:t>
      </w:r>
      <w:r>
        <w:t xml:space="preserve">, </w:t>
      </w:r>
      <w:r w:rsidR="00441753">
        <w:t>12.</w:t>
      </w:r>
      <w:r w:rsidRPr="00B076FE">
        <w:t xml:space="preserve"> </w:t>
      </w:r>
    </w:p>
  </w:footnote>
  <w:footnote w:id="88">
    <w:p w14:paraId="4EE947F7" w14:textId="0C57DD08" w:rsidR="00B076FE" w:rsidRPr="00D7457C" w:rsidRDefault="00B076FE" w:rsidP="00314F27">
      <w:pPr>
        <w:pStyle w:val="a3"/>
      </w:pPr>
      <w:r w:rsidRPr="00D7457C">
        <w:rPr>
          <w:rStyle w:val="a5"/>
          <w:vertAlign w:val="baseline"/>
        </w:rPr>
        <w:footnoteRef/>
      </w:r>
      <w:r w:rsidR="00D7457C">
        <w:t>. Ibid, 13.</w:t>
      </w:r>
      <w:r w:rsidRPr="00D7457C">
        <w:t xml:space="preserve"> </w:t>
      </w:r>
    </w:p>
  </w:footnote>
  <w:footnote w:id="89">
    <w:p w14:paraId="09962640" w14:textId="0FFEE4F9" w:rsidR="00FC27DF" w:rsidRDefault="00FC27DF">
      <w:pPr>
        <w:pStyle w:val="a3"/>
      </w:pPr>
      <w:r w:rsidRPr="00FC27DF">
        <w:rPr>
          <w:rStyle w:val="a5"/>
          <w:vertAlign w:val="baseline"/>
        </w:rPr>
        <w:footnoteRef/>
      </w:r>
      <w:r>
        <w:t>.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2FE5"/>
    <w:multiLevelType w:val="hybridMultilevel"/>
    <w:tmpl w:val="A6D6CDF0"/>
    <w:lvl w:ilvl="0" w:tplc="9E0CCA5C">
      <w:start w:val="1"/>
      <w:numFmt w:val="decimal"/>
      <w:lvlText w:val="(%1)"/>
      <w:lvlJc w:val="left"/>
      <w:pPr>
        <w:ind w:left="360" w:hanging="360"/>
      </w:pPr>
      <w:rPr>
        <w:rFonts w:asciiTheme="majorBidi" w:eastAsia="Times New Roman" w:hAnsiTheme="majorBidi" w:cstheme="maj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8631BD"/>
    <w:multiLevelType w:val="hybridMultilevel"/>
    <w:tmpl w:val="50C8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356A3"/>
    <w:multiLevelType w:val="hybridMultilevel"/>
    <w:tmpl w:val="30046974"/>
    <w:lvl w:ilvl="0" w:tplc="C8C4BE0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D000FEA"/>
    <w:multiLevelType w:val="hybridMultilevel"/>
    <w:tmpl w:val="26529DB6"/>
    <w:lvl w:ilvl="0" w:tplc="3E965CD8">
      <w:start w:val="4"/>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72689"/>
    <w:multiLevelType w:val="hybridMultilevel"/>
    <w:tmpl w:val="6BFC390E"/>
    <w:lvl w:ilvl="0" w:tplc="0409000F">
      <w:start w:val="4"/>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32262212"/>
    <w:multiLevelType w:val="hybridMultilevel"/>
    <w:tmpl w:val="A4D047E4"/>
    <w:lvl w:ilvl="0" w:tplc="E5C8E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6914B3"/>
    <w:multiLevelType w:val="hybridMultilevel"/>
    <w:tmpl w:val="A4D047E4"/>
    <w:lvl w:ilvl="0" w:tplc="E5C8E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A94AB5"/>
    <w:multiLevelType w:val="hybridMultilevel"/>
    <w:tmpl w:val="86AC0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803CE5"/>
    <w:multiLevelType w:val="hybridMultilevel"/>
    <w:tmpl w:val="F078C4A8"/>
    <w:lvl w:ilvl="0" w:tplc="47166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5"/>
  </w:num>
  <w:num w:numId="4">
    <w:abstractNumId w:val="6"/>
  </w:num>
  <w:num w:numId="5">
    <w:abstractNumId w:val="8"/>
  </w:num>
  <w:num w:numId="6">
    <w:abstractNumId w:val="2"/>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1"/>
    <w:rsid w:val="00000F53"/>
    <w:rsid w:val="00002551"/>
    <w:rsid w:val="00003EFD"/>
    <w:rsid w:val="0000466E"/>
    <w:rsid w:val="00006461"/>
    <w:rsid w:val="00006805"/>
    <w:rsid w:val="00011E9F"/>
    <w:rsid w:val="00012D07"/>
    <w:rsid w:val="000153B4"/>
    <w:rsid w:val="00016EAD"/>
    <w:rsid w:val="00017083"/>
    <w:rsid w:val="00020213"/>
    <w:rsid w:val="00020722"/>
    <w:rsid w:val="0002083B"/>
    <w:rsid w:val="00020C9D"/>
    <w:rsid w:val="00025478"/>
    <w:rsid w:val="00030551"/>
    <w:rsid w:val="00032292"/>
    <w:rsid w:val="00032754"/>
    <w:rsid w:val="0003491A"/>
    <w:rsid w:val="00037101"/>
    <w:rsid w:val="00037AAD"/>
    <w:rsid w:val="00040A75"/>
    <w:rsid w:val="00040D14"/>
    <w:rsid w:val="00041722"/>
    <w:rsid w:val="00041BFA"/>
    <w:rsid w:val="00041F26"/>
    <w:rsid w:val="00042476"/>
    <w:rsid w:val="00042BF2"/>
    <w:rsid w:val="000441EF"/>
    <w:rsid w:val="00046FBA"/>
    <w:rsid w:val="0005013F"/>
    <w:rsid w:val="00050ABB"/>
    <w:rsid w:val="000510F7"/>
    <w:rsid w:val="00051A4F"/>
    <w:rsid w:val="00053986"/>
    <w:rsid w:val="00056658"/>
    <w:rsid w:val="00056D7C"/>
    <w:rsid w:val="00063A6F"/>
    <w:rsid w:val="00064BB6"/>
    <w:rsid w:val="00066D5E"/>
    <w:rsid w:val="000728C5"/>
    <w:rsid w:val="000803B1"/>
    <w:rsid w:val="00080405"/>
    <w:rsid w:val="00082158"/>
    <w:rsid w:val="00082177"/>
    <w:rsid w:val="00083FB4"/>
    <w:rsid w:val="0008439F"/>
    <w:rsid w:val="00084509"/>
    <w:rsid w:val="00084BF1"/>
    <w:rsid w:val="000861DF"/>
    <w:rsid w:val="000879D1"/>
    <w:rsid w:val="00087E01"/>
    <w:rsid w:val="00092B23"/>
    <w:rsid w:val="00093DAB"/>
    <w:rsid w:val="000954DF"/>
    <w:rsid w:val="0009618B"/>
    <w:rsid w:val="00096D73"/>
    <w:rsid w:val="000A12DA"/>
    <w:rsid w:val="000A3170"/>
    <w:rsid w:val="000A3858"/>
    <w:rsid w:val="000A65E9"/>
    <w:rsid w:val="000A66E4"/>
    <w:rsid w:val="000B1FB5"/>
    <w:rsid w:val="000B31BB"/>
    <w:rsid w:val="000B42DE"/>
    <w:rsid w:val="000B4397"/>
    <w:rsid w:val="000B5998"/>
    <w:rsid w:val="000B6214"/>
    <w:rsid w:val="000B6607"/>
    <w:rsid w:val="000C0927"/>
    <w:rsid w:val="000C10E4"/>
    <w:rsid w:val="000C5B06"/>
    <w:rsid w:val="000C6A57"/>
    <w:rsid w:val="000D281A"/>
    <w:rsid w:val="000D2C9D"/>
    <w:rsid w:val="000D2ECE"/>
    <w:rsid w:val="000D3110"/>
    <w:rsid w:val="000D7072"/>
    <w:rsid w:val="000D794E"/>
    <w:rsid w:val="000E05B5"/>
    <w:rsid w:val="000E096E"/>
    <w:rsid w:val="000E17BB"/>
    <w:rsid w:val="000E1D7F"/>
    <w:rsid w:val="000E28A8"/>
    <w:rsid w:val="000E2B12"/>
    <w:rsid w:val="000E4AF2"/>
    <w:rsid w:val="000E5CC1"/>
    <w:rsid w:val="000F00B6"/>
    <w:rsid w:val="000F04EB"/>
    <w:rsid w:val="000F19EA"/>
    <w:rsid w:val="000F21FD"/>
    <w:rsid w:val="000F3B4B"/>
    <w:rsid w:val="00100643"/>
    <w:rsid w:val="001009B0"/>
    <w:rsid w:val="00100AFA"/>
    <w:rsid w:val="00101A02"/>
    <w:rsid w:val="00103CA2"/>
    <w:rsid w:val="00104521"/>
    <w:rsid w:val="00106255"/>
    <w:rsid w:val="0010667D"/>
    <w:rsid w:val="00106834"/>
    <w:rsid w:val="0011203E"/>
    <w:rsid w:val="001122D7"/>
    <w:rsid w:val="0011525F"/>
    <w:rsid w:val="00116CAF"/>
    <w:rsid w:val="001171A8"/>
    <w:rsid w:val="001171AC"/>
    <w:rsid w:val="001206C4"/>
    <w:rsid w:val="001223E0"/>
    <w:rsid w:val="00124223"/>
    <w:rsid w:val="00126A50"/>
    <w:rsid w:val="00126DB6"/>
    <w:rsid w:val="001276E4"/>
    <w:rsid w:val="00132FA3"/>
    <w:rsid w:val="00133A6F"/>
    <w:rsid w:val="00135481"/>
    <w:rsid w:val="00135E6F"/>
    <w:rsid w:val="001372C6"/>
    <w:rsid w:val="00137381"/>
    <w:rsid w:val="00141302"/>
    <w:rsid w:val="00142C55"/>
    <w:rsid w:val="00144738"/>
    <w:rsid w:val="0014551F"/>
    <w:rsid w:val="00145991"/>
    <w:rsid w:val="0014738F"/>
    <w:rsid w:val="00151A56"/>
    <w:rsid w:val="00152B79"/>
    <w:rsid w:val="00152EAA"/>
    <w:rsid w:val="00154751"/>
    <w:rsid w:val="00154F54"/>
    <w:rsid w:val="00155390"/>
    <w:rsid w:val="00157719"/>
    <w:rsid w:val="00160329"/>
    <w:rsid w:val="001609F8"/>
    <w:rsid w:val="00162D23"/>
    <w:rsid w:val="001648EF"/>
    <w:rsid w:val="0016691E"/>
    <w:rsid w:val="001671CB"/>
    <w:rsid w:val="00167B87"/>
    <w:rsid w:val="00167F61"/>
    <w:rsid w:val="00170059"/>
    <w:rsid w:val="001714A4"/>
    <w:rsid w:val="00172016"/>
    <w:rsid w:val="00172356"/>
    <w:rsid w:val="0017504A"/>
    <w:rsid w:val="0018027F"/>
    <w:rsid w:val="00180C9D"/>
    <w:rsid w:val="0018196E"/>
    <w:rsid w:val="001826CA"/>
    <w:rsid w:val="00183401"/>
    <w:rsid w:val="00183DB5"/>
    <w:rsid w:val="001840AB"/>
    <w:rsid w:val="0018478D"/>
    <w:rsid w:val="00186CA0"/>
    <w:rsid w:val="0019165F"/>
    <w:rsid w:val="00196DA8"/>
    <w:rsid w:val="00197019"/>
    <w:rsid w:val="00197067"/>
    <w:rsid w:val="001A0650"/>
    <w:rsid w:val="001A07EC"/>
    <w:rsid w:val="001A1EE0"/>
    <w:rsid w:val="001A2EF7"/>
    <w:rsid w:val="001A38E5"/>
    <w:rsid w:val="001A4C4A"/>
    <w:rsid w:val="001A4D0B"/>
    <w:rsid w:val="001A5F19"/>
    <w:rsid w:val="001A61A2"/>
    <w:rsid w:val="001A6779"/>
    <w:rsid w:val="001A6FCA"/>
    <w:rsid w:val="001A7C2A"/>
    <w:rsid w:val="001A7D95"/>
    <w:rsid w:val="001B02D2"/>
    <w:rsid w:val="001B4845"/>
    <w:rsid w:val="001B7048"/>
    <w:rsid w:val="001C215B"/>
    <w:rsid w:val="001C4C10"/>
    <w:rsid w:val="001C61D3"/>
    <w:rsid w:val="001C772A"/>
    <w:rsid w:val="001D09C9"/>
    <w:rsid w:val="001D4005"/>
    <w:rsid w:val="001E1F47"/>
    <w:rsid w:val="001E2734"/>
    <w:rsid w:val="001E3792"/>
    <w:rsid w:val="001E402A"/>
    <w:rsid w:val="001E48E1"/>
    <w:rsid w:val="001E558A"/>
    <w:rsid w:val="001E60BE"/>
    <w:rsid w:val="001E6ABD"/>
    <w:rsid w:val="001E7BA3"/>
    <w:rsid w:val="001F0B42"/>
    <w:rsid w:val="001F12D8"/>
    <w:rsid w:val="001F2C13"/>
    <w:rsid w:val="001F3999"/>
    <w:rsid w:val="001F3D5C"/>
    <w:rsid w:val="001F4571"/>
    <w:rsid w:val="001F5131"/>
    <w:rsid w:val="001F7788"/>
    <w:rsid w:val="00201E74"/>
    <w:rsid w:val="00203B84"/>
    <w:rsid w:val="00206B9E"/>
    <w:rsid w:val="00213E20"/>
    <w:rsid w:val="00215386"/>
    <w:rsid w:val="00217264"/>
    <w:rsid w:val="00217C43"/>
    <w:rsid w:val="00225C1E"/>
    <w:rsid w:val="0022612F"/>
    <w:rsid w:val="002263BB"/>
    <w:rsid w:val="0022670B"/>
    <w:rsid w:val="00226AFB"/>
    <w:rsid w:val="00230A77"/>
    <w:rsid w:val="00230B3C"/>
    <w:rsid w:val="0023136F"/>
    <w:rsid w:val="00231722"/>
    <w:rsid w:val="00235727"/>
    <w:rsid w:val="00236E70"/>
    <w:rsid w:val="00240560"/>
    <w:rsid w:val="00240646"/>
    <w:rsid w:val="00240A99"/>
    <w:rsid w:val="00241B0F"/>
    <w:rsid w:val="002444DE"/>
    <w:rsid w:val="00245A0B"/>
    <w:rsid w:val="002508D0"/>
    <w:rsid w:val="002524B2"/>
    <w:rsid w:val="002537F7"/>
    <w:rsid w:val="00253C0E"/>
    <w:rsid w:val="00255660"/>
    <w:rsid w:val="00255D53"/>
    <w:rsid w:val="00257B76"/>
    <w:rsid w:val="00260166"/>
    <w:rsid w:val="00260907"/>
    <w:rsid w:val="002629C3"/>
    <w:rsid w:val="002631CC"/>
    <w:rsid w:val="00263553"/>
    <w:rsid w:val="0026534D"/>
    <w:rsid w:val="0027097D"/>
    <w:rsid w:val="00270FCB"/>
    <w:rsid w:val="0027150A"/>
    <w:rsid w:val="00271F4C"/>
    <w:rsid w:val="00276CD8"/>
    <w:rsid w:val="00277B14"/>
    <w:rsid w:val="002803FC"/>
    <w:rsid w:val="00281F69"/>
    <w:rsid w:val="00282222"/>
    <w:rsid w:val="00282283"/>
    <w:rsid w:val="0028311D"/>
    <w:rsid w:val="00286A06"/>
    <w:rsid w:val="00287BC8"/>
    <w:rsid w:val="0029250A"/>
    <w:rsid w:val="00295179"/>
    <w:rsid w:val="00296114"/>
    <w:rsid w:val="002963F8"/>
    <w:rsid w:val="00296712"/>
    <w:rsid w:val="002A1296"/>
    <w:rsid w:val="002A75F6"/>
    <w:rsid w:val="002B03A6"/>
    <w:rsid w:val="002B05F8"/>
    <w:rsid w:val="002B0C89"/>
    <w:rsid w:val="002B11B1"/>
    <w:rsid w:val="002B14E4"/>
    <w:rsid w:val="002B2FF5"/>
    <w:rsid w:val="002B6792"/>
    <w:rsid w:val="002B6CAB"/>
    <w:rsid w:val="002C2841"/>
    <w:rsid w:val="002C2F97"/>
    <w:rsid w:val="002C3B42"/>
    <w:rsid w:val="002C6E5D"/>
    <w:rsid w:val="002D0737"/>
    <w:rsid w:val="002D118F"/>
    <w:rsid w:val="002D1503"/>
    <w:rsid w:val="002D3C25"/>
    <w:rsid w:val="002D3F33"/>
    <w:rsid w:val="002D452D"/>
    <w:rsid w:val="002D5BDA"/>
    <w:rsid w:val="002D7CEF"/>
    <w:rsid w:val="002D7FF6"/>
    <w:rsid w:val="002E06CB"/>
    <w:rsid w:val="002E11AF"/>
    <w:rsid w:val="002E1864"/>
    <w:rsid w:val="002E1A69"/>
    <w:rsid w:val="002E2977"/>
    <w:rsid w:val="002E58AC"/>
    <w:rsid w:val="002E67D3"/>
    <w:rsid w:val="002E6D76"/>
    <w:rsid w:val="002E6EE6"/>
    <w:rsid w:val="002E772C"/>
    <w:rsid w:val="002F2AE4"/>
    <w:rsid w:val="002F43DE"/>
    <w:rsid w:val="002F45E8"/>
    <w:rsid w:val="002F7BCD"/>
    <w:rsid w:val="00300DA8"/>
    <w:rsid w:val="0030112F"/>
    <w:rsid w:val="00303516"/>
    <w:rsid w:val="0030394A"/>
    <w:rsid w:val="0030480C"/>
    <w:rsid w:val="0030489D"/>
    <w:rsid w:val="003079E4"/>
    <w:rsid w:val="0031047C"/>
    <w:rsid w:val="00313690"/>
    <w:rsid w:val="00313869"/>
    <w:rsid w:val="003141F1"/>
    <w:rsid w:val="00314F27"/>
    <w:rsid w:val="003163EC"/>
    <w:rsid w:val="003164EA"/>
    <w:rsid w:val="00321154"/>
    <w:rsid w:val="0032219B"/>
    <w:rsid w:val="00322EF4"/>
    <w:rsid w:val="00323700"/>
    <w:rsid w:val="003249C5"/>
    <w:rsid w:val="00324D2B"/>
    <w:rsid w:val="003255F9"/>
    <w:rsid w:val="00325C65"/>
    <w:rsid w:val="00327E1B"/>
    <w:rsid w:val="00330028"/>
    <w:rsid w:val="0033398E"/>
    <w:rsid w:val="00334C8E"/>
    <w:rsid w:val="0033561E"/>
    <w:rsid w:val="00336A40"/>
    <w:rsid w:val="003416CC"/>
    <w:rsid w:val="00341BCC"/>
    <w:rsid w:val="00344AAB"/>
    <w:rsid w:val="00344B5C"/>
    <w:rsid w:val="00346B6A"/>
    <w:rsid w:val="00347035"/>
    <w:rsid w:val="00347F57"/>
    <w:rsid w:val="00351BFF"/>
    <w:rsid w:val="00351F27"/>
    <w:rsid w:val="003520A7"/>
    <w:rsid w:val="00352EBF"/>
    <w:rsid w:val="003536A0"/>
    <w:rsid w:val="003537BD"/>
    <w:rsid w:val="00353DDF"/>
    <w:rsid w:val="003548B1"/>
    <w:rsid w:val="00354961"/>
    <w:rsid w:val="00354E73"/>
    <w:rsid w:val="0035508D"/>
    <w:rsid w:val="00355690"/>
    <w:rsid w:val="003559DE"/>
    <w:rsid w:val="00356097"/>
    <w:rsid w:val="0035762D"/>
    <w:rsid w:val="003628AC"/>
    <w:rsid w:val="00363314"/>
    <w:rsid w:val="00366639"/>
    <w:rsid w:val="00366FFA"/>
    <w:rsid w:val="0037069D"/>
    <w:rsid w:val="00373BC1"/>
    <w:rsid w:val="00373F7A"/>
    <w:rsid w:val="003767CD"/>
    <w:rsid w:val="00376912"/>
    <w:rsid w:val="0037743C"/>
    <w:rsid w:val="00377F40"/>
    <w:rsid w:val="003811BF"/>
    <w:rsid w:val="00382A1D"/>
    <w:rsid w:val="003847B9"/>
    <w:rsid w:val="003852AA"/>
    <w:rsid w:val="00387204"/>
    <w:rsid w:val="003919FE"/>
    <w:rsid w:val="00392729"/>
    <w:rsid w:val="003937B6"/>
    <w:rsid w:val="00394DD2"/>
    <w:rsid w:val="003955B6"/>
    <w:rsid w:val="00395756"/>
    <w:rsid w:val="00397624"/>
    <w:rsid w:val="003A1971"/>
    <w:rsid w:val="003A2224"/>
    <w:rsid w:val="003A2BB0"/>
    <w:rsid w:val="003A38B7"/>
    <w:rsid w:val="003A5C33"/>
    <w:rsid w:val="003A61D9"/>
    <w:rsid w:val="003A7874"/>
    <w:rsid w:val="003B054E"/>
    <w:rsid w:val="003B0779"/>
    <w:rsid w:val="003B0E50"/>
    <w:rsid w:val="003B3ADD"/>
    <w:rsid w:val="003B3CBA"/>
    <w:rsid w:val="003C00A8"/>
    <w:rsid w:val="003C0182"/>
    <w:rsid w:val="003C08DA"/>
    <w:rsid w:val="003C0B43"/>
    <w:rsid w:val="003C6A44"/>
    <w:rsid w:val="003C743A"/>
    <w:rsid w:val="003C75D3"/>
    <w:rsid w:val="003D0C0A"/>
    <w:rsid w:val="003D2011"/>
    <w:rsid w:val="003D36BA"/>
    <w:rsid w:val="003D409F"/>
    <w:rsid w:val="003D442F"/>
    <w:rsid w:val="003D7632"/>
    <w:rsid w:val="003E17FF"/>
    <w:rsid w:val="003E290B"/>
    <w:rsid w:val="003E6A6B"/>
    <w:rsid w:val="003F0E06"/>
    <w:rsid w:val="003F1FBB"/>
    <w:rsid w:val="003F2FAB"/>
    <w:rsid w:val="003F4295"/>
    <w:rsid w:val="003F48EE"/>
    <w:rsid w:val="003F5159"/>
    <w:rsid w:val="003F55CB"/>
    <w:rsid w:val="003F5BE1"/>
    <w:rsid w:val="003F62D6"/>
    <w:rsid w:val="003F6863"/>
    <w:rsid w:val="003F7518"/>
    <w:rsid w:val="0040049E"/>
    <w:rsid w:val="0040066C"/>
    <w:rsid w:val="004037C8"/>
    <w:rsid w:val="00403A33"/>
    <w:rsid w:val="0040530A"/>
    <w:rsid w:val="0040531A"/>
    <w:rsid w:val="0040590A"/>
    <w:rsid w:val="00405C69"/>
    <w:rsid w:val="0040709E"/>
    <w:rsid w:val="00407172"/>
    <w:rsid w:val="0041027F"/>
    <w:rsid w:val="0041324C"/>
    <w:rsid w:val="00413480"/>
    <w:rsid w:val="00414D01"/>
    <w:rsid w:val="0041573E"/>
    <w:rsid w:val="00416A5B"/>
    <w:rsid w:val="00420465"/>
    <w:rsid w:val="00421830"/>
    <w:rsid w:val="00425066"/>
    <w:rsid w:val="00427527"/>
    <w:rsid w:val="0043154C"/>
    <w:rsid w:val="00431AB6"/>
    <w:rsid w:val="0043258D"/>
    <w:rsid w:val="00434820"/>
    <w:rsid w:val="00435AE9"/>
    <w:rsid w:val="0043694D"/>
    <w:rsid w:val="00440E45"/>
    <w:rsid w:val="00441753"/>
    <w:rsid w:val="00441B51"/>
    <w:rsid w:val="004435BF"/>
    <w:rsid w:val="00443ABF"/>
    <w:rsid w:val="00444530"/>
    <w:rsid w:val="00447DEE"/>
    <w:rsid w:val="00451286"/>
    <w:rsid w:val="004512C9"/>
    <w:rsid w:val="00451C9C"/>
    <w:rsid w:val="0045243D"/>
    <w:rsid w:val="004544E0"/>
    <w:rsid w:val="00455A70"/>
    <w:rsid w:val="00456ED8"/>
    <w:rsid w:val="00457963"/>
    <w:rsid w:val="00461039"/>
    <w:rsid w:val="004627F2"/>
    <w:rsid w:val="00463FB8"/>
    <w:rsid w:val="00470F37"/>
    <w:rsid w:val="00471041"/>
    <w:rsid w:val="0047118A"/>
    <w:rsid w:val="004712A7"/>
    <w:rsid w:val="0047168D"/>
    <w:rsid w:val="0047176E"/>
    <w:rsid w:val="0047227E"/>
    <w:rsid w:val="00472EED"/>
    <w:rsid w:val="004730DA"/>
    <w:rsid w:val="00474C1A"/>
    <w:rsid w:val="00474F0D"/>
    <w:rsid w:val="00480C64"/>
    <w:rsid w:val="004814C5"/>
    <w:rsid w:val="00483170"/>
    <w:rsid w:val="00486047"/>
    <w:rsid w:val="004863BA"/>
    <w:rsid w:val="0049489C"/>
    <w:rsid w:val="00495EAE"/>
    <w:rsid w:val="00495FDC"/>
    <w:rsid w:val="00496041"/>
    <w:rsid w:val="004A2B0F"/>
    <w:rsid w:val="004A37CA"/>
    <w:rsid w:val="004A4DC5"/>
    <w:rsid w:val="004A5352"/>
    <w:rsid w:val="004A6A6B"/>
    <w:rsid w:val="004B2976"/>
    <w:rsid w:val="004B35A4"/>
    <w:rsid w:val="004B40EF"/>
    <w:rsid w:val="004C1E4E"/>
    <w:rsid w:val="004C30D6"/>
    <w:rsid w:val="004C35A7"/>
    <w:rsid w:val="004C5B54"/>
    <w:rsid w:val="004C5F9A"/>
    <w:rsid w:val="004C6E1C"/>
    <w:rsid w:val="004D31FB"/>
    <w:rsid w:val="004D4CA0"/>
    <w:rsid w:val="004D775B"/>
    <w:rsid w:val="004E0E7C"/>
    <w:rsid w:val="004E21F8"/>
    <w:rsid w:val="004E6B11"/>
    <w:rsid w:val="004F0430"/>
    <w:rsid w:val="004F2BF0"/>
    <w:rsid w:val="004F3058"/>
    <w:rsid w:val="004F3DDD"/>
    <w:rsid w:val="004F4924"/>
    <w:rsid w:val="004F4BD7"/>
    <w:rsid w:val="004F4DE4"/>
    <w:rsid w:val="004F51E2"/>
    <w:rsid w:val="004F5619"/>
    <w:rsid w:val="004F5B81"/>
    <w:rsid w:val="004F6394"/>
    <w:rsid w:val="004F6C49"/>
    <w:rsid w:val="00500BE3"/>
    <w:rsid w:val="00501033"/>
    <w:rsid w:val="00503C58"/>
    <w:rsid w:val="00504814"/>
    <w:rsid w:val="005059EF"/>
    <w:rsid w:val="00506F73"/>
    <w:rsid w:val="00507835"/>
    <w:rsid w:val="005115BF"/>
    <w:rsid w:val="005159E5"/>
    <w:rsid w:val="00516ADF"/>
    <w:rsid w:val="005207A1"/>
    <w:rsid w:val="005217FE"/>
    <w:rsid w:val="00522501"/>
    <w:rsid w:val="00522B15"/>
    <w:rsid w:val="005272FB"/>
    <w:rsid w:val="00527E78"/>
    <w:rsid w:val="005313AB"/>
    <w:rsid w:val="005327BD"/>
    <w:rsid w:val="00533903"/>
    <w:rsid w:val="0053390E"/>
    <w:rsid w:val="00536174"/>
    <w:rsid w:val="0053779A"/>
    <w:rsid w:val="00542C94"/>
    <w:rsid w:val="00547B74"/>
    <w:rsid w:val="00547CB3"/>
    <w:rsid w:val="00552A9E"/>
    <w:rsid w:val="00552EAD"/>
    <w:rsid w:val="0055423A"/>
    <w:rsid w:val="005551FB"/>
    <w:rsid w:val="005556D1"/>
    <w:rsid w:val="00555BB7"/>
    <w:rsid w:val="005568D2"/>
    <w:rsid w:val="00556C83"/>
    <w:rsid w:val="00556EFF"/>
    <w:rsid w:val="005576FE"/>
    <w:rsid w:val="00561CA6"/>
    <w:rsid w:val="00562947"/>
    <w:rsid w:val="00563C26"/>
    <w:rsid w:val="00563E93"/>
    <w:rsid w:val="005644B0"/>
    <w:rsid w:val="00564D06"/>
    <w:rsid w:val="00564EA9"/>
    <w:rsid w:val="00565E59"/>
    <w:rsid w:val="00570113"/>
    <w:rsid w:val="0057346D"/>
    <w:rsid w:val="00574103"/>
    <w:rsid w:val="005745F9"/>
    <w:rsid w:val="005811C2"/>
    <w:rsid w:val="00582C18"/>
    <w:rsid w:val="00585C22"/>
    <w:rsid w:val="00585F76"/>
    <w:rsid w:val="00587422"/>
    <w:rsid w:val="005916E6"/>
    <w:rsid w:val="00592AA5"/>
    <w:rsid w:val="00592AF2"/>
    <w:rsid w:val="005A00EF"/>
    <w:rsid w:val="005A0265"/>
    <w:rsid w:val="005A23C2"/>
    <w:rsid w:val="005A2B70"/>
    <w:rsid w:val="005A42C3"/>
    <w:rsid w:val="005A5075"/>
    <w:rsid w:val="005A6EDB"/>
    <w:rsid w:val="005A7A3D"/>
    <w:rsid w:val="005B057B"/>
    <w:rsid w:val="005B2F8D"/>
    <w:rsid w:val="005B4427"/>
    <w:rsid w:val="005B4E48"/>
    <w:rsid w:val="005B532C"/>
    <w:rsid w:val="005B5F45"/>
    <w:rsid w:val="005B6886"/>
    <w:rsid w:val="005B6924"/>
    <w:rsid w:val="005C30E2"/>
    <w:rsid w:val="005C4682"/>
    <w:rsid w:val="005C61C9"/>
    <w:rsid w:val="005C6F29"/>
    <w:rsid w:val="005D17DB"/>
    <w:rsid w:val="005D1889"/>
    <w:rsid w:val="005D18EE"/>
    <w:rsid w:val="005D2D98"/>
    <w:rsid w:val="005D3DA8"/>
    <w:rsid w:val="005D6189"/>
    <w:rsid w:val="005D6A49"/>
    <w:rsid w:val="005E0015"/>
    <w:rsid w:val="005E0145"/>
    <w:rsid w:val="005E18BD"/>
    <w:rsid w:val="005E274E"/>
    <w:rsid w:val="005E2AFD"/>
    <w:rsid w:val="005E49AB"/>
    <w:rsid w:val="005E526C"/>
    <w:rsid w:val="005E5CCA"/>
    <w:rsid w:val="005E72CB"/>
    <w:rsid w:val="005E763E"/>
    <w:rsid w:val="005E7A02"/>
    <w:rsid w:val="005F0D42"/>
    <w:rsid w:val="005F3DAF"/>
    <w:rsid w:val="005F4655"/>
    <w:rsid w:val="005F6B4D"/>
    <w:rsid w:val="005F6FF2"/>
    <w:rsid w:val="0060510F"/>
    <w:rsid w:val="00605178"/>
    <w:rsid w:val="0060573B"/>
    <w:rsid w:val="006067C1"/>
    <w:rsid w:val="00616FF2"/>
    <w:rsid w:val="00620064"/>
    <w:rsid w:val="0062128D"/>
    <w:rsid w:val="006220E4"/>
    <w:rsid w:val="0062245F"/>
    <w:rsid w:val="00625DE5"/>
    <w:rsid w:val="006262F5"/>
    <w:rsid w:val="00627F4C"/>
    <w:rsid w:val="006312BF"/>
    <w:rsid w:val="00631EE0"/>
    <w:rsid w:val="00631FB9"/>
    <w:rsid w:val="006342AF"/>
    <w:rsid w:val="006348A0"/>
    <w:rsid w:val="00636C59"/>
    <w:rsid w:val="00636DF4"/>
    <w:rsid w:val="006401A6"/>
    <w:rsid w:val="006419CD"/>
    <w:rsid w:val="00643999"/>
    <w:rsid w:val="00643DA3"/>
    <w:rsid w:val="0064424E"/>
    <w:rsid w:val="006456AA"/>
    <w:rsid w:val="00645900"/>
    <w:rsid w:val="0064602A"/>
    <w:rsid w:val="00646412"/>
    <w:rsid w:val="00651191"/>
    <w:rsid w:val="006518D9"/>
    <w:rsid w:val="00660179"/>
    <w:rsid w:val="00660A7B"/>
    <w:rsid w:val="00660D79"/>
    <w:rsid w:val="006619AC"/>
    <w:rsid w:val="006652B1"/>
    <w:rsid w:val="00665CB9"/>
    <w:rsid w:val="0066767F"/>
    <w:rsid w:val="006701F5"/>
    <w:rsid w:val="006705F8"/>
    <w:rsid w:val="0067184F"/>
    <w:rsid w:val="00672765"/>
    <w:rsid w:val="00672908"/>
    <w:rsid w:val="0067339C"/>
    <w:rsid w:val="006758A2"/>
    <w:rsid w:val="006778DB"/>
    <w:rsid w:val="00677B8F"/>
    <w:rsid w:val="0068276E"/>
    <w:rsid w:val="00684313"/>
    <w:rsid w:val="00685C19"/>
    <w:rsid w:val="006862DB"/>
    <w:rsid w:val="0068735A"/>
    <w:rsid w:val="0068735D"/>
    <w:rsid w:val="00687C1F"/>
    <w:rsid w:val="006906DA"/>
    <w:rsid w:val="00690A6B"/>
    <w:rsid w:val="00692A8F"/>
    <w:rsid w:val="00694F48"/>
    <w:rsid w:val="0069755B"/>
    <w:rsid w:val="0069773E"/>
    <w:rsid w:val="006A145C"/>
    <w:rsid w:val="006A280E"/>
    <w:rsid w:val="006A354D"/>
    <w:rsid w:val="006A578A"/>
    <w:rsid w:val="006B00C9"/>
    <w:rsid w:val="006B1847"/>
    <w:rsid w:val="006B29B6"/>
    <w:rsid w:val="006B3338"/>
    <w:rsid w:val="006B4E9E"/>
    <w:rsid w:val="006B4F89"/>
    <w:rsid w:val="006B5AC1"/>
    <w:rsid w:val="006B5BC1"/>
    <w:rsid w:val="006B6223"/>
    <w:rsid w:val="006B75C5"/>
    <w:rsid w:val="006B78DF"/>
    <w:rsid w:val="006C4E76"/>
    <w:rsid w:val="006C5447"/>
    <w:rsid w:val="006C5E37"/>
    <w:rsid w:val="006C6C01"/>
    <w:rsid w:val="006C741E"/>
    <w:rsid w:val="006D0780"/>
    <w:rsid w:val="006D265C"/>
    <w:rsid w:val="006D2D84"/>
    <w:rsid w:val="006D3CFA"/>
    <w:rsid w:val="006D3D20"/>
    <w:rsid w:val="006D4647"/>
    <w:rsid w:val="006D53FE"/>
    <w:rsid w:val="006D648F"/>
    <w:rsid w:val="006D6875"/>
    <w:rsid w:val="006D7C9C"/>
    <w:rsid w:val="006E0B07"/>
    <w:rsid w:val="006E0BF5"/>
    <w:rsid w:val="006E1300"/>
    <w:rsid w:val="006E1305"/>
    <w:rsid w:val="006E3702"/>
    <w:rsid w:val="006E53C6"/>
    <w:rsid w:val="006F0615"/>
    <w:rsid w:val="006F2F8B"/>
    <w:rsid w:val="006F6770"/>
    <w:rsid w:val="006F71B0"/>
    <w:rsid w:val="00700915"/>
    <w:rsid w:val="007031D9"/>
    <w:rsid w:val="007034A5"/>
    <w:rsid w:val="00705F49"/>
    <w:rsid w:val="00710EC7"/>
    <w:rsid w:val="00711DFE"/>
    <w:rsid w:val="00712731"/>
    <w:rsid w:val="00712842"/>
    <w:rsid w:val="00712A6F"/>
    <w:rsid w:val="007204FB"/>
    <w:rsid w:val="007207C3"/>
    <w:rsid w:val="00721045"/>
    <w:rsid w:val="00722781"/>
    <w:rsid w:val="0072288B"/>
    <w:rsid w:val="007245A5"/>
    <w:rsid w:val="00724F0D"/>
    <w:rsid w:val="0072536F"/>
    <w:rsid w:val="007253CD"/>
    <w:rsid w:val="00726AD4"/>
    <w:rsid w:val="00727C15"/>
    <w:rsid w:val="00730305"/>
    <w:rsid w:val="00731353"/>
    <w:rsid w:val="00731E23"/>
    <w:rsid w:val="00732668"/>
    <w:rsid w:val="00735FD7"/>
    <w:rsid w:val="007363A7"/>
    <w:rsid w:val="007375B1"/>
    <w:rsid w:val="0074076E"/>
    <w:rsid w:val="00742214"/>
    <w:rsid w:val="007428DD"/>
    <w:rsid w:val="00744358"/>
    <w:rsid w:val="00746319"/>
    <w:rsid w:val="007507F3"/>
    <w:rsid w:val="00750C3C"/>
    <w:rsid w:val="00750F1F"/>
    <w:rsid w:val="00754ABE"/>
    <w:rsid w:val="00755ADE"/>
    <w:rsid w:val="00757784"/>
    <w:rsid w:val="00757C6C"/>
    <w:rsid w:val="00762E0C"/>
    <w:rsid w:val="00762FBC"/>
    <w:rsid w:val="00765AFD"/>
    <w:rsid w:val="00767C6A"/>
    <w:rsid w:val="0077080B"/>
    <w:rsid w:val="00772EA5"/>
    <w:rsid w:val="00773E24"/>
    <w:rsid w:val="0077502D"/>
    <w:rsid w:val="007750A7"/>
    <w:rsid w:val="00775884"/>
    <w:rsid w:val="00775A42"/>
    <w:rsid w:val="00776BCD"/>
    <w:rsid w:val="007777D4"/>
    <w:rsid w:val="00780225"/>
    <w:rsid w:val="007804C2"/>
    <w:rsid w:val="0078090D"/>
    <w:rsid w:val="00781067"/>
    <w:rsid w:val="00781945"/>
    <w:rsid w:val="007825D1"/>
    <w:rsid w:val="007828D2"/>
    <w:rsid w:val="00782EA8"/>
    <w:rsid w:val="00784E68"/>
    <w:rsid w:val="0078519A"/>
    <w:rsid w:val="0078553E"/>
    <w:rsid w:val="00787E9A"/>
    <w:rsid w:val="007900D8"/>
    <w:rsid w:val="00791816"/>
    <w:rsid w:val="00791ED7"/>
    <w:rsid w:val="00792445"/>
    <w:rsid w:val="00794C83"/>
    <w:rsid w:val="00795561"/>
    <w:rsid w:val="00796162"/>
    <w:rsid w:val="0079642F"/>
    <w:rsid w:val="00796CF1"/>
    <w:rsid w:val="00796CF5"/>
    <w:rsid w:val="00796F7C"/>
    <w:rsid w:val="007A0638"/>
    <w:rsid w:val="007A097F"/>
    <w:rsid w:val="007A0E77"/>
    <w:rsid w:val="007A16C2"/>
    <w:rsid w:val="007A2C1D"/>
    <w:rsid w:val="007A3AFD"/>
    <w:rsid w:val="007A41AA"/>
    <w:rsid w:val="007A4EB1"/>
    <w:rsid w:val="007A5366"/>
    <w:rsid w:val="007A5842"/>
    <w:rsid w:val="007A6825"/>
    <w:rsid w:val="007B12EF"/>
    <w:rsid w:val="007B3503"/>
    <w:rsid w:val="007B3F12"/>
    <w:rsid w:val="007C1CA8"/>
    <w:rsid w:val="007C3C6B"/>
    <w:rsid w:val="007C57A0"/>
    <w:rsid w:val="007D1428"/>
    <w:rsid w:val="007D3BD3"/>
    <w:rsid w:val="007D467E"/>
    <w:rsid w:val="007D64BD"/>
    <w:rsid w:val="007D6514"/>
    <w:rsid w:val="007E04B9"/>
    <w:rsid w:val="007E082F"/>
    <w:rsid w:val="007E1C62"/>
    <w:rsid w:val="007E2011"/>
    <w:rsid w:val="007E2505"/>
    <w:rsid w:val="007E4709"/>
    <w:rsid w:val="007E4F58"/>
    <w:rsid w:val="007E57C8"/>
    <w:rsid w:val="007E6B5C"/>
    <w:rsid w:val="007F0834"/>
    <w:rsid w:val="007F0F97"/>
    <w:rsid w:val="007F1D14"/>
    <w:rsid w:val="007F256F"/>
    <w:rsid w:val="007F25CE"/>
    <w:rsid w:val="007F2D73"/>
    <w:rsid w:val="007F69B2"/>
    <w:rsid w:val="007F6E23"/>
    <w:rsid w:val="00800971"/>
    <w:rsid w:val="00801C6C"/>
    <w:rsid w:val="008029A3"/>
    <w:rsid w:val="00802DA2"/>
    <w:rsid w:val="00803640"/>
    <w:rsid w:val="00803655"/>
    <w:rsid w:val="008044D8"/>
    <w:rsid w:val="00806B27"/>
    <w:rsid w:val="00810FC2"/>
    <w:rsid w:val="00812EC0"/>
    <w:rsid w:val="008130C7"/>
    <w:rsid w:val="008144CE"/>
    <w:rsid w:val="00816C52"/>
    <w:rsid w:val="00817AB0"/>
    <w:rsid w:val="00820FB9"/>
    <w:rsid w:val="00821286"/>
    <w:rsid w:val="00821F39"/>
    <w:rsid w:val="00823DB1"/>
    <w:rsid w:val="00823DD0"/>
    <w:rsid w:val="008248A3"/>
    <w:rsid w:val="00824F46"/>
    <w:rsid w:val="00825DE1"/>
    <w:rsid w:val="00827336"/>
    <w:rsid w:val="00835779"/>
    <w:rsid w:val="00835EEB"/>
    <w:rsid w:val="00840284"/>
    <w:rsid w:val="0084085C"/>
    <w:rsid w:val="00841166"/>
    <w:rsid w:val="00842BEE"/>
    <w:rsid w:val="00845468"/>
    <w:rsid w:val="00845EB7"/>
    <w:rsid w:val="00846672"/>
    <w:rsid w:val="00846D23"/>
    <w:rsid w:val="00854EB8"/>
    <w:rsid w:val="0085547E"/>
    <w:rsid w:val="0085718B"/>
    <w:rsid w:val="008578E1"/>
    <w:rsid w:val="00860653"/>
    <w:rsid w:val="00860D61"/>
    <w:rsid w:val="00861F83"/>
    <w:rsid w:val="00864332"/>
    <w:rsid w:val="008654C1"/>
    <w:rsid w:val="008665B9"/>
    <w:rsid w:val="00866EDF"/>
    <w:rsid w:val="0086782B"/>
    <w:rsid w:val="00867B88"/>
    <w:rsid w:val="0088476C"/>
    <w:rsid w:val="00885418"/>
    <w:rsid w:val="00885A34"/>
    <w:rsid w:val="00885C0C"/>
    <w:rsid w:val="00887B14"/>
    <w:rsid w:val="00892F29"/>
    <w:rsid w:val="00893267"/>
    <w:rsid w:val="0089374E"/>
    <w:rsid w:val="00894F7E"/>
    <w:rsid w:val="008957C2"/>
    <w:rsid w:val="008959FE"/>
    <w:rsid w:val="00895A2A"/>
    <w:rsid w:val="00896221"/>
    <w:rsid w:val="00896286"/>
    <w:rsid w:val="008A063A"/>
    <w:rsid w:val="008A0B23"/>
    <w:rsid w:val="008A31D5"/>
    <w:rsid w:val="008A4B59"/>
    <w:rsid w:val="008A4E53"/>
    <w:rsid w:val="008A6E89"/>
    <w:rsid w:val="008A71F6"/>
    <w:rsid w:val="008A7F3E"/>
    <w:rsid w:val="008A7FCD"/>
    <w:rsid w:val="008B2819"/>
    <w:rsid w:val="008B29D8"/>
    <w:rsid w:val="008B3692"/>
    <w:rsid w:val="008B5CAC"/>
    <w:rsid w:val="008B68BD"/>
    <w:rsid w:val="008B7363"/>
    <w:rsid w:val="008B73C6"/>
    <w:rsid w:val="008C09CD"/>
    <w:rsid w:val="008C1CD7"/>
    <w:rsid w:val="008C1E46"/>
    <w:rsid w:val="008C39BD"/>
    <w:rsid w:val="008C5373"/>
    <w:rsid w:val="008C7A5F"/>
    <w:rsid w:val="008D0697"/>
    <w:rsid w:val="008D0BA9"/>
    <w:rsid w:val="008D16C9"/>
    <w:rsid w:val="008D193C"/>
    <w:rsid w:val="008D2CB4"/>
    <w:rsid w:val="008D3F0E"/>
    <w:rsid w:val="008E2113"/>
    <w:rsid w:val="008E5D2E"/>
    <w:rsid w:val="008E7DAE"/>
    <w:rsid w:val="008F0E69"/>
    <w:rsid w:val="008F385F"/>
    <w:rsid w:val="008F38E8"/>
    <w:rsid w:val="008F4009"/>
    <w:rsid w:val="008F4F3D"/>
    <w:rsid w:val="008F50B6"/>
    <w:rsid w:val="008F5836"/>
    <w:rsid w:val="008F7426"/>
    <w:rsid w:val="009008D6"/>
    <w:rsid w:val="00901934"/>
    <w:rsid w:val="00901B15"/>
    <w:rsid w:val="009028EB"/>
    <w:rsid w:val="009036F2"/>
    <w:rsid w:val="00905B28"/>
    <w:rsid w:val="00906BC8"/>
    <w:rsid w:val="00907B84"/>
    <w:rsid w:val="00911B56"/>
    <w:rsid w:val="0091705B"/>
    <w:rsid w:val="00917C05"/>
    <w:rsid w:val="00920273"/>
    <w:rsid w:val="009205EF"/>
    <w:rsid w:val="00922529"/>
    <w:rsid w:val="00924B99"/>
    <w:rsid w:val="00930320"/>
    <w:rsid w:val="00931B46"/>
    <w:rsid w:val="00932C81"/>
    <w:rsid w:val="0093425B"/>
    <w:rsid w:val="00934739"/>
    <w:rsid w:val="00934E62"/>
    <w:rsid w:val="00935281"/>
    <w:rsid w:val="00936A5E"/>
    <w:rsid w:val="009375E5"/>
    <w:rsid w:val="00937DC7"/>
    <w:rsid w:val="00937F41"/>
    <w:rsid w:val="009425AA"/>
    <w:rsid w:val="009426AB"/>
    <w:rsid w:val="009453EE"/>
    <w:rsid w:val="00945985"/>
    <w:rsid w:val="009463D7"/>
    <w:rsid w:val="009517F7"/>
    <w:rsid w:val="00954A66"/>
    <w:rsid w:val="00955614"/>
    <w:rsid w:val="009565DA"/>
    <w:rsid w:val="00957E42"/>
    <w:rsid w:val="009617FC"/>
    <w:rsid w:val="00963FCE"/>
    <w:rsid w:val="00964893"/>
    <w:rsid w:val="00964904"/>
    <w:rsid w:val="00966C23"/>
    <w:rsid w:val="00970A8A"/>
    <w:rsid w:val="00971318"/>
    <w:rsid w:val="009736F0"/>
    <w:rsid w:val="0098025D"/>
    <w:rsid w:val="00981AFB"/>
    <w:rsid w:val="00984563"/>
    <w:rsid w:val="00986A73"/>
    <w:rsid w:val="0098773C"/>
    <w:rsid w:val="00990AE5"/>
    <w:rsid w:val="00990F36"/>
    <w:rsid w:val="00991736"/>
    <w:rsid w:val="00991D77"/>
    <w:rsid w:val="009936E0"/>
    <w:rsid w:val="009962F0"/>
    <w:rsid w:val="0099676E"/>
    <w:rsid w:val="00997959"/>
    <w:rsid w:val="00997D1A"/>
    <w:rsid w:val="00997F23"/>
    <w:rsid w:val="009A18C3"/>
    <w:rsid w:val="009A1CF2"/>
    <w:rsid w:val="009A4F51"/>
    <w:rsid w:val="009A5B76"/>
    <w:rsid w:val="009A6D75"/>
    <w:rsid w:val="009B00CE"/>
    <w:rsid w:val="009B03C6"/>
    <w:rsid w:val="009B0F49"/>
    <w:rsid w:val="009B1014"/>
    <w:rsid w:val="009B4C9D"/>
    <w:rsid w:val="009B58B8"/>
    <w:rsid w:val="009B59CF"/>
    <w:rsid w:val="009B6ACB"/>
    <w:rsid w:val="009C2697"/>
    <w:rsid w:val="009C512B"/>
    <w:rsid w:val="009C58A8"/>
    <w:rsid w:val="009C5960"/>
    <w:rsid w:val="009C5F13"/>
    <w:rsid w:val="009C6AD6"/>
    <w:rsid w:val="009C7AEE"/>
    <w:rsid w:val="009C7E9D"/>
    <w:rsid w:val="009C7F9B"/>
    <w:rsid w:val="009D0BFA"/>
    <w:rsid w:val="009D3278"/>
    <w:rsid w:val="009D4A44"/>
    <w:rsid w:val="009D4DC1"/>
    <w:rsid w:val="009D5C51"/>
    <w:rsid w:val="009D73A3"/>
    <w:rsid w:val="009E192B"/>
    <w:rsid w:val="009E2432"/>
    <w:rsid w:val="009E5A61"/>
    <w:rsid w:val="009F4425"/>
    <w:rsid w:val="009F6FC2"/>
    <w:rsid w:val="009F770F"/>
    <w:rsid w:val="009F7A99"/>
    <w:rsid w:val="00A00A1E"/>
    <w:rsid w:val="00A02236"/>
    <w:rsid w:val="00A03CB1"/>
    <w:rsid w:val="00A06687"/>
    <w:rsid w:val="00A10750"/>
    <w:rsid w:val="00A11201"/>
    <w:rsid w:val="00A11625"/>
    <w:rsid w:val="00A11A34"/>
    <w:rsid w:val="00A12294"/>
    <w:rsid w:val="00A12486"/>
    <w:rsid w:val="00A14E51"/>
    <w:rsid w:val="00A15101"/>
    <w:rsid w:val="00A15DAE"/>
    <w:rsid w:val="00A16CB7"/>
    <w:rsid w:val="00A21249"/>
    <w:rsid w:val="00A238E8"/>
    <w:rsid w:val="00A24A3F"/>
    <w:rsid w:val="00A25E39"/>
    <w:rsid w:val="00A269C3"/>
    <w:rsid w:val="00A309F2"/>
    <w:rsid w:val="00A316E0"/>
    <w:rsid w:val="00A323DB"/>
    <w:rsid w:val="00A32A7A"/>
    <w:rsid w:val="00A33CD0"/>
    <w:rsid w:val="00A34713"/>
    <w:rsid w:val="00A3490B"/>
    <w:rsid w:val="00A35165"/>
    <w:rsid w:val="00A35C51"/>
    <w:rsid w:val="00A412FF"/>
    <w:rsid w:val="00A4144B"/>
    <w:rsid w:val="00A420F4"/>
    <w:rsid w:val="00A42477"/>
    <w:rsid w:val="00A440BA"/>
    <w:rsid w:val="00A4451D"/>
    <w:rsid w:val="00A449EA"/>
    <w:rsid w:val="00A47010"/>
    <w:rsid w:val="00A50884"/>
    <w:rsid w:val="00A50EF3"/>
    <w:rsid w:val="00A540D1"/>
    <w:rsid w:val="00A55D55"/>
    <w:rsid w:val="00A5777F"/>
    <w:rsid w:val="00A6193E"/>
    <w:rsid w:val="00A61E73"/>
    <w:rsid w:val="00A62BDD"/>
    <w:rsid w:val="00A64509"/>
    <w:rsid w:val="00A64C1D"/>
    <w:rsid w:val="00A666BB"/>
    <w:rsid w:val="00A676CC"/>
    <w:rsid w:val="00A7470A"/>
    <w:rsid w:val="00A76004"/>
    <w:rsid w:val="00A764C9"/>
    <w:rsid w:val="00A77255"/>
    <w:rsid w:val="00A81211"/>
    <w:rsid w:val="00A8316F"/>
    <w:rsid w:val="00A86108"/>
    <w:rsid w:val="00A91311"/>
    <w:rsid w:val="00A91C5A"/>
    <w:rsid w:val="00A9219A"/>
    <w:rsid w:val="00A92D6D"/>
    <w:rsid w:val="00A94796"/>
    <w:rsid w:val="00A96B62"/>
    <w:rsid w:val="00A9786C"/>
    <w:rsid w:val="00AA0508"/>
    <w:rsid w:val="00AA13E8"/>
    <w:rsid w:val="00AA17EA"/>
    <w:rsid w:val="00AA19D3"/>
    <w:rsid w:val="00AA4B3B"/>
    <w:rsid w:val="00AA5DAA"/>
    <w:rsid w:val="00AA740F"/>
    <w:rsid w:val="00AB1416"/>
    <w:rsid w:val="00AB53EF"/>
    <w:rsid w:val="00AB6D17"/>
    <w:rsid w:val="00AB73E9"/>
    <w:rsid w:val="00AB757F"/>
    <w:rsid w:val="00AC18E5"/>
    <w:rsid w:val="00AC1936"/>
    <w:rsid w:val="00AC2143"/>
    <w:rsid w:val="00AC26FE"/>
    <w:rsid w:val="00AC2CA4"/>
    <w:rsid w:val="00AC387B"/>
    <w:rsid w:val="00AC3DA8"/>
    <w:rsid w:val="00AC5D43"/>
    <w:rsid w:val="00AC5EEA"/>
    <w:rsid w:val="00AC6062"/>
    <w:rsid w:val="00AC6611"/>
    <w:rsid w:val="00AC6B0A"/>
    <w:rsid w:val="00AC6D7C"/>
    <w:rsid w:val="00AC74B2"/>
    <w:rsid w:val="00AD1CFC"/>
    <w:rsid w:val="00AD2609"/>
    <w:rsid w:val="00AD2BCC"/>
    <w:rsid w:val="00AD3D7B"/>
    <w:rsid w:val="00AD5AD5"/>
    <w:rsid w:val="00AD61C2"/>
    <w:rsid w:val="00AD65FC"/>
    <w:rsid w:val="00AD669A"/>
    <w:rsid w:val="00AD7D04"/>
    <w:rsid w:val="00AE04E0"/>
    <w:rsid w:val="00AE3853"/>
    <w:rsid w:val="00AE71F8"/>
    <w:rsid w:val="00AF1AE2"/>
    <w:rsid w:val="00AF333E"/>
    <w:rsid w:val="00AF3D2E"/>
    <w:rsid w:val="00AF4A99"/>
    <w:rsid w:val="00AF4ACF"/>
    <w:rsid w:val="00AF6078"/>
    <w:rsid w:val="00B017BF"/>
    <w:rsid w:val="00B01C73"/>
    <w:rsid w:val="00B03261"/>
    <w:rsid w:val="00B052F8"/>
    <w:rsid w:val="00B064DE"/>
    <w:rsid w:val="00B076FE"/>
    <w:rsid w:val="00B17262"/>
    <w:rsid w:val="00B215DD"/>
    <w:rsid w:val="00B22A11"/>
    <w:rsid w:val="00B25A02"/>
    <w:rsid w:val="00B25B33"/>
    <w:rsid w:val="00B25EDC"/>
    <w:rsid w:val="00B30AA5"/>
    <w:rsid w:val="00B3361D"/>
    <w:rsid w:val="00B33ABD"/>
    <w:rsid w:val="00B35BCF"/>
    <w:rsid w:val="00B41CFC"/>
    <w:rsid w:val="00B426FD"/>
    <w:rsid w:val="00B43D0A"/>
    <w:rsid w:val="00B4466E"/>
    <w:rsid w:val="00B4573F"/>
    <w:rsid w:val="00B462B6"/>
    <w:rsid w:val="00B5166C"/>
    <w:rsid w:val="00B51ABD"/>
    <w:rsid w:val="00B5219B"/>
    <w:rsid w:val="00B52594"/>
    <w:rsid w:val="00B52EF7"/>
    <w:rsid w:val="00B53834"/>
    <w:rsid w:val="00B54BFE"/>
    <w:rsid w:val="00B55179"/>
    <w:rsid w:val="00B5645E"/>
    <w:rsid w:val="00B56761"/>
    <w:rsid w:val="00B60348"/>
    <w:rsid w:val="00B61445"/>
    <w:rsid w:val="00B641CE"/>
    <w:rsid w:val="00B641DB"/>
    <w:rsid w:val="00B656F1"/>
    <w:rsid w:val="00B65FDF"/>
    <w:rsid w:val="00B66754"/>
    <w:rsid w:val="00B67B06"/>
    <w:rsid w:val="00B707F1"/>
    <w:rsid w:val="00B71F77"/>
    <w:rsid w:val="00B72B2F"/>
    <w:rsid w:val="00B72C69"/>
    <w:rsid w:val="00B74AEB"/>
    <w:rsid w:val="00B77375"/>
    <w:rsid w:val="00B77BCD"/>
    <w:rsid w:val="00B809BE"/>
    <w:rsid w:val="00B8140C"/>
    <w:rsid w:val="00B82AEB"/>
    <w:rsid w:val="00B84222"/>
    <w:rsid w:val="00B855EA"/>
    <w:rsid w:val="00B87005"/>
    <w:rsid w:val="00B87B6A"/>
    <w:rsid w:val="00B9069D"/>
    <w:rsid w:val="00B91B28"/>
    <w:rsid w:val="00B93A65"/>
    <w:rsid w:val="00B93B08"/>
    <w:rsid w:val="00B94623"/>
    <w:rsid w:val="00B95C6B"/>
    <w:rsid w:val="00B96E3B"/>
    <w:rsid w:val="00BA2DF8"/>
    <w:rsid w:val="00BA402B"/>
    <w:rsid w:val="00BA5B34"/>
    <w:rsid w:val="00BA5DAC"/>
    <w:rsid w:val="00BA6F36"/>
    <w:rsid w:val="00BA73F4"/>
    <w:rsid w:val="00BB0616"/>
    <w:rsid w:val="00BB2759"/>
    <w:rsid w:val="00BB3506"/>
    <w:rsid w:val="00BB3530"/>
    <w:rsid w:val="00BB5683"/>
    <w:rsid w:val="00BB6A3A"/>
    <w:rsid w:val="00BB7F7F"/>
    <w:rsid w:val="00BC2875"/>
    <w:rsid w:val="00BC3D25"/>
    <w:rsid w:val="00BC4774"/>
    <w:rsid w:val="00BC5FA2"/>
    <w:rsid w:val="00BD00A6"/>
    <w:rsid w:val="00BD0C7E"/>
    <w:rsid w:val="00BD18D2"/>
    <w:rsid w:val="00BD3D8F"/>
    <w:rsid w:val="00BD4338"/>
    <w:rsid w:val="00BD60BB"/>
    <w:rsid w:val="00BD6458"/>
    <w:rsid w:val="00BE0451"/>
    <w:rsid w:val="00BE0B68"/>
    <w:rsid w:val="00BE152A"/>
    <w:rsid w:val="00BE189F"/>
    <w:rsid w:val="00BE299C"/>
    <w:rsid w:val="00BE307D"/>
    <w:rsid w:val="00BE3DC9"/>
    <w:rsid w:val="00BE3E5F"/>
    <w:rsid w:val="00BE5B3B"/>
    <w:rsid w:val="00BE6E16"/>
    <w:rsid w:val="00BF16AF"/>
    <w:rsid w:val="00BF2480"/>
    <w:rsid w:val="00BF27E0"/>
    <w:rsid w:val="00BF3911"/>
    <w:rsid w:val="00BF4504"/>
    <w:rsid w:val="00BF70B0"/>
    <w:rsid w:val="00BF7F33"/>
    <w:rsid w:val="00C00C90"/>
    <w:rsid w:val="00C0478B"/>
    <w:rsid w:val="00C04BBC"/>
    <w:rsid w:val="00C059FB"/>
    <w:rsid w:val="00C06BC8"/>
    <w:rsid w:val="00C07AC8"/>
    <w:rsid w:val="00C10674"/>
    <w:rsid w:val="00C12877"/>
    <w:rsid w:val="00C129D2"/>
    <w:rsid w:val="00C13B68"/>
    <w:rsid w:val="00C16EFB"/>
    <w:rsid w:val="00C174D2"/>
    <w:rsid w:val="00C177E5"/>
    <w:rsid w:val="00C20D2D"/>
    <w:rsid w:val="00C20D93"/>
    <w:rsid w:val="00C2153F"/>
    <w:rsid w:val="00C23129"/>
    <w:rsid w:val="00C26896"/>
    <w:rsid w:val="00C30CDB"/>
    <w:rsid w:val="00C3377E"/>
    <w:rsid w:val="00C3574F"/>
    <w:rsid w:val="00C35DC1"/>
    <w:rsid w:val="00C41BD1"/>
    <w:rsid w:val="00C43A95"/>
    <w:rsid w:val="00C450AC"/>
    <w:rsid w:val="00C46185"/>
    <w:rsid w:val="00C46735"/>
    <w:rsid w:val="00C46914"/>
    <w:rsid w:val="00C46AE7"/>
    <w:rsid w:val="00C47FE3"/>
    <w:rsid w:val="00C5010F"/>
    <w:rsid w:val="00C50682"/>
    <w:rsid w:val="00C50BB0"/>
    <w:rsid w:val="00C5235F"/>
    <w:rsid w:val="00C56B01"/>
    <w:rsid w:val="00C56B56"/>
    <w:rsid w:val="00C571FD"/>
    <w:rsid w:val="00C57DE1"/>
    <w:rsid w:val="00C605BD"/>
    <w:rsid w:val="00C61DC4"/>
    <w:rsid w:val="00C64AE9"/>
    <w:rsid w:val="00C64B2F"/>
    <w:rsid w:val="00C6683F"/>
    <w:rsid w:val="00C704FF"/>
    <w:rsid w:val="00C71419"/>
    <w:rsid w:val="00C72050"/>
    <w:rsid w:val="00C75AC7"/>
    <w:rsid w:val="00C80248"/>
    <w:rsid w:val="00C80A73"/>
    <w:rsid w:val="00C81255"/>
    <w:rsid w:val="00C82DF3"/>
    <w:rsid w:val="00C84D04"/>
    <w:rsid w:val="00C85C19"/>
    <w:rsid w:val="00C870CC"/>
    <w:rsid w:val="00C87924"/>
    <w:rsid w:val="00C907B8"/>
    <w:rsid w:val="00C90ED5"/>
    <w:rsid w:val="00C9217B"/>
    <w:rsid w:val="00C9340B"/>
    <w:rsid w:val="00C93E64"/>
    <w:rsid w:val="00C94115"/>
    <w:rsid w:val="00C9556F"/>
    <w:rsid w:val="00CA0AE8"/>
    <w:rsid w:val="00CA304F"/>
    <w:rsid w:val="00CA3C73"/>
    <w:rsid w:val="00CA3CAD"/>
    <w:rsid w:val="00CA5131"/>
    <w:rsid w:val="00CB002C"/>
    <w:rsid w:val="00CB2294"/>
    <w:rsid w:val="00CB3C14"/>
    <w:rsid w:val="00CB3DC9"/>
    <w:rsid w:val="00CB40F5"/>
    <w:rsid w:val="00CB580A"/>
    <w:rsid w:val="00CB5951"/>
    <w:rsid w:val="00CB597E"/>
    <w:rsid w:val="00CB65DC"/>
    <w:rsid w:val="00CC0084"/>
    <w:rsid w:val="00CC0EF6"/>
    <w:rsid w:val="00CC1492"/>
    <w:rsid w:val="00CC2F79"/>
    <w:rsid w:val="00CC33C3"/>
    <w:rsid w:val="00CC53E2"/>
    <w:rsid w:val="00CD087C"/>
    <w:rsid w:val="00CD24D9"/>
    <w:rsid w:val="00CD2BBF"/>
    <w:rsid w:val="00CD4579"/>
    <w:rsid w:val="00CD5538"/>
    <w:rsid w:val="00CD5B72"/>
    <w:rsid w:val="00CD5D41"/>
    <w:rsid w:val="00CD6C45"/>
    <w:rsid w:val="00CD72EA"/>
    <w:rsid w:val="00CD76E9"/>
    <w:rsid w:val="00CE0401"/>
    <w:rsid w:val="00CE0835"/>
    <w:rsid w:val="00CE4998"/>
    <w:rsid w:val="00CE5580"/>
    <w:rsid w:val="00CE61A0"/>
    <w:rsid w:val="00CF0A04"/>
    <w:rsid w:val="00CF1BBE"/>
    <w:rsid w:val="00CF3475"/>
    <w:rsid w:val="00CF3E48"/>
    <w:rsid w:val="00CF6F07"/>
    <w:rsid w:val="00CF7CE3"/>
    <w:rsid w:val="00D02E3D"/>
    <w:rsid w:val="00D031D6"/>
    <w:rsid w:val="00D03E0F"/>
    <w:rsid w:val="00D04F95"/>
    <w:rsid w:val="00D0627B"/>
    <w:rsid w:val="00D06A78"/>
    <w:rsid w:val="00D06CA6"/>
    <w:rsid w:val="00D076E4"/>
    <w:rsid w:val="00D10E47"/>
    <w:rsid w:val="00D1110C"/>
    <w:rsid w:val="00D12096"/>
    <w:rsid w:val="00D121F1"/>
    <w:rsid w:val="00D136C6"/>
    <w:rsid w:val="00D15A02"/>
    <w:rsid w:val="00D15F9E"/>
    <w:rsid w:val="00D16ACB"/>
    <w:rsid w:val="00D2260A"/>
    <w:rsid w:val="00D23346"/>
    <w:rsid w:val="00D2334B"/>
    <w:rsid w:val="00D240BF"/>
    <w:rsid w:val="00D25108"/>
    <w:rsid w:val="00D25CB8"/>
    <w:rsid w:val="00D2713D"/>
    <w:rsid w:val="00D30B36"/>
    <w:rsid w:val="00D36627"/>
    <w:rsid w:val="00D366C4"/>
    <w:rsid w:val="00D36EAF"/>
    <w:rsid w:val="00D37BBF"/>
    <w:rsid w:val="00D37BD6"/>
    <w:rsid w:val="00D40888"/>
    <w:rsid w:val="00D40F52"/>
    <w:rsid w:val="00D4277A"/>
    <w:rsid w:val="00D465B5"/>
    <w:rsid w:val="00D50CDD"/>
    <w:rsid w:val="00D5125C"/>
    <w:rsid w:val="00D5220B"/>
    <w:rsid w:val="00D52892"/>
    <w:rsid w:val="00D52E65"/>
    <w:rsid w:val="00D53C0D"/>
    <w:rsid w:val="00D53E41"/>
    <w:rsid w:val="00D53EDC"/>
    <w:rsid w:val="00D57DF6"/>
    <w:rsid w:val="00D60DC7"/>
    <w:rsid w:val="00D63368"/>
    <w:rsid w:val="00D63B11"/>
    <w:rsid w:val="00D6424B"/>
    <w:rsid w:val="00D66DEF"/>
    <w:rsid w:val="00D67D8E"/>
    <w:rsid w:val="00D7157A"/>
    <w:rsid w:val="00D72725"/>
    <w:rsid w:val="00D729A4"/>
    <w:rsid w:val="00D72C1E"/>
    <w:rsid w:val="00D7457C"/>
    <w:rsid w:val="00D74EF2"/>
    <w:rsid w:val="00D778FB"/>
    <w:rsid w:val="00D77E41"/>
    <w:rsid w:val="00D80F31"/>
    <w:rsid w:val="00D8261E"/>
    <w:rsid w:val="00D82E75"/>
    <w:rsid w:val="00D8371D"/>
    <w:rsid w:val="00D83C06"/>
    <w:rsid w:val="00D83FEA"/>
    <w:rsid w:val="00D84529"/>
    <w:rsid w:val="00D845D9"/>
    <w:rsid w:val="00D86AE6"/>
    <w:rsid w:val="00D8741B"/>
    <w:rsid w:val="00D87655"/>
    <w:rsid w:val="00D87F33"/>
    <w:rsid w:val="00D911E3"/>
    <w:rsid w:val="00D9147E"/>
    <w:rsid w:val="00D915D5"/>
    <w:rsid w:val="00D92222"/>
    <w:rsid w:val="00D96C4E"/>
    <w:rsid w:val="00D97588"/>
    <w:rsid w:val="00DA02DE"/>
    <w:rsid w:val="00DB1190"/>
    <w:rsid w:val="00DB49FF"/>
    <w:rsid w:val="00DB6F91"/>
    <w:rsid w:val="00DB6F97"/>
    <w:rsid w:val="00DC05FA"/>
    <w:rsid w:val="00DC19BF"/>
    <w:rsid w:val="00DC228E"/>
    <w:rsid w:val="00DC303C"/>
    <w:rsid w:val="00DC3E55"/>
    <w:rsid w:val="00DC5E92"/>
    <w:rsid w:val="00DC7B48"/>
    <w:rsid w:val="00DD287E"/>
    <w:rsid w:val="00DD3A24"/>
    <w:rsid w:val="00DD5163"/>
    <w:rsid w:val="00DD7654"/>
    <w:rsid w:val="00DD7F6F"/>
    <w:rsid w:val="00DE18DA"/>
    <w:rsid w:val="00DE423D"/>
    <w:rsid w:val="00DE6A58"/>
    <w:rsid w:val="00DE751D"/>
    <w:rsid w:val="00DF1C07"/>
    <w:rsid w:val="00DF3424"/>
    <w:rsid w:val="00DF5284"/>
    <w:rsid w:val="00DF5CC8"/>
    <w:rsid w:val="00E022DF"/>
    <w:rsid w:val="00E032F0"/>
    <w:rsid w:val="00E0356D"/>
    <w:rsid w:val="00E039EB"/>
    <w:rsid w:val="00E03A6F"/>
    <w:rsid w:val="00E05D7A"/>
    <w:rsid w:val="00E0613C"/>
    <w:rsid w:val="00E06CEA"/>
    <w:rsid w:val="00E11C09"/>
    <w:rsid w:val="00E12977"/>
    <w:rsid w:val="00E15F04"/>
    <w:rsid w:val="00E236FC"/>
    <w:rsid w:val="00E2381A"/>
    <w:rsid w:val="00E24AF2"/>
    <w:rsid w:val="00E256C5"/>
    <w:rsid w:val="00E3048C"/>
    <w:rsid w:val="00E31B97"/>
    <w:rsid w:val="00E34EBB"/>
    <w:rsid w:val="00E41996"/>
    <w:rsid w:val="00E425F1"/>
    <w:rsid w:val="00E43333"/>
    <w:rsid w:val="00E436B4"/>
    <w:rsid w:val="00E44E20"/>
    <w:rsid w:val="00E45857"/>
    <w:rsid w:val="00E45D9D"/>
    <w:rsid w:val="00E46033"/>
    <w:rsid w:val="00E51098"/>
    <w:rsid w:val="00E516A2"/>
    <w:rsid w:val="00E51A33"/>
    <w:rsid w:val="00E51CDA"/>
    <w:rsid w:val="00E52C5A"/>
    <w:rsid w:val="00E550B1"/>
    <w:rsid w:val="00E5531A"/>
    <w:rsid w:val="00E55F58"/>
    <w:rsid w:val="00E57269"/>
    <w:rsid w:val="00E6068D"/>
    <w:rsid w:val="00E607E6"/>
    <w:rsid w:val="00E6365A"/>
    <w:rsid w:val="00E65007"/>
    <w:rsid w:val="00E702B8"/>
    <w:rsid w:val="00E70301"/>
    <w:rsid w:val="00E70B43"/>
    <w:rsid w:val="00E72824"/>
    <w:rsid w:val="00E73CE2"/>
    <w:rsid w:val="00E73DBB"/>
    <w:rsid w:val="00E74688"/>
    <w:rsid w:val="00E804A4"/>
    <w:rsid w:val="00E82C7B"/>
    <w:rsid w:val="00E866E6"/>
    <w:rsid w:val="00E92FBE"/>
    <w:rsid w:val="00E92FC4"/>
    <w:rsid w:val="00E93A84"/>
    <w:rsid w:val="00E94D2B"/>
    <w:rsid w:val="00E96918"/>
    <w:rsid w:val="00E96EE8"/>
    <w:rsid w:val="00E97BDE"/>
    <w:rsid w:val="00EA070B"/>
    <w:rsid w:val="00EA0CE8"/>
    <w:rsid w:val="00EA0EBB"/>
    <w:rsid w:val="00EA1CA0"/>
    <w:rsid w:val="00EA2205"/>
    <w:rsid w:val="00EA22DB"/>
    <w:rsid w:val="00EA334D"/>
    <w:rsid w:val="00EA3E84"/>
    <w:rsid w:val="00EA4867"/>
    <w:rsid w:val="00EA4B84"/>
    <w:rsid w:val="00EA50AE"/>
    <w:rsid w:val="00EA5AC0"/>
    <w:rsid w:val="00EA5EB3"/>
    <w:rsid w:val="00EA6802"/>
    <w:rsid w:val="00EA6DDB"/>
    <w:rsid w:val="00EB0312"/>
    <w:rsid w:val="00EB235E"/>
    <w:rsid w:val="00EB2C75"/>
    <w:rsid w:val="00EB358A"/>
    <w:rsid w:val="00EB3C59"/>
    <w:rsid w:val="00EB3DCB"/>
    <w:rsid w:val="00EB3EBC"/>
    <w:rsid w:val="00EC0EAF"/>
    <w:rsid w:val="00EC25DE"/>
    <w:rsid w:val="00EC2939"/>
    <w:rsid w:val="00EC48C4"/>
    <w:rsid w:val="00EC7277"/>
    <w:rsid w:val="00ED1A49"/>
    <w:rsid w:val="00ED4699"/>
    <w:rsid w:val="00ED4BBF"/>
    <w:rsid w:val="00ED4E28"/>
    <w:rsid w:val="00ED5FF1"/>
    <w:rsid w:val="00ED71C8"/>
    <w:rsid w:val="00ED751E"/>
    <w:rsid w:val="00EE1683"/>
    <w:rsid w:val="00EE26EA"/>
    <w:rsid w:val="00EE42DE"/>
    <w:rsid w:val="00EE5218"/>
    <w:rsid w:val="00EE5A67"/>
    <w:rsid w:val="00EE6286"/>
    <w:rsid w:val="00EE7B0E"/>
    <w:rsid w:val="00EF135D"/>
    <w:rsid w:val="00EF1492"/>
    <w:rsid w:val="00EF1E42"/>
    <w:rsid w:val="00EF2AD0"/>
    <w:rsid w:val="00EF4524"/>
    <w:rsid w:val="00EF4ABA"/>
    <w:rsid w:val="00EF5CFF"/>
    <w:rsid w:val="00EF6978"/>
    <w:rsid w:val="00F005A6"/>
    <w:rsid w:val="00F014CA"/>
    <w:rsid w:val="00F06262"/>
    <w:rsid w:val="00F064AE"/>
    <w:rsid w:val="00F06E63"/>
    <w:rsid w:val="00F1070F"/>
    <w:rsid w:val="00F12B15"/>
    <w:rsid w:val="00F12DE6"/>
    <w:rsid w:val="00F13197"/>
    <w:rsid w:val="00F136EE"/>
    <w:rsid w:val="00F1581D"/>
    <w:rsid w:val="00F16A15"/>
    <w:rsid w:val="00F207A5"/>
    <w:rsid w:val="00F22446"/>
    <w:rsid w:val="00F2490A"/>
    <w:rsid w:val="00F2562E"/>
    <w:rsid w:val="00F25E12"/>
    <w:rsid w:val="00F27DAD"/>
    <w:rsid w:val="00F31E76"/>
    <w:rsid w:val="00F32324"/>
    <w:rsid w:val="00F32531"/>
    <w:rsid w:val="00F32DD4"/>
    <w:rsid w:val="00F336C7"/>
    <w:rsid w:val="00F35BA9"/>
    <w:rsid w:val="00F360C7"/>
    <w:rsid w:val="00F37CB9"/>
    <w:rsid w:val="00F402A9"/>
    <w:rsid w:val="00F42717"/>
    <w:rsid w:val="00F43129"/>
    <w:rsid w:val="00F45150"/>
    <w:rsid w:val="00F470AA"/>
    <w:rsid w:val="00F50103"/>
    <w:rsid w:val="00F507DC"/>
    <w:rsid w:val="00F51234"/>
    <w:rsid w:val="00F519EC"/>
    <w:rsid w:val="00F54426"/>
    <w:rsid w:val="00F5693C"/>
    <w:rsid w:val="00F60904"/>
    <w:rsid w:val="00F61435"/>
    <w:rsid w:val="00F61436"/>
    <w:rsid w:val="00F62C74"/>
    <w:rsid w:val="00F63442"/>
    <w:rsid w:val="00F63B44"/>
    <w:rsid w:val="00F71E84"/>
    <w:rsid w:val="00F72B35"/>
    <w:rsid w:val="00F73186"/>
    <w:rsid w:val="00F75933"/>
    <w:rsid w:val="00F77EF4"/>
    <w:rsid w:val="00F81A94"/>
    <w:rsid w:val="00F82716"/>
    <w:rsid w:val="00F827E9"/>
    <w:rsid w:val="00F8318C"/>
    <w:rsid w:val="00F84BF6"/>
    <w:rsid w:val="00F84E64"/>
    <w:rsid w:val="00F87924"/>
    <w:rsid w:val="00F92476"/>
    <w:rsid w:val="00F92BB5"/>
    <w:rsid w:val="00F93E04"/>
    <w:rsid w:val="00F95FFC"/>
    <w:rsid w:val="00F97C7E"/>
    <w:rsid w:val="00F97EAC"/>
    <w:rsid w:val="00FA0B23"/>
    <w:rsid w:val="00FB03BE"/>
    <w:rsid w:val="00FB1188"/>
    <w:rsid w:val="00FB1224"/>
    <w:rsid w:val="00FB1575"/>
    <w:rsid w:val="00FB1E2C"/>
    <w:rsid w:val="00FB400D"/>
    <w:rsid w:val="00FB4B7B"/>
    <w:rsid w:val="00FB73D8"/>
    <w:rsid w:val="00FC27DF"/>
    <w:rsid w:val="00FC3208"/>
    <w:rsid w:val="00FC58B6"/>
    <w:rsid w:val="00FD1240"/>
    <w:rsid w:val="00FD15F4"/>
    <w:rsid w:val="00FD250D"/>
    <w:rsid w:val="00FD3342"/>
    <w:rsid w:val="00FD41F3"/>
    <w:rsid w:val="00FD7FE3"/>
    <w:rsid w:val="00FE0405"/>
    <w:rsid w:val="00FE05FB"/>
    <w:rsid w:val="00FE0C38"/>
    <w:rsid w:val="00FE24D5"/>
    <w:rsid w:val="00FE4960"/>
    <w:rsid w:val="00FE4D8F"/>
    <w:rsid w:val="00FE7648"/>
    <w:rsid w:val="00FE7815"/>
    <w:rsid w:val="00FF02A5"/>
    <w:rsid w:val="00FF037A"/>
    <w:rsid w:val="00FF473B"/>
    <w:rsid w:val="00FF6FED"/>
    <w:rsid w:val="00FF71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CB944"/>
  <w15:chartTrackingRefBased/>
  <w15:docId w15:val="{484BC25E-7058-4062-9D7E-5CB70AEA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AD5A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0845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
    <w:basedOn w:val="a"/>
    <w:link w:val="a4"/>
    <w:uiPriority w:val="99"/>
    <w:rsid w:val="000803B1"/>
    <w:pPr>
      <w:bidi w:val="0"/>
      <w:spacing w:after="0" w:line="480" w:lineRule="auto"/>
    </w:pPr>
    <w:rPr>
      <w:rFonts w:ascii="Times New Roman" w:eastAsia="Times New Roman" w:hAnsi="Times New Roman" w:cs="Times New Roman"/>
      <w:sz w:val="20"/>
      <w:szCs w:val="20"/>
      <w:lang w:bidi="ar-SA"/>
    </w:rPr>
  </w:style>
  <w:style w:type="character" w:customStyle="1" w:styleId="a4">
    <w:name w:val="טקסט הערת שוליים תו"/>
    <w:aliases w:val=" Char תו"/>
    <w:basedOn w:val="a0"/>
    <w:link w:val="a3"/>
    <w:uiPriority w:val="99"/>
    <w:rsid w:val="000803B1"/>
    <w:rPr>
      <w:rFonts w:ascii="Times New Roman" w:eastAsia="Times New Roman" w:hAnsi="Times New Roman" w:cs="Times New Roman"/>
      <w:sz w:val="20"/>
      <w:szCs w:val="20"/>
      <w:lang w:bidi="ar-SA"/>
    </w:rPr>
  </w:style>
  <w:style w:type="character" w:styleId="a5">
    <w:name w:val="footnote reference"/>
    <w:uiPriority w:val="99"/>
    <w:rsid w:val="000803B1"/>
    <w:rPr>
      <w:vertAlign w:val="superscript"/>
    </w:rPr>
  </w:style>
  <w:style w:type="paragraph" w:customStyle="1" w:styleId="Default">
    <w:name w:val="Default"/>
    <w:rsid w:val="000803B1"/>
    <w:pPr>
      <w:autoSpaceDE w:val="0"/>
      <w:autoSpaceDN w:val="0"/>
      <w:adjustRightInd w:val="0"/>
      <w:spacing w:after="0" w:line="240" w:lineRule="auto"/>
    </w:pPr>
    <w:rPr>
      <w:rFonts w:ascii="GANRW S+ Times" w:hAnsi="GANRW S+ Times" w:cs="GANRW S+ Times"/>
      <w:color w:val="000000"/>
      <w:sz w:val="24"/>
      <w:szCs w:val="24"/>
    </w:rPr>
  </w:style>
  <w:style w:type="paragraph" w:styleId="a6">
    <w:name w:val="List Paragraph"/>
    <w:basedOn w:val="a"/>
    <w:uiPriority w:val="34"/>
    <w:qFormat/>
    <w:rsid w:val="00104521"/>
    <w:pPr>
      <w:ind w:left="720"/>
      <w:contextualSpacing/>
    </w:pPr>
  </w:style>
  <w:style w:type="paragraph" w:customStyle="1" w:styleId="PC">
    <w:name w:val="PC"/>
    <w:basedOn w:val="a"/>
    <w:next w:val="PS"/>
    <w:rsid w:val="00854EB8"/>
    <w:pPr>
      <w:bidi w:val="0"/>
      <w:spacing w:after="0" w:line="240" w:lineRule="auto"/>
    </w:pPr>
    <w:rPr>
      <w:rFonts w:ascii="Times New Roman" w:eastAsia="Times New Roman" w:hAnsi="Times New Roman" w:cs="Times New Roman"/>
      <w:sz w:val="24"/>
      <w:szCs w:val="20"/>
      <w:lang w:bidi="ar-SA"/>
    </w:rPr>
  </w:style>
  <w:style w:type="paragraph" w:customStyle="1" w:styleId="PS">
    <w:name w:val="PS"/>
    <w:basedOn w:val="a"/>
    <w:rsid w:val="00854EB8"/>
    <w:pPr>
      <w:bidi w:val="0"/>
      <w:spacing w:after="0" w:line="240" w:lineRule="auto"/>
      <w:ind w:firstLine="432"/>
    </w:pPr>
    <w:rPr>
      <w:rFonts w:ascii="Times New Roman" w:eastAsia="Times New Roman" w:hAnsi="Times New Roman" w:cs="Times New Roman"/>
      <w:sz w:val="24"/>
      <w:szCs w:val="20"/>
      <w:lang w:bidi="ar-SA"/>
    </w:rPr>
  </w:style>
  <w:style w:type="paragraph" w:customStyle="1" w:styleId="IQ">
    <w:name w:val="IQ"/>
    <w:basedOn w:val="a"/>
    <w:rsid w:val="00854EB8"/>
    <w:pPr>
      <w:bidi w:val="0"/>
      <w:spacing w:before="120" w:after="120" w:line="240" w:lineRule="auto"/>
      <w:ind w:left="864" w:right="432"/>
    </w:pPr>
    <w:rPr>
      <w:rFonts w:ascii="Times New Roman" w:eastAsia="Times New Roman" w:hAnsi="Times New Roman" w:cs="Times New Roman"/>
      <w:sz w:val="24"/>
      <w:szCs w:val="20"/>
      <w:lang w:bidi="ar-SA"/>
    </w:rPr>
  </w:style>
  <w:style w:type="paragraph" w:customStyle="1" w:styleId="FH">
    <w:name w:val="FH"/>
    <w:basedOn w:val="1"/>
    <w:next w:val="PC"/>
    <w:rsid w:val="00AD5AD5"/>
    <w:pPr>
      <w:bidi w:val="0"/>
      <w:spacing w:after="60" w:line="240" w:lineRule="auto"/>
    </w:pPr>
    <w:rPr>
      <w:rFonts w:ascii="Arial" w:eastAsia="Times New Roman" w:hAnsi="Arial" w:cs="Times New Roman"/>
      <w:b/>
      <w:color w:val="auto"/>
      <w:kern w:val="28"/>
      <w:sz w:val="28"/>
      <w:szCs w:val="20"/>
      <w:lang w:bidi="ar-SA"/>
    </w:rPr>
  </w:style>
  <w:style w:type="paragraph" w:styleId="a7">
    <w:name w:val="endnote text"/>
    <w:basedOn w:val="a"/>
    <w:link w:val="a8"/>
    <w:rsid w:val="00AD5AD5"/>
    <w:pPr>
      <w:bidi w:val="0"/>
      <w:spacing w:after="0" w:line="240" w:lineRule="auto"/>
      <w:ind w:left="432" w:hanging="432"/>
    </w:pPr>
    <w:rPr>
      <w:rFonts w:ascii="Times New Roman" w:eastAsia="Times New Roman" w:hAnsi="Times New Roman" w:cs="Times New Roman"/>
      <w:sz w:val="20"/>
      <w:szCs w:val="20"/>
      <w:lang w:bidi="ar-SA"/>
    </w:rPr>
  </w:style>
  <w:style w:type="character" w:customStyle="1" w:styleId="a8">
    <w:name w:val="טקסט הערת סיום תו"/>
    <w:basedOn w:val="a0"/>
    <w:link w:val="a7"/>
    <w:rsid w:val="00AD5AD5"/>
    <w:rPr>
      <w:rFonts w:ascii="Times New Roman" w:eastAsia="Times New Roman" w:hAnsi="Times New Roman" w:cs="Times New Roman"/>
      <w:sz w:val="20"/>
      <w:szCs w:val="20"/>
      <w:lang w:bidi="ar-SA"/>
    </w:rPr>
  </w:style>
  <w:style w:type="character" w:styleId="a9">
    <w:name w:val="endnote reference"/>
    <w:basedOn w:val="a0"/>
    <w:unhideWhenUsed/>
    <w:rsid w:val="00AD5AD5"/>
  </w:style>
  <w:style w:type="character" w:customStyle="1" w:styleId="10">
    <w:name w:val="כותרת 1 תו"/>
    <w:basedOn w:val="a0"/>
    <w:link w:val="1"/>
    <w:uiPriority w:val="9"/>
    <w:rsid w:val="00AD5AD5"/>
    <w:rPr>
      <w:rFonts w:asciiTheme="majorHAnsi" w:eastAsiaTheme="majorEastAsia" w:hAnsiTheme="majorHAnsi" w:cstheme="majorBidi"/>
      <w:color w:val="2F5496" w:themeColor="accent1" w:themeShade="BF"/>
      <w:sz w:val="32"/>
      <w:szCs w:val="32"/>
    </w:rPr>
  </w:style>
  <w:style w:type="paragraph" w:customStyle="1" w:styleId="segmenttext">
    <w:name w:val="segmenttext"/>
    <w:basedOn w:val="a"/>
    <w:rsid w:val="0052250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
    <w:name w:val="en"/>
    <w:basedOn w:val="a0"/>
    <w:rsid w:val="00522501"/>
  </w:style>
  <w:style w:type="character" w:customStyle="1" w:styleId="he">
    <w:name w:val="he"/>
    <w:basedOn w:val="a0"/>
    <w:rsid w:val="00522501"/>
  </w:style>
  <w:style w:type="paragraph" w:styleId="NormalWeb">
    <w:name w:val="Normal (Web)"/>
    <w:basedOn w:val="a"/>
    <w:uiPriority w:val="99"/>
    <w:unhideWhenUsed/>
    <w:rsid w:val="00AA4B3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a"/>
    <w:link w:val="ab"/>
    <w:qFormat/>
    <w:rsid w:val="009375E5"/>
    <w:pPr>
      <w:overflowPunct w:val="0"/>
      <w:autoSpaceDE w:val="0"/>
      <w:autoSpaceDN w:val="0"/>
      <w:adjustRightInd w:val="0"/>
      <w:spacing w:after="0" w:line="480" w:lineRule="auto"/>
      <w:jc w:val="center"/>
      <w:textAlignment w:val="baseline"/>
    </w:pPr>
    <w:rPr>
      <w:rFonts w:ascii="FrankRuehl" w:eastAsia="Times New Roman" w:hAnsi="FrankRuehl" w:cs="FrankRuehl"/>
      <w:b/>
      <w:bCs/>
      <w:sz w:val="28"/>
      <w:szCs w:val="28"/>
    </w:rPr>
  </w:style>
  <w:style w:type="character" w:customStyle="1" w:styleId="ab">
    <w:name w:val="כותרת טקסט תו"/>
    <w:basedOn w:val="a0"/>
    <w:link w:val="aa"/>
    <w:rsid w:val="009375E5"/>
    <w:rPr>
      <w:rFonts w:ascii="FrankRuehl" w:eastAsia="Times New Roman" w:hAnsi="FrankRuehl" w:cs="FrankRuehl"/>
      <w:b/>
      <w:bCs/>
      <w:sz w:val="28"/>
      <w:szCs w:val="28"/>
    </w:rPr>
  </w:style>
  <w:style w:type="character" w:styleId="ac">
    <w:name w:val="Emphasis"/>
    <w:basedOn w:val="a0"/>
    <w:uiPriority w:val="20"/>
    <w:qFormat/>
    <w:rsid w:val="007F69B2"/>
    <w:rPr>
      <w:i/>
      <w:iCs/>
    </w:rPr>
  </w:style>
  <w:style w:type="character" w:customStyle="1" w:styleId="30">
    <w:name w:val="כותרת 3 תו"/>
    <w:basedOn w:val="a0"/>
    <w:link w:val="3"/>
    <w:uiPriority w:val="9"/>
    <w:rsid w:val="00084509"/>
    <w:rPr>
      <w:rFonts w:asciiTheme="majorHAnsi" w:eastAsiaTheme="majorEastAsia" w:hAnsiTheme="majorHAnsi" w:cstheme="majorBidi"/>
      <w:color w:val="1F3763" w:themeColor="accent1" w:themeShade="7F"/>
      <w:sz w:val="24"/>
      <w:szCs w:val="24"/>
    </w:rPr>
  </w:style>
  <w:style w:type="paragraph" w:styleId="ad">
    <w:name w:val="header"/>
    <w:basedOn w:val="a"/>
    <w:link w:val="ae"/>
    <w:uiPriority w:val="99"/>
    <w:unhideWhenUsed/>
    <w:rsid w:val="00963FCE"/>
    <w:pPr>
      <w:tabs>
        <w:tab w:val="center" w:pos="4153"/>
        <w:tab w:val="right" w:pos="8306"/>
      </w:tabs>
      <w:spacing w:after="0" w:line="240" w:lineRule="auto"/>
    </w:pPr>
  </w:style>
  <w:style w:type="character" w:customStyle="1" w:styleId="ae">
    <w:name w:val="כותרת עליונה תו"/>
    <w:basedOn w:val="a0"/>
    <w:link w:val="ad"/>
    <w:uiPriority w:val="99"/>
    <w:rsid w:val="00963FCE"/>
  </w:style>
  <w:style w:type="paragraph" w:styleId="af">
    <w:name w:val="footer"/>
    <w:basedOn w:val="a"/>
    <w:link w:val="af0"/>
    <w:uiPriority w:val="99"/>
    <w:unhideWhenUsed/>
    <w:rsid w:val="00963FCE"/>
    <w:pPr>
      <w:tabs>
        <w:tab w:val="center" w:pos="4153"/>
        <w:tab w:val="right" w:pos="8306"/>
      </w:tabs>
      <w:spacing w:after="0" w:line="240" w:lineRule="auto"/>
    </w:pPr>
  </w:style>
  <w:style w:type="character" w:customStyle="1" w:styleId="af0">
    <w:name w:val="כותרת תחתונה תו"/>
    <w:basedOn w:val="a0"/>
    <w:link w:val="af"/>
    <w:uiPriority w:val="99"/>
    <w:rsid w:val="00963FCE"/>
  </w:style>
  <w:style w:type="character" w:customStyle="1" w:styleId="table-of-contentsinvisible1zhxr">
    <w:name w:val="table-of-contents__invisible___1zhxr"/>
    <w:basedOn w:val="a0"/>
    <w:rsid w:val="001276E4"/>
  </w:style>
  <w:style w:type="character" w:customStyle="1" w:styleId="table-of-contentstitletext3qey-">
    <w:name w:val="table-of-contents__titletext___3qey-"/>
    <w:basedOn w:val="a0"/>
    <w:rsid w:val="001276E4"/>
  </w:style>
  <w:style w:type="character" w:styleId="af1">
    <w:name w:val="Strong"/>
    <w:basedOn w:val="a0"/>
    <w:uiPriority w:val="22"/>
    <w:qFormat/>
    <w:rsid w:val="001A1E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646986">
      <w:bodyDiv w:val="1"/>
      <w:marLeft w:val="0"/>
      <w:marRight w:val="0"/>
      <w:marTop w:val="0"/>
      <w:marBottom w:val="0"/>
      <w:divBdr>
        <w:top w:val="none" w:sz="0" w:space="0" w:color="auto"/>
        <w:left w:val="none" w:sz="0" w:space="0" w:color="auto"/>
        <w:bottom w:val="none" w:sz="0" w:space="0" w:color="auto"/>
        <w:right w:val="none" w:sz="0" w:space="0" w:color="auto"/>
      </w:divBdr>
    </w:div>
    <w:div w:id="633214693">
      <w:bodyDiv w:val="1"/>
      <w:marLeft w:val="0"/>
      <w:marRight w:val="0"/>
      <w:marTop w:val="0"/>
      <w:marBottom w:val="0"/>
      <w:divBdr>
        <w:top w:val="none" w:sz="0" w:space="0" w:color="auto"/>
        <w:left w:val="none" w:sz="0" w:space="0" w:color="auto"/>
        <w:bottom w:val="none" w:sz="0" w:space="0" w:color="auto"/>
        <w:right w:val="none" w:sz="0" w:space="0" w:color="auto"/>
      </w:divBdr>
    </w:div>
    <w:div w:id="1203709453">
      <w:bodyDiv w:val="1"/>
      <w:marLeft w:val="0"/>
      <w:marRight w:val="0"/>
      <w:marTop w:val="0"/>
      <w:marBottom w:val="0"/>
      <w:divBdr>
        <w:top w:val="none" w:sz="0" w:space="0" w:color="auto"/>
        <w:left w:val="none" w:sz="0" w:space="0" w:color="auto"/>
        <w:bottom w:val="none" w:sz="0" w:space="0" w:color="auto"/>
        <w:right w:val="none" w:sz="0" w:space="0" w:color="auto"/>
      </w:divBdr>
    </w:div>
    <w:div w:id="1352874247">
      <w:bodyDiv w:val="1"/>
      <w:marLeft w:val="0"/>
      <w:marRight w:val="0"/>
      <w:marTop w:val="0"/>
      <w:marBottom w:val="0"/>
      <w:divBdr>
        <w:top w:val="none" w:sz="0" w:space="0" w:color="auto"/>
        <w:left w:val="none" w:sz="0" w:space="0" w:color="auto"/>
        <w:bottom w:val="none" w:sz="0" w:space="0" w:color="auto"/>
        <w:right w:val="none" w:sz="0" w:space="0" w:color="auto"/>
      </w:divBdr>
    </w:div>
    <w:div w:id="2127773819">
      <w:bodyDiv w:val="1"/>
      <w:marLeft w:val="0"/>
      <w:marRight w:val="0"/>
      <w:marTop w:val="0"/>
      <w:marBottom w:val="0"/>
      <w:divBdr>
        <w:top w:val="none" w:sz="0" w:space="0" w:color="auto"/>
        <w:left w:val="none" w:sz="0" w:space="0" w:color="auto"/>
        <w:bottom w:val="none" w:sz="0" w:space="0" w:color="auto"/>
        <w:right w:val="none" w:sz="0" w:space="0" w:color="auto"/>
      </w:divBdr>
      <w:divsChild>
        <w:div w:id="1832990498">
          <w:marLeft w:val="0"/>
          <w:marRight w:val="0"/>
          <w:marTop w:val="0"/>
          <w:marBottom w:val="0"/>
          <w:divBdr>
            <w:top w:val="none" w:sz="0" w:space="0" w:color="auto"/>
            <w:left w:val="none" w:sz="0" w:space="0" w:color="auto"/>
            <w:bottom w:val="none" w:sz="0" w:space="0" w:color="auto"/>
            <w:right w:val="none" w:sz="0" w:space="0" w:color="auto"/>
          </w:divBdr>
        </w:div>
        <w:div w:id="908812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hebrew/6213.htm" TargetMode="External"/><Relationship Id="rId13" Type="http://schemas.openxmlformats.org/officeDocument/2006/relationships/hyperlink" Target="https://biblehub.com/hebrew/99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hub.com/hebrew/8145.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hebrew/1242.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iblehub.com/hebrew/3532.htm" TargetMode="External"/><Relationship Id="rId4" Type="http://schemas.openxmlformats.org/officeDocument/2006/relationships/settings" Target="settings.xml"/><Relationship Id="rId9" Type="http://schemas.openxmlformats.org/officeDocument/2006/relationships/hyperlink" Target="https://biblehub.com/hebrew/259.htm" TargetMode="External"/><Relationship Id="rId14" Type="http://schemas.openxmlformats.org/officeDocument/2006/relationships/hyperlink" Target="https://biblehub.com/hebrew/6153.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7387C-A9AC-4322-A7F2-A8EC7AD1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50788</TotalTime>
  <Pages>42</Pages>
  <Words>9710</Words>
  <Characters>47580</Characters>
  <Application>Microsoft Office Word</Application>
  <DocSecurity>0</DocSecurity>
  <Lines>793</Lines>
  <Paragraphs>148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Sagit Mor</dc:creator>
  <cp:keywords/>
  <dc:description/>
  <cp:lastModifiedBy>Sagit Mor</cp:lastModifiedBy>
  <cp:revision>1425</cp:revision>
  <dcterms:created xsi:type="dcterms:W3CDTF">2021-10-08T07:49:00Z</dcterms:created>
  <dcterms:modified xsi:type="dcterms:W3CDTF">2021-12-16T08:08:00Z</dcterms:modified>
</cp:coreProperties>
</file>