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E520" w14:textId="39F4C920" w:rsidR="001F3C5F" w:rsidRPr="006D79E4" w:rsidRDefault="00D303B8" w:rsidP="002D23B8">
      <w:pPr>
        <w:bidi w:val="0"/>
        <w:spacing w:after="160" w:line="259" w:lineRule="auto"/>
        <w:jc w:val="center"/>
        <w:rPr>
          <w:rFonts w:asciiTheme="majorBidi" w:hAnsiTheme="majorBidi" w:cstheme="majorBidi"/>
          <w:b/>
          <w:bCs/>
          <w:sz w:val="32"/>
          <w:szCs w:val="32"/>
          <w:u w:val="single"/>
          <w:rtl/>
        </w:rPr>
      </w:pPr>
      <w:r w:rsidRPr="006D79E4">
        <w:rPr>
          <w:rFonts w:asciiTheme="majorBidi" w:hAnsiTheme="majorBidi" w:cstheme="majorBidi"/>
          <w:b/>
          <w:bCs/>
          <w:sz w:val="32"/>
          <w:szCs w:val="32"/>
          <w:u w:val="single"/>
        </w:rPr>
        <w:t>Thyroglobulin is a poor predictor of differentiated thyroid cancer in patients operated for thyroid nodular diseases</w:t>
      </w:r>
    </w:p>
    <w:p w14:paraId="73B363E4" w14:textId="77777777" w:rsidR="007C45F0" w:rsidRPr="00F00BC5" w:rsidRDefault="007C45F0" w:rsidP="007C45F0">
      <w:pPr>
        <w:bidi w:val="0"/>
        <w:spacing w:line="360" w:lineRule="auto"/>
        <w:jc w:val="center"/>
        <w:rPr>
          <w:rFonts w:asciiTheme="majorBidi" w:eastAsia="Times New Roman" w:hAnsiTheme="majorBidi" w:cstheme="majorBidi"/>
          <w:b/>
          <w:bCs/>
          <w:sz w:val="24"/>
          <w:szCs w:val="24"/>
          <w:u w:val="single"/>
        </w:rPr>
      </w:pPr>
    </w:p>
    <w:p w14:paraId="4E9D6A41" w14:textId="6D691765" w:rsidR="008949D5" w:rsidRPr="00F00BC5" w:rsidRDefault="007C45F0" w:rsidP="007C45F0">
      <w:pPr>
        <w:bidi w:val="0"/>
        <w:spacing w:line="360" w:lineRule="auto"/>
        <w:jc w:val="center"/>
        <w:rPr>
          <w:rFonts w:asciiTheme="majorBidi" w:eastAsia="Times New Roman" w:hAnsiTheme="majorBidi" w:cstheme="majorBidi"/>
          <w:b/>
          <w:bCs/>
          <w:sz w:val="28"/>
          <w:szCs w:val="28"/>
          <w:u w:val="single"/>
        </w:rPr>
      </w:pPr>
      <w:r w:rsidRPr="00F00BC5">
        <w:rPr>
          <w:rFonts w:asciiTheme="majorBidi" w:eastAsia="Times New Roman" w:hAnsiTheme="majorBidi" w:cstheme="majorBidi"/>
          <w:b/>
          <w:bCs/>
          <w:sz w:val="28"/>
          <w:szCs w:val="28"/>
          <w:u w:val="single"/>
        </w:rPr>
        <w:t>Thyroglobulin for DTC prediction</w:t>
      </w:r>
    </w:p>
    <w:p w14:paraId="6DCDEEC4" w14:textId="4B382489" w:rsidR="004E4BC4" w:rsidRPr="00F00BC5" w:rsidRDefault="004E4BC4"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Shoham Rigbi</w:t>
      </w:r>
      <w:r w:rsidR="003C6A43" w:rsidRPr="00F00BC5">
        <w:rPr>
          <w:rFonts w:asciiTheme="majorBidi" w:eastAsia="Times New Roman" w:hAnsiTheme="majorBidi" w:cstheme="majorBidi"/>
          <w:sz w:val="24"/>
          <w:szCs w:val="24"/>
          <w:vertAlign w:val="superscript"/>
        </w:rPr>
        <w:t>1</w:t>
      </w:r>
      <w:r w:rsidR="007D1BB2">
        <w:rPr>
          <w:rFonts w:asciiTheme="majorBidi" w:eastAsia="Times New Roman" w:hAnsiTheme="majorBidi" w:cstheme="majorBidi"/>
          <w:sz w:val="24"/>
          <w:szCs w:val="24"/>
          <w:vertAlign w:val="superscript"/>
        </w:rPr>
        <w:t>*</w:t>
      </w:r>
      <w:r w:rsidR="004E3012" w:rsidRPr="00F00BC5">
        <w:rPr>
          <w:rFonts w:asciiTheme="majorBidi" w:eastAsia="Times New Roman" w:hAnsiTheme="majorBidi" w:cstheme="majorBidi"/>
          <w:sz w:val="24"/>
          <w:szCs w:val="24"/>
        </w:rPr>
        <w:t xml:space="preserve">, Ben- </w:t>
      </w:r>
      <w:r w:rsidR="003C6A43" w:rsidRPr="00F00BC5">
        <w:rPr>
          <w:rFonts w:asciiTheme="majorBidi" w:eastAsia="Times New Roman" w:hAnsiTheme="majorBidi" w:cstheme="majorBidi"/>
          <w:sz w:val="24"/>
          <w:szCs w:val="24"/>
        </w:rPr>
        <w:t>Zion</w:t>
      </w:r>
      <w:r w:rsidR="00A3664A">
        <w:rPr>
          <w:rFonts w:asciiTheme="majorBidi" w:eastAsia="Times New Roman" w:hAnsiTheme="majorBidi" w:cstheme="majorBidi"/>
          <w:sz w:val="24"/>
          <w:szCs w:val="24"/>
        </w:rPr>
        <w:t xml:space="preserve"> </w:t>
      </w:r>
      <w:r w:rsidR="00A3664A" w:rsidRPr="00F00BC5">
        <w:rPr>
          <w:rFonts w:asciiTheme="majorBidi" w:eastAsia="Times New Roman" w:hAnsiTheme="majorBidi" w:cstheme="majorBidi"/>
          <w:sz w:val="24"/>
          <w:szCs w:val="24"/>
        </w:rPr>
        <w:t>Joshua</w:t>
      </w:r>
      <w:r w:rsidR="00A3664A" w:rsidRPr="00F00BC5">
        <w:rPr>
          <w:rFonts w:asciiTheme="majorBidi" w:eastAsia="Times New Roman" w:hAnsiTheme="majorBidi" w:cstheme="majorBidi"/>
          <w:sz w:val="24"/>
          <w:szCs w:val="24"/>
          <w:vertAlign w:val="superscript"/>
        </w:rPr>
        <w:t xml:space="preserve"> </w:t>
      </w:r>
      <w:r w:rsidR="003C6A43" w:rsidRPr="00F00BC5">
        <w:rPr>
          <w:rFonts w:asciiTheme="majorBidi" w:eastAsia="Times New Roman" w:hAnsiTheme="majorBidi" w:cstheme="majorBidi"/>
          <w:sz w:val="24"/>
          <w:szCs w:val="24"/>
          <w:vertAlign w:val="superscript"/>
        </w:rPr>
        <w:t>3*</w:t>
      </w:r>
      <w:r w:rsidR="004E3012" w:rsidRPr="00F00BC5">
        <w:rPr>
          <w:rFonts w:asciiTheme="majorBidi" w:eastAsia="Times New Roman" w:hAnsiTheme="majorBidi" w:cstheme="majorBidi"/>
          <w:sz w:val="24"/>
          <w:szCs w:val="24"/>
        </w:rPr>
        <w:t xml:space="preserve">, Lior </w:t>
      </w:r>
      <w:r w:rsidR="003C6A43" w:rsidRPr="00F00BC5">
        <w:rPr>
          <w:rFonts w:asciiTheme="majorBidi" w:eastAsia="Times New Roman" w:hAnsiTheme="majorBidi" w:cstheme="majorBidi"/>
          <w:sz w:val="24"/>
          <w:szCs w:val="24"/>
        </w:rPr>
        <w:t>Baraf</w:t>
      </w:r>
      <w:r w:rsidR="003C6A43" w:rsidRPr="00F00BC5">
        <w:rPr>
          <w:rFonts w:asciiTheme="majorBidi" w:eastAsia="Times New Roman" w:hAnsiTheme="majorBidi" w:cstheme="majorBidi"/>
          <w:sz w:val="24"/>
          <w:szCs w:val="24"/>
          <w:vertAlign w:val="superscript"/>
        </w:rPr>
        <w:t>2</w:t>
      </w:r>
      <w:r w:rsidR="00043314" w:rsidRPr="00F00BC5">
        <w:rPr>
          <w:rFonts w:asciiTheme="majorBidi" w:eastAsia="Times New Roman" w:hAnsiTheme="majorBidi" w:cstheme="majorBidi"/>
          <w:sz w:val="24"/>
          <w:szCs w:val="24"/>
          <w:vertAlign w:val="superscript"/>
        </w:rPr>
        <w:t>*</w:t>
      </w:r>
      <w:r w:rsidR="00043314" w:rsidRPr="00F00BC5">
        <w:rPr>
          <w:rFonts w:asciiTheme="majorBidi" w:eastAsia="Times New Roman" w:hAnsiTheme="majorBidi" w:cstheme="majorBidi"/>
          <w:sz w:val="24"/>
          <w:szCs w:val="24"/>
        </w:rPr>
        <w:t>,</w:t>
      </w:r>
      <w:r w:rsidR="00F9715E" w:rsidRPr="00F9715E">
        <w:rPr>
          <w:rFonts w:asciiTheme="majorBidi" w:eastAsia="Times New Roman" w:hAnsiTheme="majorBidi" w:cstheme="majorBidi"/>
          <w:sz w:val="24"/>
          <w:szCs w:val="24"/>
        </w:rPr>
        <w:t xml:space="preserve"> </w:t>
      </w:r>
      <w:r w:rsidR="00F9715E" w:rsidRPr="00F00BC5">
        <w:rPr>
          <w:rFonts w:asciiTheme="majorBidi" w:eastAsia="Times New Roman" w:hAnsiTheme="majorBidi" w:cstheme="majorBidi"/>
          <w:sz w:val="24"/>
          <w:szCs w:val="24"/>
        </w:rPr>
        <w:t>Uri Yoel</w:t>
      </w:r>
      <w:r w:rsidR="00F9715E" w:rsidRPr="00F00BC5">
        <w:rPr>
          <w:rFonts w:asciiTheme="majorBidi" w:eastAsia="Times New Roman" w:hAnsiTheme="majorBidi" w:cstheme="majorBidi"/>
          <w:sz w:val="24"/>
          <w:szCs w:val="24"/>
          <w:vertAlign w:val="superscript"/>
        </w:rPr>
        <w:t>2*</w:t>
      </w:r>
      <w:r w:rsidR="00F9715E" w:rsidRPr="003D4BD6">
        <w:rPr>
          <w:rFonts w:asciiTheme="majorBidi" w:eastAsia="Times New Roman" w:hAnsiTheme="majorBidi" w:cstheme="majorBidi"/>
          <w:sz w:val="24"/>
          <w:szCs w:val="24"/>
          <w:vertAlign w:val="superscript"/>
        </w:rPr>
        <w:t>¥</w:t>
      </w:r>
      <w:r w:rsidR="00F9715E">
        <w:rPr>
          <w:rFonts w:asciiTheme="majorBidi" w:eastAsia="Times New Roman" w:hAnsiTheme="majorBidi" w:cstheme="majorBidi"/>
          <w:sz w:val="24"/>
          <w:szCs w:val="24"/>
        </w:rPr>
        <w:t>,</w:t>
      </w:r>
      <w:r w:rsidR="00043314" w:rsidRPr="00F00BC5">
        <w:rPr>
          <w:rFonts w:asciiTheme="majorBidi" w:eastAsia="Times New Roman" w:hAnsiTheme="majorBidi" w:cstheme="majorBidi"/>
          <w:sz w:val="24"/>
          <w:szCs w:val="24"/>
        </w:rPr>
        <w:t xml:space="preserve"> Merav</w:t>
      </w:r>
      <w:r w:rsidR="003C6A43" w:rsidRPr="00F00BC5">
        <w:rPr>
          <w:rFonts w:asciiTheme="majorBidi" w:eastAsia="Times New Roman" w:hAnsiTheme="majorBidi" w:cstheme="majorBidi"/>
          <w:sz w:val="24"/>
          <w:szCs w:val="24"/>
        </w:rPr>
        <w:t xml:space="preserve"> Fr</w:t>
      </w:r>
      <w:r w:rsidR="00897F32" w:rsidRPr="00F00BC5">
        <w:rPr>
          <w:rFonts w:asciiTheme="majorBidi" w:eastAsia="Times New Roman" w:hAnsiTheme="majorBidi" w:cstheme="majorBidi"/>
          <w:sz w:val="24"/>
          <w:szCs w:val="24"/>
        </w:rPr>
        <w:t>a</w:t>
      </w:r>
      <w:r w:rsidR="003C6A43" w:rsidRPr="00F00BC5">
        <w:rPr>
          <w:rFonts w:asciiTheme="majorBidi" w:eastAsia="Times New Roman" w:hAnsiTheme="majorBidi" w:cstheme="majorBidi"/>
          <w:sz w:val="24"/>
          <w:szCs w:val="24"/>
        </w:rPr>
        <w:t>enkel</w:t>
      </w:r>
      <w:r w:rsidR="003C6A43" w:rsidRPr="00F00BC5">
        <w:rPr>
          <w:rFonts w:asciiTheme="majorBidi" w:eastAsia="Times New Roman" w:hAnsiTheme="majorBidi" w:cstheme="majorBidi"/>
          <w:sz w:val="24"/>
          <w:szCs w:val="24"/>
          <w:vertAlign w:val="superscript"/>
        </w:rPr>
        <w:t>2*</w:t>
      </w:r>
      <w:r w:rsidR="00897F32" w:rsidRPr="00F00BC5">
        <w:rPr>
          <w:rFonts w:asciiTheme="majorBidi" w:eastAsia="Times New Roman" w:hAnsiTheme="majorBidi" w:cstheme="majorBidi"/>
          <w:sz w:val="24"/>
          <w:szCs w:val="24"/>
          <w:vertAlign w:val="superscript"/>
        </w:rPr>
        <w:t>€</w:t>
      </w:r>
      <w:r w:rsidR="00F9715E" w:rsidRPr="00AD297C">
        <w:rPr>
          <w:rFonts w:asciiTheme="majorBidi" w:eastAsia="Times New Roman" w:hAnsiTheme="majorBidi" w:cstheme="majorBidi"/>
          <w:sz w:val="24"/>
          <w:szCs w:val="24"/>
          <w:vertAlign w:val="superscript"/>
        </w:rPr>
        <w:t>¥</w:t>
      </w:r>
    </w:p>
    <w:p w14:paraId="55AC8DE0" w14:textId="71DC9360" w:rsidR="003C6A43" w:rsidRPr="00F00BC5" w:rsidRDefault="003C6A43" w:rsidP="00D8720C">
      <w:pPr>
        <w:bidi w:val="0"/>
        <w:spacing w:line="360" w:lineRule="auto"/>
        <w:rPr>
          <w:rFonts w:asciiTheme="majorBidi" w:eastAsia="Times New Roman" w:hAnsiTheme="majorBidi" w:cstheme="majorBidi"/>
          <w:sz w:val="24"/>
          <w:szCs w:val="24"/>
        </w:rPr>
      </w:pPr>
    </w:p>
    <w:p w14:paraId="142C4623" w14:textId="77777777" w:rsidR="00A3664A" w:rsidRPr="00F00BC5" w:rsidRDefault="003C6A43"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vertAlign w:val="superscript"/>
        </w:rPr>
        <w:t>1</w:t>
      </w:r>
      <w:r w:rsidRPr="00F00BC5">
        <w:rPr>
          <w:rFonts w:asciiTheme="majorBidi" w:eastAsia="Times New Roman" w:hAnsiTheme="majorBidi" w:cstheme="majorBidi"/>
          <w:sz w:val="24"/>
          <w:szCs w:val="24"/>
        </w:rPr>
        <w:t xml:space="preserve"> Goldman School of Medicine </w:t>
      </w:r>
      <w:r w:rsidR="00A3664A" w:rsidRPr="00F00BC5">
        <w:rPr>
          <w:rFonts w:asciiTheme="majorBidi" w:eastAsia="Times New Roman" w:hAnsiTheme="majorBidi" w:cstheme="majorBidi"/>
          <w:sz w:val="24"/>
          <w:szCs w:val="24"/>
        </w:rPr>
        <w:t>Ben-Gurion University of the Negev, P.O. Box 151, Beer-Sheva, Israel</w:t>
      </w:r>
    </w:p>
    <w:p w14:paraId="28BCE7B0" w14:textId="45308AF7" w:rsidR="003C6A43" w:rsidRPr="00F00BC5" w:rsidRDefault="003C6A43"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vertAlign w:val="superscript"/>
        </w:rPr>
        <w:t>2</w:t>
      </w:r>
      <w:r w:rsidRPr="00F00BC5">
        <w:rPr>
          <w:rFonts w:asciiTheme="majorBidi" w:eastAsia="Times New Roman" w:hAnsiTheme="majorBidi" w:cstheme="majorBidi"/>
          <w:sz w:val="24"/>
          <w:szCs w:val="24"/>
        </w:rPr>
        <w:t xml:space="preserve"> Endocrin</w:t>
      </w:r>
      <w:r w:rsidR="00897F32" w:rsidRPr="00F00BC5">
        <w:rPr>
          <w:rFonts w:asciiTheme="majorBidi" w:eastAsia="Times New Roman" w:hAnsiTheme="majorBidi" w:cstheme="majorBidi"/>
          <w:sz w:val="24"/>
          <w:szCs w:val="24"/>
        </w:rPr>
        <w:t>e unit</w:t>
      </w:r>
      <w:r w:rsidRPr="00F00BC5">
        <w:rPr>
          <w:rFonts w:asciiTheme="majorBidi" w:eastAsia="Times New Roman" w:hAnsiTheme="majorBidi" w:cstheme="majorBidi"/>
          <w:sz w:val="24"/>
          <w:szCs w:val="24"/>
        </w:rPr>
        <w:t xml:space="preserve">, Soroka University Medical </w:t>
      </w:r>
      <w:r w:rsidR="00B76862" w:rsidRPr="00F00BC5">
        <w:rPr>
          <w:rFonts w:asciiTheme="majorBidi" w:eastAsia="Times New Roman" w:hAnsiTheme="majorBidi" w:cstheme="majorBidi"/>
          <w:sz w:val="24"/>
          <w:szCs w:val="24"/>
        </w:rPr>
        <w:t>Center,</w:t>
      </w:r>
      <w:r w:rsidR="00B76862">
        <w:rPr>
          <w:rFonts w:asciiTheme="majorBidi" w:eastAsia="Times New Roman" w:hAnsiTheme="majorBidi" w:cstheme="majorBidi"/>
          <w:sz w:val="24"/>
          <w:szCs w:val="24"/>
        </w:rPr>
        <w:t xml:space="preserve"> Beer</w:t>
      </w:r>
      <w:r w:rsidR="00A3664A">
        <w:rPr>
          <w:rFonts w:asciiTheme="majorBidi" w:eastAsia="Times New Roman" w:hAnsiTheme="majorBidi" w:cstheme="majorBidi"/>
          <w:sz w:val="24"/>
          <w:szCs w:val="24"/>
        </w:rPr>
        <w:t xml:space="preserve"> Sheva, Israel</w:t>
      </w:r>
      <w:r w:rsidRPr="00F00BC5">
        <w:rPr>
          <w:rFonts w:asciiTheme="majorBidi" w:eastAsia="Times New Roman" w:hAnsiTheme="majorBidi" w:cstheme="majorBidi"/>
          <w:sz w:val="24"/>
          <w:szCs w:val="24"/>
        </w:rPr>
        <w:t xml:space="preserve"> </w:t>
      </w:r>
    </w:p>
    <w:p w14:paraId="144737E5" w14:textId="31E5AF51" w:rsidR="003C6A43" w:rsidRPr="00F00BC5" w:rsidRDefault="00A3664A" w:rsidP="00D8720C">
      <w:pPr>
        <w:bidi w:val="0"/>
        <w:spacing w:line="360" w:lineRule="auto"/>
        <w:rPr>
          <w:rFonts w:asciiTheme="majorBidi" w:eastAsia="Times New Roman" w:hAnsiTheme="majorBidi" w:cstheme="majorBidi"/>
          <w:sz w:val="24"/>
          <w:szCs w:val="24"/>
        </w:rPr>
      </w:pPr>
      <w:r w:rsidRPr="00715CEC">
        <w:rPr>
          <w:rFonts w:asciiTheme="majorBidi" w:eastAsia="Times New Roman" w:hAnsiTheme="majorBidi" w:cstheme="majorBidi"/>
          <w:sz w:val="24"/>
          <w:szCs w:val="24"/>
          <w:vertAlign w:val="superscript"/>
        </w:rPr>
        <w:t>3</w:t>
      </w:r>
      <w:r w:rsidR="003C6A43" w:rsidRPr="00F00BC5">
        <w:rPr>
          <w:rFonts w:asciiTheme="majorBidi" w:eastAsia="Times New Roman" w:hAnsiTheme="majorBidi" w:cstheme="majorBidi"/>
          <w:sz w:val="24"/>
          <w:szCs w:val="24"/>
        </w:rPr>
        <w:t xml:space="preserve"> Department of Otolaryngology</w:t>
      </w:r>
      <w:r>
        <w:rPr>
          <w:rFonts w:asciiTheme="majorBidi" w:eastAsia="Times New Roman" w:hAnsiTheme="majorBidi" w:cstheme="majorBidi"/>
          <w:sz w:val="24"/>
          <w:szCs w:val="24"/>
        </w:rPr>
        <w:t xml:space="preserve"> Head and Neck Surgery</w:t>
      </w:r>
      <w:r w:rsidR="003C6A43" w:rsidRPr="00F00BC5">
        <w:rPr>
          <w:rFonts w:asciiTheme="majorBidi" w:eastAsia="Times New Roman" w:hAnsiTheme="majorBidi" w:cstheme="majorBidi"/>
          <w:sz w:val="24"/>
          <w:szCs w:val="24"/>
        </w:rPr>
        <w:t>, Barzilai Medical Center, Ashkelon, Israel</w:t>
      </w:r>
    </w:p>
    <w:p w14:paraId="13F574A2" w14:textId="5F2276C5" w:rsidR="004E4BC4" w:rsidRDefault="003C6A43"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w:t>
      </w:r>
      <w:r w:rsidR="004E3012" w:rsidRPr="00F00BC5">
        <w:rPr>
          <w:rFonts w:asciiTheme="majorBidi" w:eastAsia="Times New Roman" w:hAnsiTheme="majorBidi" w:cstheme="majorBidi"/>
          <w:sz w:val="24"/>
          <w:szCs w:val="24"/>
        </w:rPr>
        <w:t>Faculty of Health Sciences, Ben-Gurion University of the Negev, P.O. Box 151, Beer-Sheva, Israel</w:t>
      </w:r>
    </w:p>
    <w:p w14:paraId="48334FFD" w14:textId="51019140" w:rsidR="00F9715E" w:rsidRPr="00F00BC5" w:rsidRDefault="00F9715E" w:rsidP="00F9715E">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Equal contribution as last co-authors</w:t>
      </w:r>
    </w:p>
    <w:p w14:paraId="786D0A30" w14:textId="2CFC9368" w:rsidR="00E862F4" w:rsidRPr="00F00BC5" w:rsidRDefault="00B30810" w:rsidP="00D8720C">
      <w:pPr>
        <w:bidi w:val="0"/>
        <w:spacing w:line="360" w:lineRule="auto"/>
        <w:rPr>
          <w:rFonts w:asciiTheme="majorBidi" w:eastAsia="Times New Roman" w:hAnsiTheme="majorBidi" w:cstheme="majorBidi"/>
          <w:b/>
          <w:bCs/>
          <w:sz w:val="24"/>
          <w:szCs w:val="24"/>
        </w:rPr>
      </w:pPr>
      <w:r w:rsidRPr="00F00BC5">
        <w:rPr>
          <w:rFonts w:asciiTheme="majorBidi" w:eastAsia="Times New Roman" w:hAnsiTheme="majorBidi" w:cstheme="majorBidi"/>
          <w:sz w:val="24"/>
          <w:szCs w:val="24"/>
        </w:rPr>
        <w:t xml:space="preserve">€ </w:t>
      </w:r>
      <w:r w:rsidR="00897F32" w:rsidRPr="00F00BC5">
        <w:rPr>
          <w:rFonts w:asciiTheme="majorBidi" w:eastAsia="Times New Roman" w:hAnsiTheme="majorBidi" w:cstheme="majorBidi"/>
          <w:b/>
          <w:bCs/>
          <w:sz w:val="24"/>
          <w:szCs w:val="24"/>
        </w:rPr>
        <w:t>Corresponding author</w:t>
      </w:r>
    </w:p>
    <w:p w14:paraId="7A205023" w14:textId="77777777" w:rsidR="00B30810" w:rsidRPr="00F00BC5" w:rsidRDefault="00B30810"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u w:val="single"/>
        </w:rPr>
        <w:t>Address for correspondence:</w:t>
      </w:r>
    </w:p>
    <w:p w14:paraId="44AF3C43" w14:textId="77777777" w:rsidR="00B30810" w:rsidRPr="00F00BC5" w:rsidRDefault="00B30810" w:rsidP="00D8720C">
      <w:pPr>
        <w:bidi w:val="0"/>
        <w:spacing w:line="360" w:lineRule="auto"/>
        <w:rPr>
          <w:rFonts w:asciiTheme="majorBidi" w:eastAsia="Times New Roman" w:hAnsiTheme="majorBidi" w:cstheme="majorBidi"/>
          <w:sz w:val="24"/>
          <w:szCs w:val="24"/>
        </w:rPr>
      </w:pPr>
      <w:bookmarkStart w:id="0" w:name="_Hlk70433976"/>
      <w:r w:rsidRPr="00F00BC5">
        <w:rPr>
          <w:rFonts w:asciiTheme="majorBidi" w:eastAsia="Times New Roman" w:hAnsiTheme="majorBidi" w:cstheme="majorBidi"/>
          <w:sz w:val="24"/>
          <w:szCs w:val="24"/>
        </w:rPr>
        <w:t>Merav Fraenkel MD</w:t>
      </w:r>
    </w:p>
    <w:bookmarkEnd w:id="0"/>
    <w:p w14:paraId="11A7AACA" w14:textId="77777777" w:rsidR="00B30810" w:rsidRPr="00F00BC5" w:rsidRDefault="00B30810"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Endocrine Unit</w:t>
      </w:r>
    </w:p>
    <w:p w14:paraId="684FAFB1" w14:textId="77777777" w:rsidR="00B30810" w:rsidRPr="00F00BC5" w:rsidRDefault="00B30810"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Soroka Medical Center</w:t>
      </w:r>
    </w:p>
    <w:p w14:paraId="54140EDD" w14:textId="77777777" w:rsidR="00B30810" w:rsidRPr="00F00BC5" w:rsidRDefault="00B30810"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Yitzchak Rager</w:t>
      </w:r>
    </w:p>
    <w:p w14:paraId="208B0DE7" w14:textId="77777777" w:rsidR="00B30810" w:rsidRPr="00F00BC5" w:rsidRDefault="00B30810"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Beer Sheva</w:t>
      </w:r>
    </w:p>
    <w:p w14:paraId="11A113B0" w14:textId="77777777" w:rsidR="00B30810" w:rsidRPr="00F00BC5" w:rsidRDefault="00B30810" w:rsidP="00D8720C">
      <w:pPr>
        <w:bidi w:val="0"/>
        <w:spacing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Israel</w:t>
      </w:r>
    </w:p>
    <w:p w14:paraId="64F7578E" w14:textId="258171A4" w:rsidR="004E4BC4" w:rsidRPr="00F00BC5" w:rsidRDefault="00B30810" w:rsidP="00D8720C">
      <w:pPr>
        <w:bidi w:val="0"/>
        <w:spacing w:line="36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sz w:val="24"/>
          <w:szCs w:val="24"/>
        </w:rPr>
        <w:t>meravfra@gmail.co</w:t>
      </w:r>
      <w:r w:rsidR="009A022E" w:rsidRPr="00F00BC5">
        <w:rPr>
          <w:rFonts w:asciiTheme="majorBidi" w:eastAsia="Times New Roman" w:hAnsiTheme="majorBidi" w:cstheme="majorBidi"/>
          <w:sz w:val="24"/>
          <w:szCs w:val="24"/>
        </w:rPr>
        <w:t>m</w:t>
      </w:r>
    </w:p>
    <w:p w14:paraId="52EE46B9" w14:textId="77777777" w:rsidR="004E4BC4" w:rsidRPr="00F00BC5" w:rsidRDefault="004E4BC4" w:rsidP="00D8720C">
      <w:pPr>
        <w:bidi w:val="0"/>
        <w:spacing w:line="360" w:lineRule="auto"/>
        <w:rPr>
          <w:rFonts w:asciiTheme="majorBidi" w:eastAsia="Times New Roman" w:hAnsiTheme="majorBidi" w:cstheme="majorBidi"/>
          <w:b/>
          <w:bCs/>
          <w:sz w:val="24"/>
          <w:szCs w:val="24"/>
          <w:u w:val="single"/>
        </w:rPr>
      </w:pPr>
    </w:p>
    <w:p w14:paraId="2F4D2F6F" w14:textId="6083DC7C" w:rsidR="00B65FA8" w:rsidRPr="00F00BC5" w:rsidRDefault="00E862F4" w:rsidP="00D8720C">
      <w:pPr>
        <w:bidi w:val="0"/>
        <w:spacing w:line="360" w:lineRule="auto"/>
        <w:rPr>
          <w:rFonts w:ascii="Times New Roman" w:eastAsia="Times New Roman" w:hAnsi="Times New Roman" w:cs="Times New Roman"/>
          <w:sz w:val="24"/>
          <w:szCs w:val="24"/>
        </w:rPr>
      </w:pPr>
      <w:r w:rsidRPr="00F00BC5">
        <w:rPr>
          <w:rFonts w:asciiTheme="majorBidi" w:eastAsia="Times New Roman" w:hAnsiTheme="majorBidi" w:cstheme="majorBidi"/>
          <w:b/>
          <w:bCs/>
          <w:sz w:val="24"/>
          <w:szCs w:val="24"/>
          <w:u w:val="single"/>
        </w:rPr>
        <w:lastRenderedPageBreak/>
        <w:t>Keywords:</w:t>
      </w:r>
      <w:r w:rsidRPr="00F00BC5">
        <w:rPr>
          <w:rFonts w:asciiTheme="majorBidi" w:eastAsia="Times New Roman" w:hAnsiTheme="majorBidi" w:cstheme="majorBidi"/>
          <w:sz w:val="24"/>
          <w:szCs w:val="24"/>
        </w:rPr>
        <w:t xml:space="preserve"> Thyroglobulin, Differentiated </w:t>
      </w:r>
      <w:r w:rsidR="00323656" w:rsidRPr="00F00BC5">
        <w:rPr>
          <w:rFonts w:asciiTheme="majorBidi" w:eastAsia="Times New Roman" w:hAnsiTheme="majorBidi" w:cstheme="majorBidi" w:hint="cs"/>
          <w:sz w:val="24"/>
          <w:szCs w:val="24"/>
        </w:rPr>
        <w:t>T</w:t>
      </w:r>
      <w:r w:rsidRPr="00F00BC5">
        <w:rPr>
          <w:rFonts w:asciiTheme="majorBidi" w:eastAsia="Times New Roman" w:hAnsiTheme="majorBidi" w:cstheme="majorBidi"/>
          <w:sz w:val="24"/>
          <w:szCs w:val="24"/>
        </w:rPr>
        <w:t xml:space="preserve">hyroid </w:t>
      </w:r>
      <w:r w:rsidR="00323656" w:rsidRPr="00F00BC5">
        <w:rPr>
          <w:rFonts w:asciiTheme="majorBidi" w:eastAsia="Times New Roman" w:hAnsiTheme="majorBidi" w:cstheme="majorBidi" w:hint="cs"/>
          <w:sz w:val="24"/>
          <w:szCs w:val="24"/>
        </w:rPr>
        <w:t>C</w:t>
      </w:r>
      <w:r w:rsidRPr="00F00BC5">
        <w:rPr>
          <w:rFonts w:asciiTheme="majorBidi" w:eastAsia="Times New Roman" w:hAnsiTheme="majorBidi" w:cstheme="majorBidi"/>
          <w:sz w:val="24"/>
          <w:szCs w:val="24"/>
        </w:rPr>
        <w:t xml:space="preserve">ancer, </w:t>
      </w:r>
      <w:r w:rsidR="00C70341" w:rsidRPr="00F00BC5">
        <w:rPr>
          <w:rFonts w:asciiTheme="majorBidi" w:eastAsia="Times New Roman" w:hAnsiTheme="majorBidi" w:cstheme="majorBidi"/>
          <w:sz w:val="24"/>
          <w:szCs w:val="24"/>
        </w:rPr>
        <w:t>multinodular goiter</w:t>
      </w:r>
      <w:r w:rsidRPr="00F00BC5">
        <w:rPr>
          <w:rFonts w:asciiTheme="majorBidi" w:eastAsia="Times New Roman" w:hAnsiTheme="majorBidi" w:cstheme="majorBidi"/>
          <w:sz w:val="24"/>
          <w:szCs w:val="24"/>
        </w:rPr>
        <w:t>,</w:t>
      </w:r>
      <w:r w:rsidR="00C70341" w:rsidRPr="00F00BC5">
        <w:rPr>
          <w:rFonts w:asciiTheme="majorBidi" w:eastAsia="Times New Roman" w:hAnsiTheme="majorBidi" w:cstheme="majorBidi"/>
          <w:sz w:val="24"/>
          <w:szCs w:val="24"/>
        </w:rPr>
        <w:t xml:space="preserve"> indeterminate cytology</w:t>
      </w:r>
      <w:r w:rsidR="0096041E">
        <w:rPr>
          <w:rFonts w:asciiTheme="majorBidi" w:eastAsia="Times New Roman" w:hAnsiTheme="majorBidi" w:cstheme="majorBidi"/>
          <w:sz w:val="24"/>
          <w:szCs w:val="24"/>
        </w:rPr>
        <w:t>, Bethesda System</w:t>
      </w:r>
      <w:r w:rsidR="00C70341"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 xml:space="preserve"> </w:t>
      </w:r>
    </w:p>
    <w:p w14:paraId="78FEDF2B" w14:textId="2E1ED1EC" w:rsidR="00B65FA8" w:rsidRPr="00F00BC5" w:rsidRDefault="00B65FA8" w:rsidP="00D8720C">
      <w:pPr>
        <w:bidi w:val="0"/>
        <w:spacing w:line="360" w:lineRule="auto"/>
        <w:rPr>
          <w:rFonts w:asciiTheme="majorBidi" w:eastAsia="Times New Roman" w:hAnsiTheme="majorBidi" w:cstheme="majorBidi"/>
          <w:b/>
          <w:bCs/>
          <w:sz w:val="24"/>
          <w:szCs w:val="24"/>
          <w:u w:val="single"/>
        </w:rPr>
        <w:sectPr w:rsidR="00B65FA8" w:rsidRPr="00F00BC5">
          <w:footerReference w:type="default" r:id="rId8"/>
          <w:pgSz w:w="11906" w:h="16838"/>
          <w:pgMar w:top="1440" w:right="1440" w:bottom="1440" w:left="1440" w:header="708" w:footer="708" w:gutter="0"/>
          <w:cols w:space="708"/>
          <w:docGrid w:linePitch="360"/>
        </w:sectPr>
      </w:pPr>
    </w:p>
    <w:p w14:paraId="299FCD79" w14:textId="3CF946BA" w:rsidR="001F3C5F" w:rsidRPr="00F00BC5" w:rsidRDefault="001F3C5F" w:rsidP="00D8720C">
      <w:pPr>
        <w:bidi w:val="0"/>
        <w:spacing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lastRenderedPageBreak/>
        <w:t>Abstract</w:t>
      </w:r>
    </w:p>
    <w:p w14:paraId="5A752315" w14:textId="43940FC3" w:rsidR="002C6B24" w:rsidRPr="00F00BC5" w:rsidRDefault="00A755CF"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hint="cs"/>
          <w:b/>
          <w:bCs/>
          <w:sz w:val="24"/>
          <w:szCs w:val="24"/>
        </w:rPr>
        <w:t>O</w:t>
      </w:r>
      <w:r w:rsidRPr="00F00BC5">
        <w:rPr>
          <w:rFonts w:asciiTheme="majorBidi" w:eastAsia="Times New Roman" w:hAnsiTheme="majorBidi" w:cstheme="majorBidi"/>
          <w:b/>
          <w:bCs/>
          <w:sz w:val="24"/>
          <w:szCs w:val="24"/>
        </w:rPr>
        <w:t>bjective</w:t>
      </w:r>
      <w:r w:rsidR="002C6B24" w:rsidRPr="00F00BC5">
        <w:rPr>
          <w:rFonts w:asciiTheme="majorBidi" w:eastAsia="Times New Roman" w:hAnsiTheme="majorBidi" w:cstheme="majorBidi"/>
          <w:sz w:val="24"/>
          <w:szCs w:val="24"/>
        </w:rPr>
        <w:t xml:space="preserve">: Thyroglobulin, produced exclusively by thyroid follicular cells, serves as a specific tumor marker for the follow up of differentiated thyroid cancer (DTC) patients after thyroidectomy. However, its role as a predictor for malignancy in patients with thyroid nodules is controversial. </w:t>
      </w:r>
      <w:r w:rsidRPr="00F00BC5">
        <w:rPr>
          <w:rFonts w:asciiTheme="majorBidi" w:eastAsia="Times New Roman" w:hAnsiTheme="majorBidi" w:cstheme="majorBidi"/>
          <w:sz w:val="24"/>
          <w:szCs w:val="24"/>
        </w:rPr>
        <w:t>We aimed t</w:t>
      </w:r>
      <w:r w:rsidR="002C6B24" w:rsidRPr="00F00BC5">
        <w:rPr>
          <w:rFonts w:asciiTheme="majorBidi" w:eastAsia="Times New Roman" w:hAnsiTheme="majorBidi" w:cstheme="majorBidi"/>
          <w:sz w:val="24"/>
          <w:szCs w:val="24"/>
        </w:rPr>
        <w:t>o assess the potential role of preoperative serum thyroglobulin concentration to predict DTC in patients who were referred to partial or total thyroidectomy without preoperative diagnosis of malignancy.</w:t>
      </w:r>
    </w:p>
    <w:p w14:paraId="5ACFCAD9" w14:textId="6DE205C0" w:rsidR="002C6B24" w:rsidRPr="00F00BC5" w:rsidRDefault="002C6B24"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b/>
          <w:bCs/>
          <w:sz w:val="24"/>
          <w:szCs w:val="24"/>
        </w:rPr>
        <w:t>Methods</w:t>
      </w:r>
      <w:r w:rsidRPr="00F00BC5">
        <w:rPr>
          <w:rFonts w:asciiTheme="majorBidi" w:eastAsia="Times New Roman" w:hAnsiTheme="majorBidi" w:cstheme="majorBidi"/>
          <w:sz w:val="24"/>
          <w:szCs w:val="24"/>
        </w:rPr>
        <w:t xml:space="preserve">: This retrospective study included patients who had partial or total thyroidectomy between </w:t>
      </w:r>
      <w:r w:rsidRPr="006D79E4">
        <w:rPr>
          <w:rFonts w:asciiTheme="majorBidi" w:hAnsiTheme="majorBidi" w:cstheme="majorBidi"/>
          <w:sz w:val="24"/>
          <w:szCs w:val="24"/>
        </w:rPr>
        <w:t>January 2014 and May 2019, with preoperative diagnosis of benign</w:t>
      </w:r>
      <w:r w:rsidR="00A60D64" w:rsidRPr="006D79E4">
        <w:rPr>
          <w:rFonts w:asciiTheme="majorBidi" w:hAnsiTheme="majorBidi" w:cstheme="majorBidi"/>
          <w:sz w:val="24"/>
          <w:szCs w:val="24"/>
        </w:rPr>
        <w:t xml:space="preserve"> multinodular goiter</w:t>
      </w:r>
      <w:r w:rsidRPr="006D79E4">
        <w:rPr>
          <w:rFonts w:asciiTheme="majorBidi" w:hAnsiTheme="majorBidi" w:cstheme="majorBidi"/>
          <w:sz w:val="24"/>
          <w:szCs w:val="24"/>
        </w:rPr>
        <w:t xml:space="preserve"> </w:t>
      </w:r>
      <w:r w:rsidR="00A60D64" w:rsidRPr="006D79E4">
        <w:rPr>
          <w:rFonts w:asciiTheme="majorBidi" w:hAnsiTheme="majorBidi" w:cstheme="majorBidi"/>
          <w:sz w:val="24"/>
          <w:szCs w:val="24"/>
        </w:rPr>
        <w:t>(</w:t>
      </w:r>
      <w:r w:rsidRPr="006D79E4">
        <w:rPr>
          <w:rFonts w:asciiTheme="majorBidi" w:hAnsiTheme="majorBidi" w:cstheme="majorBidi"/>
          <w:sz w:val="24"/>
          <w:szCs w:val="24"/>
        </w:rPr>
        <w:t>MNG</w:t>
      </w:r>
      <w:r w:rsidR="00A60D64" w:rsidRPr="006D79E4">
        <w:rPr>
          <w:rFonts w:asciiTheme="majorBidi" w:hAnsiTheme="majorBidi" w:cstheme="majorBidi"/>
          <w:sz w:val="24"/>
          <w:szCs w:val="24"/>
        </w:rPr>
        <w:t>)</w:t>
      </w:r>
      <w:r w:rsidRPr="006D79E4">
        <w:rPr>
          <w:rFonts w:asciiTheme="majorBidi" w:hAnsiTheme="majorBidi" w:cstheme="majorBidi"/>
          <w:sz w:val="24"/>
          <w:szCs w:val="24"/>
        </w:rPr>
        <w:t xml:space="preserve"> or a thyroid nodule with</w:t>
      </w:r>
      <w:r w:rsidRPr="00F00BC5">
        <w:rPr>
          <w:rFonts w:asciiTheme="majorBidi" w:eastAsia="Times New Roman" w:hAnsiTheme="majorBidi" w:cstheme="majorBidi"/>
          <w:sz w:val="24"/>
          <w:szCs w:val="24"/>
        </w:rPr>
        <w:t xml:space="preserve"> indeterminate cytology (INC)</w:t>
      </w:r>
      <w:r w:rsidR="00E87B9A" w:rsidRPr="00E87B9A">
        <w:rPr>
          <w:rFonts w:asciiTheme="majorBidi" w:eastAsia="Times New Roman" w:hAnsiTheme="majorBidi" w:cstheme="majorBidi"/>
          <w:sz w:val="24"/>
          <w:szCs w:val="24"/>
        </w:rPr>
        <w:t xml:space="preserve"> (Bethesda system</w:t>
      </w:r>
      <w:r w:rsidR="000A1D35" w:rsidRPr="000A1D35">
        <w:rPr>
          <w:rFonts w:asciiTheme="majorBidi" w:eastAsia="Times New Roman" w:hAnsiTheme="majorBidi" w:cstheme="majorBidi"/>
          <w:sz w:val="24"/>
          <w:szCs w:val="24"/>
        </w:rPr>
        <w:t xml:space="preserve"> </w:t>
      </w:r>
      <w:r w:rsidR="000A1D35" w:rsidRPr="00E87B9A">
        <w:rPr>
          <w:rFonts w:asciiTheme="majorBidi" w:eastAsia="Times New Roman" w:hAnsiTheme="majorBidi" w:cstheme="majorBidi"/>
          <w:sz w:val="24"/>
          <w:szCs w:val="24"/>
        </w:rPr>
        <w:t>categories</w:t>
      </w:r>
      <w:r w:rsidR="00E87B9A" w:rsidRPr="00E87B9A">
        <w:rPr>
          <w:rFonts w:asciiTheme="majorBidi" w:eastAsia="Times New Roman" w:hAnsiTheme="majorBidi" w:cstheme="majorBidi"/>
          <w:sz w:val="24"/>
          <w:szCs w:val="24"/>
        </w:rPr>
        <w:t xml:space="preserve"> 3/4)</w:t>
      </w:r>
      <w:r w:rsidRPr="00F00BC5">
        <w:rPr>
          <w:rFonts w:asciiTheme="majorBidi" w:eastAsia="Times New Roman" w:hAnsiTheme="majorBidi" w:cstheme="majorBidi"/>
          <w:sz w:val="24"/>
          <w:szCs w:val="24"/>
        </w:rPr>
        <w:t>. We compared patients for demographic, clinical, imaging, and biochemical data according to their final diagnosis: DTC or benign thyroid nodular disease. Further statistical analysis included odds ratios calculation and receiver-operator curves</w:t>
      </w:r>
      <w:r w:rsidR="00AF69F9">
        <w:rPr>
          <w:rFonts w:asciiTheme="majorBidi" w:eastAsia="Times New Roman" w:hAnsiTheme="majorBidi" w:cstheme="majorBidi"/>
          <w:sz w:val="24"/>
          <w:szCs w:val="24"/>
        </w:rPr>
        <w:t xml:space="preserve"> (ROC)</w:t>
      </w:r>
      <w:r w:rsidRPr="00F00BC5">
        <w:rPr>
          <w:rFonts w:asciiTheme="majorBidi" w:eastAsia="Times New Roman" w:hAnsiTheme="majorBidi" w:cstheme="majorBidi"/>
          <w:sz w:val="24"/>
          <w:szCs w:val="24"/>
        </w:rPr>
        <w:t xml:space="preserve"> analysis.</w:t>
      </w:r>
    </w:p>
    <w:p w14:paraId="70A5C816" w14:textId="0E16A046" w:rsidR="002C6B24" w:rsidRPr="00F00BC5" w:rsidRDefault="002C6B24"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b/>
          <w:bCs/>
          <w:sz w:val="24"/>
          <w:szCs w:val="24"/>
        </w:rPr>
        <w:t>Results</w:t>
      </w:r>
      <w:r w:rsidRPr="00F00BC5">
        <w:rPr>
          <w:rFonts w:asciiTheme="majorBidi" w:eastAsia="Times New Roman" w:hAnsiTheme="majorBidi" w:cstheme="majorBidi"/>
          <w:sz w:val="24"/>
          <w:szCs w:val="24"/>
        </w:rPr>
        <w:t xml:space="preserve">: Of 131 patients who met inclusion and exclusion criteria, the indication for surgery was benign MNG in 69, and thyroid nodule with INC in 62 patients. Final diagnosis of DTC was reported in </w:t>
      </w:r>
      <w:r w:rsidRPr="00F00BC5">
        <w:rPr>
          <w:rFonts w:asciiTheme="majorBidi" w:eastAsia="Times New Roman" w:hAnsiTheme="majorBidi" w:cstheme="majorBidi" w:hint="cs"/>
          <w:sz w:val="24"/>
          <w:szCs w:val="24"/>
          <w:rtl/>
        </w:rPr>
        <w:t>18</w:t>
      </w:r>
      <w:r w:rsidRPr="00F00BC5">
        <w:rPr>
          <w:rFonts w:asciiTheme="majorBidi" w:eastAsia="Times New Roman" w:hAnsiTheme="majorBidi" w:cstheme="majorBidi"/>
          <w:sz w:val="24"/>
          <w:szCs w:val="24"/>
        </w:rPr>
        <w:t>/69 (</w:t>
      </w:r>
      <w:r w:rsidRPr="00F00BC5">
        <w:rPr>
          <w:rFonts w:asciiTheme="majorBidi" w:eastAsia="Times New Roman" w:hAnsiTheme="majorBidi" w:cstheme="majorBidi" w:hint="cs"/>
          <w:sz w:val="24"/>
          <w:szCs w:val="24"/>
          <w:rtl/>
        </w:rPr>
        <w:t>26</w:t>
      </w:r>
      <w:r w:rsidRPr="00F00BC5">
        <w:rPr>
          <w:rFonts w:asciiTheme="majorBidi" w:eastAsia="Times New Roman" w:hAnsiTheme="majorBidi" w:cstheme="majorBidi"/>
          <w:sz w:val="24"/>
          <w:szCs w:val="24"/>
        </w:rPr>
        <w:t xml:space="preserve">%) and </w:t>
      </w:r>
      <w:r w:rsidRPr="00F00BC5">
        <w:rPr>
          <w:rFonts w:asciiTheme="majorBidi" w:eastAsia="Times New Roman" w:hAnsiTheme="majorBidi" w:cstheme="majorBidi" w:hint="cs"/>
          <w:sz w:val="24"/>
          <w:szCs w:val="24"/>
          <w:rtl/>
        </w:rPr>
        <w:t>30</w:t>
      </w:r>
      <w:r w:rsidRPr="00F00BC5">
        <w:rPr>
          <w:rFonts w:asciiTheme="majorBidi" w:eastAsia="Times New Roman" w:hAnsiTheme="majorBidi" w:cstheme="majorBidi"/>
          <w:sz w:val="24"/>
          <w:szCs w:val="24"/>
        </w:rPr>
        <w:t>/62 (</w:t>
      </w:r>
      <w:r w:rsidRPr="00F00BC5">
        <w:rPr>
          <w:rFonts w:asciiTheme="majorBidi" w:eastAsia="Times New Roman" w:hAnsiTheme="majorBidi" w:cstheme="majorBidi" w:hint="cs"/>
          <w:sz w:val="24"/>
          <w:szCs w:val="24"/>
          <w:rtl/>
        </w:rPr>
        <w:t>48</w:t>
      </w:r>
      <w:r w:rsidRPr="00F00BC5">
        <w:rPr>
          <w:rFonts w:asciiTheme="majorBidi" w:eastAsia="Times New Roman" w:hAnsiTheme="majorBidi" w:cstheme="majorBidi"/>
          <w:sz w:val="24"/>
          <w:szCs w:val="24"/>
        </w:rPr>
        <w:t>%) of patients with preoperative diagnosis of benign MNG and INC thyroid nodule, respectively.</w:t>
      </w:r>
      <w:r w:rsidR="00D84DA2" w:rsidRPr="00D84DA2">
        <w:t xml:space="preserve"> </w:t>
      </w:r>
      <w:r w:rsidR="00D84DA2" w:rsidRPr="00D84DA2">
        <w:rPr>
          <w:rFonts w:asciiTheme="majorBidi" w:eastAsia="Times New Roman" w:hAnsiTheme="majorBidi" w:cstheme="majorBidi"/>
          <w:sz w:val="24"/>
          <w:szCs w:val="24"/>
        </w:rPr>
        <w:t xml:space="preserve">Preoperative measurement of nodule diameter, TSH, and </w:t>
      </w:r>
      <w:r w:rsidR="00801637">
        <w:rPr>
          <w:rFonts w:asciiTheme="majorBidi" w:eastAsia="Times New Roman" w:hAnsiTheme="majorBidi" w:cstheme="majorBidi"/>
          <w:sz w:val="24"/>
          <w:szCs w:val="24"/>
        </w:rPr>
        <w:t>t</w:t>
      </w:r>
      <w:r w:rsidR="00D84DA2" w:rsidRPr="00D84DA2">
        <w:rPr>
          <w:rFonts w:asciiTheme="majorBidi" w:eastAsia="Times New Roman" w:hAnsiTheme="majorBidi" w:cstheme="majorBidi"/>
          <w:sz w:val="24"/>
          <w:szCs w:val="24"/>
        </w:rPr>
        <w:t xml:space="preserve">hyroglobulin serum concentration did not differ between patients with final diagnosis of DTC versus those with benign histology. </w:t>
      </w:r>
      <w:r w:rsidR="00D84DA2">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 xml:space="preserve"> </w:t>
      </w:r>
    </w:p>
    <w:p w14:paraId="2A71286E" w14:textId="53524678" w:rsidR="001F3C5F" w:rsidRPr="00F00BC5" w:rsidRDefault="002C6B24" w:rsidP="00D8720C">
      <w:pPr>
        <w:bidi w:val="0"/>
        <w:spacing w:after="160"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rPr>
        <w:t>Conclusion</w:t>
      </w:r>
      <w:r w:rsidRPr="00F00BC5">
        <w:rPr>
          <w:rFonts w:asciiTheme="majorBidi" w:eastAsia="Times New Roman" w:hAnsiTheme="majorBidi" w:cstheme="majorBidi"/>
          <w:sz w:val="24"/>
          <w:szCs w:val="24"/>
        </w:rPr>
        <w:t xml:space="preserve">: </w:t>
      </w:r>
      <w:r w:rsidR="00715CEC" w:rsidRPr="00F00BC5">
        <w:rPr>
          <w:rFonts w:asciiTheme="majorBidi" w:eastAsia="Times New Roman" w:hAnsiTheme="majorBidi" w:cstheme="majorBidi"/>
          <w:sz w:val="24"/>
          <w:szCs w:val="24"/>
        </w:rPr>
        <w:t xml:space="preserve">Preoperative serum thyroglobulin </w:t>
      </w:r>
      <w:r w:rsidR="00715CEC">
        <w:rPr>
          <w:rFonts w:asciiTheme="majorBidi" w:eastAsia="Times New Roman" w:hAnsiTheme="majorBidi" w:cstheme="majorBidi"/>
          <w:sz w:val="24"/>
          <w:szCs w:val="24"/>
        </w:rPr>
        <w:t>alone is insufficient to differentiate</w:t>
      </w:r>
      <w:r w:rsidR="0084475B">
        <w:rPr>
          <w:rFonts w:asciiTheme="majorBidi" w:eastAsia="Times New Roman" w:hAnsiTheme="majorBidi" w:cstheme="majorBidi"/>
          <w:sz w:val="24"/>
          <w:szCs w:val="24"/>
        </w:rPr>
        <w:t xml:space="preserve"> </w:t>
      </w:r>
      <w:r w:rsidR="00715CEC">
        <w:rPr>
          <w:rFonts w:asciiTheme="majorBidi" w:eastAsia="Times New Roman" w:hAnsiTheme="majorBidi" w:cstheme="majorBidi"/>
          <w:sz w:val="24"/>
          <w:szCs w:val="24"/>
        </w:rPr>
        <w:t xml:space="preserve">preoperatively between </w:t>
      </w:r>
      <w:r w:rsidR="00A75C92">
        <w:rPr>
          <w:rFonts w:asciiTheme="majorBidi" w:eastAsia="Times New Roman" w:hAnsiTheme="majorBidi" w:cstheme="majorBidi"/>
          <w:sz w:val="24"/>
          <w:szCs w:val="24"/>
        </w:rPr>
        <w:t xml:space="preserve">malignant </w:t>
      </w:r>
      <w:r w:rsidR="00715CEC">
        <w:rPr>
          <w:rFonts w:asciiTheme="majorBidi" w:eastAsia="Times New Roman" w:hAnsiTheme="majorBidi" w:cstheme="majorBidi"/>
          <w:sz w:val="24"/>
          <w:szCs w:val="24"/>
        </w:rPr>
        <w:t xml:space="preserve">and </w:t>
      </w:r>
      <w:r w:rsidR="00A75C92">
        <w:rPr>
          <w:rFonts w:asciiTheme="majorBidi" w:eastAsia="Times New Roman" w:hAnsiTheme="majorBidi" w:cstheme="majorBidi"/>
          <w:sz w:val="24"/>
          <w:szCs w:val="24"/>
        </w:rPr>
        <w:t xml:space="preserve">benign </w:t>
      </w:r>
      <w:r w:rsidR="00715CEC">
        <w:rPr>
          <w:rFonts w:asciiTheme="majorBidi" w:eastAsia="Times New Roman" w:hAnsiTheme="majorBidi" w:cstheme="majorBidi"/>
          <w:sz w:val="24"/>
          <w:szCs w:val="24"/>
        </w:rPr>
        <w:t xml:space="preserve">thyroid </w:t>
      </w:r>
      <w:r w:rsidR="0084475B">
        <w:rPr>
          <w:rFonts w:asciiTheme="majorBidi" w:eastAsia="Times New Roman" w:hAnsiTheme="majorBidi" w:cstheme="majorBidi"/>
          <w:sz w:val="24"/>
          <w:szCs w:val="24"/>
        </w:rPr>
        <w:t xml:space="preserve">nodular </w:t>
      </w:r>
      <w:r w:rsidR="00715CEC">
        <w:rPr>
          <w:rFonts w:asciiTheme="majorBidi" w:eastAsia="Times New Roman" w:hAnsiTheme="majorBidi" w:cstheme="majorBidi"/>
          <w:sz w:val="24"/>
          <w:szCs w:val="24"/>
        </w:rPr>
        <w:t>disease</w:t>
      </w:r>
      <w:r w:rsidR="00715CEC">
        <w:t xml:space="preserve">. </w:t>
      </w:r>
      <w:r w:rsidR="00254A69" w:rsidRPr="00F00BC5">
        <w:rPr>
          <w:rFonts w:asciiTheme="majorBidi" w:eastAsia="Times New Roman" w:hAnsiTheme="majorBidi" w:cstheme="majorBidi"/>
          <w:sz w:val="24"/>
          <w:szCs w:val="24"/>
        </w:rPr>
        <w:br w:type="page"/>
      </w:r>
      <w:r w:rsidR="001F3C5F" w:rsidRPr="00F00BC5">
        <w:rPr>
          <w:rFonts w:asciiTheme="majorBidi" w:eastAsia="Times New Roman" w:hAnsiTheme="majorBidi" w:cstheme="majorBidi"/>
          <w:b/>
          <w:bCs/>
          <w:sz w:val="24"/>
          <w:szCs w:val="24"/>
          <w:u w:val="single"/>
        </w:rPr>
        <w:t>Introduction</w:t>
      </w:r>
    </w:p>
    <w:p w14:paraId="5228CBAB" w14:textId="57BB5B6C" w:rsidR="001F3C5F" w:rsidRPr="00F00BC5" w:rsidRDefault="001F3C5F"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Thyroid nodules</w:t>
      </w:r>
      <w:r w:rsidR="006F1422">
        <w:rPr>
          <w:rFonts w:asciiTheme="majorBidi" w:eastAsia="Times New Roman" w:hAnsiTheme="majorBidi" w:cstheme="majorBidi"/>
          <w:sz w:val="24"/>
          <w:szCs w:val="24"/>
        </w:rPr>
        <w:t xml:space="preserve"> (TN)</w:t>
      </w:r>
      <w:r w:rsidRPr="00F00BC5">
        <w:rPr>
          <w:rFonts w:asciiTheme="majorBidi" w:eastAsia="Times New Roman" w:hAnsiTheme="majorBidi" w:cstheme="majorBidi"/>
          <w:sz w:val="24"/>
          <w:szCs w:val="24"/>
        </w:rPr>
        <w:t xml:space="preserve"> are a common finding on neck imaging and physical examination </w:t>
      </w:r>
      <w:r w:rsidR="00D61B95" w:rsidRPr="00F00BC5">
        <w:rPr>
          <w:rFonts w:asciiTheme="majorBidi" w:eastAsia="Times New Roman" w:hAnsiTheme="majorBidi" w:cstheme="majorBidi"/>
          <w:sz w:val="24"/>
          <w:szCs w:val="24"/>
        </w:rPr>
        <w:fldChar w:fldCharType="begin" w:fldLock="1"/>
      </w:r>
      <w:r w:rsidR="00DA1081" w:rsidRPr="00F00BC5">
        <w:rPr>
          <w:rFonts w:asciiTheme="majorBidi" w:eastAsia="Times New Roman" w:hAnsiTheme="majorBidi" w:cstheme="majorBidi"/>
          <w:sz w:val="24"/>
          <w:szCs w:val="24"/>
        </w:rPr>
        <w:instrText>ADDIN CSL_CITATION {"citationItems":[{"id":"ITEM-1","itemData":{"DOI":"10.1002/hed.25526","ISSN":"1043-3074","author":[{"dropping-particle":"","family":"Meltzer","given":"Charles J.","non-dropping-particle":"","parse-names":false,"suffix":""},{"dropping-particle":"","family":"Irish","given":"Jonathan","non-dropping-particle":"","parse-names":false,"suffix":""},{"dropping-particle":"","family":"Angelos","given":"Peter","non-dropping-particle":"","parse-names":false,"suffix":""},{"dropping-particle":"","family":"Busaidy","given":"Naifa L.","non-dropping-particle":"","parse-names":false,"suffix":""},{"dropping-particle":"","family":"Davies","given":"Louise","non-dropping-particle":"","parse-names":false,"suffix":""},{"dropping-particle":"","family":"Dwojak","given":"Sunshine","non-dropping-particle":"","parse-names":false,"suffix":""},{"dropping-particle":"","family":"Ferris","given":"Robert L.","non-dropping-particle":"","parse-names":false,"suffix":""},{"dropping-particle":"","family":"Haugen","given":"Bryan R.","non-dropping-particle":"","parse-names":false,"suffix":""},{"dropping-particle":"","family":"Harrell","given":"Richard M.","non-dropping-particle":"","parse-names":false,"suffix":""},{"dropping-particle":"","family":"Haymart","given":"Megan R.","non-dropping-particle":"","parse-names":false,"suffix":""},{"dropping-particle":"","family":"McIver","given":"Bryan","non-dropping-particle":"","parse-names":false,"suffix":""},{"dropping-particle":"","family":"Mechanick","given":"Jeffrey I.","non-dropping-particle":"","parse-names":false,"suffix":""},{"dropping-particle":"","family":"Monteiro","given":"Eric","non-dropping-particle":"","parse-names":false,"suffix":""},{"dropping-particle":"","family":"Morris","given":"John C.","non-dropping-particle":"","parse-names":false,"suffix":""},{"dropping-particle":"","family":"Morris","given":"Luc G. T.","non-dropping-particle":"","parse-names":false,"suffix":""},{"dropping-particle":"","family":"Odell","given":"Michael","non-dropping-particle":"","parse-names":false,"suffix":""},{"dropping-particle":"","family":"Scharpf","given":"Joseph","non-dropping-particle":"","parse-names":false,"suffix":""},{"dropping-particle":"","family":"Shaha","given":"Ashok","non-dropping-particle":"","parse-names":false,"suffix":""},{"dropping-particle":"","family":"Shin","given":"Jennifer J.","non-dropping-particle":"","parse-names":false,"suffix":""},{"dropping-particle":"","family":"Shonka","given":"David C.","non-dropping-particle":"","parse-names":false,"suffix":""},{"dropping-particle":"","family":"Thompson","given":"Geoffrey B.","non-dropping-particle":"","parse-names":false,"suffix":""},{"dropping-particle":"","family":"Tuttle","given":"R. Michael","non-dropping-particle":"","parse-names":false,"suffix":""},{"dropping-particle":"","family":"Urken","given":"Mark L.","non-dropping-particle":"","parse-names":false,"suffix":""},{"dropping-particle":"","family":"Wiseman","given":"Sam M.","non-dropping-particle":"","parse-names":false,"suffix":""},{"dropping-particle":"","family":"Wong","given":"Richard J.","non-dropping-particle":"","parse-names":false,"suffix":""},{"dropping-particle":"","family":"Randolph","given":"Gregory","non-dropping-particle":"","parse-names":false,"suffix":""}],"container-title":"Head &amp; Neck","id":"ITEM-1","issue":"4","issued":{"date-parts":[["2019","4","18"]]},"page":"843-856","publisher":"John Wiley &amp; Sons, Ltd","title":"American Head and Neck Society Endocrine Section clinical consensus statement: North American quality statements and evidence‐based multidisciplinary workflow algorithms for the evaluation and management of thyroid nodules","type":"article-journal","volume":"41"},"uris":["http://www.mendeley.com/documents/?uuid=675ba1da-e1e1-3ac6-942e-d209362d105e"]}],"mendeley":{"formattedCitation":"(1)","plainTextFormattedCitation":"(1)","previouslyFormattedCitation":"(1)"},"properties":{"noteIndex":0},"schema":"https://github.com/citation-style-language/schema/raw/master/csl-citation.json"}</w:instrText>
      </w:r>
      <w:r w:rsidR="00D61B95" w:rsidRPr="00F00BC5">
        <w:rPr>
          <w:rFonts w:asciiTheme="majorBidi" w:eastAsia="Times New Roman" w:hAnsiTheme="majorBidi" w:cstheme="majorBidi"/>
          <w:sz w:val="24"/>
          <w:szCs w:val="24"/>
        </w:rPr>
        <w:fldChar w:fldCharType="separate"/>
      </w:r>
      <w:r w:rsidR="00DA1081" w:rsidRPr="00F00BC5">
        <w:rPr>
          <w:rFonts w:asciiTheme="majorBidi" w:eastAsia="Times New Roman" w:hAnsiTheme="majorBidi" w:cstheme="majorBidi"/>
          <w:noProof/>
          <w:sz w:val="24"/>
          <w:szCs w:val="24"/>
        </w:rPr>
        <w:t>(1)</w:t>
      </w:r>
      <w:r w:rsidR="00D61B95" w:rsidRPr="00F00BC5">
        <w:rPr>
          <w:rFonts w:asciiTheme="majorBidi" w:eastAsia="Times New Roman" w:hAnsiTheme="majorBidi" w:cstheme="majorBidi"/>
          <w:sz w:val="24"/>
          <w:szCs w:val="24"/>
        </w:rPr>
        <w:fldChar w:fldCharType="end"/>
      </w:r>
      <w:r w:rsidRPr="00F00BC5">
        <w:rPr>
          <w:rFonts w:asciiTheme="majorBidi" w:eastAsia="Times New Roman" w:hAnsiTheme="majorBidi" w:cstheme="majorBidi"/>
          <w:sz w:val="24"/>
          <w:szCs w:val="24"/>
        </w:rPr>
        <w:t xml:space="preserve">.  Solitary </w:t>
      </w:r>
      <w:r w:rsidR="006F1422">
        <w:rPr>
          <w:rFonts w:asciiTheme="majorBidi" w:eastAsia="Times New Roman" w:hAnsiTheme="majorBidi" w:cstheme="majorBidi"/>
          <w:sz w:val="24"/>
          <w:szCs w:val="24"/>
        </w:rPr>
        <w:t>TN</w:t>
      </w:r>
      <w:r w:rsidRPr="00F00BC5">
        <w:rPr>
          <w:rFonts w:asciiTheme="majorBidi" w:eastAsia="Times New Roman" w:hAnsiTheme="majorBidi" w:cstheme="majorBidi"/>
          <w:sz w:val="24"/>
          <w:szCs w:val="24"/>
        </w:rPr>
        <w:t xml:space="preserve"> or those identified in </w:t>
      </w:r>
      <w:r w:rsidR="00435284" w:rsidRPr="006D79E4">
        <w:rPr>
          <w:rFonts w:asciiTheme="majorBidi" w:hAnsiTheme="majorBidi" w:cstheme="majorBidi"/>
          <w:sz w:val="24"/>
          <w:szCs w:val="24"/>
        </w:rPr>
        <w:t>multinodular goiter (MNG)</w:t>
      </w:r>
      <w:r w:rsidRPr="00F00BC5">
        <w:rPr>
          <w:rFonts w:asciiTheme="majorBidi" w:eastAsia="Times New Roman" w:hAnsiTheme="majorBidi" w:cstheme="majorBidi"/>
          <w:sz w:val="24"/>
          <w:szCs w:val="24"/>
        </w:rPr>
        <w:t xml:space="preserve"> are usually benign and their prevalence depends on the method of detection</w:t>
      </w:r>
      <w:r w:rsidR="00D477D4" w:rsidRPr="00F00BC5">
        <w:rPr>
          <w:rFonts w:asciiTheme="majorBidi" w:eastAsia="Times New Roman" w:hAnsiTheme="majorBidi" w:cstheme="majorBidi"/>
          <w:sz w:val="24"/>
          <w:szCs w:val="24"/>
        </w:rPr>
        <w:t>:</w:t>
      </w:r>
      <w:r w:rsidRPr="00F00BC5">
        <w:rPr>
          <w:rFonts w:asciiTheme="majorBidi" w:eastAsia="Times New Roman" w:hAnsiTheme="majorBidi" w:cstheme="majorBidi"/>
          <w:sz w:val="24"/>
          <w:szCs w:val="24"/>
        </w:rPr>
        <w:t xml:space="preserve"> palpitation (2-6%), ultrasonography (19-</w:t>
      </w:r>
      <w:r w:rsidR="00D05E50" w:rsidRPr="00F00BC5">
        <w:rPr>
          <w:rFonts w:asciiTheme="majorBidi" w:eastAsia="Times New Roman" w:hAnsiTheme="majorBidi" w:cstheme="majorBidi"/>
          <w:sz w:val="24"/>
          <w:szCs w:val="24"/>
        </w:rPr>
        <w:t>68</w:t>
      </w:r>
      <w:r w:rsidRPr="00F00BC5">
        <w:rPr>
          <w:rFonts w:asciiTheme="majorBidi" w:eastAsia="Times New Roman" w:hAnsiTheme="majorBidi" w:cstheme="majorBidi"/>
          <w:sz w:val="24"/>
          <w:szCs w:val="24"/>
        </w:rPr>
        <w:t>%), or autopsy (8-65%)</w:t>
      </w:r>
      <w:r w:rsidR="0092383B" w:rsidRPr="00F00BC5">
        <w:rPr>
          <w:rFonts w:asciiTheme="majorBidi" w:eastAsia="Times New Roman" w:hAnsiTheme="majorBidi" w:cstheme="majorBidi"/>
          <w:sz w:val="24"/>
          <w:szCs w:val="24"/>
        </w:rPr>
        <w:t xml:space="preserve"> </w:t>
      </w:r>
      <w:r w:rsidR="0092383B" w:rsidRPr="00F00BC5">
        <w:rPr>
          <w:rFonts w:asciiTheme="majorBidi" w:eastAsia="Times New Roman" w:hAnsiTheme="majorBidi" w:cstheme="majorBidi"/>
          <w:sz w:val="24"/>
          <w:szCs w:val="24"/>
        </w:rPr>
        <w:fldChar w:fldCharType="begin" w:fldLock="1"/>
      </w:r>
      <w:r w:rsidR="00DA1081" w:rsidRPr="00F00BC5">
        <w:rPr>
          <w:rFonts w:asciiTheme="majorBidi" w:eastAsia="Times New Roman" w:hAnsiTheme="majorBidi" w:cstheme="majorBidi"/>
          <w:sz w:val="24"/>
          <w:szCs w:val="24"/>
        </w:rPr>
        <w:instrText>ADDIN CSL_CITATION {"citationItems":[{"id":"ITEM-1","itemData":{"DOI":"10.1016/j.beem.2008.09.019","ISSN":"1521690X","PMID":"19041821","abstract":"Thyroid nodules are common and are commonly benign. The reported prevalence of nodular thyroid disease depends on the population studied and the methods used to detect nodules. Nodule incidence increases with age, and is increased in women, in people with iodine deficiency, and after radiation exposure. Numerous studies suggest a prevalence of 2-6% with palpation, 19-35% with ultrasound, and 8-65% in autopsy data. With widespread use of sensitive imaging in clinical practice, incidental thyroid nodules are being discovered with increasing frequency. Ultrasonography is the most accurate and cost-effective method for evaluating and observing thyroid nodules. Current ultrasonography machines are relatively inexpensive, sensitive, and easy to operate. Most endocrinologists are now using ultrasound examination in the initial evaluation of a patient with known or suspected thyroid nodule. The management of thyroid incidentalomas is a matter of controversy. © 2008 Elsevier Ltd. All rights reserved.","author":[{"dropping-particle":"","family":"Dean","given":"Diana S.","non-dropping-particle":"","parse-names":false,"suffix":""},{"dropping-particle":"","family":"Gharib","given":"Hossein","non-dropping-particle":"","parse-names":false,"suffix":""}],"container-title":"Best Practice and Research: Clinical Endocrinology and Metabolism","id":"ITEM-1","issue":"6","issued":{"date-parts":[["2008"]]},"page":"901-911","publisher":"Elsevier Ltd","title":"Epidemiology of thyroid nodules","type":"article-journal","volume":"22"},"uris":["http://www.mendeley.com/documents/?uuid=de8cd11d-aec2-4961-83c7-24fbc6daf6c5"]}],"mendeley":{"formattedCitation":"(2)","plainTextFormattedCitation":"(2)","previouslyFormattedCitation":"(2)"},"properties":{"noteIndex":0},"schema":"https://github.com/citation-style-language/schema/raw/master/csl-citation.json"}</w:instrText>
      </w:r>
      <w:r w:rsidR="0092383B" w:rsidRPr="00F00BC5">
        <w:rPr>
          <w:rFonts w:asciiTheme="majorBidi" w:eastAsia="Times New Roman" w:hAnsiTheme="majorBidi" w:cstheme="majorBidi"/>
          <w:sz w:val="24"/>
          <w:szCs w:val="24"/>
        </w:rPr>
        <w:fldChar w:fldCharType="separate"/>
      </w:r>
      <w:r w:rsidR="00DA1081" w:rsidRPr="00F00BC5">
        <w:rPr>
          <w:rFonts w:asciiTheme="majorBidi" w:eastAsia="Times New Roman" w:hAnsiTheme="majorBidi" w:cstheme="majorBidi"/>
          <w:noProof/>
          <w:sz w:val="24"/>
          <w:szCs w:val="24"/>
        </w:rPr>
        <w:t>(2)</w:t>
      </w:r>
      <w:r w:rsidR="0092383B" w:rsidRPr="00F00BC5">
        <w:rPr>
          <w:rFonts w:asciiTheme="majorBidi" w:eastAsia="Times New Roman" w:hAnsiTheme="majorBidi" w:cstheme="majorBidi"/>
          <w:sz w:val="24"/>
          <w:szCs w:val="24"/>
        </w:rPr>
        <w:fldChar w:fldCharType="end"/>
      </w:r>
      <w:r w:rsidRPr="00F00BC5">
        <w:rPr>
          <w:rFonts w:asciiTheme="majorBidi" w:eastAsia="Times New Roman" w:hAnsiTheme="majorBidi" w:cstheme="majorBidi"/>
          <w:sz w:val="24"/>
          <w:szCs w:val="24"/>
        </w:rPr>
        <w:t xml:space="preserve">. </w:t>
      </w:r>
      <w:r w:rsidR="00151D78">
        <w:rPr>
          <w:rFonts w:asciiTheme="majorBidi" w:eastAsia="Times New Roman" w:hAnsiTheme="majorBidi" w:cstheme="majorBidi"/>
          <w:sz w:val="24"/>
          <w:szCs w:val="24"/>
        </w:rPr>
        <w:t>The prevalence of d</w:t>
      </w:r>
      <w:r w:rsidRPr="00F00BC5">
        <w:rPr>
          <w:rFonts w:asciiTheme="majorBidi" w:eastAsia="Times New Roman" w:hAnsiTheme="majorBidi" w:cstheme="majorBidi"/>
          <w:sz w:val="24"/>
          <w:szCs w:val="24"/>
        </w:rPr>
        <w:t xml:space="preserve">ifferentiated thyroid cancer (DTC) is 7-15% </w:t>
      </w:r>
      <w:r w:rsidR="006F1422">
        <w:rPr>
          <w:rFonts w:asciiTheme="majorBidi" w:eastAsia="Times New Roman" w:hAnsiTheme="majorBidi" w:cstheme="majorBidi"/>
          <w:sz w:val="24"/>
          <w:szCs w:val="24"/>
        </w:rPr>
        <w:t>of</w:t>
      </w:r>
      <w:r w:rsidR="00151D78"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 xml:space="preserve">all </w:t>
      </w:r>
      <w:r w:rsidR="006F1422">
        <w:rPr>
          <w:rFonts w:asciiTheme="majorBidi" w:eastAsia="Times New Roman" w:hAnsiTheme="majorBidi" w:cstheme="majorBidi"/>
          <w:sz w:val="24"/>
          <w:szCs w:val="24"/>
        </w:rPr>
        <w:t>TN</w:t>
      </w:r>
      <w:r w:rsidRPr="00F00BC5">
        <w:rPr>
          <w:rFonts w:asciiTheme="majorBidi" w:eastAsia="Times New Roman" w:hAnsiTheme="majorBidi" w:cstheme="majorBidi"/>
          <w:sz w:val="24"/>
          <w:szCs w:val="24"/>
        </w:rPr>
        <w:t xml:space="preserve"> </w:t>
      </w:r>
      <w:r w:rsidR="00D61B95" w:rsidRPr="00F00BC5">
        <w:rPr>
          <w:rFonts w:asciiTheme="majorBidi" w:eastAsia="Times New Roman" w:hAnsiTheme="majorBidi" w:cstheme="majorBidi"/>
          <w:sz w:val="24"/>
          <w:szCs w:val="24"/>
        </w:rPr>
        <w:fldChar w:fldCharType="begin" w:fldLock="1"/>
      </w:r>
      <w:r w:rsidR="00DA1081" w:rsidRPr="00F00BC5">
        <w:rPr>
          <w:rFonts w:asciiTheme="majorBidi" w:eastAsia="Times New Roman" w:hAnsiTheme="majorBidi" w:cstheme="majorBidi"/>
          <w:sz w:val="24"/>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eviouslyFormattedCitation":"(3)"},"properties":{"noteIndex":0},"schema":"https://github.com/citation-style-language/schema/raw/master/csl-citation.json"}</w:instrText>
      </w:r>
      <w:r w:rsidR="00D61B95" w:rsidRPr="00F00BC5">
        <w:rPr>
          <w:rFonts w:asciiTheme="majorBidi" w:eastAsia="Times New Roman" w:hAnsiTheme="majorBidi" w:cstheme="majorBidi"/>
          <w:sz w:val="24"/>
          <w:szCs w:val="24"/>
        </w:rPr>
        <w:fldChar w:fldCharType="separate"/>
      </w:r>
      <w:r w:rsidR="00DA1081" w:rsidRPr="00F00BC5">
        <w:rPr>
          <w:rFonts w:asciiTheme="majorBidi" w:eastAsia="Times New Roman" w:hAnsiTheme="majorBidi" w:cstheme="majorBidi"/>
          <w:noProof/>
          <w:sz w:val="24"/>
          <w:szCs w:val="24"/>
        </w:rPr>
        <w:t>(3)</w:t>
      </w:r>
      <w:r w:rsidR="00D61B95" w:rsidRPr="00F00BC5">
        <w:rPr>
          <w:rFonts w:asciiTheme="majorBidi" w:eastAsia="Times New Roman" w:hAnsiTheme="majorBidi" w:cstheme="majorBidi"/>
          <w:sz w:val="24"/>
          <w:szCs w:val="24"/>
        </w:rPr>
        <w:fldChar w:fldCharType="end"/>
      </w:r>
      <w:r w:rsidRPr="00F00BC5">
        <w:rPr>
          <w:rFonts w:asciiTheme="majorBidi" w:eastAsia="Times New Roman" w:hAnsiTheme="majorBidi" w:cstheme="majorBidi"/>
          <w:sz w:val="24"/>
          <w:szCs w:val="24"/>
        </w:rPr>
        <w:t>.</w:t>
      </w:r>
    </w:p>
    <w:p w14:paraId="52FAF974" w14:textId="15E3EDF8" w:rsidR="002F5283" w:rsidRDefault="001F3C5F" w:rsidP="00D8720C">
      <w:pPr>
        <w:bidi w:val="0"/>
        <w:spacing w:line="480" w:lineRule="auto"/>
        <w:rPr>
          <w:rFonts w:asciiTheme="majorBidi" w:eastAsia="Times New Roman" w:hAnsiTheme="majorBidi" w:cs="Times New Roman"/>
          <w:sz w:val="24"/>
          <w:szCs w:val="24"/>
          <w:rtl/>
        </w:rPr>
      </w:pPr>
      <w:r w:rsidRPr="00F00BC5">
        <w:rPr>
          <w:rFonts w:asciiTheme="majorBidi" w:eastAsia="Times New Roman" w:hAnsiTheme="majorBidi" w:cstheme="majorBidi"/>
          <w:sz w:val="24"/>
          <w:szCs w:val="24"/>
        </w:rPr>
        <w:t xml:space="preserve">The evaluation of </w:t>
      </w:r>
      <w:r w:rsidR="006F1422">
        <w:rPr>
          <w:rFonts w:asciiTheme="majorBidi" w:eastAsia="Times New Roman" w:hAnsiTheme="majorBidi" w:cstheme="majorBidi"/>
          <w:sz w:val="24"/>
          <w:szCs w:val="24"/>
        </w:rPr>
        <w:t>TN</w:t>
      </w:r>
      <w:r w:rsidRPr="00F00BC5">
        <w:rPr>
          <w:rFonts w:asciiTheme="majorBidi" w:eastAsia="Times New Roman" w:hAnsiTheme="majorBidi" w:cstheme="majorBidi"/>
          <w:sz w:val="24"/>
          <w:szCs w:val="24"/>
        </w:rPr>
        <w:t xml:space="preserve"> begins with neck ultrasound</w:t>
      </w:r>
      <w:r w:rsidR="00423659" w:rsidRPr="00F00BC5">
        <w:rPr>
          <w:rFonts w:asciiTheme="majorBidi" w:eastAsia="Times New Roman" w:hAnsiTheme="majorBidi" w:cstheme="majorBidi"/>
          <w:sz w:val="24"/>
          <w:szCs w:val="24"/>
        </w:rPr>
        <w:t xml:space="preserve"> (US)</w:t>
      </w:r>
      <w:r w:rsidRPr="00F00BC5">
        <w:rPr>
          <w:rFonts w:asciiTheme="majorBidi" w:eastAsia="Times New Roman" w:hAnsiTheme="majorBidi" w:cstheme="majorBidi"/>
          <w:sz w:val="24"/>
          <w:szCs w:val="24"/>
        </w:rPr>
        <w:t xml:space="preserve"> accompanied by the measurement of serum thyroid-stimulating hormone (TSH) levels. </w:t>
      </w:r>
      <w:r w:rsidR="00D321C6">
        <w:rPr>
          <w:rFonts w:asciiTheme="majorBidi" w:eastAsia="Times New Roman" w:hAnsiTheme="majorBidi" w:cstheme="majorBidi"/>
          <w:sz w:val="24"/>
          <w:szCs w:val="24"/>
        </w:rPr>
        <w:t>According to their diameter and</w:t>
      </w:r>
      <w:r w:rsidR="00D321C6" w:rsidRPr="00D321C6">
        <w:rPr>
          <w:rFonts w:asciiTheme="majorBidi" w:eastAsia="Times New Roman" w:hAnsiTheme="majorBidi" w:cstheme="majorBidi"/>
          <w:sz w:val="24"/>
          <w:szCs w:val="24"/>
        </w:rPr>
        <w:t xml:space="preserve"> </w:t>
      </w:r>
      <w:r w:rsidR="00D321C6">
        <w:rPr>
          <w:rFonts w:asciiTheme="majorBidi" w:eastAsia="Times New Roman" w:hAnsiTheme="majorBidi" w:cstheme="majorBidi"/>
          <w:sz w:val="24"/>
          <w:szCs w:val="24"/>
        </w:rPr>
        <w:t xml:space="preserve">specific </w:t>
      </w:r>
      <w:r w:rsidR="00D321C6" w:rsidRPr="00F00BC5">
        <w:rPr>
          <w:rFonts w:asciiTheme="majorBidi" w:eastAsia="Times New Roman" w:hAnsiTheme="majorBidi" w:cstheme="majorBidi"/>
          <w:sz w:val="24"/>
          <w:szCs w:val="24"/>
        </w:rPr>
        <w:t>ultrasonographic features</w:t>
      </w:r>
      <w:r w:rsidR="00D321C6">
        <w:rPr>
          <w:rFonts w:asciiTheme="majorBidi" w:eastAsia="Times New Roman" w:hAnsiTheme="majorBidi" w:cstheme="majorBidi"/>
          <w:sz w:val="24"/>
          <w:szCs w:val="24"/>
        </w:rPr>
        <w:t xml:space="preserve"> (e.g., </w:t>
      </w:r>
      <w:r w:rsidR="00801637">
        <w:rPr>
          <w:rFonts w:asciiTheme="majorBidi" w:eastAsia="Times New Roman" w:hAnsiTheme="majorBidi" w:cstheme="majorBidi"/>
          <w:sz w:val="24"/>
          <w:szCs w:val="24"/>
        </w:rPr>
        <w:t>hypoechoic</w:t>
      </w:r>
      <w:r w:rsidR="00D321C6">
        <w:rPr>
          <w:rFonts w:asciiTheme="majorBidi" w:eastAsia="Times New Roman" w:hAnsiTheme="majorBidi" w:cstheme="majorBidi"/>
          <w:sz w:val="24"/>
          <w:szCs w:val="24"/>
        </w:rPr>
        <w:t xml:space="preserve"> or the presence of microcalcifications) </w:t>
      </w:r>
      <w:r w:rsidR="006F1422">
        <w:rPr>
          <w:rFonts w:asciiTheme="majorBidi" w:eastAsia="Times New Roman" w:hAnsiTheme="majorBidi" w:cstheme="majorBidi"/>
          <w:sz w:val="24"/>
          <w:szCs w:val="24"/>
        </w:rPr>
        <w:t>TN</w:t>
      </w:r>
      <w:r w:rsidRPr="00F00BC5">
        <w:rPr>
          <w:rFonts w:asciiTheme="majorBidi" w:eastAsia="Times New Roman" w:hAnsiTheme="majorBidi" w:cstheme="majorBidi"/>
          <w:sz w:val="24"/>
          <w:szCs w:val="24"/>
        </w:rPr>
        <w:t xml:space="preserve"> should </w:t>
      </w:r>
      <w:r w:rsidR="00756974">
        <w:rPr>
          <w:rFonts w:asciiTheme="majorBidi" w:eastAsia="Times New Roman" w:hAnsiTheme="majorBidi" w:cstheme="majorBidi"/>
          <w:sz w:val="24"/>
          <w:szCs w:val="24"/>
        </w:rPr>
        <w:t xml:space="preserve">be </w:t>
      </w:r>
      <w:r w:rsidRPr="00F00BC5">
        <w:rPr>
          <w:rFonts w:asciiTheme="majorBidi" w:eastAsia="Times New Roman" w:hAnsiTheme="majorBidi" w:cstheme="majorBidi"/>
          <w:sz w:val="24"/>
          <w:szCs w:val="24"/>
        </w:rPr>
        <w:t xml:space="preserve">further investigated </w:t>
      </w:r>
      <w:r w:rsidR="00756974">
        <w:rPr>
          <w:rFonts w:asciiTheme="majorBidi" w:eastAsia="Times New Roman" w:hAnsiTheme="majorBidi" w:cstheme="majorBidi"/>
          <w:sz w:val="24"/>
          <w:szCs w:val="24"/>
        </w:rPr>
        <w:t xml:space="preserve">using </w:t>
      </w:r>
      <w:r w:rsidRPr="00F00BC5">
        <w:rPr>
          <w:rFonts w:asciiTheme="majorBidi" w:eastAsia="Times New Roman" w:hAnsiTheme="majorBidi" w:cstheme="majorBidi"/>
          <w:sz w:val="24"/>
          <w:szCs w:val="24"/>
        </w:rPr>
        <w:t>fine needle aspiration (FNA)</w:t>
      </w:r>
      <w:r w:rsidR="00151D78">
        <w:rPr>
          <w:rFonts w:asciiTheme="majorBidi" w:eastAsia="Times New Roman" w:hAnsiTheme="majorBidi" w:cstheme="majorBidi"/>
          <w:sz w:val="24"/>
          <w:szCs w:val="24"/>
        </w:rPr>
        <w:t xml:space="preserve"> biopsy</w:t>
      </w:r>
      <w:r w:rsidRPr="00F00BC5">
        <w:rPr>
          <w:rFonts w:asciiTheme="majorBidi" w:eastAsia="Times New Roman" w:hAnsiTheme="majorBidi" w:cstheme="majorBidi"/>
          <w:sz w:val="24"/>
          <w:szCs w:val="24"/>
        </w:rPr>
        <w:t xml:space="preserve"> for cytological assessment</w:t>
      </w:r>
      <w:r w:rsidR="00D61B95" w:rsidRPr="00F00BC5">
        <w:rPr>
          <w:rFonts w:asciiTheme="majorBidi" w:eastAsia="Times New Roman" w:hAnsiTheme="majorBidi" w:cstheme="majorBidi"/>
          <w:sz w:val="24"/>
          <w:szCs w:val="24"/>
        </w:rPr>
        <w:fldChar w:fldCharType="begin" w:fldLock="1"/>
      </w:r>
      <w:r w:rsidR="00DD61D2">
        <w:rPr>
          <w:rFonts w:asciiTheme="majorBidi" w:eastAsia="Times New Roman" w:hAnsiTheme="majorBidi" w:cstheme="majorBidi"/>
          <w:sz w:val="24"/>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S.","non-dropping-particle":"","parse-names":false,"suffix":""}],"container-title":"JAMA","id":"ITEM-2","issue":"9","issued":{"date-parts":[["2018","3","6"]]},"page":"914-924","publisher":"American Medical Association","title":"The Diagnosis and Management of Thyroid Nodules: A Review","type":"article-journal","volume":"319"},"uris":["http://www.mendeley.com/documents/?uuid=f97d057a-d80a-31e2-b100-6f19c8e18eda"]}],"mendeley":{"formattedCitation":"(3,4)","plainTextFormattedCitation":"(3,4)","previouslyFormattedCitation":"(3,4)"},"properties":{"noteIndex":0},"schema":"https://github.com/citation-style-language/schema/raw/master/csl-citation.json"}</w:instrText>
      </w:r>
      <w:r w:rsidR="00D61B95" w:rsidRPr="00F00BC5">
        <w:rPr>
          <w:rFonts w:asciiTheme="majorBidi" w:eastAsia="Times New Roman" w:hAnsiTheme="majorBidi" w:cstheme="majorBidi"/>
          <w:sz w:val="24"/>
          <w:szCs w:val="24"/>
        </w:rPr>
        <w:fldChar w:fldCharType="separate"/>
      </w:r>
      <w:r w:rsidR="00DD61D2" w:rsidRPr="00DD61D2">
        <w:rPr>
          <w:rFonts w:asciiTheme="majorBidi" w:eastAsia="Times New Roman" w:hAnsiTheme="majorBidi" w:cstheme="majorBidi"/>
          <w:noProof/>
          <w:sz w:val="24"/>
          <w:szCs w:val="24"/>
        </w:rPr>
        <w:t>(3,4)</w:t>
      </w:r>
      <w:r w:rsidR="00D61B95" w:rsidRPr="00F00BC5">
        <w:rPr>
          <w:rFonts w:asciiTheme="majorBidi" w:eastAsia="Times New Roman" w:hAnsiTheme="majorBidi" w:cstheme="majorBidi"/>
          <w:sz w:val="24"/>
          <w:szCs w:val="24"/>
        </w:rPr>
        <w:fldChar w:fldCharType="end"/>
      </w:r>
      <w:r w:rsidRPr="00F00BC5">
        <w:rPr>
          <w:rFonts w:asciiTheme="majorBidi" w:eastAsia="Times New Roman" w:hAnsiTheme="majorBidi" w:cstheme="majorBidi"/>
          <w:sz w:val="24"/>
          <w:szCs w:val="24"/>
        </w:rPr>
        <w:t xml:space="preserve">. The Bethesda System for </w:t>
      </w:r>
      <w:r w:rsidR="00D477D4" w:rsidRPr="00F00BC5">
        <w:rPr>
          <w:rFonts w:asciiTheme="majorBidi" w:eastAsia="Times New Roman" w:hAnsiTheme="majorBidi" w:cstheme="majorBidi"/>
          <w:sz w:val="24"/>
          <w:szCs w:val="24"/>
        </w:rPr>
        <w:t>r</w:t>
      </w:r>
      <w:r w:rsidRPr="00F00BC5">
        <w:rPr>
          <w:rFonts w:asciiTheme="majorBidi" w:eastAsia="Times New Roman" w:hAnsiTheme="majorBidi" w:cstheme="majorBidi"/>
          <w:sz w:val="24"/>
          <w:szCs w:val="24"/>
        </w:rPr>
        <w:t xml:space="preserve">eporting </w:t>
      </w:r>
      <w:r w:rsidR="00D477D4" w:rsidRPr="00F00BC5">
        <w:rPr>
          <w:rFonts w:asciiTheme="majorBidi" w:eastAsia="Times New Roman" w:hAnsiTheme="majorBidi" w:cstheme="majorBidi"/>
          <w:sz w:val="24"/>
          <w:szCs w:val="24"/>
        </w:rPr>
        <w:t>t</w:t>
      </w:r>
      <w:r w:rsidRPr="00F00BC5">
        <w:rPr>
          <w:rFonts w:asciiTheme="majorBidi" w:eastAsia="Times New Roman" w:hAnsiTheme="majorBidi" w:cstheme="majorBidi"/>
          <w:sz w:val="24"/>
          <w:szCs w:val="24"/>
        </w:rPr>
        <w:t xml:space="preserve">hyroid </w:t>
      </w:r>
      <w:r w:rsidR="00D477D4" w:rsidRPr="00F00BC5">
        <w:rPr>
          <w:rFonts w:asciiTheme="majorBidi" w:eastAsia="Times New Roman" w:hAnsiTheme="majorBidi" w:cstheme="majorBidi"/>
          <w:sz w:val="24"/>
          <w:szCs w:val="24"/>
        </w:rPr>
        <w:t>c</w:t>
      </w:r>
      <w:r w:rsidRPr="00F00BC5">
        <w:rPr>
          <w:rFonts w:asciiTheme="majorBidi" w:eastAsia="Times New Roman" w:hAnsiTheme="majorBidi" w:cstheme="majorBidi"/>
          <w:sz w:val="24"/>
          <w:szCs w:val="24"/>
        </w:rPr>
        <w:t xml:space="preserve">ytopathology is the standard for interpreting FNA specimens; category II </w:t>
      </w:r>
      <w:r w:rsidR="00756974" w:rsidRPr="00F00BC5">
        <w:rPr>
          <w:rFonts w:asciiTheme="majorBidi" w:eastAsia="Times New Roman" w:hAnsiTheme="majorBidi" w:cstheme="majorBidi"/>
          <w:sz w:val="24"/>
          <w:szCs w:val="24"/>
        </w:rPr>
        <w:t>signifi</w:t>
      </w:r>
      <w:r w:rsidR="00756974">
        <w:rPr>
          <w:rFonts w:asciiTheme="majorBidi" w:eastAsia="Times New Roman" w:hAnsiTheme="majorBidi" w:cstheme="majorBidi"/>
          <w:sz w:val="24"/>
          <w:szCs w:val="24"/>
        </w:rPr>
        <w:t xml:space="preserve">es </w:t>
      </w:r>
      <w:r w:rsidRPr="00F00BC5">
        <w:rPr>
          <w:rFonts w:asciiTheme="majorBidi" w:eastAsia="Times New Roman" w:hAnsiTheme="majorBidi" w:cstheme="majorBidi"/>
          <w:sz w:val="24"/>
          <w:szCs w:val="24"/>
        </w:rPr>
        <w:t xml:space="preserve">benign nodule while categories V and VI have very high malignancy rates (75 and </w:t>
      </w:r>
      <w:r w:rsidR="00423659" w:rsidRPr="00F00BC5">
        <w:rPr>
          <w:rFonts w:asciiTheme="majorBidi" w:eastAsia="Times New Roman" w:hAnsiTheme="majorBidi" w:cstheme="majorBidi"/>
          <w:sz w:val="24"/>
          <w:szCs w:val="24"/>
        </w:rPr>
        <w:t xml:space="preserve">above </w:t>
      </w:r>
      <w:r w:rsidRPr="00F00BC5">
        <w:rPr>
          <w:rFonts w:asciiTheme="majorBidi" w:eastAsia="Times New Roman" w:hAnsiTheme="majorBidi" w:cstheme="majorBidi"/>
          <w:sz w:val="24"/>
          <w:szCs w:val="24"/>
        </w:rPr>
        <w:t xml:space="preserve">95% respectively). The malignancy risk for Bethesda III category (defined as atypia of undetermined significance/follicular lesion of undetermined significance) is 10-30%, while the risk for Bethesda IV category (follicular neoplasm/suspicious for follicular neoplasm) is 25-40%. </w:t>
      </w:r>
      <w:r w:rsidR="00A4250E">
        <w:rPr>
          <w:rFonts w:asciiTheme="majorBidi" w:eastAsia="Times New Roman" w:hAnsiTheme="majorBidi" w:cstheme="majorBidi"/>
          <w:sz w:val="24"/>
          <w:szCs w:val="24"/>
        </w:rPr>
        <w:t xml:space="preserve">These two categories are commonly defined as </w:t>
      </w:r>
      <w:r w:rsidR="00A4250E" w:rsidRPr="00F00BC5">
        <w:rPr>
          <w:rFonts w:asciiTheme="majorBidi" w:eastAsia="Times New Roman" w:hAnsiTheme="majorBidi" w:cstheme="majorBidi"/>
          <w:sz w:val="24"/>
          <w:szCs w:val="24"/>
        </w:rPr>
        <w:t>indeterminate cytology (INC)</w:t>
      </w:r>
      <w:r w:rsidR="00CE0C13" w:rsidRPr="00CE0C13">
        <w:rPr>
          <w:rFonts w:asciiTheme="majorBidi" w:eastAsia="Times New Roman" w:hAnsiTheme="majorBidi" w:cstheme="majorBidi"/>
          <w:sz w:val="24"/>
          <w:szCs w:val="24"/>
        </w:rPr>
        <w:t xml:space="preserve"> </w:t>
      </w:r>
      <w:r w:rsidR="00CE0C13" w:rsidRPr="00F00BC5">
        <w:rPr>
          <w:rFonts w:asciiTheme="majorBidi" w:eastAsia="Times New Roman" w:hAnsiTheme="majorBidi" w:cstheme="majorBidi"/>
          <w:sz w:val="24"/>
          <w:szCs w:val="24"/>
        </w:rPr>
        <w:fldChar w:fldCharType="begin" w:fldLock="1"/>
      </w:r>
      <w:r w:rsidR="0079036A">
        <w:rPr>
          <w:rFonts w:asciiTheme="majorBidi" w:eastAsia="Times New Roman" w:hAnsiTheme="majorBidi" w:cstheme="majorBidi"/>
          <w:sz w:val="24"/>
          <w:szCs w:val="24"/>
        </w:rPr>
        <w:instrText>ADDIN CSL_CITATION {"citationItems":[{"id":"ITEM-1","itemData":{"DOI":"10.2147/PLMI.S59827","ISSN":"1179-2698","author":[{"dropping-particle":"","family":"Wu","given":"Howard","non-dropping-particle":"","parse-names":false,"suffix":""},{"dropping-particle":"","family":"Swadley","given":"Matthew","non-dropping-particle":"","parse-names":false,"suffix":""}],"container-title":"Pathology and Laboratory Medicine International","id":"ITEM-1","issued":{"date-parts":[["2015","7","31"]]},"page":"47","publisher":"Dove Press","title":"The Bethesda system for reporting thyroid cytopathology: into the clinic","type":"article-journal","volume":"7"},"uris":["http://www.mendeley.com/documents/?uuid=9700584f-abd9-33d0-93fc-3df04fdd91d1"]},{"id":"ITEM-2","itemData":{"DOI":"10.1089/thy.2017.0500","author":[{"dropping-particle":"","family":"Edmund S. Cibas and Syed Z. Ali","given":"","non-dropping-particle":"","parse-names":false,"suffix":""}],"id":"ITEM-2","issue":"11","issued":{"date-parts":[["2017"]]},"page":"1341-1346","title":"The 2017 Bethesda System for Reporting Thyroid Cytopathology","type":"article-journal","volume":"27"},"uris":["http://www.mendeley.com/documents/?uuid=7c98f77a-e8f1-4450-9b07-d24f64f106f9"]}],"mendeley":{"formattedCitation":"(5,6)","plainTextFormattedCitation":"(5,6)","previouslyFormattedCitation":"(5,6)"},"properties":{"noteIndex":0},"schema":"https://github.com/citation-style-language/schema/raw/master/csl-citation.json"}</w:instrText>
      </w:r>
      <w:r w:rsidR="00CE0C13" w:rsidRPr="00F00BC5">
        <w:rPr>
          <w:rFonts w:asciiTheme="majorBidi" w:eastAsia="Times New Roman" w:hAnsiTheme="majorBidi" w:cstheme="majorBidi"/>
          <w:sz w:val="24"/>
          <w:szCs w:val="24"/>
        </w:rPr>
        <w:fldChar w:fldCharType="separate"/>
      </w:r>
      <w:r w:rsidR="0079036A" w:rsidRPr="0079036A">
        <w:rPr>
          <w:rFonts w:asciiTheme="majorBidi" w:eastAsia="Times New Roman" w:hAnsiTheme="majorBidi" w:cstheme="majorBidi"/>
          <w:noProof/>
          <w:sz w:val="24"/>
          <w:szCs w:val="24"/>
        </w:rPr>
        <w:t>(5,6)</w:t>
      </w:r>
      <w:r w:rsidR="00CE0C13" w:rsidRPr="00F00BC5">
        <w:rPr>
          <w:rFonts w:asciiTheme="majorBidi" w:eastAsia="Times New Roman" w:hAnsiTheme="majorBidi" w:cstheme="majorBidi"/>
          <w:sz w:val="24"/>
          <w:szCs w:val="24"/>
        </w:rPr>
        <w:fldChar w:fldCharType="end"/>
      </w:r>
      <w:r w:rsidR="00CE0C13">
        <w:rPr>
          <w:rFonts w:asciiTheme="majorBidi" w:eastAsia="Times New Roman" w:hAnsiTheme="majorBidi" w:cstheme="majorBidi"/>
          <w:sz w:val="24"/>
          <w:szCs w:val="24"/>
        </w:rPr>
        <w:t>.</w:t>
      </w:r>
      <w:r w:rsidR="00A4250E">
        <w:rPr>
          <w:rFonts w:asciiTheme="majorBidi" w:eastAsia="Times New Roman" w:hAnsiTheme="majorBidi" w:cs="Times New Roman"/>
          <w:sz w:val="24"/>
          <w:szCs w:val="24"/>
        </w:rPr>
        <w:t xml:space="preserve"> </w:t>
      </w:r>
    </w:p>
    <w:p w14:paraId="420DF24A" w14:textId="312E0E70" w:rsidR="001F3C5F" w:rsidRPr="00F00BC5" w:rsidRDefault="001F3C5F"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imes New Roman"/>
          <w:sz w:val="24"/>
          <w:szCs w:val="24"/>
        </w:rPr>
        <w:t xml:space="preserve">Evaluation of malignancy risk in </w:t>
      </w:r>
      <w:r w:rsidR="008E3EEB" w:rsidRPr="00F00BC5">
        <w:rPr>
          <w:rFonts w:asciiTheme="majorBidi" w:eastAsia="Times New Roman" w:hAnsiTheme="majorBidi" w:cstheme="majorBidi"/>
          <w:sz w:val="24"/>
          <w:szCs w:val="24"/>
        </w:rPr>
        <w:t>INC</w:t>
      </w:r>
      <w:r w:rsidRPr="00F00BC5">
        <w:rPr>
          <w:rFonts w:asciiTheme="majorBidi" w:eastAsia="Times New Roman" w:hAnsiTheme="majorBidi" w:cs="Times New Roman"/>
          <w:sz w:val="24"/>
          <w:szCs w:val="24"/>
        </w:rPr>
        <w:t xml:space="preserve"> nodules includes consideration of worrisome clinical and sonographic features and repeat of FNA with or without molecular testing. Surgery is a valid</w:t>
      </w:r>
      <w:r w:rsidR="00494228">
        <w:rPr>
          <w:rFonts w:asciiTheme="majorBidi" w:eastAsia="Times New Roman" w:hAnsiTheme="majorBidi" w:cs="Times New Roman"/>
          <w:sz w:val="24"/>
          <w:szCs w:val="24"/>
        </w:rPr>
        <w:t xml:space="preserve"> option</w:t>
      </w:r>
      <w:r w:rsidRPr="00F00BC5">
        <w:rPr>
          <w:rFonts w:asciiTheme="majorBidi" w:eastAsia="Times New Roman" w:hAnsiTheme="majorBidi" w:cs="Times New Roman"/>
          <w:sz w:val="24"/>
          <w:szCs w:val="24"/>
        </w:rPr>
        <w:t xml:space="preserve"> </w:t>
      </w:r>
      <w:r w:rsidR="00494228">
        <w:rPr>
          <w:rFonts w:asciiTheme="majorBidi" w:eastAsia="Times New Roman" w:hAnsiTheme="majorBidi" w:cs="Times New Roman"/>
          <w:sz w:val="24"/>
          <w:szCs w:val="24"/>
        </w:rPr>
        <w:t>when</w:t>
      </w:r>
      <w:r w:rsidRPr="00F00BC5">
        <w:rPr>
          <w:rFonts w:asciiTheme="majorBidi" w:eastAsia="Times New Roman" w:hAnsiTheme="majorBidi" w:cs="Times New Roman"/>
          <w:sz w:val="24"/>
          <w:szCs w:val="24"/>
        </w:rPr>
        <w:t xml:space="preserve"> repeat FNA </w:t>
      </w:r>
      <w:r w:rsidR="0011556B">
        <w:rPr>
          <w:rFonts w:asciiTheme="majorBidi" w:eastAsia="Times New Roman" w:hAnsiTheme="majorBidi" w:cs="Times New Roman"/>
          <w:sz w:val="24"/>
          <w:szCs w:val="24"/>
        </w:rPr>
        <w:t xml:space="preserve">for </w:t>
      </w:r>
      <w:r w:rsidRPr="00F00BC5">
        <w:rPr>
          <w:rFonts w:asciiTheme="majorBidi" w:eastAsia="Times New Roman" w:hAnsiTheme="majorBidi" w:cs="Times New Roman"/>
          <w:sz w:val="24"/>
          <w:szCs w:val="24"/>
        </w:rPr>
        <w:t>cytology and/or molecular testing are inconclusive or not preformed</w:t>
      </w:r>
      <w:r w:rsidR="00D46EB6" w:rsidRPr="00F00BC5">
        <w:rPr>
          <w:rFonts w:asciiTheme="majorBidi" w:eastAsia="Times New Roman" w:hAnsiTheme="majorBidi" w:cs="Times New Roman"/>
          <w:sz w:val="24"/>
          <w:szCs w:val="24"/>
        </w:rPr>
        <w:t xml:space="preserve"> </w:t>
      </w:r>
      <w:r w:rsidR="00D46EB6" w:rsidRPr="00F00BC5">
        <w:rPr>
          <w:rFonts w:asciiTheme="majorBidi" w:eastAsia="Times New Roman" w:hAnsiTheme="majorBidi" w:cs="Times New Roman"/>
          <w:sz w:val="24"/>
          <w:szCs w:val="24"/>
        </w:rPr>
        <w:fldChar w:fldCharType="begin" w:fldLock="1"/>
      </w:r>
      <w:r w:rsidR="00DD61D2">
        <w:rPr>
          <w:rFonts w:asciiTheme="majorBidi" w:eastAsia="Times New Roman" w:hAnsiTheme="majorBidi" w:cs="Times New Roman"/>
          <w:sz w:val="24"/>
          <w:szCs w:val="24"/>
        </w:rPr>
        <w:instrText>ADDIN CSL_CITATION {"citationItems":[{"id":"ITEM-1","itemData":{"DOI":"10.1089/thy.2017.0500","author":[{"dropping-particle":"","family":"Edmund S. Cibas and Syed Z. Ali","given":"","non-dropping-particle":"","parse-names":false,"suffix":""}],"id":"ITEM-1","issue":"11","issued":{"date-parts":[["2017"]]},"page":"1341-1346","title":"The 2017 Bethesda System for Reporting Thyroid Cytopathology","type":"article-journal","volume":"27"},"uris":["http://www.mendeley.com/documents/?uuid=7c98f77a-e8f1-4450-9b07-d24f64f106f9"]}],"mendeley":{"formattedCitation":"(6)","plainTextFormattedCitation":"(6)","previouslyFormattedCitation":"(6)"},"properties":{"noteIndex":0},"schema":"https://github.com/citation-style-language/schema/raw/master/csl-citation.json"}</w:instrText>
      </w:r>
      <w:r w:rsidR="00D46EB6" w:rsidRPr="00F00BC5">
        <w:rPr>
          <w:rFonts w:asciiTheme="majorBidi" w:eastAsia="Times New Roman" w:hAnsiTheme="majorBidi" w:cs="Times New Roman"/>
          <w:sz w:val="24"/>
          <w:szCs w:val="24"/>
        </w:rPr>
        <w:fldChar w:fldCharType="separate"/>
      </w:r>
      <w:r w:rsidR="00DD61D2" w:rsidRPr="00DD61D2">
        <w:rPr>
          <w:rFonts w:asciiTheme="majorBidi" w:eastAsia="Times New Roman" w:hAnsiTheme="majorBidi" w:cs="Times New Roman"/>
          <w:noProof/>
          <w:sz w:val="24"/>
          <w:szCs w:val="24"/>
        </w:rPr>
        <w:t>(6)</w:t>
      </w:r>
      <w:r w:rsidR="00D46EB6" w:rsidRPr="00F00BC5">
        <w:rPr>
          <w:rFonts w:asciiTheme="majorBidi" w:eastAsia="Times New Roman" w:hAnsiTheme="majorBidi" w:cs="Times New Roman"/>
          <w:sz w:val="24"/>
          <w:szCs w:val="24"/>
        </w:rPr>
        <w:fldChar w:fldCharType="end"/>
      </w:r>
      <w:r w:rsidRPr="00F00BC5">
        <w:rPr>
          <w:rFonts w:asciiTheme="majorBidi" w:eastAsia="Times New Roman" w:hAnsiTheme="majorBidi" w:cs="Times New Roman"/>
          <w:sz w:val="24"/>
          <w:szCs w:val="24"/>
        </w:rPr>
        <w:t>.</w:t>
      </w:r>
      <w:r w:rsidR="0011556B">
        <w:rPr>
          <w:rFonts w:asciiTheme="majorBidi" w:eastAsia="Times New Roman" w:hAnsiTheme="majorBidi" w:cs="Times New Roman"/>
          <w:sz w:val="24"/>
          <w:szCs w:val="24"/>
        </w:rPr>
        <w:t xml:space="preserve"> </w:t>
      </w:r>
      <w:r w:rsidRPr="00F00BC5">
        <w:rPr>
          <w:rFonts w:asciiTheme="majorBidi" w:eastAsia="Times New Roman" w:hAnsiTheme="majorBidi" w:cs="Times New Roman"/>
          <w:sz w:val="24"/>
          <w:szCs w:val="24"/>
        </w:rPr>
        <w:t>Indications for surgical intervention in cases of MNG are not as clear</w:t>
      </w:r>
      <w:r w:rsidR="00801637">
        <w:rPr>
          <w:rFonts w:asciiTheme="majorBidi" w:eastAsia="Times New Roman" w:hAnsiTheme="majorBidi" w:cs="Times New Roman"/>
          <w:sz w:val="24"/>
          <w:szCs w:val="24"/>
        </w:rPr>
        <w:t>-cut</w:t>
      </w:r>
      <w:r w:rsidRPr="00F00BC5">
        <w:rPr>
          <w:rFonts w:asciiTheme="majorBidi" w:eastAsia="Times New Roman" w:hAnsiTheme="majorBidi" w:cs="Times New Roman"/>
          <w:sz w:val="24"/>
          <w:szCs w:val="24"/>
        </w:rPr>
        <w:t xml:space="preserve">. </w:t>
      </w:r>
      <w:r w:rsidR="0078222B">
        <w:rPr>
          <w:rFonts w:asciiTheme="majorBidi" w:eastAsia="Times New Roman" w:hAnsiTheme="majorBidi" w:cstheme="majorBidi"/>
          <w:sz w:val="24"/>
          <w:szCs w:val="24"/>
        </w:rPr>
        <w:t>S</w:t>
      </w:r>
      <w:r w:rsidRPr="00F00BC5">
        <w:rPr>
          <w:rFonts w:asciiTheme="majorBidi" w:eastAsia="Times New Roman" w:hAnsiTheme="majorBidi" w:cstheme="majorBidi"/>
          <w:sz w:val="24"/>
          <w:szCs w:val="24"/>
        </w:rPr>
        <w:t xml:space="preserve">urgery may be considered for patients with large MNG causing respiratory or swallowing compromise or for esthetic </w:t>
      </w:r>
      <w:r w:rsidR="00801637">
        <w:rPr>
          <w:rFonts w:asciiTheme="majorBidi" w:eastAsia="Times New Roman" w:hAnsiTheme="majorBidi" w:cstheme="majorBidi"/>
          <w:sz w:val="24"/>
          <w:szCs w:val="24"/>
        </w:rPr>
        <w:t>deformation</w:t>
      </w:r>
      <w:r w:rsidR="00801637" w:rsidRPr="00F00BC5">
        <w:rPr>
          <w:rFonts w:asciiTheme="majorBidi" w:eastAsia="Times New Roman" w:hAnsiTheme="majorBidi" w:cstheme="majorBidi"/>
          <w:sz w:val="24"/>
          <w:szCs w:val="24"/>
        </w:rPr>
        <w:t xml:space="preserve"> </w:t>
      </w:r>
      <w:r w:rsidR="00D46EB6" w:rsidRPr="00F00BC5">
        <w:rPr>
          <w:rFonts w:asciiTheme="majorBidi" w:eastAsia="Times New Roman" w:hAnsiTheme="majorBidi" w:cstheme="majorBidi"/>
          <w:sz w:val="24"/>
          <w:szCs w:val="24"/>
        </w:rPr>
        <w:fldChar w:fldCharType="begin" w:fldLock="1"/>
      </w:r>
      <w:r w:rsidR="00DD61D2">
        <w:rPr>
          <w:rFonts w:asciiTheme="majorBidi" w:eastAsia="Times New Roman" w:hAnsiTheme="majorBidi" w:cstheme="majorBidi"/>
          <w:sz w:val="24"/>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S.","non-dropping-particle":"","parse-names":false,"suffix":""}],"container-title":"JAMA","id":"ITEM-2","issue":"9","issued":{"date-parts":[["2018","3","6"]]},"page":"914-924","publisher":"American Medical Association","title":"The Diagnosis and Management of Thyroid Nodules: A Review","type":"article-journal","volume":"319"},"uris":["http://www.mendeley.com/documents/?uuid=f97d057a-d80a-31e2-b100-6f19c8e18eda"]}],"mendeley":{"formattedCitation":"(3,4)","plainTextFormattedCitation":"(3,4)","previouslyFormattedCitation":"(3,4)"},"properties":{"noteIndex":0},"schema":"https://github.com/citation-style-language/schema/raw/master/csl-citation.json"}</w:instrText>
      </w:r>
      <w:r w:rsidR="00D46EB6" w:rsidRPr="00F00BC5">
        <w:rPr>
          <w:rFonts w:asciiTheme="majorBidi" w:eastAsia="Times New Roman" w:hAnsiTheme="majorBidi" w:cstheme="majorBidi"/>
          <w:sz w:val="24"/>
          <w:szCs w:val="24"/>
        </w:rPr>
        <w:fldChar w:fldCharType="separate"/>
      </w:r>
      <w:r w:rsidR="00DD61D2" w:rsidRPr="00DD61D2">
        <w:rPr>
          <w:rFonts w:asciiTheme="majorBidi" w:eastAsia="Times New Roman" w:hAnsiTheme="majorBidi" w:cstheme="majorBidi"/>
          <w:noProof/>
          <w:sz w:val="24"/>
          <w:szCs w:val="24"/>
        </w:rPr>
        <w:t>(3,4)</w:t>
      </w:r>
      <w:r w:rsidR="00D46EB6" w:rsidRPr="00F00BC5">
        <w:rPr>
          <w:rFonts w:asciiTheme="majorBidi" w:eastAsia="Times New Roman" w:hAnsiTheme="majorBidi" w:cstheme="majorBidi"/>
          <w:sz w:val="24"/>
          <w:szCs w:val="24"/>
        </w:rPr>
        <w:fldChar w:fldCharType="end"/>
      </w:r>
      <w:r w:rsidRPr="00F00BC5">
        <w:rPr>
          <w:rFonts w:asciiTheme="majorBidi" w:eastAsia="Times New Roman" w:hAnsiTheme="majorBidi" w:cstheme="majorBidi"/>
          <w:sz w:val="24"/>
          <w:szCs w:val="24"/>
        </w:rPr>
        <w:t xml:space="preserve">. </w:t>
      </w:r>
    </w:p>
    <w:p w14:paraId="0BE1779E" w14:textId="7BA4357B" w:rsidR="00AC2024" w:rsidRDefault="00AC2024" w:rsidP="00D8720C">
      <w:pPr>
        <w:bidi w:val="0"/>
        <w:spacing w:line="480" w:lineRule="auto"/>
        <w:rPr>
          <w:rFonts w:asciiTheme="majorBidi" w:eastAsia="Times New Roman" w:hAnsiTheme="majorBidi" w:cstheme="majorBidi"/>
          <w:sz w:val="24"/>
          <w:szCs w:val="24"/>
        </w:rPr>
      </w:pPr>
      <w:bookmarkStart w:id="1" w:name="_Hlk96921282"/>
      <w:r w:rsidRPr="00AC2024">
        <w:rPr>
          <w:rFonts w:asciiTheme="majorBidi" w:eastAsia="Times New Roman" w:hAnsiTheme="majorBidi" w:cstheme="majorBidi"/>
          <w:sz w:val="24"/>
          <w:szCs w:val="24"/>
        </w:rPr>
        <w:t xml:space="preserve">Thyroglobulin (Tg), a storage protein, crucial for thyroid hormones biogenesis, is synthesized exclusively by thyroid follicular cells and released to the serum along with thyroid hormones. In patients after thyroidectomy for DTC it serves as a specific tumor marker </w:t>
      </w:r>
      <w:r w:rsidR="00DD61D2">
        <w:rPr>
          <w:rFonts w:asciiTheme="majorBidi" w:eastAsia="Times New Roman" w:hAnsiTheme="majorBidi" w:cstheme="majorBidi"/>
          <w:sz w:val="24"/>
          <w:szCs w:val="24"/>
        </w:rPr>
        <w:fldChar w:fldCharType="begin" w:fldLock="1"/>
      </w:r>
      <w:r w:rsidR="00DD61D2">
        <w:rPr>
          <w:rFonts w:asciiTheme="majorBidi" w:eastAsia="Times New Roman" w:hAnsiTheme="majorBidi" w:cstheme="majorBidi"/>
          <w:sz w:val="24"/>
          <w:szCs w:val="24"/>
        </w:rPr>
        <w:instrText>ADDIN CSL_CITATION {"citationItems":[{"id":"ITEM-1","itemData":{"DOI":"10.4331/wjbc.v8.i1.81","ISSN":"1949-8454","abstract":"It is worthwhile to measure serum thyroglobulin (TG) level in thyroid cancer before subjecting patients to surgery for two reasons. Firstly, if the level is high, it may give a clue to the local and metastatic tumour burden at presentation; secondly, if the level is normal, it identifies the patients who are unlikely to show rising TG levels in the presence of thyroid cancer. Those who have high serum TG before surgery will show up recurrence as rising serum TG during the postoperative period. Those who do not have high serum TG before surgery will not show up rising serum TG in the presence of recurrent disease. In the latter situation, normal TG level gives only a false reassurance regarding recurrence of disease. Nevertheless, rising serum TG during the postoperative period must be interpreted cautiously because this could be due to the enlargement of non-cancerous residual thyroid tissue inadvertently left behind during surgery.","author":[{"dropping-particle":"","family":"Indrasena","given":"Buddhike Sri Harsha","non-dropping-particle":"","parse-names":false,"suffix":""}],"container-title":"World Journal of Biological Chemistry","id":"ITEM-1","issue":"1","issued":{"date-parts":[["2017"]]},"page":"81","title":"Use of thyroglobulin as a tumour marker","type":"article-journal","volume":"8"},"uris":["http://www.mendeley.com/documents/?uuid=bd659c6a-1661-4091-8ec2-51fb039810b9"]}],"mendeley":{"formattedCitation":"(7)","plainTextFormattedCitation":"(7)","previouslyFormattedCitation":"(7)"},"properties":{"noteIndex":0},"schema":"https://github.com/citation-style-language/schema/raw/master/csl-citation.json"}</w:instrText>
      </w:r>
      <w:r w:rsidR="00DD61D2">
        <w:rPr>
          <w:rFonts w:asciiTheme="majorBidi" w:eastAsia="Times New Roman" w:hAnsiTheme="majorBidi" w:cstheme="majorBidi"/>
          <w:sz w:val="24"/>
          <w:szCs w:val="24"/>
        </w:rPr>
        <w:fldChar w:fldCharType="separate"/>
      </w:r>
      <w:r w:rsidR="00DD61D2" w:rsidRPr="00DD61D2">
        <w:rPr>
          <w:rFonts w:asciiTheme="majorBidi" w:eastAsia="Times New Roman" w:hAnsiTheme="majorBidi" w:cstheme="majorBidi"/>
          <w:noProof/>
          <w:sz w:val="24"/>
          <w:szCs w:val="24"/>
        </w:rPr>
        <w:t>(7)</w:t>
      </w:r>
      <w:r w:rsidR="00DD61D2">
        <w:rPr>
          <w:rFonts w:asciiTheme="majorBidi" w:eastAsia="Times New Roman" w:hAnsiTheme="majorBidi" w:cstheme="majorBidi"/>
          <w:sz w:val="24"/>
          <w:szCs w:val="24"/>
        </w:rPr>
        <w:fldChar w:fldCharType="end"/>
      </w:r>
      <w:r w:rsidRPr="00AC2024">
        <w:rPr>
          <w:rFonts w:asciiTheme="majorBidi" w:eastAsia="Times New Roman" w:hAnsiTheme="majorBidi" w:cstheme="majorBidi"/>
          <w:sz w:val="24"/>
          <w:szCs w:val="24"/>
        </w:rPr>
        <w:t xml:space="preserve">. Elevated serum Tg concentration can be the result of several thyroid pathologies other than DTC including Grave’s disease, toxic adenoma, thyroiditis and benign nodular thyroid disease </w:t>
      </w:r>
      <w:r w:rsidR="00DD61D2">
        <w:rPr>
          <w:rFonts w:asciiTheme="majorBidi" w:eastAsia="Times New Roman" w:hAnsiTheme="majorBidi" w:cstheme="majorBidi"/>
          <w:sz w:val="24"/>
          <w:szCs w:val="24"/>
        </w:rPr>
        <w:fldChar w:fldCharType="begin" w:fldLock="1"/>
      </w:r>
      <w:r w:rsidR="00DD61D2">
        <w:rPr>
          <w:rFonts w:asciiTheme="majorBidi" w:eastAsia="Times New Roman" w:hAnsiTheme="majorBidi" w:cstheme="majorBidi"/>
          <w:sz w:val="24"/>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10.1055/s-0034-1395517","ISSN":"0018-5043","author":[{"dropping-particle":"","family":"Trimboli","given":"P.","non-dropping-particle":"","parse-names":false,"suffix":""},{"dropping-particle":"","family":"Treglia","given":"G.","non-dropping-particle":"","parse-names":false,"suffix":""},{"dropping-particle":"","family":"Giovanella","given":"L.","non-dropping-particle":"","parse-names":false,"suffix":""}],"container-title":"Hormone and Metabolic Research","id":"ITEM-2","issue":"04","issued":{"date-parts":[["2014","11","10"]]},"page":"247-252","title":"Preoperative Measurement of Serum Thyroglobulin to Predict Malignancy in Thyroid Nodules: A Systematic Review","type":"article-journal","volume":"47"},"uris":["http://www.mendeley.com/documents/?uuid=c22bf352-a470-3a63-b116-ac06551dd80a"]},{"id":"ITEM-3","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S.","non-dropping-particle":"","parse-names":false,"suffix":""}],"container-title":"JAMA","id":"ITEM-3","issue":"9","issued":{"date-parts":[["2018","3","6"]]},"page":"914-924","publisher":"American Medical Association","title":"The Diagnosis and Management of Thyroid Nodules: A Review","type":"article-journal","volume":"319"},"uris":["http://www.mendeley.com/documents/?uuid=f97d057a-d80a-31e2-b100-6f19c8e18eda"]}],"mendeley":{"formattedCitation":"(3,4,8)","plainTextFormattedCitation":"(3,4,8)","previouslyFormattedCitation":"(3,4,8)"},"properties":{"noteIndex":0},"schema":"https://github.com/citation-style-language/schema/raw/master/csl-citation.json"}</w:instrText>
      </w:r>
      <w:r w:rsidR="00DD61D2">
        <w:rPr>
          <w:rFonts w:asciiTheme="majorBidi" w:eastAsia="Times New Roman" w:hAnsiTheme="majorBidi" w:cstheme="majorBidi"/>
          <w:sz w:val="24"/>
          <w:szCs w:val="24"/>
        </w:rPr>
        <w:fldChar w:fldCharType="separate"/>
      </w:r>
      <w:r w:rsidR="00DD61D2" w:rsidRPr="00DD61D2">
        <w:rPr>
          <w:rFonts w:asciiTheme="majorBidi" w:eastAsia="Times New Roman" w:hAnsiTheme="majorBidi" w:cstheme="majorBidi"/>
          <w:noProof/>
          <w:sz w:val="24"/>
          <w:szCs w:val="24"/>
        </w:rPr>
        <w:t>(3,4,8)</w:t>
      </w:r>
      <w:r w:rsidR="00DD61D2">
        <w:rPr>
          <w:rFonts w:asciiTheme="majorBidi" w:eastAsia="Times New Roman" w:hAnsiTheme="majorBidi" w:cstheme="majorBidi"/>
          <w:sz w:val="24"/>
          <w:szCs w:val="24"/>
        </w:rPr>
        <w:fldChar w:fldCharType="end"/>
      </w:r>
      <w:r w:rsidRPr="00AC2024">
        <w:rPr>
          <w:rFonts w:asciiTheme="majorBidi" w:eastAsia="Times New Roman" w:hAnsiTheme="majorBidi" w:cstheme="majorBidi"/>
          <w:sz w:val="24"/>
          <w:szCs w:val="24"/>
        </w:rPr>
        <w:t xml:space="preserve">.  Importantly, anti-Tg- antibodies (Tg-Ab) may interfere with Tg measurements producing falsely low Tg concentration </w:t>
      </w:r>
      <w:r w:rsidR="00DD61D2">
        <w:rPr>
          <w:rFonts w:asciiTheme="majorBidi" w:eastAsia="Times New Roman" w:hAnsiTheme="majorBidi" w:cstheme="majorBidi"/>
          <w:sz w:val="24"/>
          <w:szCs w:val="24"/>
        </w:rPr>
        <w:fldChar w:fldCharType="begin" w:fldLock="1"/>
      </w:r>
      <w:r w:rsidR="00DD61D2">
        <w:rPr>
          <w:rFonts w:asciiTheme="majorBidi" w:eastAsia="Times New Roman" w:hAnsiTheme="majorBidi" w:cstheme="majorBidi"/>
          <w:sz w:val="24"/>
          <w:szCs w:val="24"/>
        </w:rPr>
        <w:instrText>ADDIN CSL_CITATION {"citationItems":[{"id":"ITEM-1","itemData":{"DOI":"10.3904/kjim.2018.289","ISSN":"20056648","PMID":"30396251","abstract":"Thyroglobulin antibody (TgAb) is a class G immunoglobulin and a conventional marker for thyroid autoimmunity. From a clinical perspective, TgAb is less useful than thyroid peroxidase antibodies for predicting thyroid dysfunction. However, TgAb is found more frequently in differentiated thyroid cancer (DTC) and can interfere with thyroglobulin (Tg) measurements, which are used to monitor the recurrence or persistence of DTC. Recent studies suggested a small but consistent role for preoperative TgAb in predicting DTC in thyroid nodules, and in reflecting adverse tumor characteristics or prognosis, including lymph node metastasis, but this is still controversial. Postoperative TgAb can serve as a biomarker for remnant thyroid tissue, so follow-up measures of TgAb are useful for predicting cancer recurrence in DTC patients. Since high serum TgAb levels may also affect the fine needle aspiration washout Tg levels from suspicious lymph nodes of DTC patients, it is important to use caution when interpreting the washout Tg levels in patients who are positive for TgAb.","author":[{"dropping-particle":"","family":"Jo","given":"Kwanhoon","non-dropping-particle":"","parse-names":false,"suffix":""},{"dropping-particle":"","family":"Lim","given":"Dong Jun","non-dropping-particle":"","parse-names":false,"suffix":""}],"container-title":"Korean Journal of Internal Medicine","id":"ITEM-1","issue":"6","issued":{"date-parts":[["2018"]]},"page":"1050-1057","title":"Clinical implications of anti-thyroglobulin antibody measurement before surgery in thyroid cancer","type":"article-journal","volume":"33"},"uris":["http://www.mendeley.com/documents/?uuid=0b918ecb-7b48-499e-b745-e2cd34b7c7e0"]}],"mendeley":{"formattedCitation":"(9)","plainTextFormattedCitation":"(9)","previouslyFormattedCitation":"(9)"},"properties":{"noteIndex":0},"schema":"https://github.com/citation-style-language/schema/raw/master/csl-citation.json"}</w:instrText>
      </w:r>
      <w:r w:rsidR="00DD61D2">
        <w:rPr>
          <w:rFonts w:asciiTheme="majorBidi" w:eastAsia="Times New Roman" w:hAnsiTheme="majorBidi" w:cstheme="majorBidi"/>
          <w:sz w:val="24"/>
          <w:szCs w:val="24"/>
        </w:rPr>
        <w:fldChar w:fldCharType="separate"/>
      </w:r>
      <w:r w:rsidR="00DD61D2" w:rsidRPr="00DD61D2">
        <w:rPr>
          <w:rFonts w:asciiTheme="majorBidi" w:eastAsia="Times New Roman" w:hAnsiTheme="majorBidi" w:cstheme="majorBidi"/>
          <w:noProof/>
          <w:sz w:val="24"/>
          <w:szCs w:val="24"/>
        </w:rPr>
        <w:t>(9)</w:t>
      </w:r>
      <w:r w:rsidR="00DD61D2">
        <w:rPr>
          <w:rFonts w:asciiTheme="majorBidi" w:eastAsia="Times New Roman" w:hAnsiTheme="majorBidi" w:cstheme="majorBidi"/>
          <w:sz w:val="24"/>
          <w:szCs w:val="24"/>
        </w:rPr>
        <w:fldChar w:fldCharType="end"/>
      </w:r>
      <w:r w:rsidRPr="00AC2024">
        <w:rPr>
          <w:rFonts w:asciiTheme="majorBidi" w:eastAsia="Times New Roman" w:hAnsiTheme="majorBidi" w:cstheme="majorBidi"/>
          <w:sz w:val="24"/>
          <w:szCs w:val="24"/>
        </w:rPr>
        <w:t xml:space="preserve">. Whether serum Tg concentration may serve as a predictor for DTC in patients evaluated for a TN or MNG is controversial. Different cut-off values for Tg which may discriminate malignant from benign nodules were offered by several research groups. However, these suggested Tg cut-off values differed significantly from 75 to 1000 ng/ml </w:t>
      </w:r>
      <w:r w:rsidR="00CC5152">
        <w:rPr>
          <w:rFonts w:asciiTheme="majorBidi" w:eastAsia="Times New Roman" w:hAnsiTheme="majorBidi" w:cstheme="majorBidi"/>
          <w:sz w:val="24"/>
          <w:szCs w:val="24"/>
        </w:rPr>
        <w:fldChar w:fldCharType="begin" w:fldLock="1"/>
      </w:r>
      <w:r w:rsidR="00520AB1">
        <w:rPr>
          <w:rFonts w:asciiTheme="majorBidi" w:eastAsia="Times New Roman" w:hAnsiTheme="majorBidi" w:cstheme="majorBidi"/>
          <w:sz w:val="24"/>
          <w:szCs w:val="24"/>
        </w:rPr>
        <w:instrText>ADDIN CSL_CITATION {"citationItems":[{"id":"ITEM-1","itemData":{"DOI":"10.3346/jkms.2012.27.9.1014","ISSN":"1598-6357","PMID":"22969246","abstract":"Indeterminate cytology results increase the number of repetitive procedure and unnecessary surgery. This study was designed to find useful and simple predictive tools to differentiate malignant thyroid nodules from indeterminate nodules. We retrospectively enrolled 164 patients who had undergone thyroid surgery as a result of indeterminate cytology in the National Cancer Center. We reviewed patients' age at diagnosis, sex, preoperative biochemical markers such as thyroglobulin (Tg), anti-Tg antibody, free T4 and TSH level, and sonographical and pathological findings, which were subjected to statistical analysis. We found several clinical and sonographical predictive factors that showed significant differences. Young age, male, preoperative high Tg level, and hypoechoic nodule on sonography all increased cancer probability significantly in multivariate analysis. With a cut-off value of 187.5 ng/mL Tg, sensitivity and specificity were 54.8% and 90.1%, respectively (AUC 0.748, P &lt; 0.001). In the case of nodule size &gt; 1.7 cm, elevated serum Tg predicts the risk of malignancy; especially Tg &gt; 70 ng/mL (odds ratio 3.245, 95% confidence interval 1.115-9.450, P = 0.038). Preoperative Tg levels had very high specificity in predicting thyroid cancer in case of suspicious follicular neoplasm. Therefore, Tg levels may be a useful marker for differentiating thyroid cancer from benign thyroid nodules in the cytological diagnosis of indeterminate nodules.","author":[{"dropping-particle":"","family":"Lee","given":"Eun Kyung","non-dropping-particle":"","parse-names":false,"suffix":""},{"dropping-particle":"","family":"Chung","given":"Ki-Wook","non-dropping-particle":"","parse-names":false,"suffix":""},{"dropping-particle":"","family":"Min","given":"Hye Sook","non-dropping-particle":"","parse-names":false,"suffix":""},{"dropping-particle":"","family":"Kim","given":"Tae Sung","non-dropping-particle":"","parse-names":false,"suffix":""},{"dropping-particle":"","family":"Kim","given":"Tae Hyun","non-dropping-particle":"","parse-names":false,"suffix":""},{"dropping-particle":"","family":"Ryu","given":"Jun Sun","non-dropping-particle":"","parse-names":false,"suffix":""},{"dropping-particle":"","family":"Jung","given":"Yoo Seok","non-dropping-particle":"","parse-names":false,"suffix":""},{"dropping-particle":"","family":"Kim","given":"Seok Ki","non-dropping-particle":"","parse-names":false,"suffix":""},{"dropping-particle":"","family":"Lee","given":"You Jin","non-dropping-particle":"","parse-names":false,"suffix":""}],"container-title":"Journal of Korean medical science","id":"ITEM-1","issue":"9","issued":{"date-parts":[["2012","9"]]},"page":"1014-8","publisher":"Korean Academy of Medical Sciences","title":"Preoperative serum thyroglobulin as a useful predictive marker to differentiate follicular thyroid cancer from benign nodules in indeterminate nodules.","type":"article-journal","volume":"27"},"uris":["http://www.mendeley.com/documents/?uuid=d6164c02-66b7-3f0b-88ec-e401b2884013"]},{"id":"ITEM-2","itemData":{"DOI":"10.14639/0392-100X-N0276","ISSN":"1827675X","PMID":"32275647","abstract":"Although thyroid nodule is a common presentation, malignancy is rare. The present study investigated biochemical predictors of malignancy in enlarged thyroid. This is a prospective study of all willing patients 18 to 70 years presenting with a complaint of thyroid swelling and who underwent definitive surgery over a period of 19 months. All subjects were initially evaluated with detailed history, physical examination, ultrasonography of neck and fine needle aspiration cytology (FNAC). Preoperative estimation of serum thyroid stimulating hormone (TSH), thyroglobulin (Tg) and anti-thyroglobulin (anti Tg) antibody was obtained. The treatment plan was based on FNAC results and included hemi-or total thyroidectomy. During the study period, 110 patients underwent thyroidectomy, and met the selection criteria, of which 47 patients had malignancy on final histopathology. The majority were females, 30 to 60 years old. Median serum Tg, TSH and anti Tg levels in the benign group were, respectively 29 ng/ml, 1,6 mIU/L and 1,1 IU/ml, whereas in malignant nodules they were 162 ng/ml. 1,7 mIU/L and 0,9 IU/ml. On receiver operating characteristic curve analysis, a Tg cut off value of 53 ng/ml predicted malignancy risk with a sensitivity and specificity of 72% and 73%, respectively (p &lt; 0.001). Our study showed the utility of preoperative Tg in predicting risk of malignancy. Its role should be further explored especially in the backdrop of indeterminate cytology through a larger study.","author":[{"dropping-particle":"","family":"Hulikal","given":"Narendra","non-dropping-particle":"","parse-names":false,"suffix":""},{"dropping-particle":"","family":"Azhagamuthu","given":"R. E.","non-dropping-particle":"","parse-names":false,"suffix":""},{"dropping-particle":"","family":"Banoth","given":"Manilal","non-dropping-particle":"","parse-names":false,"suffix":""},{"dropping-particle":"","family":"Chowhan","given":"Amith Kumar","non-dropping-particle":"","parse-names":false,"suffix":""},{"dropping-particle":"","family":"Yutla","given":"Mutheswaraiah","non-dropping-particle":"","parse-names":false,"suffix":""},{"dropping-particle":"","family":"Sachan","given":"Alok","non-dropping-particle":"","parse-names":false,"suffix":""}],"container-title":"Acta Otorhinolaryngologica Italica","id":"ITEM-2","issue":"1","issued":{"date-parts":[["2020"]]},"page":"33-37","title":"Can preoperative serum thyroglobulin levels predict the risk of malignancy? Results from prospective analysis of biochemical predictors of malignancy in thyroid nodules","type":"article-journal","volume":"40"},"uris":["http://www.mendeley.com/documents/?uuid=2c30efc8-17ba-4c72-96a0-3334bcc3e7e2"]},{"id":"ITEM-3","itemData":{"DOI":"10.1186/1477-7819-12-282","ISSN":"14777819","PMID":"25213012","abstract":"Background: Cytologic examination of a fine-needle aspiration biopsy specimen cannot distinguish between benign and malignant follicular or Hürthle cell neoplasms. Serum thyroglobulin (Tg) concentrations are higher in follicular and Hürthle cell carcinomas than in benign follicular or Hürthle cell tumors, but preoperative measurement of Tg is not recommended for initial evaluation of thyroid nodules. The aim of this study was to find out whether preoperative serum Tg concentration is a predictive factor of malignant disease in patients with a follicular or Hürthle cell neoplasm with a diameter of 2 cm or less. Methods: From 1988 to 2013, a total of 244 patients (214 female, 30 male, age range 9 to 82 years, median age 52 years) had a surgical procedure at our institute because of follicular or Hürthle cell neoplasms with a tumor diameter of 2 cm or less. In these patients a preoperative concentration of Tg was determined and Tg-autoantibodies were negative. The risk factors for malignancy were identified by a chi-square test and multivariate logistic regression. Results: The histopathologic diagnoses were carcinoma, adenoma, and benign goiter in 62 (25.5%), 115 (47%), and 67 (27.5%) patients, respectively. The median preoperative Tg concentration in benign tumors, papillary carcinomas, follicular carcinomas, and Hürthle cell carcinomas was 41, 87, 72, and 106 ng/ml (P = 0.05), respectively. The predictive factors for carcinoma shown by the chi-square test were: sex, thyroid volume, and preoperative Tg concentration. The independent predictors of malignancy as shown by multivariate logistic regression were: male sex (odds ratio, 2.57; P = 0.02), and a Tg concentration of more than 80 ng/ml (odds ratio, 2.35; P = 0.005). Conclusion: The independent predictors of malignancy in follicular or Hürthle cell neoplasms are sex and preoperative Tg concentration.","author":[{"dropping-particle":"","family":"Petric","given":"Rok","non-dropping-particle":"","parse-names":false,"suffix":""},{"dropping-particle":"","family":"Besic","given":"Hana","non-dropping-particle":"","parse-names":false,"suffix":""},{"dropping-particle":"","family":"Besic","given":"Nikola","non-dropping-particle":"","parse-names":false,"suffix":""}],"container-title":"World Journal of Surgical Oncology","id":"ITEM-3","issue":"1","issued":{"date-parts":[["2014"]]},"page":"1-7","title":"Preoperative serum thyroglobulin concentration as a predictive factor of malignancy in small follicular and Hürthle cell neoplasms of the thyroid gland","type":"article-journal","volume":"12"},"uris":["http://www.mendeley.com/documents/?uuid=c5626ebb-8ff5-4681-8558-5eccd62f5930"]},{"id":"ITEM-4","itemData":{"DOI":"10.1002/jso.22030","ISSN":"00224790","PMID":"21751218","abstract":"Background A distinction between a benign follicular neoplasm (FN) and a malignant FN based entirely on cytologic examination of fine-needle aspiration biopsy is not possible. The aim of this retrospective study was to find predictive factors of carcinoma in patients with FN. Methods A chart review of 388 patients (314 females, 74 males; mean age 50 years, range 9-81 years) with FN, who were surgically treated between 1988 and 2009, was performed. Predictive factors for malignancy were identified by the chi-squared test and multivariate logistic regression. Results The histopathological diagnoses were carcinoma, adenoma, and benign goiter in 127 (33%), 126 (32%), and 135 (35%) patients, respectively. The independent predictors of malignancy as shown by multivariate logistic regression were age of patients (OR 1.88, P=0.008), solitary tumor (OR 1.72, P=0.037), and Tg concentration (OR 2.36, P=0.001). Carcinoma was more common in patients younger than 45 years, with solitary tumor and with preoperative serum Tg concentration more than 400ng/ml. Conclusions The independent predictors of malignancy in FN were age of patients, solitary tumor, and preoperative Tg concentration. The determination of Tg concentration may be useful in the patients with FN in order to decrease the number of completion thyroidectomies. Copyright © 2011 Wiley Periodicals, Inc.","author":[{"dropping-particle":"","family":"Petric","given":"Rok","non-dropping-particle":"","parse-names":false,"suffix":""},{"dropping-particle":"","family":"Perhavec","given":"Andraz","non-dropping-particle":"","parse-names":false,"suffix":""},{"dropping-particle":"","family":"Gazic","given":"Barbara","non-dropping-particle":"","parse-names":false,"suffix":""},{"dropping-particle":"","family":"Besic","given":"Nikola","non-dropping-particle":"","parse-names":false,"suffix":""}],"container-title":"Journal of Surgical Oncology","id":"ITEM-4","issue":"4","issued":{"date-parts":[["2012"]]},"page":"351-356","title":"Preoperative serum thyroglobulin concentration is an independent predictive factor of malignancy in follicular neoplasms of the thyroid gland","type":"article-journal","volume":"105"},"uris":["http://www.mendeley.com/documents/?uuid=d634f4f9-f4ca-448d-86a2-309164c68a8a"]}],"mendeley":{"formattedCitation":"(10–13)","plainTextFormattedCitation":"(10–13)","previouslyFormattedCitation":"(10–13)"},"properties":{"noteIndex":0},"schema":"https://github.com/citation-style-language/schema/raw/master/csl-citation.json"}</w:instrText>
      </w:r>
      <w:r w:rsidR="00CC5152">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(10–13)</w:t>
      </w:r>
      <w:r w:rsidR="00CC5152">
        <w:rPr>
          <w:rFonts w:asciiTheme="majorBidi" w:eastAsia="Times New Roman" w:hAnsiTheme="majorBidi" w:cstheme="majorBidi"/>
          <w:sz w:val="24"/>
          <w:szCs w:val="24"/>
        </w:rPr>
        <w:fldChar w:fldCharType="end"/>
      </w:r>
      <w:r w:rsidRPr="00AC2024">
        <w:rPr>
          <w:rFonts w:asciiTheme="majorBidi" w:eastAsia="Times New Roman" w:hAnsiTheme="majorBidi" w:cstheme="majorBidi"/>
          <w:sz w:val="24"/>
          <w:szCs w:val="24"/>
        </w:rPr>
        <w:t xml:space="preserve">.  A systemic review by Trimboli et al., which addressed specifically this question, included 13 studies, 9 of them included data of TN with INC. The pulled analysis demonstrated that preoperative serum Tg concentration had suboptimal accuracy in discriminating malignant from benign nodules with a significant overlap of values between these groups. However, the authors signified that most studies showed a statistically significant higher preoperative serum Tg concentration in patients with DTC compared with those with final histology reporting benign TN. Accordingly, they conclude that Tg is an independent preoperative predictor of DTC in patients with INC </w:t>
      </w:r>
      <w:r w:rsidR="00DD61D2">
        <w:rPr>
          <w:rFonts w:asciiTheme="majorBidi" w:eastAsia="Times New Roman" w:hAnsiTheme="majorBidi" w:cstheme="majorBidi"/>
          <w:sz w:val="24"/>
          <w:szCs w:val="24"/>
        </w:rPr>
        <w:fldChar w:fldCharType="begin" w:fldLock="1"/>
      </w:r>
      <w:r w:rsidR="0079036A">
        <w:rPr>
          <w:rFonts w:asciiTheme="majorBidi" w:eastAsia="Times New Roman" w:hAnsiTheme="majorBidi" w:cstheme="majorBidi"/>
          <w:sz w:val="24"/>
          <w:szCs w:val="24"/>
        </w:rPr>
        <w:instrText>ADDIN CSL_CITATION {"citationItems":[{"id":"ITEM-1","itemData":{"DOI":"10.1055/s-0034-1395517","ISSN":"0018-5043","author":[{"dropping-particle":"","family":"Trimboli","given":"P.","non-dropping-particle":"","parse-names":false,"suffix":""},{"dropping-particle":"","family":"Treglia","given":"G.","non-dropping-particle":"","parse-names":false,"suffix":""},{"dropping-particle":"","family":"Giovanella","given":"L.","non-dropping-particle":"","parse-names":false,"suffix":""}],"container-title":"Hormone and Metabolic Research","id":"ITEM-1","issue":"04","issued":{"date-parts":[["2014","11","10"]]},"page":"247-252","title":"Preoperative Measurement of Serum Thyroglobulin to Predict Malignancy in Thyroid Nodules: A Systematic Review","type":"article-journal","volume":"47"},"uris":["http://www.mendeley.com/documents/?uuid=c22bf352-a470-3a63-b116-ac06551dd80a"]}],"mendeley":{"formattedCitation":"(8)","plainTextFormattedCitation":"(8)","previouslyFormattedCitation":"(8)"},"properties":{"noteIndex":0},"schema":"https://github.com/citation-style-language/schema/raw/master/csl-citation.json"}</w:instrText>
      </w:r>
      <w:r w:rsidR="00DD61D2">
        <w:rPr>
          <w:rFonts w:asciiTheme="majorBidi" w:eastAsia="Times New Roman" w:hAnsiTheme="majorBidi" w:cstheme="majorBidi"/>
          <w:sz w:val="24"/>
          <w:szCs w:val="24"/>
        </w:rPr>
        <w:fldChar w:fldCharType="separate"/>
      </w:r>
      <w:r w:rsidR="00DD61D2" w:rsidRPr="00DD61D2">
        <w:rPr>
          <w:rFonts w:asciiTheme="majorBidi" w:eastAsia="Times New Roman" w:hAnsiTheme="majorBidi" w:cstheme="majorBidi"/>
          <w:noProof/>
          <w:sz w:val="24"/>
          <w:szCs w:val="24"/>
        </w:rPr>
        <w:t>(8)</w:t>
      </w:r>
      <w:r w:rsidR="00DD61D2">
        <w:rPr>
          <w:rFonts w:asciiTheme="majorBidi" w:eastAsia="Times New Roman" w:hAnsiTheme="majorBidi" w:cstheme="majorBidi"/>
          <w:sz w:val="24"/>
          <w:szCs w:val="24"/>
        </w:rPr>
        <w:fldChar w:fldCharType="end"/>
      </w:r>
      <w:r w:rsidRPr="00AC2024">
        <w:rPr>
          <w:rFonts w:asciiTheme="majorBidi" w:eastAsia="Times New Roman" w:hAnsiTheme="majorBidi" w:cstheme="majorBidi"/>
          <w:sz w:val="24"/>
          <w:szCs w:val="24"/>
        </w:rPr>
        <w:t>.  Nevertheless, the 2015 American Thyroid Association (ATA) differentiated thyroid cancer guidelines, published shortly thereafter, strongly recommended against (with moderate-quality evidence) the routine measurement of serum Tg for the initial evaluation of TN, stating that “serum Tg levels can be elevated in most thyroid diseases and are an insensitive and nonspecific test for thyroid cancer”</w:t>
      </w:r>
      <w:r w:rsidR="003D4BD6">
        <w:rPr>
          <w:rFonts w:asciiTheme="majorBidi" w:eastAsia="Times New Roman" w:hAnsiTheme="majorBidi" w:cstheme="majorBidi"/>
          <w:sz w:val="24"/>
          <w:szCs w:val="24"/>
        </w:rPr>
        <w:fldChar w:fldCharType="begin" w:fldLock="1"/>
      </w:r>
      <w:r w:rsidR="003D4BD6">
        <w:rPr>
          <w:rFonts w:asciiTheme="majorBidi" w:eastAsia="Times New Roman" w:hAnsiTheme="majorBidi" w:cstheme="majorBidi"/>
          <w:sz w:val="24"/>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eviouslyFormattedCitation":"(3)"},"properties":{"noteIndex":0},"schema":"https://github.com/citation-style-language/schema/raw/master/csl-citation.json"}</w:instrText>
      </w:r>
      <w:r w:rsidR="003D4BD6">
        <w:rPr>
          <w:rFonts w:asciiTheme="majorBidi" w:eastAsia="Times New Roman" w:hAnsiTheme="majorBidi" w:cstheme="majorBidi"/>
          <w:sz w:val="24"/>
          <w:szCs w:val="24"/>
        </w:rPr>
        <w:fldChar w:fldCharType="separate"/>
      </w:r>
      <w:r w:rsidR="003D4BD6" w:rsidRPr="003D4BD6">
        <w:rPr>
          <w:rFonts w:asciiTheme="majorBidi" w:eastAsia="Times New Roman" w:hAnsiTheme="majorBidi" w:cstheme="majorBidi"/>
          <w:noProof/>
          <w:sz w:val="24"/>
          <w:szCs w:val="24"/>
        </w:rPr>
        <w:t>(3)</w:t>
      </w:r>
      <w:r w:rsidR="003D4BD6">
        <w:rPr>
          <w:rFonts w:asciiTheme="majorBidi" w:eastAsia="Times New Roman" w:hAnsiTheme="majorBidi" w:cstheme="majorBidi"/>
          <w:sz w:val="24"/>
          <w:szCs w:val="24"/>
        </w:rPr>
        <w:fldChar w:fldCharType="end"/>
      </w:r>
      <w:r w:rsidRPr="00AC2024">
        <w:rPr>
          <w:rFonts w:asciiTheme="majorBidi" w:eastAsia="Times New Roman" w:hAnsiTheme="majorBidi" w:cstheme="majorBidi"/>
          <w:sz w:val="24"/>
          <w:szCs w:val="24"/>
        </w:rPr>
        <w:t>. This recommendation however addresses TN as a whole and does not discuss specific clinical scenarios where preoperative Tg measurement may have a role.</w:t>
      </w:r>
    </w:p>
    <w:bookmarkEnd w:id="1"/>
    <w:p w14:paraId="28794BF8" w14:textId="13B54F78" w:rsidR="009A0E73" w:rsidRDefault="001F204E" w:rsidP="00D8720C">
      <w:pPr>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Regarding this controversy and </w:t>
      </w:r>
      <w:r w:rsidR="00694339">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 xml:space="preserve">the absence of ‘high-quality evidence’, we aimed </w:t>
      </w:r>
      <w:r w:rsidR="001F3C5F" w:rsidRPr="00F00BC5">
        <w:rPr>
          <w:rFonts w:asciiTheme="majorBidi" w:eastAsia="Times New Roman" w:hAnsiTheme="majorBidi" w:cstheme="majorBidi"/>
          <w:sz w:val="24"/>
          <w:szCs w:val="24"/>
        </w:rPr>
        <w:t>to assess the association between</w:t>
      </w:r>
      <w:r w:rsidR="00056BAA">
        <w:rPr>
          <w:rFonts w:asciiTheme="majorBidi" w:eastAsia="Times New Roman" w:hAnsiTheme="majorBidi" w:cstheme="majorBidi"/>
          <w:sz w:val="24"/>
          <w:szCs w:val="24"/>
        </w:rPr>
        <w:t xml:space="preserve"> preoperative serum</w:t>
      </w:r>
      <w:r w:rsidR="001F3C5F" w:rsidRPr="00F00BC5">
        <w:rPr>
          <w:rFonts w:asciiTheme="majorBidi" w:eastAsia="Times New Roman" w:hAnsiTheme="majorBidi" w:cstheme="majorBidi"/>
          <w:sz w:val="24"/>
          <w:szCs w:val="24"/>
        </w:rPr>
        <w:t xml:space="preserve"> </w:t>
      </w:r>
      <w:r w:rsidR="00056BAA">
        <w:rPr>
          <w:rFonts w:asciiTheme="majorBidi" w:eastAsia="Times New Roman" w:hAnsiTheme="majorBidi" w:cstheme="majorBidi"/>
          <w:sz w:val="24"/>
          <w:szCs w:val="24"/>
        </w:rPr>
        <w:t>Tg concentration</w:t>
      </w:r>
      <w:r w:rsidR="00056BAA" w:rsidRPr="00F00BC5">
        <w:rPr>
          <w:rFonts w:asciiTheme="majorBidi" w:eastAsia="Times New Roman" w:hAnsiTheme="majorBidi" w:cstheme="majorBidi"/>
          <w:sz w:val="24"/>
          <w:szCs w:val="24"/>
        </w:rPr>
        <w:t xml:space="preserve"> </w:t>
      </w:r>
      <w:r w:rsidR="001F3C5F" w:rsidRPr="00F00BC5">
        <w:rPr>
          <w:rFonts w:asciiTheme="majorBidi" w:eastAsia="Times New Roman" w:hAnsiTheme="majorBidi" w:cstheme="majorBidi"/>
          <w:sz w:val="24"/>
          <w:szCs w:val="24"/>
        </w:rPr>
        <w:t xml:space="preserve">and </w:t>
      </w:r>
      <w:r w:rsidR="0069499B">
        <w:rPr>
          <w:rFonts w:asciiTheme="majorBidi" w:eastAsia="Times New Roman" w:hAnsiTheme="majorBidi" w:cstheme="majorBidi"/>
          <w:sz w:val="24"/>
          <w:szCs w:val="24"/>
        </w:rPr>
        <w:t xml:space="preserve">final histology of </w:t>
      </w:r>
      <w:r w:rsidR="00043314" w:rsidRPr="00F00BC5">
        <w:rPr>
          <w:rFonts w:asciiTheme="majorBidi" w:eastAsia="Times New Roman" w:hAnsiTheme="majorBidi" w:cstheme="majorBidi"/>
          <w:sz w:val="24"/>
          <w:szCs w:val="24"/>
        </w:rPr>
        <w:t>DTC</w:t>
      </w:r>
      <w:r w:rsidR="00B04A4C">
        <w:rPr>
          <w:rFonts w:asciiTheme="majorBidi" w:eastAsia="Times New Roman" w:hAnsiTheme="majorBidi" w:cstheme="majorBidi"/>
          <w:sz w:val="24"/>
          <w:szCs w:val="24"/>
        </w:rPr>
        <w:t xml:space="preserve"> </w:t>
      </w:r>
      <w:r w:rsidR="006057E5" w:rsidRPr="00F00BC5">
        <w:rPr>
          <w:rFonts w:asciiTheme="majorBidi" w:eastAsia="Times New Roman" w:hAnsiTheme="majorBidi" w:cstheme="majorBidi"/>
          <w:sz w:val="24"/>
          <w:szCs w:val="24"/>
        </w:rPr>
        <w:t>in</w:t>
      </w:r>
      <w:r w:rsidR="001F3C5F" w:rsidRPr="00F00BC5">
        <w:rPr>
          <w:rFonts w:asciiTheme="majorBidi" w:eastAsia="Times New Roman" w:hAnsiTheme="majorBidi" w:cstheme="majorBidi"/>
          <w:sz w:val="24"/>
          <w:szCs w:val="24"/>
        </w:rPr>
        <w:t xml:space="preserve"> two </w:t>
      </w:r>
      <w:r w:rsidR="006C6F89">
        <w:rPr>
          <w:rFonts w:asciiTheme="majorBidi" w:eastAsia="Times New Roman" w:hAnsiTheme="majorBidi" w:cstheme="majorBidi"/>
          <w:sz w:val="24"/>
          <w:szCs w:val="24"/>
        </w:rPr>
        <w:t xml:space="preserve">distinct </w:t>
      </w:r>
      <w:r w:rsidR="00393549">
        <w:rPr>
          <w:rFonts w:asciiTheme="majorBidi" w:eastAsia="Times New Roman" w:hAnsiTheme="majorBidi" w:cstheme="majorBidi"/>
          <w:sz w:val="24"/>
          <w:szCs w:val="24"/>
        </w:rPr>
        <w:t>groups</w:t>
      </w:r>
      <w:r w:rsidR="00B04A4C">
        <w:rPr>
          <w:rFonts w:asciiTheme="majorBidi" w:eastAsia="Times New Roman" w:hAnsiTheme="majorBidi" w:cstheme="majorBidi"/>
          <w:sz w:val="24"/>
          <w:szCs w:val="24"/>
        </w:rPr>
        <w:t xml:space="preserve"> of patients,</w:t>
      </w:r>
      <w:r w:rsidR="00393549">
        <w:rPr>
          <w:rFonts w:asciiTheme="majorBidi" w:eastAsia="Times New Roman" w:hAnsiTheme="majorBidi" w:cstheme="majorBidi"/>
          <w:sz w:val="24"/>
          <w:szCs w:val="24"/>
        </w:rPr>
        <w:t xml:space="preserve"> </w:t>
      </w:r>
      <w:r w:rsidR="001F3C5F" w:rsidRPr="00F00BC5">
        <w:rPr>
          <w:rFonts w:asciiTheme="majorBidi" w:eastAsia="Times New Roman" w:hAnsiTheme="majorBidi" w:cstheme="majorBidi"/>
          <w:sz w:val="24"/>
          <w:szCs w:val="24"/>
        </w:rPr>
        <w:t xml:space="preserve">who had thyroid lobectomy or total thyroidectomy; </w:t>
      </w:r>
      <w:r w:rsidR="008D1F11" w:rsidRPr="00F00BC5">
        <w:rPr>
          <w:rFonts w:asciiTheme="majorBidi" w:eastAsia="Times New Roman" w:hAnsiTheme="majorBidi" w:cstheme="majorBidi"/>
          <w:sz w:val="24"/>
          <w:szCs w:val="24"/>
        </w:rPr>
        <w:t xml:space="preserve">first, </w:t>
      </w:r>
      <w:r w:rsidR="001F3C5F" w:rsidRPr="00F00BC5">
        <w:rPr>
          <w:rFonts w:asciiTheme="majorBidi" w:eastAsia="Times New Roman" w:hAnsiTheme="majorBidi" w:cstheme="majorBidi"/>
          <w:sz w:val="24"/>
          <w:szCs w:val="24"/>
        </w:rPr>
        <w:t xml:space="preserve">patients with </w:t>
      </w:r>
      <w:r w:rsidR="00CB1A0B" w:rsidRPr="00F00BC5">
        <w:rPr>
          <w:rFonts w:asciiTheme="majorBidi" w:eastAsia="Times New Roman" w:hAnsiTheme="majorBidi" w:cstheme="majorBidi"/>
          <w:sz w:val="24"/>
          <w:szCs w:val="24"/>
        </w:rPr>
        <w:t>MNG who were operated for an indication other than suspected DTC</w:t>
      </w:r>
      <w:r w:rsidR="001F3C5F" w:rsidRPr="00F00BC5">
        <w:rPr>
          <w:rFonts w:asciiTheme="majorBidi" w:eastAsia="Times New Roman" w:hAnsiTheme="majorBidi" w:cs="Times New Roman"/>
          <w:sz w:val="24"/>
          <w:szCs w:val="24"/>
          <w:rtl/>
        </w:rPr>
        <w:t xml:space="preserve"> </w:t>
      </w:r>
      <w:r w:rsidR="001F3C5F" w:rsidRPr="00F00BC5">
        <w:rPr>
          <w:rFonts w:asciiTheme="majorBidi" w:eastAsia="Times New Roman" w:hAnsiTheme="majorBidi" w:cs="Times New Roman"/>
          <w:sz w:val="24"/>
          <w:szCs w:val="24"/>
        </w:rPr>
        <w:t>a</w:t>
      </w:r>
      <w:r w:rsidR="001F3C5F" w:rsidRPr="00F00BC5">
        <w:rPr>
          <w:rFonts w:asciiTheme="majorBidi" w:eastAsia="Times New Roman" w:hAnsiTheme="majorBidi" w:cstheme="majorBidi"/>
          <w:sz w:val="24"/>
          <w:szCs w:val="24"/>
        </w:rPr>
        <w:t xml:space="preserve">nd </w:t>
      </w:r>
      <w:r w:rsidR="008D1F11" w:rsidRPr="00F00BC5">
        <w:rPr>
          <w:rFonts w:asciiTheme="majorBidi" w:eastAsia="Times New Roman" w:hAnsiTheme="majorBidi" w:cstheme="majorBidi"/>
          <w:sz w:val="24"/>
          <w:szCs w:val="24"/>
        </w:rPr>
        <w:t xml:space="preserve">second, </w:t>
      </w:r>
      <w:r w:rsidR="001F3C5F" w:rsidRPr="00F00BC5">
        <w:rPr>
          <w:rFonts w:asciiTheme="majorBidi" w:eastAsia="Times New Roman" w:hAnsiTheme="majorBidi" w:cstheme="majorBidi"/>
          <w:sz w:val="24"/>
          <w:szCs w:val="24"/>
        </w:rPr>
        <w:t>patients with</w:t>
      </w:r>
      <w:r w:rsidR="009542DA" w:rsidRPr="00F00BC5">
        <w:rPr>
          <w:rFonts w:asciiTheme="majorBidi" w:eastAsia="Times New Roman" w:hAnsiTheme="majorBidi" w:cstheme="majorBidi"/>
          <w:sz w:val="24"/>
          <w:szCs w:val="24"/>
        </w:rPr>
        <w:t xml:space="preserve"> </w:t>
      </w:r>
      <w:r w:rsidR="006F1422">
        <w:rPr>
          <w:rFonts w:asciiTheme="majorBidi" w:eastAsia="Times New Roman" w:hAnsiTheme="majorBidi" w:cstheme="majorBidi"/>
          <w:sz w:val="24"/>
          <w:szCs w:val="24"/>
        </w:rPr>
        <w:t>TN</w:t>
      </w:r>
      <w:r w:rsidR="00CB1A0B" w:rsidRPr="00F00BC5">
        <w:rPr>
          <w:rFonts w:asciiTheme="majorBidi" w:eastAsia="Times New Roman" w:hAnsiTheme="majorBidi" w:cstheme="majorBidi"/>
          <w:sz w:val="24"/>
          <w:szCs w:val="24"/>
        </w:rPr>
        <w:t xml:space="preserve"> who had an FNA result classified as INC</w:t>
      </w:r>
      <w:r w:rsidR="001F3C5F" w:rsidRPr="00F00BC5">
        <w:rPr>
          <w:rFonts w:asciiTheme="majorBidi" w:eastAsia="Times New Roman" w:hAnsiTheme="majorBidi" w:cstheme="majorBidi"/>
          <w:sz w:val="24"/>
          <w:szCs w:val="24"/>
        </w:rPr>
        <w:t>.</w:t>
      </w:r>
    </w:p>
    <w:p w14:paraId="0AD757DF" w14:textId="77777777" w:rsidR="00C3537A" w:rsidRPr="00C3537A" w:rsidRDefault="00C3537A" w:rsidP="00D8720C">
      <w:pPr>
        <w:bidi w:val="0"/>
        <w:spacing w:line="480" w:lineRule="auto"/>
        <w:rPr>
          <w:rFonts w:asciiTheme="majorBidi" w:eastAsia="Times New Roman" w:hAnsiTheme="majorBidi" w:cstheme="majorBidi"/>
          <w:sz w:val="24"/>
          <w:szCs w:val="24"/>
        </w:rPr>
      </w:pPr>
    </w:p>
    <w:p w14:paraId="118097F4" w14:textId="3FA49873" w:rsidR="001F3C5F" w:rsidRPr="00F00BC5" w:rsidRDefault="001F3C5F" w:rsidP="00D8720C">
      <w:pPr>
        <w:bidi w:val="0"/>
        <w:spacing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Methods</w:t>
      </w:r>
    </w:p>
    <w:p w14:paraId="0D52227E" w14:textId="77777777" w:rsidR="001F3C5F" w:rsidRPr="006D79E4" w:rsidRDefault="001F3C5F" w:rsidP="00D8720C">
      <w:pPr>
        <w:tabs>
          <w:tab w:val="left" w:pos="720"/>
          <w:tab w:val="left" w:pos="1440"/>
          <w:tab w:val="left" w:pos="2160"/>
          <w:tab w:val="left" w:pos="6255"/>
        </w:tabs>
        <w:bidi w:val="0"/>
        <w:spacing w:line="480" w:lineRule="auto"/>
        <w:rPr>
          <w:rFonts w:asciiTheme="majorBidi" w:hAnsiTheme="majorBidi" w:cstheme="majorBidi"/>
          <w:sz w:val="24"/>
          <w:szCs w:val="24"/>
          <w:u w:val="single"/>
        </w:rPr>
      </w:pPr>
      <w:r w:rsidRPr="006D79E4">
        <w:rPr>
          <w:rFonts w:asciiTheme="majorBidi" w:hAnsiTheme="majorBidi" w:cstheme="majorBidi"/>
          <w:sz w:val="24"/>
          <w:szCs w:val="24"/>
          <w:u w:val="single"/>
        </w:rPr>
        <w:t>Study population</w:t>
      </w:r>
    </w:p>
    <w:p w14:paraId="2B8D3D2D" w14:textId="76369656" w:rsidR="009B1A54" w:rsidRPr="006D79E4" w:rsidRDefault="001F3C5F" w:rsidP="00D8720C">
      <w:pPr>
        <w:tabs>
          <w:tab w:val="left" w:pos="720"/>
          <w:tab w:val="left" w:pos="1440"/>
          <w:tab w:val="left" w:pos="2160"/>
          <w:tab w:val="left" w:pos="6255"/>
        </w:tabs>
        <w:bidi w:val="0"/>
        <w:spacing w:line="480" w:lineRule="auto"/>
        <w:rPr>
          <w:rFonts w:asciiTheme="majorBidi" w:hAnsiTheme="majorBidi" w:cstheme="majorBidi"/>
          <w:sz w:val="24"/>
          <w:szCs w:val="24"/>
        </w:rPr>
      </w:pPr>
      <w:r w:rsidRPr="006D79E4">
        <w:rPr>
          <w:rFonts w:asciiTheme="majorBidi" w:hAnsiTheme="majorBidi" w:cstheme="majorBidi"/>
          <w:sz w:val="24"/>
          <w:szCs w:val="24"/>
        </w:rPr>
        <w:t>This retrospective cohort study included patients, who were admitted to the Otolaryngology department of S</w:t>
      </w:r>
      <w:r w:rsidR="00FA371B" w:rsidRPr="006D79E4">
        <w:rPr>
          <w:rFonts w:asciiTheme="majorBidi" w:hAnsiTheme="majorBidi" w:cstheme="majorBidi"/>
          <w:sz w:val="24"/>
          <w:szCs w:val="24"/>
        </w:rPr>
        <w:t xml:space="preserve">oroka </w:t>
      </w:r>
      <w:r w:rsidRPr="006D79E4">
        <w:rPr>
          <w:rFonts w:asciiTheme="majorBidi" w:hAnsiTheme="majorBidi" w:cstheme="majorBidi"/>
          <w:sz w:val="24"/>
          <w:szCs w:val="24"/>
        </w:rPr>
        <w:t>U</w:t>
      </w:r>
      <w:r w:rsidR="00FA371B" w:rsidRPr="006D79E4">
        <w:rPr>
          <w:rFonts w:asciiTheme="majorBidi" w:hAnsiTheme="majorBidi" w:cstheme="majorBidi"/>
          <w:sz w:val="24"/>
          <w:szCs w:val="24"/>
        </w:rPr>
        <w:t xml:space="preserve">niversity </w:t>
      </w:r>
      <w:r w:rsidRPr="006D79E4">
        <w:rPr>
          <w:rFonts w:asciiTheme="majorBidi" w:hAnsiTheme="majorBidi" w:cstheme="majorBidi"/>
          <w:sz w:val="24"/>
          <w:szCs w:val="24"/>
        </w:rPr>
        <w:t>M</w:t>
      </w:r>
      <w:r w:rsidR="00FA371B" w:rsidRPr="006D79E4">
        <w:rPr>
          <w:rFonts w:asciiTheme="majorBidi" w:hAnsiTheme="majorBidi" w:cstheme="majorBidi"/>
          <w:sz w:val="24"/>
          <w:szCs w:val="24"/>
        </w:rPr>
        <w:t xml:space="preserve">edical </w:t>
      </w:r>
      <w:r w:rsidRPr="006D79E4">
        <w:rPr>
          <w:rFonts w:asciiTheme="majorBidi" w:hAnsiTheme="majorBidi" w:cstheme="majorBidi"/>
          <w:sz w:val="24"/>
          <w:szCs w:val="24"/>
        </w:rPr>
        <w:t>C</w:t>
      </w:r>
      <w:r w:rsidR="00FA371B" w:rsidRPr="006D79E4">
        <w:rPr>
          <w:rFonts w:asciiTheme="majorBidi" w:hAnsiTheme="majorBidi" w:cstheme="majorBidi"/>
          <w:sz w:val="24"/>
          <w:szCs w:val="24"/>
        </w:rPr>
        <w:t>enter (SUMC)</w:t>
      </w:r>
      <w:r w:rsidR="004A3941">
        <w:rPr>
          <w:rFonts w:asciiTheme="majorBidi" w:hAnsiTheme="majorBidi" w:cstheme="majorBidi"/>
          <w:sz w:val="24"/>
          <w:szCs w:val="24"/>
        </w:rPr>
        <w:t>, a tertiary referral center,</w:t>
      </w:r>
      <w:r w:rsidRPr="006D79E4">
        <w:rPr>
          <w:rFonts w:asciiTheme="majorBidi" w:hAnsiTheme="majorBidi" w:cstheme="majorBidi"/>
          <w:sz w:val="24"/>
          <w:szCs w:val="24"/>
        </w:rPr>
        <w:t xml:space="preserve"> for </w:t>
      </w:r>
      <w:r w:rsidR="00640992" w:rsidRPr="006D79E4">
        <w:rPr>
          <w:rFonts w:asciiTheme="majorBidi" w:hAnsiTheme="majorBidi" w:cstheme="majorBidi"/>
          <w:sz w:val="24"/>
          <w:szCs w:val="24"/>
        </w:rPr>
        <w:t xml:space="preserve">total </w:t>
      </w:r>
      <w:r w:rsidRPr="006D79E4">
        <w:rPr>
          <w:rFonts w:asciiTheme="majorBidi" w:hAnsiTheme="majorBidi" w:cstheme="majorBidi"/>
          <w:sz w:val="24"/>
          <w:szCs w:val="24"/>
        </w:rPr>
        <w:t>thyroidectomy or thyroid lobectomy</w:t>
      </w:r>
      <w:r w:rsidR="005619E7" w:rsidRPr="006D79E4">
        <w:rPr>
          <w:rFonts w:asciiTheme="majorBidi" w:hAnsiTheme="majorBidi" w:cstheme="majorBidi"/>
          <w:sz w:val="24"/>
          <w:szCs w:val="24"/>
        </w:rPr>
        <w:t xml:space="preserve"> between January 2014 and May 2019,</w:t>
      </w:r>
      <w:r w:rsidRPr="006D79E4">
        <w:rPr>
          <w:rFonts w:asciiTheme="majorBidi" w:hAnsiTheme="majorBidi" w:cstheme="majorBidi"/>
          <w:sz w:val="24"/>
          <w:szCs w:val="24"/>
        </w:rPr>
        <w:t xml:space="preserve"> with preoperative diagnosis of</w:t>
      </w:r>
      <w:r w:rsidR="00F54523" w:rsidRPr="006D79E4">
        <w:rPr>
          <w:rFonts w:asciiTheme="majorBidi" w:hAnsiTheme="majorBidi" w:cstheme="majorBidi"/>
          <w:sz w:val="24"/>
          <w:szCs w:val="24"/>
        </w:rPr>
        <w:t xml:space="preserve"> benign</w:t>
      </w:r>
      <w:r w:rsidRPr="006D79E4">
        <w:rPr>
          <w:rFonts w:asciiTheme="majorBidi" w:hAnsiTheme="majorBidi" w:cstheme="majorBidi"/>
          <w:sz w:val="24"/>
          <w:szCs w:val="24"/>
        </w:rPr>
        <w:t xml:space="preserve"> MNG</w:t>
      </w:r>
      <w:r w:rsidR="00640992" w:rsidRPr="006D79E4">
        <w:rPr>
          <w:rFonts w:asciiTheme="majorBidi" w:hAnsiTheme="majorBidi" w:cstheme="majorBidi"/>
          <w:sz w:val="24"/>
          <w:szCs w:val="24"/>
        </w:rPr>
        <w:t xml:space="preserve"> (group 1)</w:t>
      </w:r>
      <w:r w:rsidRPr="006D79E4">
        <w:rPr>
          <w:rFonts w:asciiTheme="majorBidi" w:hAnsiTheme="majorBidi" w:cstheme="majorBidi"/>
          <w:sz w:val="24"/>
          <w:szCs w:val="24"/>
        </w:rPr>
        <w:t xml:space="preserve"> or with </w:t>
      </w:r>
      <w:r w:rsidR="00CB0330">
        <w:rPr>
          <w:rFonts w:asciiTheme="majorBidi" w:hAnsiTheme="majorBidi" w:cstheme="majorBidi" w:hint="cs"/>
          <w:sz w:val="24"/>
          <w:szCs w:val="24"/>
        </w:rPr>
        <w:t>TN</w:t>
      </w:r>
      <w:r w:rsidRPr="006D79E4">
        <w:rPr>
          <w:rFonts w:asciiTheme="majorBidi" w:hAnsiTheme="majorBidi" w:cstheme="majorBidi"/>
          <w:sz w:val="24"/>
          <w:szCs w:val="24"/>
        </w:rPr>
        <w:t xml:space="preserve"> with </w:t>
      </w:r>
      <w:r w:rsidR="00FE2653" w:rsidRPr="00F00BC5">
        <w:rPr>
          <w:rFonts w:asciiTheme="majorBidi" w:eastAsia="Times New Roman" w:hAnsiTheme="majorBidi" w:cstheme="majorBidi"/>
          <w:sz w:val="24"/>
          <w:szCs w:val="24"/>
        </w:rPr>
        <w:t>INC</w:t>
      </w:r>
      <w:r w:rsidRPr="00F00BC5">
        <w:rPr>
          <w:rFonts w:asciiTheme="majorBidi" w:eastAsia="Times New Roman" w:hAnsiTheme="majorBidi" w:cstheme="majorBidi"/>
          <w:sz w:val="24"/>
          <w:szCs w:val="24"/>
        </w:rPr>
        <w:t xml:space="preserve"> </w:t>
      </w:r>
      <w:r w:rsidR="005619E7" w:rsidRPr="00F00BC5">
        <w:rPr>
          <w:rFonts w:asciiTheme="majorBidi" w:eastAsia="Times New Roman" w:hAnsiTheme="majorBidi" w:cstheme="majorBidi"/>
          <w:sz w:val="24"/>
          <w:szCs w:val="24"/>
        </w:rPr>
        <w:t>(group 2)</w:t>
      </w:r>
      <w:r w:rsidRPr="006D79E4">
        <w:rPr>
          <w:rFonts w:asciiTheme="majorBidi" w:hAnsiTheme="majorBidi" w:cstheme="majorBidi"/>
          <w:sz w:val="24"/>
          <w:szCs w:val="24"/>
        </w:rPr>
        <w:t>. Patients with</w:t>
      </w:r>
      <w:r w:rsidR="0086476F">
        <w:rPr>
          <w:rFonts w:asciiTheme="majorBidi" w:hAnsiTheme="majorBidi" w:cstheme="majorBidi"/>
          <w:sz w:val="24"/>
          <w:szCs w:val="24"/>
        </w:rPr>
        <w:t xml:space="preserve"> both</w:t>
      </w:r>
      <w:r w:rsidRPr="006D79E4">
        <w:rPr>
          <w:rFonts w:asciiTheme="majorBidi" w:hAnsiTheme="majorBidi" w:cstheme="majorBidi"/>
          <w:sz w:val="24"/>
          <w:szCs w:val="24"/>
        </w:rPr>
        <w:t xml:space="preserve"> MNG and </w:t>
      </w:r>
      <w:r w:rsidR="00FE2653" w:rsidRPr="006D79E4">
        <w:rPr>
          <w:rFonts w:asciiTheme="majorBidi" w:hAnsiTheme="majorBidi" w:cstheme="majorBidi"/>
          <w:sz w:val="24"/>
          <w:szCs w:val="24"/>
        </w:rPr>
        <w:t>INC</w:t>
      </w:r>
      <w:r w:rsidRPr="006D79E4">
        <w:rPr>
          <w:rFonts w:asciiTheme="majorBidi" w:hAnsiTheme="majorBidi" w:cstheme="majorBidi"/>
          <w:sz w:val="24"/>
          <w:szCs w:val="24"/>
        </w:rPr>
        <w:t xml:space="preserve"> were included in group</w:t>
      </w:r>
      <w:r w:rsidR="004A3941">
        <w:rPr>
          <w:rFonts w:asciiTheme="majorBidi" w:hAnsiTheme="majorBidi" w:cstheme="majorBidi"/>
          <w:sz w:val="24"/>
          <w:szCs w:val="24"/>
        </w:rPr>
        <w:t xml:space="preserve"> 2</w:t>
      </w:r>
      <w:r w:rsidR="005619E7" w:rsidRPr="006D79E4">
        <w:rPr>
          <w:rFonts w:asciiTheme="majorBidi" w:hAnsiTheme="majorBidi" w:cstheme="majorBidi"/>
          <w:sz w:val="24"/>
          <w:szCs w:val="24"/>
        </w:rPr>
        <w:t xml:space="preserve"> only</w:t>
      </w:r>
      <w:r w:rsidRPr="006D79E4">
        <w:rPr>
          <w:rFonts w:asciiTheme="majorBidi" w:hAnsiTheme="majorBidi" w:cstheme="majorBidi"/>
          <w:sz w:val="24"/>
          <w:szCs w:val="24"/>
        </w:rPr>
        <w:t>.</w:t>
      </w:r>
      <w:r w:rsidR="005619E7" w:rsidRPr="006D79E4">
        <w:rPr>
          <w:rFonts w:asciiTheme="majorBidi" w:hAnsiTheme="majorBidi" w:cstheme="majorBidi"/>
          <w:sz w:val="24"/>
          <w:szCs w:val="24"/>
        </w:rPr>
        <w:t xml:space="preserve"> </w:t>
      </w:r>
      <w:r w:rsidRPr="006D79E4">
        <w:rPr>
          <w:rFonts w:asciiTheme="majorBidi" w:hAnsiTheme="majorBidi" w:cstheme="majorBidi"/>
          <w:sz w:val="24"/>
          <w:szCs w:val="24"/>
        </w:rPr>
        <w:t xml:space="preserve">Each group was divided </w:t>
      </w:r>
      <w:r w:rsidR="005619E7" w:rsidRPr="006D79E4">
        <w:rPr>
          <w:rFonts w:asciiTheme="majorBidi" w:hAnsiTheme="majorBidi" w:cstheme="majorBidi"/>
          <w:sz w:val="24"/>
          <w:szCs w:val="24"/>
        </w:rPr>
        <w:t xml:space="preserve">according to the final histological </w:t>
      </w:r>
      <w:r w:rsidR="003D4BD6" w:rsidRPr="006D79E4">
        <w:rPr>
          <w:rFonts w:asciiTheme="majorBidi" w:hAnsiTheme="majorBidi" w:cstheme="majorBidi"/>
          <w:sz w:val="24"/>
          <w:szCs w:val="24"/>
        </w:rPr>
        <w:t>diagnosis DTC</w:t>
      </w:r>
      <w:r w:rsidR="0086476F" w:rsidRPr="006D79E4">
        <w:rPr>
          <w:rFonts w:asciiTheme="majorBidi" w:hAnsiTheme="majorBidi" w:cstheme="majorBidi"/>
          <w:sz w:val="24"/>
          <w:szCs w:val="24"/>
        </w:rPr>
        <w:t xml:space="preserve"> </w:t>
      </w:r>
      <w:r w:rsidR="005619E7" w:rsidRPr="006D79E4">
        <w:rPr>
          <w:rFonts w:asciiTheme="majorBidi" w:hAnsiTheme="majorBidi" w:cstheme="majorBidi"/>
          <w:sz w:val="24"/>
          <w:szCs w:val="24"/>
        </w:rPr>
        <w:t>or benign</w:t>
      </w:r>
      <w:r w:rsidR="00CB0330">
        <w:rPr>
          <w:rFonts w:asciiTheme="majorBidi" w:hAnsiTheme="majorBidi" w:cstheme="majorBidi"/>
          <w:sz w:val="24"/>
          <w:szCs w:val="24"/>
        </w:rPr>
        <w:t xml:space="preserve"> thyroid nodular disease</w:t>
      </w:r>
      <w:r w:rsidR="005619E7" w:rsidRPr="006D79E4">
        <w:rPr>
          <w:rFonts w:asciiTheme="majorBidi" w:hAnsiTheme="majorBidi" w:cstheme="majorBidi"/>
          <w:sz w:val="24"/>
          <w:szCs w:val="24"/>
        </w:rPr>
        <w:t xml:space="preserve">. </w:t>
      </w:r>
      <w:r w:rsidR="00423659" w:rsidRPr="006D79E4">
        <w:rPr>
          <w:rFonts w:asciiTheme="majorBidi" w:hAnsiTheme="majorBidi" w:cstheme="majorBidi"/>
          <w:sz w:val="24"/>
          <w:szCs w:val="24"/>
        </w:rPr>
        <w:t>Inclusion criteria were at least one preoperative serum measurement of Tg and TSH, dated up-to one year prior to surgery, and available pre</w:t>
      </w:r>
      <w:r w:rsidR="00650B45" w:rsidRPr="006D79E4">
        <w:rPr>
          <w:rFonts w:asciiTheme="majorBidi" w:hAnsiTheme="majorBidi" w:cstheme="majorBidi"/>
          <w:sz w:val="24"/>
          <w:szCs w:val="24"/>
        </w:rPr>
        <w:t>operative</w:t>
      </w:r>
      <w:r w:rsidR="00423659" w:rsidRPr="006D79E4">
        <w:rPr>
          <w:rFonts w:asciiTheme="majorBidi" w:hAnsiTheme="majorBidi" w:cstheme="majorBidi"/>
          <w:sz w:val="24"/>
          <w:szCs w:val="24"/>
        </w:rPr>
        <w:t xml:space="preserve"> neck US. Patients with known </w:t>
      </w:r>
      <w:r w:rsidR="0045758B" w:rsidRPr="006D79E4">
        <w:rPr>
          <w:rFonts w:asciiTheme="majorBidi" w:hAnsiTheme="majorBidi" w:cstheme="majorBidi"/>
          <w:sz w:val="24"/>
          <w:szCs w:val="24"/>
        </w:rPr>
        <w:t>DTC</w:t>
      </w:r>
      <w:r w:rsidR="00423659" w:rsidRPr="006D79E4">
        <w:rPr>
          <w:rFonts w:asciiTheme="majorBidi" w:hAnsiTheme="majorBidi" w:cstheme="majorBidi"/>
          <w:sz w:val="24"/>
          <w:szCs w:val="24"/>
        </w:rPr>
        <w:t xml:space="preserve"> prior to the operation, and those with positive anti-Tg antibodies (Tg-Ab) were excluded.</w:t>
      </w:r>
      <w:r w:rsidR="00F7135E" w:rsidRPr="006D79E4">
        <w:rPr>
          <w:rFonts w:asciiTheme="majorBidi" w:hAnsiTheme="majorBidi" w:cstheme="majorBidi"/>
          <w:sz w:val="24"/>
          <w:szCs w:val="24"/>
        </w:rPr>
        <w:t xml:space="preserve"> </w:t>
      </w:r>
    </w:p>
    <w:p w14:paraId="633B604F" w14:textId="77777777" w:rsidR="001F3C5F" w:rsidRPr="006D79E4" w:rsidRDefault="001F3C5F" w:rsidP="00D8720C">
      <w:pPr>
        <w:tabs>
          <w:tab w:val="left" w:pos="720"/>
          <w:tab w:val="left" w:pos="1440"/>
          <w:tab w:val="left" w:pos="2160"/>
          <w:tab w:val="left" w:pos="6255"/>
        </w:tabs>
        <w:bidi w:val="0"/>
        <w:spacing w:line="480" w:lineRule="auto"/>
        <w:rPr>
          <w:rFonts w:asciiTheme="majorBidi" w:hAnsiTheme="majorBidi" w:cstheme="majorBidi"/>
          <w:sz w:val="24"/>
          <w:szCs w:val="24"/>
          <w:u w:val="single"/>
        </w:rPr>
      </w:pPr>
      <w:r w:rsidRPr="006D79E4">
        <w:rPr>
          <w:rFonts w:asciiTheme="majorBidi" w:hAnsiTheme="majorBidi" w:cstheme="majorBidi"/>
          <w:sz w:val="24"/>
          <w:szCs w:val="24"/>
          <w:u w:val="single"/>
        </w:rPr>
        <w:t>Data collection</w:t>
      </w:r>
    </w:p>
    <w:p w14:paraId="1EFCA43E" w14:textId="62DAAD59" w:rsidR="00423659" w:rsidRPr="006D79E4" w:rsidRDefault="00423659" w:rsidP="004E25BA">
      <w:pPr>
        <w:bidi w:val="0"/>
        <w:spacing w:line="480" w:lineRule="auto"/>
        <w:rPr>
          <w:rFonts w:asciiTheme="majorBidi" w:hAnsiTheme="majorBidi" w:cstheme="majorBidi"/>
          <w:sz w:val="24"/>
          <w:szCs w:val="24"/>
        </w:rPr>
      </w:pPr>
      <w:r w:rsidRPr="006D79E4">
        <w:rPr>
          <w:rFonts w:asciiTheme="majorBidi" w:hAnsiTheme="majorBidi" w:cstheme="majorBidi"/>
          <w:sz w:val="24"/>
          <w:szCs w:val="24"/>
        </w:rPr>
        <w:t xml:space="preserve">Data were collected from the patient’s electronic medical records, including age, sex, </w:t>
      </w:r>
      <w:r w:rsidR="00CB0330">
        <w:rPr>
          <w:rFonts w:asciiTheme="majorBidi" w:hAnsiTheme="majorBidi" w:cstheme="majorBidi"/>
          <w:sz w:val="24"/>
          <w:szCs w:val="24"/>
        </w:rPr>
        <w:t xml:space="preserve">type of </w:t>
      </w:r>
      <w:r w:rsidRPr="006D79E4">
        <w:rPr>
          <w:rFonts w:asciiTheme="majorBidi" w:hAnsiTheme="majorBidi" w:cstheme="majorBidi"/>
          <w:sz w:val="24"/>
          <w:szCs w:val="24"/>
        </w:rPr>
        <w:t>surgery and pathology reports,</w:t>
      </w:r>
      <w:r w:rsidR="009862D5">
        <w:rPr>
          <w:rFonts w:asciiTheme="majorBidi" w:hAnsiTheme="majorBidi" w:cstheme="majorBidi"/>
          <w:sz w:val="24"/>
          <w:szCs w:val="24"/>
        </w:rPr>
        <w:t xml:space="preserve"> and</w:t>
      </w:r>
      <w:r w:rsidRPr="006D79E4">
        <w:rPr>
          <w:rFonts w:asciiTheme="majorBidi" w:hAnsiTheme="majorBidi" w:cstheme="majorBidi"/>
          <w:sz w:val="24"/>
          <w:szCs w:val="24"/>
        </w:rPr>
        <w:t xml:space="preserve"> preoperative measurements of Tg, TSH and Tg-Ab. If more than one Tg measurement was available in the year </w:t>
      </w:r>
      <w:r w:rsidR="00CB0330">
        <w:rPr>
          <w:rFonts w:asciiTheme="majorBidi" w:hAnsiTheme="majorBidi" w:cstheme="majorBidi"/>
          <w:sz w:val="24"/>
          <w:szCs w:val="24"/>
        </w:rPr>
        <w:t>prior to</w:t>
      </w:r>
      <w:r w:rsidR="00CB0330" w:rsidRPr="006D79E4">
        <w:rPr>
          <w:rFonts w:asciiTheme="majorBidi" w:hAnsiTheme="majorBidi" w:cstheme="majorBidi"/>
          <w:sz w:val="24"/>
          <w:szCs w:val="24"/>
        </w:rPr>
        <w:t xml:space="preserve"> </w:t>
      </w:r>
      <w:r w:rsidRPr="006D79E4">
        <w:rPr>
          <w:rFonts w:asciiTheme="majorBidi" w:hAnsiTheme="majorBidi" w:cstheme="majorBidi"/>
          <w:sz w:val="24"/>
          <w:szCs w:val="24"/>
        </w:rPr>
        <w:t>surgery, the most recent was recorded. Tg-Ab were classified as either positive or negative, based on the lab reference ranges. FNA-cytology based on</w:t>
      </w:r>
      <w:r w:rsidR="00CB0330">
        <w:rPr>
          <w:rFonts w:asciiTheme="majorBidi" w:hAnsiTheme="majorBidi" w:cstheme="majorBidi"/>
          <w:sz w:val="24"/>
          <w:szCs w:val="24"/>
        </w:rPr>
        <w:t xml:space="preserve"> the</w:t>
      </w:r>
      <w:r w:rsidRPr="006D79E4">
        <w:rPr>
          <w:rFonts w:asciiTheme="majorBidi" w:hAnsiTheme="majorBidi" w:cstheme="majorBidi"/>
          <w:sz w:val="24"/>
          <w:szCs w:val="24"/>
        </w:rPr>
        <w:t xml:space="preserve"> </w:t>
      </w:r>
      <w:r w:rsidR="00CB0330" w:rsidRPr="00AC022A">
        <w:rPr>
          <w:rFonts w:asciiTheme="majorBidi" w:hAnsiTheme="majorBidi" w:cstheme="majorBidi"/>
          <w:color w:val="212121"/>
          <w:sz w:val="24"/>
          <w:szCs w:val="24"/>
          <w:shd w:val="clear" w:color="auto" w:fill="FFFFFF"/>
        </w:rPr>
        <w:t>Bethesda </w:t>
      </w:r>
      <w:r w:rsidR="00C47124">
        <w:rPr>
          <w:rFonts w:asciiTheme="majorBidi" w:hAnsiTheme="majorBidi" w:cstheme="majorBidi"/>
          <w:color w:val="212121"/>
          <w:sz w:val="24"/>
          <w:szCs w:val="24"/>
          <w:shd w:val="clear" w:color="auto" w:fill="FFFFFF"/>
        </w:rPr>
        <w:t>s</w:t>
      </w:r>
      <w:r w:rsidR="00CB0330" w:rsidRPr="00AC022A">
        <w:rPr>
          <w:rFonts w:asciiTheme="majorBidi" w:hAnsiTheme="majorBidi" w:cstheme="majorBidi"/>
          <w:color w:val="212121"/>
          <w:sz w:val="24"/>
          <w:szCs w:val="24"/>
          <w:shd w:val="clear" w:color="auto" w:fill="FFFFFF"/>
        </w:rPr>
        <w:t xml:space="preserve">ystem for </w:t>
      </w:r>
      <w:r w:rsidR="00C47124">
        <w:rPr>
          <w:rFonts w:asciiTheme="majorBidi" w:hAnsiTheme="majorBidi" w:cstheme="majorBidi"/>
          <w:color w:val="212121"/>
          <w:sz w:val="24"/>
          <w:szCs w:val="24"/>
          <w:shd w:val="clear" w:color="auto" w:fill="FFFFFF"/>
        </w:rPr>
        <w:t>r</w:t>
      </w:r>
      <w:r w:rsidR="00CB0330" w:rsidRPr="00AC022A">
        <w:rPr>
          <w:rFonts w:asciiTheme="majorBidi" w:hAnsiTheme="majorBidi" w:cstheme="majorBidi"/>
          <w:color w:val="212121"/>
          <w:sz w:val="24"/>
          <w:szCs w:val="24"/>
          <w:shd w:val="clear" w:color="auto" w:fill="FFFFFF"/>
        </w:rPr>
        <w:t>eporting </w:t>
      </w:r>
      <w:r w:rsidR="00C47124">
        <w:rPr>
          <w:rFonts w:asciiTheme="majorBidi" w:hAnsiTheme="majorBidi" w:cstheme="majorBidi"/>
          <w:color w:val="212121"/>
          <w:sz w:val="24"/>
          <w:szCs w:val="24"/>
          <w:shd w:val="clear" w:color="auto" w:fill="FFFFFF"/>
        </w:rPr>
        <w:t>t</w:t>
      </w:r>
      <w:r w:rsidR="00CB0330" w:rsidRPr="00AC022A">
        <w:rPr>
          <w:rFonts w:asciiTheme="majorBidi" w:hAnsiTheme="majorBidi" w:cstheme="majorBidi"/>
          <w:color w:val="212121"/>
          <w:sz w:val="24"/>
          <w:szCs w:val="24"/>
          <w:shd w:val="clear" w:color="auto" w:fill="FFFFFF"/>
        </w:rPr>
        <w:t>hyroid </w:t>
      </w:r>
      <w:r w:rsidR="00C47124">
        <w:rPr>
          <w:rFonts w:asciiTheme="majorBidi" w:hAnsiTheme="majorBidi" w:cstheme="majorBidi"/>
          <w:color w:val="212121"/>
          <w:sz w:val="24"/>
          <w:szCs w:val="24"/>
          <w:shd w:val="clear" w:color="auto" w:fill="FFFFFF"/>
        </w:rPr>
        <w:t>c</w:t>
      </w:r>
      <w:r w:rsidR="00CB0330" w:rsidRPr="00AC022A">
        <w:rPr>
          <w:rFonts w:asciiTheme="majorBidi" w:hAnsiTheme="majorBidi" w:cstheme="majorBidi"/>
          <w:color w:val="212121"/>
          <w:sz w:val="24"/>
          <w:szCs w:val="24"/>
          <w:shd w:val="clear" w:color="auto" w:fill="FFFFFF"/>
        </w:rPr>
        <w:t>ytopathology</w:t>
      </w:r>
      <w:r w:rsidRPr="006D79E4">
        <w:rPr>
          <w:rFonts w:asciiTheme="majorBidi" w:hAnsiTheme="majorBidi" w:cstheme="majorBidi"/>
          <w:sz w:val="24"/>
          <w:szCs w:val="24"/>
        </w:rPr>
        <w:t xml:space="preserve"> </w:t>
      </w:r>
      <w:r w:rsidR="008C132B" w:rsidRPr="006D79E4">
        <w:rPr>
          <w:rFonts w:asciiTheme="majorBidi" w:hAnsiTheme="majorBidi" w:cstheme="majorBidi"/>
          <w:sz w:val="24"/>
          <w:szCs w:val="24"/>
        </w:rPr>
        <w:fldChar w:fldCharType="begin" w:fldLock="1"/>
      </w:r>
      <w:r w:rsidR="00DD61D2">
        <w:rPr>
          <w:rFonts w:asciiTheme="majorBidi" w:hAnsiTheme="majorBidi" w:cstheme="majorBidi"/>
          <w:sz w:val="24"/>
          <w:szCs w:val="24"/>
        </w:rPr>
        <w:instrText>ADDIN CSL_CITATION {"citationItems":[{"id":"ITEM-1","itemData":{"DOI":"10.1089/thy.2017.0500","author":[{"dropping-particle":"","family":"Edmund S. Cibas and Syed Z. Ali","given":"","non-dropping-particle":"","parse-names":false,"suffix":""}],"id":"ITEM-1","issue":"11","issued":{"date-parts":[["2017"]]},"page":"1341-1346","title":"The 2017 Bethesda System for Reporting Thyroid Cytopathology","type":"article-journal","volume":"27"},"uris":["http://www.mendeley.com/documents/?uuid=7c98f77a-e8f1-4450-9b07-d24f64f106f9"]}],"mendeley":{"formattedCitation":"(6)","plainTextFormattedCitation":"(6)","previouslyFormattedCitation":"(6)"},"properties":{"noteIndex":0},"schema":"https://github.com/citation-style-language/schema/raw/master/csl-citation.json"}</w:instrText>
      </w:r>
      <w:r w:rsidR="008C132B" w:rsidRPr="006D79E4">
        <w:rPr>
          <w:rFonts w:asciiTheme="majorBidi" w:hAnsiTheme="majorBidi" w:cstheme="majorBidi"/>
          <w:sz w:val="24"/>
          <w:szCs w:val="24"/>
        </w:rPr>
        <w:fldChar w:fldCharType="separate"/>
      </w:r>
      <w:r w:rsidR="00DD61D2" w:rsidRPr="00DD61D2">
        <w:rPr>
          <w:rFonts w:asciiTheme="majorBidi" w:hAnsiTheme="majorBidi" w:cstheme="majorBidi"/>
          <w:noProof/>
          <w:sz w:val="24"/>
          <w:szCs w:val="24"/>
        </w:rPr>
        <w:t>(6)</w:t>
      </w:r>
      <w:r w:rsidR="008C132B" w:rsidRPr="006D79E4">
        <w:rPr>
          <w:rFonts w:asciiTheme="majorBidi" w:hAnsiTheme="majorBidi" w:cstheme="majorBidi"/>
          <w:sz w:val="24"/>
          <w:szCs w:val="24"/>
        </w:rPr>
        <w:fldChar w:fldCharType="end"/>
      </w:r>
      <w:r w:rsidRPr="006D79E4">
        <w:rPr>
          <w:rFonts w:asciiTheme="majorBidi" w:hAnsiTheme="majorBidi" w:cstheme="majorBidi"/>
          <w:sz w:val="24"/>
          <w:szCs w:val="24"/>
        </w:rPr>
        <w:t xml:space="preserve"> was recorded from </w:t>
      </w:r>
      <w:r w:rsidR="00C47124">
        <w:rPr>
          <w:rFonts w:asciiTheme="majorBidi" w:hAnsiTheme="majorBidi" w:cstheme="majorBidi"/>
          <w:sz w:val="24"/>
          <w:szCs w:val="24"/>
        </w:rPr>
        <w:t xml:space="preserve">the </w:t>
      </w:r>
      <w:r w:rsidRPr="006D79E4">
        <w:rPr>
          <w:rFonts w:asciiTheme="majorBidi" w:hAnsiTheme="majorBidi" w:cstheme="majorBidi"/>
          <w:sz w:val="24"/>
          <w:szCs w:val="24"/>
        </w:rPr>
        <w:t>pathology report following</w:t>
      </w:r>
      <w:r w:rsidR="00C47124">
        <w:rPr>
          <w:rFonts w:asciiTheme="majorBidi" w:hAnsiTheme="majorBidi" w:cstheme="majorBidi"/>
          <w:sz w:val="24"/>
          <w:szCs w:val="24"/>
        </w:rPr>
        <w:t xml:space="preserve"> the</w:t>
      </w:r>
      <w:r w:rsidRPr="006D79E4">
        <w:rPr>
          <w:rFonts w:asciiTheme="majorBidi" w:hAnsiTheme="majorBidi" w:cstheme="majorBidi"/>
          <w:sz w:val="24"/>
          <w:szCs w:val="24"/>
        </w:rPr>
        <w:t xml:space="preserve"> FNA</w:t>
      </w:r>
      <w:r w:rsidR="00C47124">
        <w:rPr>
          <w:rFonts w:asciiTheme="majorBidi" w:hAnsiTheme="majorBidi" w:cstheme="majorBidi"/>
          <w:sz w:val="24"/>
          <w:szCs w:val="24"/>
        </w:rPr>
        <w:t xml:space="preserve"> procedure</w:t>
      </w:r>
      <w:r w:rsidRPr="006D79E4">
        <w:rPr>
          <w:rFonts w:asciiTheme="majorBidi" w:hAnsiTheme="majorBidi" w:cstheme="majorBidi"/>
          <w:sz w:val="24"/>
          <w:szCs w:val="24"/>
        </w:rPr>
        <w:t>. Histologic</w:t>
      </w:r>
      <w:r w:rsidR="00C47124">
        <w:rPr>
          <w:rFonts w:asciiTheme="majorBidi" w:hAnsiTheme="majorBidi" w:cstheme="majorBidi"/>
          <w:sz w:val="24"/>
          <w:szCs w:val="24"/>
        </w:rPr>
        <w:t>al</w:t>
      </w:r>
      <w:r w:rsidRPr="006D79E4">
        <w:rPr>
          <w:rFonts w:asciiTheme="majorBidi" w:hAnsiTheme="majorBidi" w:cstheme="majorBidi"/>
          <w:sz w:val="24"/>
          <w:szCs w:val="24"/>
        </w:rPr>
        <w:t xml:space="preserve"> </w:t>
      </w:r>
      <w:r w:rsidR="009862D5">
        <w:rPr>
          <w:rFonts w:asciiTheme="majorBidi" w:hAnsiTheme="majorBidi" w:cstheme="majorBidi"/>
          <w:sz w:val="24"/>
          <w:szCs w:val="24"/>
        </w:rPr>
        <w:t>results</w:t>
      </w:r>
      <w:r w:rsidR="009862D5" w:rsidRPr="006D79E4">
        <w:rPr>
          <w:rFonts w:asciiTheme="majorBidi" w:hAnsiTheme="majorBidi" w:cstheme="majorBidi"/>
          <w:sz w:val="24"/>
          <w:szCs w:val="24"/>
        </w:rPr>
        <w:t xml:space="preserve"> </w:t>
      </w:r>
      <w:r w:rsidR="009862D5">
        <w:rPr>
          <w:rFonts w:asciiTheme="majorBidi" w:hAnsiTheme="majorBidi" w:cstheme="majorBidi"/>
          <w:sz w:val="24"/>
          <w:szCs w:val="24"/>
        </w:rPr>
        <w:t>were</w:t>
      </w:r>
      <w:r w:rsidR="009862D5" w:rsidRPr="006D79E4">
        <w:rPr>
          <w:rFonts w:asciiTheme="majorBidi" w:hAnsiTheme="majorBidi" w:cstheme="majorBidi"/>
          <w:sz w:val="24"/>
          <w:szCs w:val="24"/>
        </w:rPr>
        <w:t xml:space="preserve"> </w:t>
      </w:r>
      <w:r w:rsidRPr="006D79E4">
        <w:rPr>
          <w:rFonts w:asciiTheme="majorBidi" w:hAnsiTheme="majorBidi" w:cstheme="majorBidi"/>
          <w:sz w:val="24"/>
          <w:szCs w:val="24"/>
        </w:rPr>
        <w:t xml:space="preserve">recorded from final pathology reports and classified as </w:t>
      </w:r>
      <w:r w:rsidR="00801C23" w:rsidRPr="006D79E4">
        <w:rPr>
          <w:rFonts w:asciiTheme="majorBidi" w:hAnsiTheme="majorBidi" w:cstheme="majorBidi"/>
          <w:sz w:val="24"/>
          <w:szCs w:val="24"/>
        </w:rPr>
        <w:t xml:space="preserve">malignant or </w:t>
      </w:r>
      <w:r w:rsidRPr="006D79E4">
        <w:rPr>
          <w:rFonts w:asciiTheme="majorBidi" w:hAnsiTheme="majorBidi" w:cstheme="majorBidi"/>
          <w:sz w:val="24"/>
          <w:szCs w:val="24"/>
        </w:rPr>
        <w:t>benign.</w:t>
      </w:r>
      <w:r w:rsidR="009862D5">
        <w:rPr>
          <w:rFonts w:asciiTheme="majorBidi" w:hAnsiTheme="majorBidi" w:cstheme="majorBidi"/>
          <w:sz w:val="24"/>
          <w:szCs w:val="24"/>
        </w:rPr>
        <w:t xml:space="preserve"> For malignant results the histological </w:t>
      </w:r>
      <w:r w:rsidR="00F05EA7">
        <w:rPr>
          <w:rFonts w:asciiTheme="majorBidi" w:hAnsiTheme="majorBidi" w:cstheme="majorBidi"/>
          <w:sz w:val="24"/>
          <w:szCs w:val="24"/>
        </w:rPr>
        <w:t xml:space="preserve">type </w:t>
      </w:r>
      <w:r w:rsidR="009862D5">
        <w:rPr>
          <w:rFonts w:asciiTheme="majorBidi" w:hAnsiTheme="majorBidi" w:cstheme="majorBidi"/>
          <w:sz w:val="24"/>
          <w:szCs w:val="24"/>
        </w:rPr>
        <w:t>of DTC was recorded as well</w:t>
      </w:r>
      <w:r w:rsidR="00C12CE1">
        <w:rPr>
          <w:rFonts w:asciiTheme="majorBidi" w:hAnsiTheme="majorBidi" w:cstheme="majorBidi"/>
          <w:sz w:val="24"/>
          <w:szCs w:val="24"/>
        </w:rPr>
        <w:t xml:space="preserve">, </w:t>
      </w:r>
      <w:r w:rsidR="00FC76CF">
        <w:rPr>
          <w:rFonts w:asciiTheme="majorBidi" w:hAnsiTheme="majorBidi" w:cstheme="majorBidi"/>
          <w:sz w:val="24"/>
          <w:szCs w:val="24"/>
        </w:rPr>
        <w:t>classified as</w:t>
      </w:r>
      <w:r w:rsidR="00C12CE1">
        <w:rPr>
          <w:rFonts w:asciiTheme="majorBidi" w:hAnsiTheme="majorBidi" w:cstheme="majorBidi"/>
          <w:sz w:val="24"/>
          <w:szCs w:val="24"/>
        </w:rPr>
        <w:t xml:space="preserve"> papillary thyroid carcinoma (PTC) or follicular thyroid carcinoma (FTC)</w:t>
      </w:r>
      <w:r w:rsidR="009862D5">
        <w:rPr>
          <w:rFonts w:asciiTheme="majorBidi" w:hAnsiTheme="majorBidi" w:cstheme="majorBidi"/>
          <w:sz w:val="24"/>
          <w:szCs w:val="24"/>
        </w:rPr>
        <w:t>.</w:t>
      </w:r>
      <w:r w:rsidRPr="006D79E4">
        <w:rPr>
          <w:rFonts w:asciiTheme="majorBidi" w:hAnsiTheme="majorBidi" w:cstheme="majorBidi"/>
          <w:sz w:val="24"/>
          <w:szCs w:val="24"/>
        </w:rPr>
        <w:t xml:space="preserve"> </w:t>
      </w:r>
    </w:p>
    <w:p w14:paraId="14B95CEF" w14:textId="107DB55C" w:rsidR="009B1A54" w:rsidRPr="006D79E4" w:rsidRDefault="00D20E07" w:rsidP="00D8720C">
      <w:pPr>
        <w:tabs>
          <w:tab w:val="left" w:pos="720"/>
          <w:tab w:val="left" w:pos="1440"/>
          <w:tab w:val="left" w:pos="2160"/>
          <w:tab w:val="left" w:pos="6255"/>
        </w:tabs>
        <w:bidi w:val="0"/>
        <w:spacing w:line="480" w:lineRule="auto"/>
        <w:rPr>
          <w:rFonts w:asciiTheme="majorBidi" w:hAnsiTheme="majorBidi" w:cstheme="majorBidi"/>
          <w:sz w:val="24"/>
          <w:szCs w:val="24"/>
        </w:rPr>
      </w:pPr>
      <w:r w:rsidRPr="00D20E07">
        <w:rPr>
          <w:rFonts w:asciiTheme="majorBidi" w:hAnsiTheme="majorBidi" w:cstheme="majorBidi"/>
          <w:sz w:val="24"/>
          <w:szCs w:val="24"/>
        </w:rPr>
        <w:t>A</w:t>
      </w:r>
      <w:r w:rsidR="004E25BA">
        <w:rPr>
          <w:rFonts w:asciiTheme="majorBidi" w:hAnsiTheme="majorBidi" w:cstheme="majorBidi"/>
          <w:sz w:val="24"/>
          <w:szCs w:val="24"/>
        </w:rPr>
        <w:t>l</w:t>
      </w:r>
      <w:r w:rsidRPr="00D20E07">
        <w:rPr>
          <w:rFonts w:asciiTheme="majorBidi" w:hAnsiTheme="majorBidi" w:cstheme="majorBidi"/>
          <w:sz w:val="24"/>
          <w:szCs w:val="24"/>
        </w:rPr>
        <w:t xml:space="preserve">l lab </w:t>
      </w:r>
      <w:r>
        <w:rPr>
          <w:rFonts w:asciiTheme="majorBidi" w:hAnsiTheme="majorBidi" w:cstheme="majorBidi"/>
          <w:sz w:val="24"/>
          <w:szCs w:val="24"/>
        </w:rPr>
        <w:t xml:space="preserve">tests </w:t>
      </w:r>
      <w:r w:rsidRPr="00D20E07">
        <w:rPr>
          <w:rFonts w:asciiTheme="majorBidi" w:hAnsiTheme="majorBidi" w:cstheme="majorBidi"/>
          <w:sz w:val="24"/>
          <w:szCs w:val="24"/>
        </w:rPr>
        <w:t>were performed in authorized laboratories. Most lab results were performed</w:t>
      </w:r>
      <w:r>
        <w:rPr>
          <w:rFonts w:asciiTheme="majorBidi" w:hAnsiTheme="majorBidi" w:cstheme="majorBidi"/>
          <w:sz w:val="24"/>
          <w:szCs w:val="24"/>
        </w:rPr>
        <w:t xml:space="preserve"> </w:t>
      </w:r>
      <w:r w:rsidR="00423659" w:rsidRPr="006D79E4">
        <w:rPr>
          <w:rFonts w:asciiTheme="majorBidi" w:hAnsiTheme="majorBidi" w:cstheme="majorBidi"/>
          <w:sz w:val="24"/>
          <w:szCs w:val="24"/>
        </w:rPr>
        <w:t>at the endocrinology lab in SUMU as follow: TSH- TSH3-UL- a Third-generation, two-site sandwich immunochemiluminescent assay, Advia CENTAYR XP, SIEMENS.</w:t>
      </w:r>
      <w:r w:rsidR="00423659" w:rsidRPr="006D79E4">
        <w:rPr>
          <w:rFonts w:asciiTheme="majorBidi" w:hAnsiTheme="majorBidi" w:cs="Times New Roman"/>
          <w:sz w:val="24"/>
          <w:szCs w:val="24"/>
          <w:rtl/>
        </w:rPr>
        <w:t xml:space="preserve"> </w:t>
      </w:r>
      <w:r w:rsidR="00D06E38" w:rsidRPr="006D79E4">
        <w:rPr>
          <w:rFonts w:asciiTheme="majorBidi" w:hAnsiTheme="majorBidi" w:cstheme="majorBidi"/>
          <w:sz w:val="24"/>
          <w:szCs w:val="24"/>
        </w:rPr>
        <w:t>T</w:t>
      </w:r>
      <w:r w:rsidR="00D06E38">
        <w:rPr>
          <w:rFonts w:asciiTheme="majorBidi" w:hAnsiTheme="majorBidi" w:cstheme="majorBidi"/>
          <w:sz w:val="24"/>
          <w:szCs w:val="24"/>
        </w:rPr>
        <w:t>g</w:t>
      </w:r>
      <w:r w:rsidR="00423659" w:rsidRPr="006D79E4">
        <w:rPr>
          <w:rFonts w:asciiTheme="majorBidi" w:hAnsiTheme="majorBidi" w:cstheme="majorBidi"/>
          <w:sz w:val="24"/>
          <w:szCs w:val="24"/>
        </w:rPr>
        <w:t>- a 2-site sandwich, solid-phase Immunometric IMMULITE Xpi</w:t>
      </w:r>
      <w:r w:rsidR="00D8720C">
        <w:rPr>
          <w:rFonts w:asciiTheme="majorBidi" w:hAnsiTheme="majorBidi" w:cstheme="majorBidi"/>
          <w:sz w:val="24"/>
          <w:szCs w:val="24"/>
        </w:rPr>
        <w:t>,</w:t>
      </w:r>
      <w:r w:rsidR="00423659" w:rsidRPr="006D79E4">
        <w:rPr>
          <w:rFonts w:asciiTheme="majorBidi" w:hAnsiTheme="majorBidi" w:cstheme="majorBidi"/>
          <w:sz w:val="24"/>
          <w:szCs w:val="24"/>
        </w:rPr>
        <w:t xml:space="preserve"> SIEMENS. Tg-Ab- a solid-phase chemiluminescent enzyme sequential immunometric assay, IMMULITE Xpi</w:t>
      </w:r>
      <w:r w:rsidR="00EE549E">
        <w:rPr>
          <w:rFonts w:asciiTheme="majorBidi" w:hAnsiTheme="majorBidi" w:cstheme="majorBidi"/>
          <w:sz w:val="24"/>
          <w:szCs w:val="24"/>
        </w:rPr>
        <w:t>,</w:t>
      </w:r>
      <w:r w:rsidR="00423659" w:rsidRPr="006D79E4">
        <w:rPr>
          <w:rFonts w:asciiTheme="majorBidi" w:hAnsiTheme="majorBidi" w:cstheme="majorBidi"/>
          <w:sz w:val="24"/>
          <w:szCs w:val="24"/>
        </w:rPr>
        <w:t xml:space="preserve"> SIEMENS. </w:t>
      </w:r>
    </w:p>
    <w:p w14:paraId="675C3933" w14:textId="2154295D" w:rsidR="001F3C5F" w:rsidRPr="006D79E4" w:rsidRDefault="001F3C5F" w:rsidP="00D8720C">
      <w:pPr>
        <w:tabs>
          <w:tab w:val="left" w:pos="720"/>
          <w:tab w:val="left" w:pos="1440"/>
          <w:tab w:val="left" w:pos="2160"/>
          <w:tab w:val="left" w:pos="6255"/>
        </w:tabs>
        <w:bidi w:val="0"/>
        <w:spacing w:line="480" w:lineRule="auto"/>
        <w:rPr>
          <w:rFonts w:asciiTheme="majorBidi" w:hAnsiTheme="majorBidi" w:cstheme="majorBidi"/>
          <w:sz w:val="24"/>
          <w:szCs w:val="24"/>
          <w:u w:val="single"/>
        </w:rPr>
      </w:pPr>
      <w:r w:rsidRPr="006D79E4">
        <w:rPr>
          <w:rFonts w:asciiTheme="majorBidi" w:hAnsiTheme="majorBidi" w:cstheme="majorBidi" w:hint="cs"/>
          <w:sz w:val="24"/>
          <w:szCs w:val="24"/>
          <w:u w:val="single"/>
        </w:rPr>
        <w:t>T</w:t>
      </w:r>
      <w:r w:rsidRPr="006D79E4">
        <w:rPr>
          <w:rFonts w:asciiTheme="majorBidi" w:hAnsiTheme="majorBidi" w:cstheme="majorBidi"/>
          <w:sz w:val="24"/>
          <w:szCs w:val="24"/>
          <w:u w:val="single"/>
        </w:rPr>
        <w:t>hyroid nodule</w:t>
      </w:r>
      <w:r w:rsidR="00A45A1C">
        <w:rPr>
          <w:rFonts w:asciiTheme="majorBidi" w:hAnsiTheme="majorBidi" w:cstheme="majorBidi"/>
          <w:sz w:val="24"/>
          <w:szCs w:val="24"/>
          <w:u w:val="single"/>
        </w:rPr>
        <w:t xml:space="preserve"> ultrasound</w:t>
      </w:r>
      <w:r w:rsidRPr="006D79E4">
        <w:rPr>
          <w:rFonts w:asciiTheme="majorBidi" w:hAnsiTheme="majorBidi" w:cstheme="majorBidi"/>
          <w:sz w:val="24"/>
          <w:szCs w:val="24"/>
          <w:u w:val="single"/>
        </w:rPr>
        <w:t xml:space="preserve"> </w:t>
      </w:r>
      <w:r w:rsidR="00A45A1C">
        <w:rPr>
          <w:rFonts w:asciiTheme="majorBidi" w:hAnsiTheme="majorBidi" w:cstheme="majorBidi"/>
          <w:sz w:val="24"/>
          <w:szCs w:val="24"/>
          <w:u w:val="single"/>
        </w:rPr>
        <w:t>(</w:t>
      </w:r>
      <w:r w:rsidRPr="006D79E4">
        <w:rPr>
          <w:rFonts w:asciiTheme="majorBidi" w:hAnsiTheme="majorBidi" w:cstheme="majorBidi"/>
          <w:sz w:val="24"/>
          <w:szCs w:val="24"/>
          <w:u w:val="single"/>
        </w:rPr>
        <w:t>US</w:t>
      </w:r>
      <w:r w:rsidR="00A45A1C">
        <w:rPr>
          <w:rFonts w:asciiTheme="majorBidi" w:hAnsiTheme="majorBidi" w:cstheme="majorBidi"/>
          <w:sz w:val="24"/>
          <w:szCs w:val="24"/>
          <w:u w:val="single"/>
        </w:rPr>
        <w:t>)</w:t>
      </w:r>
      <w:r w:rsidRPr="006D79E4">
        <w:rPr>
          <w:rFonts w:asciiTheme="majorBidi" w:hAnsiTheme="majorBidi" w:cstheme="majorBidi"/>
          <w:sz w:val="24"/>
          <w:szCs w:val="24"/>
          <w:u w:val="single"/>
        </w:rPr>
        <w:t xml:space="preserve"> reports</w:t>
      </w:r>
    </w:p>
    <w:p w14:paraId="580B425A" w14:textId="61D9A05E" w:rsidR="001F3C5F" w:rsidRPr="006D79E4" w:rsidRDefault="001F3C5F" w:rsidP="00D8720C">
      <w:pPr>
        <w:tabs>
          <w:tab w:val="left" w:pos="720"/>
          <w:tab w:val="left" w:pos="1440"/>
          <w:tab w:val="left" w:pos="2160"/>
          <w:tab w:val="left" w:pos="6255"/>
        </w:tabs>
        <w:bidi w:val="0"/>
        <w:spacing w:line="480" w:lineRule="auto"/>
        <w:rPr>
          <w:rFonts w:asciiTheme="majorBidi" w:hAnsiTheme="majorBidi" w:cstheme="majorBidi"/>
          <w:sz w:val="24"/>
          <w:szCs w:val="24"/>
          <w:rtl/>
        </w:rPr>
      </w:pPr>
      <w:r w:rsidRPr="006D79E4">
        <w:rPr>
          <w:rFonts w:asciiTheme="majorBidi" w:hAnsiTheme="majorBidi" w:cstheme="majorBidi"/>
          <w:sz w:val="24"/>
          <w:szCs w:val="24"/>
        </w:rPr>
        <w:t xml:space="preserve">Maximal diameter of the dominant nodule of the MNG </w:t>
      </w:r>
      <w:r w:rsidR="008C132B" w:rsidRPr="006D79E4">
        <w:rPr>
          <w:rFonts w:asciiTheme="majorBidi" w:hAnsiTheme="majorBidi" w:cstheme="majorBidi"/>
          <w:sz w:val="24"/>
          <w:szCs w:val="24"/>
        </w:rPr>
        <w:t xml:space="preserve">(group 1), and of </w:t>
      </w:r>
      <w:r w:rsidR="00D31CB1">
        <w:rPr>
          <w:rFonts w:asciiTheme="majorBidi" w:hAnsiTheme="majorBidi" w:cstheme="majorBidi"/>
          <w:sz w:val="24"/>
          <w:szCs w:val="24"/>
        </w:rPr>
        <w:t xml:space="preserve">the </w:t>
      </w:r>
      <w:r w:rsidRPr="006D79E4">
        <w:rPr>
          <w:rFonts w:asciiTheme="majorBidi" w:hAnsiTheme="majorBidi" w:cstheme="majorBidi"/>
          <w:sz w:val="24"/>
          <w:szCs w:val="24"/>
        </w:rPr>
        <w:t>nodule from which</w:t>
      </w:r>
      <w:r w:rsidR="00EE549E">
        <w:rPr>
          <w:rFonts w:asciiTheme="majorBidi" w:hAnsiTheme="majorBidi" w:cstheme="majorBidi"/>
          <w:sz w:val="24"/>
          <w:szCs w:val="24"/>
        </w:rPr>
        <w:t xml:space="preserve"> the</w:t>
      </w:r>
      <w:r w:rsidRPr="006D79E4">
        <w:rPr>
          <w:rFonts w:asciiTheme="majorBidi" w:hAnsiTheme="majorBidi" w:cstheme="majorBidi"/>
          <w:sz w:val="24"/>
          <w:szCs w:val="24"/>
        </w:rPr>
        <w:t xml:space="preserve"> FNA was </w:t>
      </w:r>
      <w:r w:rsidR="00D31CB1" w:rsidRPr="006D79E4">
        <w:rPr>
          <w:rFonts w:asciiTheme="majorBidi" w:hAnsiTheme="majorBidi" w:cstheme="majorBidi"/>
          <w:sz w:val="24"/>
          <w:szCs w:val="24"/>
        </w:rPr>
        <w:t>performed</w:t>
      </w:r>
      <w:r w:rsidRPr="006D79E4">
        <w:rPr>
          <w:rFonts w:asciiTheme="majorBidi" w:hAnsiTheme="majorBidi" w:cstheme="majorBidi"/>
          <w:sz w:val="24"/>
          <w:szCs w:val="24"/>
        </w:rPr>
        <w:t xml:space="preserve"> </w:t>
      </w:r>
      <w:r w:rsidR="008C132B" w:rsidRPr="006D79E4">
        <w:rPr>
          <w:rFonts w:asciiTheme="majorBidi" w:hAnsiTheme="majorBidi" w:cstheme="majorBidi"/>
          <w:sz w:val="24"/>
          <w:szCs w:val="24"/>
        </w:rPr>
        <w:t xml:space="preserve">(group 2) </w:t>
      </w:r>
      <w:r w:rsidR="007D632C">
        <w:rPr>
          <w:rFonts w:asciiTheme="majorBidi" w:hAnsiTheme="majorBidi" w:cstheme="majorBidi"/>
          <w:sz w:val="24"/>
          <w:szCs w:val="24"/>
        </w:rPr>
        <w:t>were</w:t>
      </w:r>
      <w:r w:rsidR="007D632C" w:rsidRPr="006D79E4">
        <w:rPr>
          <w:rFonts w:asciiTheme="majorBidi" w:hAnsiTheme="majorBidi" w:cstheme="majorBidi"/>
          <w:sz w:val="24"/>
          <w:szCs w:val="24"/>
        </w:rPr>
        <w:t xml:space="preserve"> </w:t>
      </w:r>
      <w:r w:rsidRPr="006D79E4">
        <w:rPr>
          <w:rFonts w:asciiTheme="majorBidi" w:hAnsiTheme="majorBidi" w:cstheme="majorBidi"/>
          <w:sz w:val="24"/>
          <w:szCs w:val="24"/>
        </w:rPr>
        <w:t xml:space="preserve">recorded based on the </w:t>
      </w:r>
      <w:r w:rsidR="007D632C">
        <w:rPr>
          <w:rFonts w:asciiTheme="majorBidi" w:hAnsiTheme="majorBidi" w:cstheme="majorBidi"/>
          <w:sz w:val="24"/>
          <w:szCs w:val="24"/>
        </w:rPr>
        <w:t>formal US</w:t>
      </w:r>
      <w:r w:rsidR="007D632C" w:rsidRPr="006D79E4">
        <w:rPr>
          <w:rFonts w:asciiTheme="majorBidi" w:hAnsiTheme="majorBidi" w:cstheme="majorBidi"/>
          <w:sz w:val="24"/>
          <w:szCs w:val="24"/>
        </w:rPr>
        <w:t xml:space="preserve"> </w:t>
      </w:r>
      <w:r w:rsidRPr="006D79E4">
        <w:rPr>
          <w:rFonts w:asciiTheme="majorBidi" w:hAnsiTheme="majorBidi" w:cstheme="majorBidi"/>
          <w:sz w:val="24"/>
          <w:szCs w:val="24"/>
        </w:rPr>
        <w:t>report. The US examination</w:t>
      </w:r>
      <w:r w:rsidR="008C132B" w:rsidRPr="006D79E4">
        <w:rPr>
          <w:rFonts w:asciiTheme="majorBidi" w:hAnsiTheme="majorBidi" w:cstheme="majorBidi"/>
          <w:sz w:val="24"/>
          <w:szCs w:val="24"/>
        </w:rPr>
        <w:t>s</w:t>
      </w:r>
      <w:r w:rsidRPr="006D79E4">
        <w:rPr>
          <w:rFonts w:asciiTheme="majorBidi" w:hAnsiTheme="majorBidi" w:cstheme="majorBidi"/>
          <w:sz w:val="24"/>
          <w:szCs w:val="24"/>
        </w:rPr>
        <w:t xml:space="preserve"> </w:t>
      </w:r>
      <w:r w:rsidR="008C132B" w:rsidRPr="006D79E4">
        <w:rPr>
          <w:rFonts w:asciiTheme="majorBidi" w:hAnsiTheme="majorBidi" w:cstheme="majorBidi"/>
          <w:sz w:val="24"/>
          <w:szCs w:val="24"/>
        </w:rPr>
        <w:t xml:space="preserve">were </w:t>
      </w:r>
      <w:r w:rsidRPr="006D79E4">
        <w:rPr>
          <w:rFonts w:asciiTheme="majorBidi" w:hAnsiTheme="majorBidi" w:cstheme="majorBidi"/>
          <w:sz w:val="24"/>
          <w:szCs w:val="24"/>
        </w:rPr>
        <w:t>conducted in SUMC or in other medical imaging center</w:t>
      </w:r>
      <w:r w:rsidR="00C47124">
        <w:rPr>
          <w:rFonts w:asciiTheme="majorBidi" w:hAnsiTheme="majorBidi" w:cstheme="majorBidi"/>
          <w:sz w:val="24"/>
          <w:szCs w:val="24"/>
        </w:rPr>
        <w:t>s</w:t>
      </w:r>
      <w:r w:rsidRPr="006D79E4">
        <w:rPr>
          <w:rFonts w:asciiTheme="majorBidi" w:hAnsiTheme="majorBidi" w:cstheme="majorBidi"/>
          <w:sz w:val="24"/>
          <w:szCs w:val="24"/>
        </w:rPr>
        <w:t xml:space="preserve"> </w:t>
      </w:r>
      <w:r w:rsidR="008C132B" w:rsidRPr="006D79E4">
        <w:rPr>
          <w:rFonts w:asciiTheme="majorBidi" w:hAnsiTheme="majorBidi" w:cstheme="majorBidi"/>
          <w:sz w:val="24"/>
          <w:szCs w:val="24"/>
        </w:rPr>
        <w:t xml:space="preserve">and interpreted by </w:t>
      </w:r>
      <w:r w:rsidR="00D31CB1">
        <w:rPr>
          <w:rFonts w:asciiTheme="majorBidi" w:hAnsiTheme="majorBidi" w:cstheme="majorBidi"/>
          <w:sz w:val="24"/>
          <w:szCs w:val="24"/>
        </w:rPr>
        <w:t xml:space="preserve">authorized </w:t>
      </w:r>
      <w:r w:rsidR="008C132B" w:rsidRPr="006D79E4">
        <w:rPr>
          <w:rFonts w:asciiTheme="majorBidi" w:hAnsiTheme="majorBidi" w:cstheme="majorBidi"/>
          <w:sz w:val="24"/>
          <w:szCs w:val="24"/>
        </w:rPr>
        <w:t>clinical radiolog</w:t>
      </w:r>
      <w:r w:rsidR="007D632C">
        <w:rPr>
          <w:rFonts w:asciiTheme="majorBidi" w:hAnsiTheme="majorBidi" w:cstheme="majorBidi"/>
          <w:sz w:val="24"/>
          <w:szCs w:val="24"/>
        </w:rPr>
        <w:t>ists</w:t>
      </w:r>
      <w:r w:rsidR="008C132B" w:rsidRPr="006D79E4">
        <w:rPr>
          <w:rFonts w:asciiTheme="majorBidi" w:hAnsiTheme="majorBidi" w:cstheme="majorBidi"/>
          <w:sz w:val="24"/>
          <w:szCs w:val="24"/>
        </w:rPr>
        <w:t>.</w:t>
      </w:r>
      <w:r w:rsidRPr="006D79E4">
        <w:rPr>
          <w:rFonts w:asciiTheme="majorBidi" w:hAnsiTheme="majorBidi" w:cstheme="majorBidi"/>
          <w:sz w:val="24"/>
          <w:szCs w:val="24"/>
        </w:rPr>
        <w:t xml:space="preserve"> </w:t>
      </w:r>
    </w:p>
    <w:p w14:paraId="713BD050" w14:textId="77777777" w:rsidR="001F3C5F" w:rsidRPr="00F00BC5" w:rsidRDefault="001F3C5F" w:rsidP="00D8720C">
      <w:pPr>
        <w:bidi w:val="0"/>
        <w:spacing w:line="480" w:lineRule="auto"/>
        <w:rPr>
          <w:rFonts w:asciiTheme="majorBidi" w:eastAsia="Times New Roman" w:hAnsiTheme="majorBidi" w:cstheme="majorBidi"/>
          <w:sz w:val="24"/>
          <w:szCs w:val="24"/>
          <w:u w:val="single"/>
        </w:rPr>
      </w:pPr>
      <w:r w:rsidRPr="00F00BC5">
        <w:rPr>
          <w:rFonts w:asciiTheme="majorBidi" w:eastAsia="Times New Roman" w:hAnsiTheme="majorBidi" w:cstheme="majorBidi"/>
          <w:sz w:val="24"/>
          <w:szCs w:val="24"/>
          <w:u w:val="single"/>
        </w:rPr>
        <w:t>Statistical analysis</w:t>
      </w:r>
    </w:p>
    <w:p w14:paraId="1EB38B52" w14:textId="70B144C0" w:rsidR="001F3C5F" w:rsidRPr="006D79E4" w:rsidRDefault="001F3C5F" w:rsidP="00D8720C">
      <w:pPr>
        <w:bidi w:val="0"/>
        <w:spacing w:line="480" w:lineRule="auto"/>
      </w:pPr>
      <w:r w:rsidRPr="00F00BC5">
        <w:rPr>
          <w:rFonts w:asciiTheme="majorBidi" w:eastAsia="Times New Roman" w:hAnsiTheme="majorBidi" w:cstheme="majorBidi"/>
          <w:sz w:val="24"/>
          <w:szCs w:val="24"/>
        </w:rPr>
        <w:t>Baseline characteristics of the study population were summarized using descriptive statistics. Continuous variables were compared using t test for normally distributed variables, and Mann-Whitney U test for non-normally distributed variables. Chi square test was used for categorical variables. Results are presented as means ± SDs</w:t>
      </w:r>
      <w:r w:rsidR="009F681C" w:rsidRPr="00F00BC5">
        <w:rPr>
          <w:rFonts w:asciiTheme="majorBidi" w:eastAsia="Times New Roman" w:hAnsiTheme="majorBidi" w:cstheme="majorBidi"/>
          <w:sz w:val="24"/>
          <w:szCs w:val="24"/>
        </w:rPr>
        <w:t xml:space="preserve"> (standard deviation)</w:t>
      </w:r>
      <w:r w:rsidRPr="00F00BC5">
        <w:rPr>
          <w:rFonts w:asciiTheme="majorBidi" w:eastAsia="Times New Roman" w:hAnsiTheme="majorBidi" w:cstheme="majorBidi"/>
          <w:sz w:val="24"/>
          <w:szCs w:val="24"/>
        </w:rPr>
        <w:t xml:space="preserve"> for normally distributed continuous variables and as medians and </w:t>
      </w:r>
      <w:r w:rsidR="00EC5D99" w:rsidRPr="00EC5D99">
        <w:rPr>
          <w:rFonts w:asciiTheme="majorBidi" w:eastAsia="Times New Roman" w:hAnsiTheme="majorBidi" w:cstheme="majorBidi"/>
          <w:sz w:val="24"/>
          <w:szCs w:val="24"/>
        </w:rPr>
        <w:t>quartile 1 (Q1) and 3 (Q3)</w:t>
      </w:r>
      <w:r w:rsidR="00EC5D99">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for non-normally distributed variables. Odds ratios (ORs) were calculated using logistic regression and are presented with 95% confidence intervals (C</w:t>
      </w:r>
      <w:r w:rsidR="007134C6">
        <w:rPr>
          <w:rFonts w:asciiTheme="majorBidi" w:eastAsia="Times New Roman" w:hAnsiTheme="majorBidi" w:cstheme="majorBidi"/>
          <w:sz w:val="24"/>
          <w:szCs w:val="24"/>
        </w:rPr>
        <w:t>I</w:t>
      </w:r>
      <w:r w:rsidRPr="00F00BC5">
        <w:rPr>
          <w:rFonts w:asciiTheme="majorBidi" w:eastAsia="Times New Roman" w:hAnsiTheme="majorBidi" w:cstheme="majorBidi"/>
          <w:sz w:val="24"/>
          <w:szCs w:val="24"/>
        </w:rPr>
        <w:t>). The Receiver-operating characteristic</w:t>
      </w:r>
      <w:r w:rsidR="008C132B" w:rsidRPr="00F00BC5">
        <w:rPr>
          <w:rFonts w:asciiTheme="majorBidi" w:eastAsia="Times New Roman" w:hAnsiTheme="majorBidi" w:cstheme="majorBidi"/>
          <w:sz w:val="24"/>
          <w:szCs w:val="24"/>
        </w:rPr>
        <w:t xml:space="preserve"> (ROC)</w:t>
      </w:r>
      <w:r w:rsidRPr="00F00BC5">
        <w:rPr>
          <w:rFonts w:asciiTheme="majorBidi" w:eastAsia="Times New Roman" w:hAnsiTheme="majorBidi" w:cstheme="majorBidi"/>
          <w:sz w:val="24"/>
          <w:szCs w:val="24"/>
        </w:rPr>
        <w:t xml:space="preserve"> was used to evaluate the performance of </w:t>
      </w:r>
      <w:r w:rsidR="00650B45" w:rsidRPr="00F00BC5">
        <w:rPr>
          <w:rFonts w:asciiTheme="majorBidi" w:eastAsia="Times New Roman" w:hAnsiTheme="majorBidi" w:cstheme="majorBidi"/>
          <w:sz w:val="24"/>
          <w:szCs w:val="24"/>
        </w:rPr>
        <w:t>preoperative</w:t>
      </w:r>
      <w:r w:rsidR="00C47124">
        <w:rPr>
          <w:rFonts w:asciiTheme="majorBidi" w:eastAsia="Times New Roman" w:hAnsiTheme="majorBidi" w:cstheme="majorBidi"/>
          <w:sz w:val="24"/>
          <w:szCs w:val="24"/>
        </w:rPr>
        <w:t xml:space="preserve"> serum</w:t>
      </w:r>
      <w:r w:rsidR="00650B45"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 xml:space="preserve">Tg </w:t>
      </w:r>
      <w:r w:rsidR="00C47124">
        <w:rPr>
          <w:rFonts w:asciiTheme="majorBidi" w:eastAsia="Times New Roman" w:hAnsiTheme="majorBidi" w:cstheme="majorBidi"/>
          <w:sz w:val="24"/>
          <w:szCs w:val="24"/>
        </w:rPr>
        <w:t>concentration</w:t>
      </w:r>
      <w:r w:rsidR="00C47124"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as diagnostic test to differentiate between malignant and benign nodules. For all analyses, a 2-sided p&lt;0.05 was considered statistically significant. Statistical analyses were conducted using SPSS software (ver. 26.0 for Windows; SPSS Inc., Chicago, IL, USA).</w:t>
      </w:r>
    </w:p>
    <w:p w14:paraId="32C4DAF3" w14:textId="0252C914" w:rsidR="009A0E73" w:rsidRPr="00C3537A" w:rsidRDefault="00F7135E" w:rsidP="00D8720C">
      <w:pPr>
        <w:bidi w:val="0"/>
        <w:spacing w:line="480" w:lineRule="auto"/>
        <w:rPr>
          <w:rFonts w:ascii="Times New Roman" w:hAnsi="Times New Roman" w:cs="Times New Roman"/>
        </w:rPr>
      </w:pPr>
      <w:r w:rsidRPr="006D79E4">
        <w:rPr>
          <w:rFonts w:ascii="Times New Roman" w:hAnsi="Times New Roman" w:cs="Times New Roman"/>
          <w:sz w:val="24"/>
          <w:szCs w:val="24"/>
        </w:rPr>
        <w:t xml:space="preserve">The study was approved by SUMC IRB committee authorization number </w:t>
      </w:r>
      <w:r w:rsidR="007C45F0" w:rsidRPr="006D79E4">
        <w:rPr>
          <w:rFonts w:ascii="Times New Roman" w:hAnsi="Times New Roman" w:cs="Times New Roman"/>
          <w:sz w:val="24"/>
          <w:szCs w:val="24"/>
        </w:rPr>
        <w:t>0352-15-SOR.</w:t>
      </w:r>
    </w:p>
    <w:p w14:paraId="3C422FC9" w14:textId="77777777" w:rsidR="009A0E73" w:rsidRPr="00F00BC5" w:rsidRDefault="009A0E73" w:rsidP="00D8720C">
      <w:pPr>
        <w:bidi w:val="0"/>
        <w:spacing w:line="480" w:lineRule="auto"/>
        <w:rPr>
          <w:rFonts w:asciiTheme="majorBidi" w:eastAsia="Times New Roman" w:hAnsiTheme="majorBidi" w:cstheme="majorBidi"/>
          <w:b/>
          <w:bCs/>
          <w:sz w:val="24"/>
          <w:szCs w:val="24"/>
          <w:u w:val="single"/>
        </w:rPr>
      </w:pPr>
    </w:p>
    <w:p w14:paraId="6B5C782C" w14:textId="560C5926" w:rsidR="001F3C5F" w:rsidRPr="00F00BC5" w:rsidRDefault="001F3C5F" w:rsidP="00D8720C">
      <w:pPr>
        <w:bidi w:val="0"/>
        <w:spacing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Results</w:t>
      </w:r>
    </w:p>
    <w:p w14:paraId="0D55551A" w14:textId="77777777" w:rsidR="00174A4E" w:rsidRDefault="00174A4E" w:rsidP="00D8720C">
      <w:pPr>
        <w:bidi w:val="0"/>
        <w:spacing w:line="480" w:lineRule="auto"/>
        <w:rPr>
          <w:rFonts w:asciiTheme="majorBidi" w:eastAsia="Times New Roman" w:hAnsiTheme="majorBidi" w:cstheme="majorBidi"/>
          <w:sz w:val="24"/>
          <w:szCs w:val="24"/>
        </w:rPr>
      </w:pPr>
      <w:bookmarkStart w:id="2" w:name="_Hlk97025996"/>
      <w:r w:rsidRPr="00174A4E">
        <w:rPr>
          <w:rFonts w:asciiTheme="majorBidi" w:eastAsia="Times New Roman" w:hAnsiTheme="majorBidi" w:cstheme="majorBidi"/>
          <w:sz w:val="24"/>
          <w:szCs w:val="24"/>
        </w:rPr>
        <w:t xml:space="preserve">Between September 2014 and May 2019 one hundred and seventy-seven patients had thyroidectomy or lobectomy for MNG or thyroid nodule with INC at the SUMC Otolaryngology department. Of these, 131 fulfilled inclusion criteria without any exclusion criteria and consisted of the final study cohort. Sixty-nine patients were operated for benign MNG (group 1) and 62 patients were operated due to TN with INC (group 2). Pathology reports confirmed the presence of DTC in 18 patients (26%) in group 1, and in 30 patients (48%) in group 2 (figure 1). In the entire cohort 41 (31.3%), 7 (5.3%), and 83 (63.4%) patients had post-operative diagnosis of PTC, FTC, and benign thyroid nodular disease, respectively (table 1). ROC curve analysis of the entire cohort showed area under the curve (AUC) of 0.5, (p=0.89), demonstrating that preoperative Tg did not distinguish between malignant and benign TN when patients of both study groups were included in the analysis (Figure 1A).  </w:t>
      </w:r>
      <w:bookmarkEnd w:id="2"/>
    </w:p>
    <w:p w14:paraId="524103A5" w14:textId="11D757F0" w:rsidR="00650B45" w:rsidRPr="00F00BC5" w:rsidRDefault="00BE22D2" w:rsidP="00174A4E">
      <w:pPr>
        <w:bidi w:val="0"/>
        <w:spacing w:line="480" w:lineRule="auto"/>
        <w:rPr>
          <w:rFonts w:asciiTheme="majorBidi" w:eastAsia="Times New Roman" w:hAnsiTheme="majorBidi" w:cstheme="majorBidi"/>
          <w:i/>
          <w:iCs/>
          <w:sz w:val="24"/>
          <w:szCs w:val="24"/>
          <w:u w:val="single"/>
        </w:rPr>
      </w:pPr>
      <w:r w:rsidRPr="00F00BC5">
        <w:rPr>
          <w:rFonts w:asciiTheme="majorBidi" w:eastAsia="Times New Roman" w:hAnsiTheme="majorBidi" w:cstheme="majorBidi"/>
          <w:i/>
          <w:iCs/>
          <w:sz w:val="24"/>
          <w:szCs w:val="24"/>
          <w:u w:val="single"/>
        </w:rPr>
        <w:t xml:space="preserve">Group 1- </w:t>
      </w:r>
      <w:r w:rsidR="00650B45" w:rsidRPr="00F00BC5">
        <w:rPr>
          <w:rFonts w:asciiTheme="majorBidi" w:eastAsia="Times New Roman" w:hAnsiTheme="majorBidi" w:cstheme="majorBidi"/>
          <w:i/>
          <w:iCs/>
          <w:sz w:val="24"/>
          <w:szCs w:val="24"/>
          <w:u w:val="single"/>
        </w:rPr>
        <w:t xml:space="preserve">MNG without preoperative diagnosis of </w:t>
      </w:r>
      <w:r w:rsidR="00043314" w:rsidRPr="00F00BC5">
        <w:rPr>
          <w:rFonts w:asciiTheme="majorBidi" w:eastAsia="Times New Roman" w:hAnsiTheme="majorBidi" w:cstheme="majorBidi"/>
          <w:i/>
          <w:iCs/>
          <w:sz w:val="24"/>
          <w:szCs w:val="24"/>
          <w:u w:val="single"/>
        </w:rPr>
        <w:t>DTC</w:t>
      </w:r>
    </w:p>
    <w:p w14:paraId="72C967BF" w14:textId="5EAF3D38" w:rsidR="001B6817" w:rsidRPr="006D79E4" w:rsidRDefault="00650B45" w:rsidP="00D8720C">
      <w:pPr>
        <w:bidi w:val="0"/>
        <w:spacing w:line="480" w:lineRule="auto"/>
        <w:rPr>
          <w:rFonts w:asciiTheme="majorBidi" w:hAnsiTheme="majorBidi" w:cstheme="majorBidi"/>
          <w:sz w:val="24"/>
          <w:szCs w:val="24"/>
          <w:rtl/>
        </w:rPr>
      </w:pPr>
      <w:r w:rsidRPr="001B21B6">
        <w:rPr>
          <w:rFonts w:asciiTheme="majorBidi" w:eastAsia="Times New Roman" w:hAnsiTheme="majorBidi" w:cstheme="majorBidi"/>
          <w:sz w:val="24"/>
          <w:szCs w:val="24"/>
        </w:rPr>
        <w:t xml:space="preserve">Table </w:t>
      </w:r>
      <w:r w:rsidR="005D1412" w:rsidRPr="001B21B6">
        <w:rPr>
          <w:rFonts w:asciiTheme="majorBidi" w:eastAsia="Times New Roman" w:hAnsiTheme="majorBidi" w:cstheme="majorBidi" w:hint="cs"/>
          <w:sz w:val="24"/>
          <w:szCs w:val="24"/>
          <w:rtl/>
        </w:rPr>
        <w:t>2</w:t>
      </w:r>
      <w:r w:rsidR="00BE22D2" w:rsidRPr="001B21B6">
        <w:rPr>
          <w:rFonts w:asciiTheme="majorBidi" w:eastAsia="Times New Roman" w:hAnsiTheme="majorBidi" w:cstheme="majorBidi"/>
          <w:sz w:val="24"/>
          <w:szCs w:val="24"/>
        </w:rPr>
        <w:t xml:space="preserve"> </w:t>
      </w:r>
      <w:r w:rsidRPr="001B21B6">
        <w:rPr>
          <w:rFonts w:asciiTheme="majorBidi" w:eastAsia="Times New Roman" w:hAnsiTheme="majorBidi" w:cstheme="majorBidi"/>
          <w:sz w:val="24"/>
          <w:szCs w:val="24"/>
        </w:rPr>
        <w:t xml:space="preserve">summarizes </w:t>
      </w:r>
      <w:r w:rsidR="00745188">
        <w:rPr>
          <w:rFonts w:asciiTheme="majorBidi" w:eastAsia="Times New Roman" w:hAnsiTheme="majorBidi" w:cstheme="majorBidi"/>
          <w:sz w:val="24"/>
          <w:szCs w:val="24"/>
        </w:rPr>
        <w:t xml:space="preserve">the </w:t>
      </w:r>
      <w:r w:rsidRPr="001B21B6">
        <w:rPr>
          <w:rFonts w:asciiTheme="majorBidi" w:eastAsia="Times New Roman" w:hAnsiTheme="majorBidi" w:cstheme="majorBidi"/>
          <w:sz w:val="24"/>
          <w:szCs w:val="24"/>
        </w:rPr>
        <w:t xml:space="preserve">characteristics of </w:t>
      </w:r>
      <w:r w:rsidR="00B47327">
        <w:rPr>
          <w:rFonts w:asciiTheme="majorBidi" w:eastAsia="Times New Roman" w:hAnsiTheme="majorBidi" w:cstheme="majorBidi"/>
          <w:sz w:val="24"/>
          <w:szCs w:val="24"/>
        </w:rPr>
        <w:t xml:space="preserve">69 </w:t>
      </w:r>
      <w:r w:rsidRPr="001B21B6">
        <w:rPr>
          <w:rFonts w:asciiTheme="majorBidi" w:eastAsia="Times New Roman" w:hAnsiTheme="majorBidi" w:cstheme="majorBidi"/>
          <w:sz w:val="24"/>
          <w:szCs w:val="24"/>
        </w:rPr>
        <w:t>patients operated for</w:t>
      </w:r>
      <w:r w:rsidR="00745188">
        <w:rPr>
          <w:rFonts w:asciiTheme="majorBidi" w:eastAsia="Times New Roman" w:hAnsiTheme="majorBidi" w:cstheme="majorBidi"/>
          <w:sz w:val="24"/>
          <w:szCs w:val="24"/>
        </w:rPr>
        <w:t xml:space="preserve"> apparently benign</w:t>
      </w:r>
      <w:r w:rsidRPr="001B21B6">
        <w:rPr>
          <w:rFonts w:asciiTheme="majorBidi" w:eastAsia="Times New Roman" w:hAnsiTheme="majorBidi" w:cstheme="majorBidi" w:hint="cs"/>
          <w:sz w:val="24"/>
          <w:szCs w:val="24"/>
          <w:rtl/>
        </w:rPr>
        <w:t xml:space="preserve"> </w:t>
      </w:r>
      <w:r w:rsidRPr="001B21B6">
        <w:rPr>
          <w:rFonts w:asciiTheme="majorBidi" w:eastAsia="Times New Roman" w:hAnsiTheme="majorBidi" w:cstheme="majorBidi"/>
          <w:sz w:val="24"/>
          <w:szCs w:val="24"/>
        </w:rPr>
        <w:t>MNG, stratified by the postoperative diagnosis</w:t>
      </w:r>
      <w:r w:rsidR="00B47327">
        <w:rPr>
          <w:rFonts w:asciiTheme="majorBidi" w:eastAsia="Times New Roman" w:hAnsiTheme="majorBidi" w:cstheme="majorBidi"/>
          <w:sz w:val="24"/>
          <w:szCs w:val="24"/>
        </w:rPr>
        <w:t xml:space="preserve"> being</w:t>
      </w:r>
      <w:r w:rsidR="0009651D" w:rsidRPr="001B21B6">
        <w:rPr>
          <w:rFonts w:asciiTheme="majorBidi" w:eastAsia="Times New Roman" w:hAnsiTheme="majorBidi" w:cstheme="majorBidi"/>
          <w:sz w:val="24"/>
          <w:szCs w:val="24"/>
        </w:rPr>
        <w:t xml:space="preserve"> </w:t>
      </w:r>
      <w:r w:rsidR="00585091" w:rsidRPr="001B21B6">
        <w:rPr>
          <w:rFonts w:asciiTheme="majorBidi" w:eastAsia="Times New Roman" w:hAnsiTheme="majorBidi" w:cstheme="majorBidi"/>
          <w:sz w:val="24"/>
          <w:szCs w:val="24"/>
        </w:rPr>
        <w:t>DTC (</w:t>
      </w:r>
      <w:r w:rsidR="001B21B6" w:rsidRPr="001B21B6">
        <w:rPr>
          <w:rFonts w:asciiTheme="majorBidi" w:eastAsia="Times New Roman" w:hAnsiTheme="majorBidi" w:cstheme="majorBidi" w:hint="cs"/>
          <w:sz w:val="24"/>
          <w:szCs w:val="24"/>
          <w:rtl/>
        </w:rPr>
        <w:t>18</w:t>
      </w:r>
      <w:r w:rsidR="00585091" w:rsidRPr="001B21B6">
        <w:rPr>
          <w:rFonts w:asciiTheme="majorBidi" w:eastAsia="Times New Roman" w:hAnsiTheme="majorBidi" w:cstheme="majorBidi"/>
          <w:sz w:val="24"/>
          <w:szCs w:val="24"/>
        </w:rPr>
        <w:t xml:space="preserve">, </w:t>
      </w:r>
      <w:r w:rsidR="001B21B6" w:rsidRPr="001B21B6">
        <w:rPr>
          <w:rFonts w:asciiTheme="majorBidi" w:eastAsia="Times New Roman" w:hAnsiTheme="majorBidi" w:cstheme="majorBidi" w:hint="cs"/>
          <w:sz w:val="24"/>
          <w:szCs w:val="24"/>
          <w:rtl/>
        </w:rPr>
        <w:t>26</w:t>
      </w:r>
      <w:r w:rsidR="00585091" w:rsidRPr="001B21B6">
        <w:rPr>
          <w:rFonts w:asciiTheme="majorBidi" w:eastAsia="Times New Roman" w:hAnsiTheme="majorBidi" w:cstheme="majorBidi"/>
          <w:sz w:val="24"/>
          <w:szCs w:val="24"/>
        </w:rPr>
        <w:t xml:space="preserve">%) </w:t>
      </w:r>
      <w:r w:rsidR="00B47327">
        <w:rPr>
          <w:rFonts w:asciiTheme="majorBidi" w:eastAsia="Times New Roman" w:hAnsiTheme="majorBidi" w:cstheme="majorBidi"/>
          <w:sz w:val="24"/>
          <w:szCs w:val="24"/>
        </w:rPr>
        <w:t>or</w:t>
      </w:r>
      <w:r w:rsidR="00B47327" w:rsidRPr="001B21B6">
        <w:rPr>
          <w:rFonts w:asciiTheme="majorBidi" w:eastAsia="Times New Roman" w:hAnsiTheme="majorBidi" w:cstheme="majorBidi"/>
          <w:sz w:val="24"/>
          <w:szCs w:val="24"/>
        </w:rPr>
        <w:t xml:space="preserve"> </w:t>
      </w:r>
      <w:r w:rsidR="00585091" w:rsidRPr="001B21B6">
        <w:rPr>
          <w:rFonts w:asciiTheme="majorBidi" w:eastAsia="Times New Roman" w:hAnsiTheme="majorBidi" w:cstheme="majorBidi"/>
          <w:sz w:val="24"/>
          <w:szCs w:val="24"/>
        </w:rPr>
        <w:t>benign</w:t>
      </w:r>
      <w:r w:rsidR="006439F1">
        <w:rPr>
          <w:rFonts w:asciiTheme="majorBidi" w:eastAsia="Times New Roman" w:hAnsiTheme="majorBidi" w:cstheme="majorBidi" w:hint="cs"/>
          <w:sz w:val="24"/>
          <w:szCs w:val="24"/>
          <w:rtl/>
        </w:rPr>
        <w:t xml:space="preserve"> </w:t>
      </w:r>
      <w:r w:rsidR="006439F1">
        <w:rPr>
          <w:rFonts w:asciiTheme="majorBidi" w:eastAsia="Times New Roman" w:hAnsiTheme="majorBidi" w:cstheme="majorBidi" w:hint="cs"/>
          <w:sz w:val="24"/>
          <w:szCs w:val="24"/>
        </w:rPr>
        <w:t>MNG</w:t>
      </w:r>
      <w:r w:rsidR="00585091" w:rsidRPr="001B21B6">
        <w:rPr>
          <w:rFonts w:asciiTheme="majorBidi" w:eastAsia="Times New Roman" w:hAnsiTheme="majorBidi" w:cstheme="majorBidi"/>
          <w:sz w:val="24"/>
          <w:szCs w:val="24"/>
        </w:rPr>
        <w:t xml:space="preserve"> (</w:t>
      </w:r>
      <w:r w:rsidR="001B21B6" w:rsidRPr="001B21B6">
        <w:rPr>
          <w:rFonts w:asciiTheme="majorBidi" w:eastAsia="Times New Roman" w:hAnsiTheme="majorBidi" w:cstheme="majorBidi" w:hint="cs"/>
          <w:sz w:val="24"/>
          <w:szCs w:val="24"/>
          <w:rtl/>
        </w:rPr>
        <w:t>51</w:t>
      </w:r>
      <w:r w:rsidR="00585091" w:rsidRPr="001B21B6">
        <w:rPr>
          <w:rFonts w:asciiTheme="majorBidi" w:eastAsia="Times New Roman" w:hAnsiTheme="majorBidi" w:cstheme="majorBidi"/>
          <w:sz w:val="24"/>
          <w:szCs w:val="24"/>
        </w:rPr>
        <w:t xml:space="preserve">, </w:t>
      </w:r>
      <w:r w:rsidR="001B21B6" w:rsidRPr="001B21B6">
        <w:rPr>
          <w:rFonts w:asciiTheme="majorBidi" w:eastAsia="Times New Roman" w:hAnsiTheme="majorBidi" w:cstheme="majorBidi" w:hint="cs"/>
          <w:sz w:val="24"/>
          <w:szCs w:val="24"/>
          <w:rtl/>
        </w:rPr>
        <w:t>74</w:t>
      </w:r>
      <w:r w:rsidR="00585091" w:rsidRPr="001B21B6">
        <w:rPr>
          <w:rFonts w:asciiTheme="majorBidi" w:eastAsia="Times New Roman" w:hAnsiTheme="majorBidi" w:cstheme="majorBidi"/>
          <w:sz w:val="24"/>
          <w:szCs w:val="24"/>
        </w:rPr>
        <w:t>%)</w:t>
      </w:r>
      <w:r w:rsidRPr="001B21B6">
        <w:rPr>
          <w:rFonts w:asciiTheme="majorBidi" w:eastAsia="Times New Roman" w:hAnsiTheme="majorBidi" w:cstheme="majorBidi"/>
          <w:sz w:val="24"/>
          <w:szCs w:val="24"/>
        </w:rPr>
        <w:t>.</w:t>
      </w:r>
      <w:r w:rsidRPr="00F00BC5">
        <w:rPr>
          <w:rFonts w:asciiTheme="majorBidi" w:eastAsia="Times New Roman" w:hAnsiTheme="majorBidi" w:cstheme="majorBidi"/>
          <w:sz w:val="24"/>
          <w:szCs w:val="24"/>
        </w:rPr>
        <w:t xml:space="preserve"> </w:t>
      </w:r>
      <w:r w:rsidRPr="00F00BC5">
        <w:rPr>
          <w:rFonts w:asciiTheme="majorBidi" w:hAnsiTheme="majorBidi" w:cstheme="majorBidi" w:hint="cs"/>
          <w:sz w:val="24"/>
          <w:szCs w:val="24"/>
        </w:rPr>
        <w:t>M</w:t>
      </w:r>
      <w:r w:rsidRPr="00F00BC5">
        <w:rPr>
          <w:rFonts w:asciiTheme="majorBidi" w:hAnsiTheme="majorBidi" w:cstheme="majorBidi"/>
          <w:sz w:val="24"/>
          <w:szCs w:val="24"/>
        </w:rPr>
        <w:t xml:space="preserve">ean age </w:t>
      </w:r>
      <w:r w:rsidRPr="00F00BC5">
        <w:rPr>
          <w:rFonts w:asciiTheme="majorBidi" w:eastAsia="Times New Roman" w:hAnsiTheme="majorBidi" w:cstheme="majorBidi"/>
          <w:sz w:val="24"/>
          <w:szCs w:val="24"/>
        </w:rPr>
        <w:t xml:space="preserve">(49 ±15.69 </w:t>
      </w:r>
      <w:r w:rsidR="00DC378C">
        <w:rPr>
          <w:rFonts w:asciiTheme="majorBidi" w:eastAsia="Times New Roman" w:hAnsiTheme="majorBidi" w:cstheme="majorBidi"/>
          <w:sz w:val="24"/>
          <w:szCs w:val="24"/>
        </w:rPr>
        <w:t>and</w:t>
      </w:r>
      <w:r w:rsidRPr="00F00BC5">
        <w:rPr>
          <w:rFonts w:asciiTheme="majorBidi" w:eastAsia="Times New Roman" w:hAnsiTheme="majorBidi" w:cstheme="majorBidi"/>
          <w:sz w:val="24"/>
          <w:szCs w:val="24"/>
        </w:rPr>
        <w:t xml:space="preserve"> 41.5 ±14.27</w:t>
      </w:r>
      <w:r w:rsidR="00DC378C">
        <w:rPr>
          <w:rFonts w:asciiTheme="majorBidi" w:eastAsia="Times New Roman" w:hAnsiTheme="majorBidi" w:cstheme="majorBidi"/>
          <w:sz w:val="24"/>
          <w:szCs w:val="24"/>
        </w:rPr>
        <w:t xml:space="preserve"> years</w:t>
      </w:r>
      <w:r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i/>
          <w:iCs/>
          <w:sz w:val="24"/>
          <w:szCs w:val="24"/>
        </w:rPr>
        <w:t>p</w:t>
      </w:r>
      <w:r w:rsidRPr="00F00BC5">
        <w:rPr>
          <w:rFonts w:asciiTheme="majorBidi" w:eastAsia="Times New Roman" w:hAnsiTheme="majorBidi" w:cstheme="majorBidi"/>
          <w:sz w:val="24"/>
          <w:szCs w:val="24"/>
        </w:rPr>
        <w:t xml:space="preserve">=0.06) and female gender </w:t>
      </w:r>
      <w:r w:rsidRPr="00F00BC5">
        <w:rPr>
          <w:rFonts w:asciiTheme="majorBidi" w:hAnsiTheme="majorBidi" w:cstheme="majorBidi"/>
          <w:sz w:val="24"/>
          <w:szCs w:val="24"/>
        </w:rPr>
        <w:t>94.4</w:t>
      </w:r>
      <w:r w:rsidRPr="00F00BC5">
        <w:rPr>
          <w:rFonts w:asciiTheme="majorBidi" w:hAnsiTheme="majorBidi" w:cstheme="majorBidi"/>
          <w:sz w:val="24"/>
          <w:szCs w:val="24"/>
          <w:rtl/>
        </w:rPr>
        <w:t>%</w:t>
      </w:r>
      <w:r w:rsidRPr="00F00BC5">
        <w:rPr>
          <w:rFonts w:asciiTheme="majorBidi" w:hAnsiTheme="majorBidi" w:cstheme="majorBidi"/>
          <w:sz w:val="24"/>
          <w:szCs w:val="24"/>
        </w:rPr>
        <w:t xml:space="preserve"> and 82.4%, (</w:t>
      </w:r>
      <w:r w:rsidRPr="00F00BC5">
        <w:rPr>
          <w:rFonts w:asciiTheme="majorBidi" w:hAnsiTheme="majorBidi" w:cstheme="majorBidi"/>
          <w:i/>
          <w:iCs/>
          <w:sz w:val="24"/>
          <w:szCs w:val="24"/>
        </w:rPr>
        <w:t>p</w:t>
      </w:r>
      <w:r w:rsidRPr="00F00BC5">
        <w:rPr>
          <w:rFonts w:asciiTheme="majorBidi" w:hAnsiTheme="majorBidi" w:cstheme="majorBidi"/>
          <w:sz w:val="24"/>
          <w:szCs w:val="24"/>
        </w:rPr>
        <w:t xml:space="preserve">= 0.27) </w:t>
      </w:r>
      <w:r w:rsidRPr="00F00BC5">
        <w:rPr>
          <w:rFonts w:asciiTheme="majorBidi" w:eastAsia="Times New Roman" w:hAnsiTheme="majorBidi" w:cstheme="majorBidi"/>
          <w:sz w:val="24"/>
          <w:szCs w:val="24"/>
        </w:rPr>
        <w:t xml:space="preserve">did not differ between groups. Maximal </w:t>
      </w:r>
      <w:r w:rsidR="00816494">
        <w:rPr>
          <w:rFonts w:asciiTheme="majorBidi" w:eastAsia="Times New Roman" w:hAnsiTheme="majorBidi" w:cstheme="majorBidi"/>
          <w:sz w:val="24"/>
          <w:szCs w:val="24"/>
        </w:rPr>
        <w:t>TN</w:t>
      </w:r>
      <w:r w:rsidRPr="00F00BC5">
        <w:rPr>
          <w:rFonts w:asciiTheme="majorBidi" w:eastAsia="Times New Roman" w:hAnsiTheme="majorBidi" w:cstheme="majorBidi"/>
          <w:sz w:val="24"/>
          <w:szCs w:val="24"/>
        </w:rPr>
        <w:t xml:space="preserve"> </w:t>
      </w:r>
      <w:r w:rsidR="007639C7">
        <w:rPr>
          <w:rFonts w:asciiTheme="majorBidi" w:eastAsia="Times New Roman" w:hAnsiTheme="majorBidi" w:cstheme="majorBidi"/>
          <w:sz w:val="24"/>
          <w:szCs w:val="24"/>
        </w:rPr>
        <w:t>diameter</w:t>
      </w:r>
      <w:r w:rsidR="007639C7"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 xml:space="preserve">as reported </w:t>
      </w:r>
      <w:r w:rsidR="00DC378C">
        <w:rPr>
          <w:rFonts w:asciiTheme="majorBidi" w:eastAsia="Times New Roman" w:hAnsiTheme="majorBidi" w:cstheme="majorBidi"/>
          <w:sz w:val="24"/>
          <w:szCs w:val="24"/>
        </w:rPr>
        <w:t>by</w:t>
      </w:r>
      <w:r w:rsidR="00DC378C" w:rsidRPr="00F00BC5">
        <w:rPr>
          <w:rFonts w:asciiTheme="majorBidi" w:eastAsia="Times New Roman" w:hAnsiTheme="majorBidi" w:cstheme="majorBidi"/>
          <w:sz w:val="24"/>
          <w:szCs w:val="24"/>
        </w:rPr>
        <w:t xml:space="preserve"> </w:t>
      </w:r>
      <w:r w:rsidR="007639C7">
        <w:rPr>
          <w:rFonts w:asciiTheme="majorBidi" w:eastAsia="Times New Roman" w:hAnsiTheme="majorBidi" w:cstheme="majorBidi"/>
          <w:sz w:val="24"/>
          <w:szCs w:val="24"/>
        </w:rPr>
        <w:t>the</w:t>
      </w:r>
      <w:r w:rsidR="007639C7"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preoperative US was 4.03 ±1.77</w:t>
      </w:r>
      <w:r w:rsidR="00816494">
        <w:rPr>
          <w:rFonts w:asciiTheme="majorBidi" w:eastAsia="Times New Roman" w:hAnsiTheme="majorBidi" w:cstheme="majorBidi"/>
          <w:sz w:val="24"/>
          <w:szCs w:val="24"/>
        </w:rPr>
        <w:t xml:space="preserve"> </w:t>
      </w:r>
      <w:r w:rsidR="00816494" w:rsidRPr="00F00BC5">
        <w:rPr>
          <w:rFonts w:asciiTheme="majorBidi" w:eastAsia="Times New Roman" w:hAnsiTheme="majorBidi" w:cstheme="majorBidi"/>
          <w:sz w:val="24"/>
          <w:szCs w:val="24"/>
        </w:rPr>
        <w:t>centimeters</w:t>
      </w:r>
      <w:r w:rsidRPr="00F00BC5">
        <w:rPr>
          <w:rFonts w:asciiTheme="majorBidi" w:eastAsia="Times New Roman" w:hAnsiTheme="majorBidi" w:cstheme="majorBidi"/>
          <w:sz w:val="24"/>
          <w:szCs w:val="24"/>
        </w:rPr>
        <w:t xml:space="preserve"> </w:t>
      </w:r>
      <w:r w:rsidR="00816494">
        <w:rPr>
          <w:rFonts w:asciiTheme="majorBidi" w:eastAsia="Times New Roman" w:hAnsiTheme="majorBidi" w:cstheme="majorBidi"/>
          <w:sz w:val="24"/>
          <w:szCs w:val="24"/>
        </w:rPr>
        <w:t>in patients with post-operative diagnosis of DTC</w:t>
      </w:r>
      <w:r w:rsidR="00816494" w:rsidRPr="00F00BC5">
        <w:rPr>
          <w:rFonts w:asciiTheme="majorBidi" w:eastAsia="Times New Roman" w:hAnsiTheme="majorBidi" w:cstheme="majorBidi"/>
          <w:sz w:val="24"/>
          <w:szCs w:val="24"/>
        </w:rPr>
        <w:t xml:space="preserve"> </w:t>
      </w:r>
      <w:r w:rsidR="00816494">
        <w:rPr>
          <w:rFonts w:asciiTheme="majorBidi" w:eastAsia="Times New Roman" w:hAnsiTheme="majorBidi" w:cstheme="majorBidi"/>
          <w:sz w:val="24"/>
          <w:szCs w:val="24"/>
        </w:rPr>
        <w:t>versus</w:t>
      </w:r>
      <w:r w:rsidRPr="00F00BC5">
        <w:rPr>
          <w:rFonts w:asciiTheme="majorBidi" w:eastAsia="Times New Roman" w:hAnsiTheme="majorBidi" w:cstheme="majorBidi"/>
          <w:sz w:val="24"/>
          <w:szCs w:val="24"/>
        </w:rPr>
        <w:t xml:space="preserve"> 4.63 ±1.59 centimeters</w:t>
      </w:r>
      <w:r w:rsidR="00816494">
        <w:rPr>
          <w:rFonts w:asciiTheme="majorBidi" w:eastAsia="Times New Roman" w:hAnsiTheme="majorBidi" w:cstheme="majorBidi"/>
          <w:sz w:val="24"/>
          <w:szCs w:val="24"/>
        </w:rPr>
        <w:t xml:space="preserve"> in those with post-operative diagnosis of</w:t>
      </w:r>
      <w:r w:rsidRPr="00F00BC5">
        <w:rPr>
          <w:rFonts w:asciiTheme="majorBidi" w:eastAsia="Times New Roman" w:hAnsiTheme="majorBidi" w:cstheme="majorBidi"/>
          <w:sz w:val="24"/>
          <w:szCs w:val="24"/>
        </w:rPr>
        <w:t xml:space="preserve"> benign</w:t>
      </w:r>
      <w:r w:rsidR="00816494">
        <w:rPr>
          <w:rFonts w:asciiTheme="majorBidi" w:eastAsia="Times New Roman" w:hAnsiTheme="majorBidi" w:cstheme="majorBidi"/>
          <w:sz w:val="24"/>
          <w:szCs w:val="24"/>
        </w:rPr>
        <w:t xml:space="preserve"> MNG</w:t>
      </w:r>
      <w:r w:rsidRPr="00F00BC5">
        <w:rPr>
          <w:rFonts w:asciiTheme="majorBidi" w:eastAsia="Times New Roman" w:hAnsiTheme="majorBidi" w:cstheme="majorBidi"/>
          <w:sz w:val="24"/>
          <w:szCs w:val="24"/>
        </w:rPr>
        <w:t xml:space="preserve"> (p=0.28). </w:t>
      </w:r>
      <w:r w:rsidR="00DC378C">
        <w:rPr>
          <w:rFonts w:asciiTheme="majorBidi" w:eastAsia="Times New Roman" w:hAnsiTheme="majorBidi" w:cstheme="majorBidi"/>
          <w:sz w:val="24"/>
          <w:szCs w:val="24"/>
        </w:rPr>
        <w:t>P</w:t>
      </w:r>
      <w:r w:rsidRPr="00F00BC5">
        <w:rPr>
          <w:rFonts w:asciiTheme="majorBidi" w:eastAsia="Times New Roman" w:hAnsiTheme="majorBidi" w:cstheme="majorBidi"/>
          <w:sz w:val="24"/>
          <w:szCs w:val="24"/>
        </w:rPr>
        <w:t>reoperative serum Tg</w:t>
      </w:r>
      <w:r w:rsidR="00DC378C">
        <w:rPr>
          <w:rFonts w:asciiTheme="majorBidi" w:eastAsia="Times New Roman" w:hAnsiTheme="majorBidi" w:cstheme="majorBidi"/>
          <w:sz w:val="24"/>
          <w:szCs w:val="24"/>
        </w:rPr>
        <w:t xml:space="preserve"> concentration</w:t>
      </w:r>
      <w:r w:rsidRPr="00F00BC5">
        <w:rPr>
          <w:rFonts w:asciiTheme="majorBidi" w:eastAsia="Times New Roman" w:hAnsiTheme="majorBidi" w:cstheme="majorBidi"/>
          <w:sz w:val="24"/>
          <w:szCs w:val="24"/>
        </w:rPr>
        <w:t xml:space="preserve"> </w:t>
      </w:r>
      <w:r w:rsidR="00101504">
        <w:rPr>
          <w:rFonts w:asciiTheme="majorBidi" w:eastAsia="Times New Roman" w:hAnsiTheme="majorBidi" w:cstheme="majorBidi"/>
          <w:sz w:val="24"/>
          <w:szCs w:val="24"/>
        </w:rPr>
        <w:t xml:space="preserve">did not differ between </w:t>
      </w:r>
      <w:r w:rsidRPr="00F00BC5">
        <w:rPr>
          <w:rFonts w:asciiTheme="majorBidi" w:eastAsia="Times New Roman" w:hAnsiTheme="majorBidi" w:cstheme="majorBidi"/>
          <w:sz w:val="24"/>
          <w:szCs w:val="24"/>
        </w:rPr>
        <w:t>patients</w:t>
      </w:r>
      <w:r w:rsidRPr="00F00BC5">
        <w:rPr>
          <w:rFonts w:asciiTheme="majorBidi" w:eastAsia="Times New Roman" w:hAnsiTheme="majorBidi" w:cstheme="majorBidi" w:hint="cs"/>
          <w:sz w:val="24"/>
          <w:szCs w:val="24"/>
          <w:rtl/>
        </w:rPr>
        <w:t xml:space="preserve"> </w:t>
      </w:r>
      <w:r w:rsidRPr="00F00BC5">
        <w:rPr>
          <w:rFonts w:asciiTheme="majorBidi" w:eastAsia="Times New Roman" w:hAnsiTheme="majorBidi" w:cstheme="majorBidi"/>
          <w:sz w:val="24"/>
          <w:szCs w:val="24"/>
        </w:rPr>
        <w:t xml:space="preserve">with final diagnosis of </w:t>
      </w:r>
      <w:r w:rsidR="00101504" w:rsidRPr="00F00BC5">
        <w:rPr>
          <w:rFonts w:asciiTheme="majorBidi" w:eastAsia="Times New Roman" w:hAnsiTheme="majorBidi" w:cstheme="majorBidi"/>
          <w:sz w:val="24"/>
          <w:szCs w:val="24"/>
        </w:rPr>
        <w:t xml:space="preserve">malignant </w:t>
      </w:r>
      <w:r w:rsidR="00101504">
        <w:rPr>
          <w:rFonts w:asciiTheme="majorBidi" w:eastAsia="Times New Roman" w:hAnsiTheme="majorBidi" w:cstheme="majorBidi"/>
          <w:sz w:val="24"/>
          <w:szCs w:val="24"/>
        </w:rPr>
        <w:t>or</w:t>
      </w:r>
      <w:r w:rsidRPr="00F00BC5">
        <w:rPr>
          <w:rFonts w:asciiTheme="majorBidi" w:eastAsia="Times New Roman" w:hAnsiTheme="majorBidi" w:cstheme="majorBidi"/>
          <w:sz w:val="24"/>
          <w:szCs w:val="24"/>
        </w:rPr>
        <w:t xml:space="preserve"> </w:t>
      </w:r>
      <w:r w:rsidR="00101504" w:rsidRPr="00F00BC5">
        <w:rPr>
          <w:rFonts w:asciiTheme="majorBidi" w:eastAsia="Times New Roman" w:hAnsiTheme="majorBidi" w:cstheme="majorBidi"/>
          <w:sz w:val="24"/>
          <w:szCs w:val="24"/>
        </w:rPr>
        <w:t>benign</w:t>
      </w:r>
      <w:r w:rsidR="00101504" w:rsidRPr="00F00BC5" w:rsidDel="00101504">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 xml:space="preserve">MNG </w:t>
      </w:r>
      <w:r w:rsidR="009C6DF6" w:rsidRPr="009C6DF6">
        <w:rPr>
          <w:rFonts w:asciiTheme="majorBidi" w:eastAsia="Times New Roman" w:hAnsiTheme="majorBidi" w:cstheme="majorBidi"/>
          <w:sz w:val="24"/>
          <w:szCs w:val="24"/>
        </w:rPr>
        <w:t>(median (Q1,Q3)): 148.5 ng/mL (67.8,1158.5) and 190 ng/mL (62.4</w:t>
      </w:r>
      <w:r w:rsidR="00802332">
        <w:rPr>
          <w:rFonts w:asciiTheme="majorBidi" w:eastAsia="Times New Roman" w:hAnsiTheme="majorBidi" w:cstheme="majorBidi"/>
          <w:sz w:val="24"/>
          <w:szCs w:val="24"/>
        </w:rPr>
        <w:t>,</w:t>
      </w:r>
      <w:r w:rsidR="009C6DF6" w:rsidRPr="009C6DF6">
        <w:rPr>
          <w:rFonts w:asciiTheme="majorBidi" w:eastAsia="Times New Roman" w:hAnsiTheme="majorBidi" w:cstheme="majorBidi"/>
          <w:sz w:val="24"/>
          <w:szCs w:val="24"/>
        </w:rPr>
        <w:t>574),</w:t>
      </w:r>
      <w:r w:rsidR="00802332">
        <w:rPr>
          <w:rFonts w:asciiTheme="majorBidi" w:eastAsia="Times New Roman" w:hAnsiTheme="majorBidi" w:cstheme="majorBidi"/>
          <w:sz w:val="24"/>
          <w:szCs w:val="24"/>
        </w:rPr>
        <w:t xml:space="preserve"> respectively,</w:t>
      </w:r>
      <w:r w:rsidR="00802332" w:rsidRPr="009C6DF6">
        <w:rPr>
          <w:rFonts w:asciiTheme="majorBidi" w:eastAsia="Times New Roman" w:hAnsiTheme="majorBidi" w:cstheme="majorBidi"/>
          <w:sz w:val="24"/>
          <w:szCs w:val="24"/>
        </w:rPr>
        <w:t xml:space="preserve"> </w:t>
      </w:r>
      <w:r w:rsidR="009C6DF6" w:rsidRPr="009C6DF6">
        <w:rPr>
          <w:rFonts w:asciiTheme="majorBidi" w:eastAsia="Times New Roman" w:hAnsiTheme="majorBidi" w:cstheme="majorBidi"/>
          <w:sz w:val="24"/>
          <w:szCs w:val="24"/>
        </w:rPr>
        <w:t>p= 0.97</w:t>
      </w:r>
      <w:r w:rsidRPr="00F00BC5">
        <w:rPr>
          <w:rFonts w:asciiTheme="majorBidi" w:hAnsiTheme="majorBidi" w:cstheme="majorBidi"/>
          <w:sz w:val="24"/>
          <w:szCs w:val="24"/>
        </w:rPr>
        <w:t xml:space="preserve">. Similarly, </w:t>
      </w:r>
      <w:r w:rsidRPr="00F00BC5">
        <w:rPr>
          <w:rFonts w:asciiTheme="majorBidi" w:eastAsia="Times New Roman" w:hAnsiTheme="majorBidi" w:cstheme="majorBidi"/>
          <w:sz w:val="24"/>
          <w:szCs w:val="24"/>
        </w:rPr>
        <w:t>preoperative</w:t>
      </w:r>
      <w:r w:rsidRPr="00F00BC5">
        <w:rPr>
          <w:rFonts w:asciiTheme="majorBidi" w:hAnsiTheme="majorBidi" w:cstheme="majorBidi"/>
          <w:sz w:val="24"/>
          <w:szCs w:val="24"/>
        </w:rPr>
        <w:t xml:space="preserve"> serum TSH </w:t>
      </w:r>
      <w:r w:rsidR="00DC378C">
        <w:rPr>
          <w:rFonts w:asciiTheme="majorBidi" w:hAnsiTheme="majorBidi" w:cstheme="majorBidi"/>
          <w:sz w:val="24"/>
          <w:szCs w:val="24"/>
        </w:rPr>
        <w:t xml:space="preserve">concentration </w:t>
      </w:r>
      <w:r w:rsidRPr="00F00BC5">
        <w:rPr>
          <w:rFonts w:asciiTheme="majorBidi" w:hAnsiTheme="majorBidi" w:cstheme="majorBidi"/>
          <w:sz w:val="24"/>
          <w:szCs w:val="24"/>
        </w:rPr>
        <w:t xml:space="preserve">were </w:t>
      </w:r>
      <w:r w:rsidR="007639C7">
        <w:rPr>
          <w:rFonts w:asciiTheme="majorBidi" w:hAnsiTheme="majorBidi" w:cstheme="majorBidi"/>
          <w:sz w:val="24"/>
          <w:szCs w:val="24"/>
        </w:rPr>
        <w:t>comparable</w:t>
      </w:r>
      <w:r w:rsidR="007639C7" w:rsidRPr="00F00BC5">
        <w:rPr>
          <w:rFonts w:asciiTheme="majorBidi" w:hAnsiTheme="majorBidi" w:cstheme="majorBidi"/>
          <w:sz w:val="24"/>
          <w:szCs w:val="24"/>
        </w:rPr>
        <w:t xml:space="preserve"> </w:t>
      </w:r>
      <w:r w:rsidRPr="00F00BC5">
        <w:rPr>
          <w:rFonts w:asciiTheme="majorBidi" w:hAnsiTheme="majorBidi" w:cstheme="majorBidi"/>
          <w:sz w:val="24"/>
          <w:szCs w:val="24"/>
        </w:rPr>
        <w:t>in both sub-groups; 1.5 ±0.84</w:t>
      </w:r>
      <w:r w:rsidRPr="006D79E4">
        <w:rPr>
          <w:rFonts w:asciiTheme="majorBidi" w:hAnsiTheme="majorBidi" w:cstheme="majorBidi"/>
        </w:rPr>
        <w:t xml:space="preserve"> </w:t>
      </w:r>
      <w:r w:rsidRPr="00F00BC5">
        <w:rPr>
          <w:rFonts w:asciiTheme="majorBidi" w:hAnsiTheme="majorBidi" w:cstheme="majorBidi"/>
          <w:sz w:val="24"/>
          <w:szCs w:val="24"/>
        </w:rPr>
        <w:t>mIU/L and 1.98 ±1.38</w:t>
      </w:r>
      <w:r w:rsidRPr="006D79E4">
        <w:rPr>
          <w:rFonts w:asciiTheme="majorBidi" w:hAnsiTheme="majorBidi" w:cstheme="majorBidi"/>
        </w:rPr>
        <w:t xml:space="preserve"> </w:t>
      </w:r>
      <w:r w:rsidRPr="00F00BC5">
        <w:rPr>
          <w:rFonts w:asciiTheme="majorBidi" w:hAnsiTheme="majorBidi" w:cstheme="majorBidi"/>
          <w:sz w:val="24"/>
          <w:szCs w:val="24"/>
        </w:rPr>
        <w:t>mIU/L</w:t>
      </w:r>
      <w:r w:rsidR="00C661DD">
        <w:rPr>
          <w:rFonts w:asciiTheme="majorBidi" w:hAnsiTheme="majorBidi" w:cstheme="majorBidi"/>
          <w:sz w:val="24"/>
          <w:szCs w:val="24"/>
        </w:rPr>
        <w:t>, respectively</w:t>
      </w:r>
      <w:r w:rsidRPr="00F00BC5">
        <w:rPr>
          <w:rFonts w:asciiTheme="majorBidi" w:hAnsiTheme="majorBidi" w:cstheme="majorBidi"/>
          <w:sz w:val="24"/>
          <w:szCs w:val="24"/>
        </w:rPr>
        <w:t xml:space="preserve"> (</w:t>
      </w:r>
      <w:r w:rsidRPr="00F00BC5">
        <w:rPr>
          <w:rFonts w:asciiTheme="majorBidi" w:hAnsiTheme="majorBidi" w:cstheme="majorBidi"/>
          <w:i/>
          <w:iCs/>
          <w:sz w:val="24"/>
          <w:szCs w:val="24"/>
        </w:rPr>
        <w:t>p</w:t>
      </w:r>
      <w:r w:rsidRPr="00F00BC5">
        <w:rPr>
          <w:rFonts w:asciiTheme="majorBidi" w:hAnsiTheme="majorBidi" w:cstheme="majorBidi"/>
          <w:sz w:val="24"/>
          <w:szCs w:val="24"/>
        </w:rPr>
        <w:t>=0.3).</w:t>
      </w:r>
      <w:r w:rsidR="008E7625">
        <w:rPr>
          <w:rFonts w:asciiTheme="majorBidi" w:hAnsiTheme="majorBidi" w:cstheme="majorBidi"/>
          <w:sz w:val="24"/>
          <w:szCs w:val="24"/>
        </w:rPr>
        <w:t xml:space="preserve"> </w:t>
      </w:r>
      <w:r w:rsidR="004745D1">
        <w:rPr>
          <w:rFonts w:asciiTheme="majorBidi" w:hAnsiTheme="majorBidi" w:cstheme="majorBidi"/>
          <w:sz w:val="24"/>
          <w:szCs w:val="24"/>
        </w:rPr>
        <w:t>T</w:t>
      </w:r>
      <w:r w:rsidRPr="006D79E4">
        <w:rPr>
          <w:rFonts w:asciiTheme="majorBidi" w:hAnsiTheme="majorBidi" w:cstheme="majorBidi"/>
          <w:sz w:val="24"/>
          <w:szCs w:val="24"/>
        </w:rPr>
        <w:t>he ROC analysis</w:t>
      </w:r>
      <w:r w:rsidR="004745D1">
        <w:rPr>
          <w:rFonts w:asciiTheme="majorBidi" w:hAnsiTheme="majorBidi" w:cstheme="majorBidi"/>
          <w:sz w:val="24"/>
          <w:szCs w:val="24"/>
        </w:rPr>
        <w:t xml:space="preserve"> for Tg as a potential predictor of DTC</w:t>
      </w:r>
      <w:r w:rsidR="008E7625">
        <w:rPr>
          <w:rFonts w:asciiTheme="majorBidi" w:hAnsiTheme="majorBidi" w:cstheme="majorBidi"/>
          <w:sz w:val="24"/>
          <w:szCs w:val="24"/>
        </w:rPr>
        <w:t xml:space="preserve"> </w:t>
      </w:r>
      <w:r w:rsidR="004745D1">
        <w:rPr>
          <w:rFonts w:asciiTheme="majorBidi" w:hAnsiTheme="majorBidi" w:cstheme="majorBidi"/>
          <w:sz w:val="24"/>
          <w:szCs w:val="24"/>
        </w:rPr>
        <w:t>in</w:t>
      </w:r>
      <w:r w:rsidR="008E7625">
        <w:rPr>
          <w:rFonts w:asciiTheme="majorBidi" w:hAnsiTheme="majorBidi" w:cstheme="majorBidi"/>
          <w:sz w:val="24"/>
          <w:szCs w:val="24"/>
        </w:rPr>
        <w:t xml:space="preserve"> patients </w:t>
      </w:r>
      <w:r w:rsidR="004745D1">
        <w:rPr>
          <w:rFonts w:asciiTheme="majorBidi" w:hAnsiTheme="majorBidi" w:cstheme="majorBidi"/>
          <w:sz w:val="24"/>
          <w:szCs w:val="24"/>
        </w:rPr>
        <w:t>who</w:t>
      </w:r>
      <w:r w:rsidR="008E7625">
        <w:rPr>
          <w:rFonts w:asciiTheme="majorBidi" w:hAnsiTheme="majorBidi" w:cstheme="majorBidi"/>
          <w:sz w:val="24"/>
          <w:szCs w:val="24"/>
        </w:rPr>
        <w:t xml:space="preserve"> were operated for apparently benign MNG</w:t>
      </w:r>
      <w:r w:rsidR="004745D1">
        <w:rPr>
          <w:rFonts w:asciiTheme="majorBidi" w:hAnsiTheme="majorBidi" w:cstheme="majorBidi"/>
          <w:sz w:val="24"/>
          <w:szCs w:val="24"/>
        </w:rPr>
        <w:t xml:space="preserve"> showed AUC of</w:t>
      </w:r>
      <w:r w:rsidRPr="006D79E4">
        <w:rPr>
          <w:rFonts w:asciiTheme="majorBidi" w:hAnsiTheme="majorBidi" w:cstheme="majorBidi"/>
          <w:sz w:val="24"/>
          <w:szCs w:val="24"/>
        </w:rPr>
        <w:t xml:space="preserve"> 0.49, (</w:t>
      </w:r>
      <w:r w:rsidRPr="006D79E4">
        <w:rPr>
          <w:rFonts w:asciiTheme="majorBidi" w:hAnsiTheme="majorBidi" w:cstheme="majorBidi"/>
          <w:i/>
          <w:iCs/>
          <w:sz w:val="24"/>
          <w:szCs w:val="24"/>
        </w:rPr>
        <w:t>p</w:t>
      </w:r>
      <w:r w:rsidRPr="006D79E4">
        <w:rPr>
          <w:rFonts w:asciiTheme="majorBidi" w:hAnsiTheme="majorBidi" w:cstheme="majorBidi"/>
          <w:sz w:val="24"/>
          <w:szCs w:val="24"/>
        </w:rPr>
        <w:t>=0.97)</w:t>
      </w:r>
      <w:r w:rsidR="008E7625">
        <w:rPr>
          <w:rFonts w:asciiTheme="majorBidi" w:hAnsiTheme="majorBidi" w:cstheme="majorBidi"/>
          <w:sz w:val="24"/>
          <w:szCs w:val="24"/>
        </w:rPr>
        <w:t>,</w:t>
      </w:r>
      <w:r w:rsidRPr="006D79E4">
        <w:rPr>
          <w:rFonts w:asciiTheme="majorBidi" w:hAnsiTheme="majorBidi" w:cstheme="majorBidi"/>
          <w:sz w:val="24"/>
          <w:szCs w:val="24"/>
        </w:rPr>
        <w:t xml:space="preserve"> demonstrating that preoperative Tg did not distinguish between</w:t>
      </w:r>
      <w:r w:rsidR="008E7625">
        <w:rPr>
          <w:rFonts w:asciiTheme="majorBidi" w:hAnsiTheme="majorBidi" w:cstheme="majorBidi"/>
          <w:sz w:val="24"/>
          <w:szCs w:val="24"/>
        </w:rPr>
        <w:t xml:space="preserve"> </w:t>
      </w:r>
      <w:r w:rsidR="004745D1">
        <w:rPr>
          <w:rFonts w:asciiTheme="majorBidi" w:hAnsiTheme="majorBidi" w:cstheme="majorBidi"/>
          <w:sz w:val="24"/>
          <w:szCs w:val="24"/>
        </w:rPr>
        <w:t>patients with postoperative diagnosis of DTC and benign MNG (Figure 2B)</w:t>
      </w:r>
      <w:r w:rsidRPr="006D79E4">
        <w:rPr>
          <w:rFonts w:asciiTheme="majorBidi" w:hAnsiTheme="majorBidi" w:cstheme="majorBidi"/>
          <w:sz w:val="24"/>
          <w:szCs w:val="24"/>
        </w:rPr>
        <w:t xml:space="preserve">. </w:t>
      </w:r>
      <w:bookmarkStart w:id="3" w:name="_Hlk86477449"/>
      <w:r w:rsidR="00745188">
        <w:rPr>
          <w:rFonts w:asciiTheme="majorBidi" w:hAnsiTheme="majorBidi" w:cstheme="majorBidi"/>
          <w:sz w:val="24"/>
          <w:szCs w:val="24"/>
        </w:rPr>
        <w:t xml:space="preserve">In addition, </w:t>
      </w:r>
      <w:r w:rsidR="0045758B" w:rsidRPr="006D79E4">
        <w:rPr>
          <w:rFonts w:asciiTheme="majorBidi" w:hAnsiTheme="majorBidi" w:cstheme="majorBidi"/>
          <w:sz w:val="24"/>
          <w:szCs w:val="24"/>
        </w:rPr>
        <w:t xml:space="preserve">the ORs </w:t>
      </w:r>
      <w:r w:rsidR="00745188">
        <w:rPr>
          <w:rFonts w:asciiTheme="majorBidi" w:hAnsiTheme="majorBidi" w:cstheme="majorBidi"/>
          <w:sz w:val="24"/>
          <w:szCs w:val="24"/>
        </w:rPr>
        <w:t xml:space="preserve">of group 1 patients </w:t>
      </w:r>
      <w:r w:rsidR="0045758B" w:rsidRPr="006D79E4">
        <w:rPr>
          <w:rFonts w:asciiTheme="majorBidi" w:hAnsiTheme="majorBidi" w:cstheme="majorBidi"/>
          <w:sz w:val="24"/>
          <w:szCs w:val="24"/>
        </w:rPr>
        <w:t xml:space="preserve">for final diagnosis of DTC were </w:t>
      </w:r>
      <w:r w:rsidR="0045758B" w:rsidRPr="004E25BA">
        <w:rPr>
          <w:rFonts w:asciiTheme="majorBidi" w:hAnsiTheme="majorBidi" w:cstheme="majorBidi"/>
          <w:sz w:val="24"/>
          <w:szCs w:val="24"/>
        </w:rPr>
        <w:t>not</w:t>
      </w:r>
      <w:r w:rsidR="0045758B" w:rsidRPr="006D79E4">
        <w:rPr>
          <w:rFonts w:asciiTheme="majorBidi" w:hAnsiTheme="majorBidi" w:cstheme="majorBidi"/>
          <w:sz w:val="24"/>
          <w:szCs w:val="24"/>
        </w:rPr>
        <w:t xml:space="preserve"> statistically significant for any of the assessed parameters, including preoperative serum Tg and TSH concentration or maximal nodule diameter (table </w:t>
      </w:r>
      <w:r w:rsidR="00A84FAF">
        <w:rPr>
          <w:rFonts w:asciiTheme="majorBidi" w:hAnsiTheme="majorBidi" w:cstheme="majorBidi" w:hint="cs"/>
          <w:sz w:val="24"/>
          <w:szCs w:val="24"/>
          <w:rtl/>
        </w:rPr>
        <w:t>4</w:t>
      </w:r>
      <w:r w:rsidR="0045758B" w:rsidRPr="006D79E4">
        <w:rPr>
          <w:rFonts w:asciiTheme="majorBidi" w:hAnsiTheme="majorBidi" w:cstheme="majorBidi"/>
          <w:sz w:val="24"/>
          <w:szCs w:val="24"/>
        </w:rPr>
        <w:t xml:space="preserve">). </w:t>
      </w:r>
      <w:bookmarkEnd w:id="3"/>
    </w:p>
    <w:p w14:paraId="6C3AA93A" w14:textId="793B0F25" w:rsidR="001F3C5F" w:rsidRPr="00F00BC5" w:rsidRDefault="00BE22D2" w:rsidP="00D8720C">
      <w:pPr>
        <w:bidi w:val="0"/>
        <w:spacing w:line="480" w:lineRule="auto"/>
        <w:rPr>
          <w:rFonts w:asciiTheme="majorBidi" w:eastAsia="Times New Roman" w:hAnsiTheme="majorBidi" w:cstheme="majorBidi"/>
          <w:i/>
          <w:iCs/>
          <w:sz w:val="24"/>
          <w:szCs w:val="24"/>
          <w:u w:val="single"/>
          <w:rtl/>
        </w:rPr>
      </w:pPr>
      <w:r w:rsidRPr="00F00BC5">
        <w:rPr>
          <w:rFonts w:asciiTheme="majorBidi" w:eastAsia="Times New Roman" w:hAnsiTheme="majorBidi" w:cstheme="majorBidi"/>
          <w:i/>
          <w:iCs/>
          <w:sz w:val="24"/>
          <w:szCs w:val="24"/>
          <w:u w:val="single"/>
        </w:rPr>
        <w:t xml:space="preserve">Group 2- </w:t>
      </w:r>
      <w:r w:rsidR="001F3C5F" w:rsidRPr="00F00BC5">
        <w:rPr>
          <w:rFonts w:asciiTheme="majorBidi" w:eastAsia="Times New Roman" w:hAnsiTheme="majorBidi" w:cstheme="majorBidi"/>
          <w:i/>
          <w:iCs/>
          <w:sz w:val="24"/>
          <w:szCs w:val="24"/>
          <w:u w:val="single"/>
        </w:rPr>
        <w:t xml:space="preserve">Indeterminate cytology </w:t>
      </w:r>
    </w:p>
    <w:p w14:paraId="70E8D9D6" w14:textId="2B1A23B0" w:rsidR="00DC0812" w:rsidRDefault="001F3C5F" w:rsidP="001744E8">
      <w:pPr>
        <w:bidi w:val="0"/>
        <w:spacing w:line="480" w:lineRule="auto"/>
        <w:rPr>
          <w:rFonts w:asciiTheme="majorBidi" w:hAnsiTheme="majorBidi" w:cstheme="majorBidi"/>
          <w:sz w:val="24"/>
          <w:szCs w:val="24"/>
        </w:rPr>
      </w:pPr>
      <w:bookmarkStart w:id="4" w:name="_Hlk75274969"/>
      <w:r w:rsidRPr="00F00BC5">
        <w:rPr>
          <w:rFonts w:asciiTheme="majorBidi" w:eastAsia="Times New Roman" w:hAnsiTheme="majorBidi" w:cstheme="majorBidi"/>
          <w:sz w:val="24"/>
          <w:szCs w:val="24"/>
        </w:rPr>
        <w:t xml:space="preserve">Table </w:t>
      </w:r>
      <w:r w:rsidR="005D1412">
        <w:rPr>
          <w:rFonts w:asciiTheme="majorBidi" w:eastAsia="Times New Roman" w:hAnsiTheme="majorBidi" w:cstheme="majorBidi"/>
          <w:sz w:val="24"/>
          <w:szCs w:val="24"/>
        </w:rPr>
        <w:t>3</w:t>
      </w:r>
      <w:r w:rsidR="00BE22D2"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 xml:space="preserve">summarizes the characteristics of </w:t>
      </w:r>
      <w:r w:rsidR="0021688E">
        <w:rPr>
          <w:rFonts w:asciiTheme="majorBidi" w:eastAsia="Times New Roman" w:hAnsiTheme="majorBidi" w:cstheme="majorBidi"/>
          <w:sz w:val="24"/>
          <w:szCs w:val="24"/>
        </w:rPr>
        <w:t xml:space="preserve">62 </w:t>
      </w:r>
      <w:r w:rsidRPr="00F00BC5">
        <w:rPr>
          <w:rFonts w:asciiTheme="majorBidi" w:eastAsia="Times New Roman" w:hAnsiTheme="majorBidi" w:cstheme="majorBidi"/>
          <w:sz w:val="24"/>
          <w:szCs w:val="24"/>
        </w:rPr>
        <w:t xml:space="preserve">patients operated </w:t>
      </w:r>
      <w:r w:rsidR="00411D6D" w:rsidRPr="00F00BC5">
        <w:rPr>
          <w:rFonts w:asciiTheme="majorBidi" w:eastAsia="Times New Roman" w:hAnsiTheme="majorBidi" w:cstheme="majorBidi"/>
          <w:sz w:val="24"/>
          <w:szCs w:val="24"/>
        </w:rPr>
        <w:t xml:space="preserve">for </w:t>
      </w:r>
      <w:r w:rsidR="001744E8">
        <w:rPr>
          <w:rFonts w:asciiTheme="majorBidi" w:eastAsia="Times New Roman" w:hAnsiTheme="majorBidi" w:cstheme="majorBidi"/>
          <w:sz w:val="24"/>
          <w:szCs w:val="24"/>
        </w:rPr>
        <w:t>TN</w:t>
      </w:r>
      <w:r w:rsidR="001744E8" w:rsidRPr="00F00BC5">
        <w:rPr>
          <w:rFonts w:asciiTheme="majorBidi" w:eastAsia="Times New Roman" w:hAnsiTheme="majorBidi" w:cstheme="majorBidi"/>
          <w:sz w:val="24"/>
          <w:szCs w:val="24"/>
        </w:rPr>
        <w:t xml:space="preserve"> </w:t>
      </w:r>
      <w:r w:rsidR="00411D6D" w:rsidRPr="00F00BC5">
        <w:rPr>
          <w:rFonts w:asciiTheme="majorBidi" w:eastAsia="Times New Roman" w:hAnsiTheme="majorBidi" w:cstheme="majorBidi"/>
          <w:sz w:val="24"/>
          <w:szCs w:val="24"/>
        </w:rPr>
        <w:t>with</w:t>
      </w:r>
      <w:r w:rsidRPr="00F00BC5">
        <w:rPr>
          <w:rFonts w:asciiTheme="majorBidi" w:eastAsia="Times New Roman" w:hAnsiTheme="majorBidi" w:cstheme="majorBidi"/>
          <w:sz w:val="24"/>
          <w:szCs w:val="24"/>
        </w:rPr>
        <w:t xml:space="preserve"> </w:t>
      </w:r>
      <w:r w:rsidR="00FE2653" w:rsidRPr="00F00BC5">
        <w:rPr>
          <w:rFonts w:asciiTheme="majorBidi" w:eastAsia="Times New Roman" w:hAnsiTheme="majorBidi" w:cstheme="majorBidi"/>
          <w:sz w:val="24"/>
          <w:szCs w:val="24"/>
        </w:rPr>
        <w:t>INC</w:t>
      </w:r>
      <w:r w:rsidRPr="00F00BC5">
        <w:rPr>
          <w:rFonts w:asciiTheme="majorBidi" w:eastAsia="Times New Roman" w:hAnsiTheme="majorBidi" w:cstheme="majorBidi"/>
          <w:sz w:val="24"/>
          <w:szCs w:val="24"/>
        </w:rPr>
        <w:t>, stratified by the postoperative pathology diagnosis</w:t>
      </w:r>
      <w:r w:rsidR="00A45A1C">
        <w:rPr>
          <w:rFonts w:asciiTheme="majorBidi" w:eastAsia="Times New Roman" w:hAnsiTheme="majorBidi" w:cstheme="majorBidi"/>
          <w:sz w:val="24"/>
          <w:szCs w:val="24"/>
        </w:rPr>
        <w:t xml:space="preserve"> of</w:t>
      </w:r>
      <w:r w:rsidR="009562E2">
        <w:rPr>
          <w:rFonts w:asciiTheme="majorBidi" w:eastAsia="Times New Roman" w:hAnsiTheme="majorBidi" w:cstheme="majorBidi"/>
          <w:sz w:val="24"/>
          <w:szCs w:val="24"/>
        </w:rPr>
        <w:t xml:space="preserve"> </w:t>
      </w:r>
      <w:r w:rsidR="0009651D">
        <w:rPr>
          <w:rFonts w:asciiTheme="majorBidi" w:eastAsia="Times New Roman" w:hAnsiTheme="majorBidi" w:cstheme="majorBidi"/>
          <w:sz w:val="24"/>
          <w:szCs w:val="24"/>
        </w:rPr>
        <w:t>DTC</w:t>
      </w:r>
      <w:r w:rsidR="00585091">
        <w:rPr>
          <w:rFonts w:asciiTheme="majorBidi" w:eastAsia="Times New Roman" w:hAnsiTheme="majorBidi" w:cstheme="majorBidi"/>
          <w:sz w:val="24"/>
          <w:szCs w:val="24"/>
        </w:rPr>
        <w:t xml:space="preserve"> (</w:t>
      </w:r>
      <w:r w:rsidR="00577CDF">
        <w:rPr>
          <w:rFonts w:asciiTheme="majorBidi" w:eastAsia="Times New Roman" w:hAnsiTheme="majorBidi" w:cstheme="majorBidi" w:hint="cs"/>
          <w:sz w:val="24"/>
          <w:szCs w:val="24"/>
          <w:rtl/>
        </w:rPr>
        <w:t>30</w:t>
      </w:r>
      <w:r w:rsidR="00585091">
        <w:rPr>
          <w:rFonts w:asciiTheme="majorBidi" w:eastAsia="Times New Roman" w:hAnsiTheme="majorBidi" w:cstheme="majorBidi"/>
          <w:sz w:val="24"/>
          <w:szCs w:val="24"/>
        </w:rPr>
        <w:t xml:space="preserve">, </w:t>
      </w:r>
      <w:r w:rsidR="00577CDF">
        <w:rPr>
          <w:rFonts w:asciiTheme="majorBidi" w:eastAsia="Times New Roman" w:hAnsiTheme="majorBidi" w:cstheme="majorBidi" w:hint="cs"/>
          <w:sz w:val="24"/>
          <w:szCs w:val="24"/>
          <w:rtl/>
        </w:rPr>
        <w:t>48</w:t>
      </w:r>
      <w:r w:rsidR="00585091">
        <w:rPr>
          <w:rFonts w:asciiTheme="majorBidi" w:eastAsia="Times New Roman" w:hAnsiTheme="majorBidi" w:cstheme="majorBidi"/>
          <w:sz w:val="24"/>
          <w:szCs w:val="24"/>
        </w:rPr>
        <w:t>%)</w:t>
      </w:r>
      <w:r w:rsidR="0009651D" w:rsidRPr="00F00BC5">
        <w:rPr>
          <w:rFonts w:asciiTheme="majorBidi" w:eastAsia="Times New Roman" w:hAnsiTheme="majorBidi" w:cstheme="majorBidi"/>
          <w:sz w:val="24"/>
          <w:szCs w:val="24"/>
        </w:rPr>
        <w:t xml:space="preserve"> </w:t>
      </w:r>
      <w:r w:rsidR="0021688E">
        <w:rPr>
          <w:rFonts w:asciiTheme="majorBidi" w:eastAsia="Times New Roman" w:hAnsiTheme="majorBidi" w:cstheme="majorBidi"/>
          <w:sz w:val="24"/>
          <w:szCs w:val="24"/>
        </w:rPr>
        <w:t>or</w:t>
      </w:r>
      <w:r w:rsidR="0021688E" w:rsidRPr="00F00BC5">
        <w:rPr>
          <w:rFonts w:asciiTheme="majorBidi" w:eastAsia="Times New Roman" w:hAnsiTheme="majorBidi" w:cstheme="majorBidi"/>
          <w:sz w:val="24"/>
          <w:szCs w:val="24"/>
        </w:rPr>
        <w:t xml:space="preserve"> </w:t>
      </w:r>
      <w:r w:rsidR="006B52DE" w:rsidRPr="00F00BC5">
        <w:rPr>
          <w:rFonts w:asciiTheme="majorBidi" w:eastAsia="Times New Roman" w:hAnsiTheme="majorBidi" w:cstheme="majorBidi"/>
          <w:sz w:val="24"/>
          <w:szCs w:val="24"/>
        </w:rPr>
        <w:t>benign</w:t>
      </w:r>
      <w:r w:rsidR="00585091">
        <w:rPr>
          <w:rFonts w:asciiTheme="majorBidi" w:eastAsia="Times New Roman" w:hAnsiTheme="majorBidi" w:cstheme="majorBidi"/>
          <w:sz w:val="24"/>
          <w:szCs w:val="24"/>
        </w:rPr>
        <w:t xml:space="preserve"> (</w:t>
      </w:r>
      <w:r w:rsidR="00577CDF">
        <w:rPr>
          <w:rFonts w:asciiTheme="majorBidi" w:eastAsia="Times New Roman" w:hAnsiTheme="majorBidi" w:cstheme="majorBidi" w:hint="cs"/>
          <w:sz w:val="24"/>
          <w:szCs w:val="24"/>
          <w:rtl/>
        </w:rPr>
        <w:t>32</w:t>
      </w:r>
      <w:r w:rsidR="00585091">
        <w:rPr>
          <w:rFonts w:asciiTheme="majorBidi" w:eastAsia="Times New Roman" w:hAnsiTheme="majorBidi" w:cstheme="majorBidi"/>
          <w:sz w:val="24"/>
          <w:szCs w:val="24"/>
        </w:rPr>
        <w:t xml:space="preserve">, </w:t>
      </w:r>
      <w:r w:rsidR="00577CDF">
        <w:rPr>
          <w:rFonts w:asciiTheme="majorBidi" w:eastAsia="Times New Roman" w:hAnsiTheme="majorBidi" w:cstheme="majorBidi" w:hint="cs"/>
          <w:sz w:val="24"/>
          <w:szCs w:val="24"/>
          <w:rtl/>
        </w:rPr>
        <w:t>52</w:t>
      </w:r>
      <w:r w:rsidR="00585091">
        <w:rPr>
          <w:rFonts w:asciiTheme="majorBidi" w:eastAsia="Times New Roman" w:hAnsiTheme="majorBidi" w:cstheme="majorBidi"/>
          <w:sz w:val="24"/>
          <w:szCs w:val="24"/>
        </w:rPr>
        <w:t>%)</w:t>
      </w:r>
      <w:r w:rsidRPr="00F00BC5">
        <w:rPr>
          <w:rFonts w:asciiTheme="majorBidi" w:eastAsia="Times New Roman" w:hAnsiTheme="majorBidi" w:cstheme="majorBidi"/>
          <w:sz w:val="24"/>
          <w:szCs w:val="24"/>
        </w:rPr>
        <w:t xml:space="preserve">. Mean age (46.80 </w:t>
      </w:r>
      <w:r w:rsidRPr="00F00BC5">
        <w:rPr>
          <w:rFonts w:asciiTheme="majorBidi" w:hAnsiTheme="majorBidi" w:cstheme="majorBidi"/>
          <w:sz w:val="24"/>
          <w:szCs w:val="24"/>
          <w:lang w:val="x-none"/>
        </w:rPr>
        <w:t>±12.83</w:t>
      </w:r>
      <w:r w:rsidRPr="00F00BC5">
        <w:rPr>
          <w:rFonts w:asciiTheme="majorBidi" w:hAnsiTheme="majorBidi" w:cstheme="majorBidi"/>
          <w:sz w:val="24"/>
          <w:szCs w:val="24"/>
        </w:rPr>
        <w:t xml:space="preserve"> </w:t>
      </w:r>
      <w:r w:rsidR="0021688E">
        <w:rPr>
          <w:rFonts w:asciiTheme="majorBidi" w:hAnsiTheme="majorBidi" w:cstheme="majorBidi"/>
          <w:sz w:val="24"/>
          <w:szCs w:val="24"/>
        </w:rPr>
        <w:t>and</w:t>
      </w:r>
      <w:r w:rsidRPr="00F00BC5">
        <w:rPr>
          <w:rFonts w:asciiTheme="majorBidi" w:hAnsiTheme="majorBidi" w:cstheme="majorBidi"/>
          <w:sz w:val="24"/>
          <w:szCs w:val="24"/>
        </w:rPr>
        <w:t xml:space="preserve"> </w:t>
      </w:r>
      <w:r w:rsidRPr="00F00BC5">
        <w:rPr>
          <w:rFonts w:asciiTheme="majorBidi" w:hAnsiTheme="majorBidi" w:cstheme="majorBidi"/>
          <w:sz w:val="24"/>
          <w:szCs w:val="24"/>
          <w:lang w:val="x-none"/>
        </w:rPr>
        <w:t>48.93 ±13.93</w:t>
      </w:r>
      <w:r w:rsidRPr="00F00BC5">
        <w:rPr>
          <w:rFonts w:asciiTheme="majorBidi" w:hAnsiTheme="majorBidi" w:cstheme="majorBidi"/>
          <w:sz w:val="24"/>
          <w:szCs w:val="24"/>
        </w:rPr>
        <w:t xml:space="preserve"> years, </w:t>
      </w:r>
      <w:r w:rsidRPr="00F00BC5">
        <w:rPr>
          <w:rFonts w:asciiTheme="majorBidi" w:hAnsiTheme="majorBidi" w:cstheme="majorBidi"/>
          <w:i/>
          <w:iCs/>
          <w:sz w:val="24"/>
          <w:szCs w:val="24"/>
        </w:rPr>
        <w:t>p</w:t>
      </w:r>
      <w:r w:rsidRPr="00F00BC5">
        <w:rPr>
          <w:rFonts w:asciiTheme="majorBidi" w:hAnsiTheme="majorBidi" w:cstheme="majorBidi"/>
          <w:sz w:val="24"/>
          <w:szCs w:val="24"/>
        </w:rPr>
        <w:t xml:space="preserve">=0.56) and female gender </w:t>
      </w:r>
      <w:r w:rsidR="006B52DE" w:rsidRPr="00F00BC5">
        <w:rPr>
          <w:rFonts w:asciiTheme="majorBidi" w:hAnsiTheme="majorBidi" w:cstheme="majorBidi"/>
          <w:sz w:val="24"/>
          <w:szCs w:val="24"/>
        </w:rPr>
        <w:t xml:space="preserve">63.3% </w:t>
      </w:r>
      <w:r w:rsidRPr="00F00BC5">
        <w:rPr>
          <w:rFonts w:asciiTheme="majorBidi" w:hAnsiTheme="majorBidi" w:cstheme="majorBidi"/>
          <w:sz w:val="24"/>
          <w:szCs w:val="24"/>
        </w:rPr>
        <w:t xml:space="preserve">versus </w:t>
      </w:r>
      <w:r w:rsidR="006B52DE" w:rsidRPr="00F00BC5">
        <w:rPr>
          <w:rFonts w:asciiTheme="majorBidi" w:hAnsiTheme="majorBidi" w:cstheme="majorBidi"/>
          <w:sz w:val="24"/>
          <w:szCs w:val="24"/>
        </w:rPr>
        <w:t xml:space="preserve">71.9% </w:t>
      </w:r>
      <w:r w:rsidRPr="00F00BC5">
        <w:rPr>
          <w:rFonts w:asciiTheme="majorBidi" w:hAnsiTheme="majorBidi" w:cstheme="majorBidi"/>
          <w:sz w:val="24"/>
          <w:szCs w:val="24"/>
        </w:rPr>
        <w:t>(</w:t>
      </w:r>
      <w:r w:rsidRPr="00F00BC5">
        <w:rPr>
          <w:rFonts w:asciiTheme="majorBidi" w:hAnsiTheme="majorBidi" w:cstheme="majorBidi"/>
          <w:i/>
          <w:iCs/>
          <w:sz w:val="24"/>
          <w:szCs w:val="24"/>
        </w:rPr>
        <w:t>p</w:t>
      </w:r>
      <w:r w:rsidRPr="00F00BC5">
        <w:rPr>
          <w:rFonts w:asciiTheme="majorBidi" w:hAnsiTheme="majorBidi" w:cstheme="majorBidi"/>
          <w:sz w:val="24"/>
          <w:szCs w:val="24"/>
        </w:rPr>
        <w:t xml:space="preserve">= 0.47) </w:t>
      </w:r>
      <w:r w:rsidR="00FD3A05" w:rsidRPr="00F00BC5">
        <w:rPr>
          <w:rFonts w:asciiTheme="majorBidi" w:hAnsiTheme="majorBidi" w:cstheme="majorBidi"/>
          <w:sz w:val="24"/>
          <w:szCs w:val="24"/>
        </w:rPr>
        <w:t xml:space="preserve">did not differ </w:t>
      </w:r>
      <w:r w:rsidR="0009651D">
        <w:rPr>
          <w:rFonts w:asciiTheme="majorBidi" w:hAnsiTheme="majorBidi" w:cstheme="majorBidi"/>
          <w:sz w:val="24"/>
          <w:szCs w:val="24"/>
        </w:rPr>
        <w:t>between</w:t>
      </w:r>
      <w:r w:rsidR="0009651D" w:rsidRPr="00F00BC5">
        <w:rPr>
          <w:rFonts w:asciiTheme="majorBidi" w:hAnsiTheme="majorBidi" w:cstheme="majorBidi"/>
          <w:sz w:val="24"/>
          <w:szCs w:val="24"/>
        </w:rPr>
        <w:t xml:space="preserve"> </w:t>
      </w:r>
      <w:r w:rsidR="00FD3A05" w:rsidRPr="00F00BC5">
        <w:rPr>
          <w:rFonts w:asciiTheme="majorBidi" w:hAnsiTheme="majorBidi" w:cstheme="majorBidi"/>
          <w:sz w:val="24"/>
          <w:szCs w:val="24"/>
        </w:rPr>
        <w:t xml:space="preserve">patients with final diagnosis of </w:t>
      </w:r>
      <w:r w:rsidR="0009651D">
        <w:rPr>
          <w:rFonts w:asciiTheme="majorBidi" w:hAnsiTheme="majorBidi" w:cstheme="majorBidi"/>
          <w:sz w:val="24"/>
          <w:szCs w:val="24"/>
        </w:rPr>
        <w:t>DTC</w:t>
      </w:r>
      <w:r w:rsidR="0009651D" w:rsidRPr="00F00BC5">
        <w:rPr>
          <w:rFonts w:asciiTheme="majorBidi" w:hAnsiTheme="majorBidi" w:cstheme="majorBidi"/>
          <w:sz w:val="24"/>
          <w:szCs w:val="24"/>
        </w:rPr>
        <w:t xml:space="preserve"> </w:t>
      </w:r>
      <w:r w:rsidR="00FD3A05" w:rsidRPr="00F00BC5">
        <w:rPr>
          <w:rFonts w:asciiTheme="majorBidi" w:hAnsiTheme="majorBidi" w:cstheme="majorBidi"/>
          <w:sz w:val="24"/>
          <w:szCs w:val="24"/>
        </w:rPr>
        <w:t>or</w:t>
      </w:r>
      <w:r w:rsidR="009562E2" w:rsidRPr="009562E2">
        <w:rPr>
          <w:rFonts w:asciiTheme="majorBidi" w:hAnsiTheme="majorBidi" w:cstheme="majorBidi"/>
          <w:sz w:val="24"/>
          <w:szCs w:val="24"/>
        </w:rPr>
        <w:t xml:space="preserve"> </w:t>
      </w:r>
      <w:r w:rsidR="009562E2" w:rsidRPr="00F00BC5">
        <w:rPr>
          <w:rFonts w:asciiTheme="majorBidi" w:hAnsiTheme="majorBidi" w:cstheme="majorBidi"/>
          <w:sz w:val="24"/>
          <w:szCs w:val="24"/>
        </w:rPr>
        <w:t>benign</w:t>
      </w:r>
      <w:r w:rsidR="00FD3A05" w:rsidRPr="00F00BC5">
        <w:rPr>
          <w:rFonts w:asciiTheme="majorBidi" w:hAnsiTheme="majorBidi" w:cstheme="majorBidi"/>
          <w:sz w:val="24"/>
          <w:szCs w:val="24"/>
        </w:rPr>
        <w:t xml:space="preserve"> </w:t>
      </w:r>
      <w:r w:rsidR="001744E8">
        <w:rPr>
          <w:rFonts w:asciiTheme="majorBidi" w:hAnsiTheme="majorBidi" w:cstheme="majorBidi" w:hint="cs"/>
          <w:sz w:val="24"/>
          <w:szCs w:val="24"/>
        </w:rPr>
        <w:t>TN</w:t>
      </w:r>
      <w:r w:rsidR="00FD3A05" w:rsidRPr="00F00BC5">
        <w:rPr>
          <w:rFonts w:asciiTheme="majorBidi" w:hAnsiTheme="majorBidi" w:cstheme="majorBidi"/>
          <w:sz w:val="24"/>
          <w:szCs w:val="24"/>
        </w:rPr>
        <w:t>.</w:t>
      </w:r>
      <w:bookmarkStart w:id="5" w:name="_Hlk75274982"/>
      <w:bookmarkEnd w:id="4"/>
      <w:r w:rsidR="001744E8">
        <w:rPr>
          <w:rFonts w:asciiTheme="majorBidi" w:eastAsia="Times New Roman" w:hAnsiTheme="majorBidi" w:cstheme="majorBidi" w:hint="cs"/>
          <w:sz w:val="24"/>
          <w:szCs w:val="24"/>
          <w:rtl/>
        </w:rPr>
        <w:t xml:space="preserve"> </w:t>
      </w:r>
      <w:r w:rsidRPr="00F00BC5">
        <w:rPr>
          <w:rFonts w:asciiTheme="majorBidi" w:eastAsia="Times New Roman" w:hAnsiTheme="majorBidi" w:cstheme="majorBidi"/>
          <w:sz w:val="24"/>
          <w:szCs w:val="24"/>
        </w:rPr>
        <w:t xml:space="preserve">Maximal </w:t>
      </w:r>
      <w:r w:rsidR="001744E8">
        <w:rPr>
          <w:rFonts w:asciiTheme="majorBidi" w:eastAsia="Times New Roman" w:hAnsiTheme="majorBidi" w:cstheme="majorBidi"/>
          <w:sz w:val="24"/>
          <w:szCs w:val="24"/>
        </w:rPr>
        <w:t>TN</w:t>
      </w:r>
      <w:r w:rsidRPr="00F00BC5">
        <w:rPr>
          <w:rFonts w:asciiTheme="majorBidi" w:eastAsia="Times New Roman" w:hAnsiTheme="majorBidi" w:cstheme="majorBidi"/>
          <w:sz w:val="24"/>
          <w:szCs w:val="24"/>
        </w:rPr>
        <w:t xml:space="preserve"> </w:t>
      </w:r>
      <w:r w:rsidR="0009651D">
        <w:rPr>
          <w:rFonts w:asciiTheme="majorBidi" w:eastAsia="Times New Roman" w:hAnsiTheme="majorBidi" w:cstheme="majorBidi"/>
          <w:sz w:val="24"/>
          <w:szCs w:val="24"/>
        </w:rPr>
        <w:t>diameter</w:t>
      </w:r>
      <w:r w:rsidR="0009651D"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as reported in a pre</w:t>
      </w:r>
      <w:r w:rsidR="00650B45" w:rsidRPr="00F00BC5">
        <w:rPr>
          <w:rFonts w:asciiTheme="majorBidi" w:eastAsia="Times New Roman" w:hAnsiTheme="majorBidi" w:cstheme="majorBidi"/>
          <w:sz w:val="24"/>
          <w:szCs w:val="24"/>
        </w:rPr>
        <w:t>operative</w:t>
      </w:r>
      <w:r w:rsidRPr="00F00BC5">
        <w:rPr>
          <w:rFonts w:asciiTheme="majorBidi" w:eastAsia="Times New Roman" w:hAnsiTheme="majorBidi" w:cstheme="majorBidi"/>
          <w:sz w:val="24"/>
          <w:szCs w:val="24"/>
        </w:rPr>
        <w:t xml:space="preserve"> US was </w:t>
      </w:r>
      <w:r w:rsidR="001744E8">
        <w:rPr>
          <w:rFonts w:asciiTheme="majorBidi" w:eastAsia="Times New Roman" w:hAnsiTheme="majorBidi" w:cstheme="majorBidi"/>
          <w:sz w:val="24"/>
          <w:szCs w:val="24"/>
        </w:rPr>
        <w:t>comparable</w:t>
      </w:r>
      <w:r w:rsidR="001744E8" w:rsidRPr="00F00BC5">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between the two sub-</w:t>
      </w:r>
      <w:r w:rsidR="001744E8" w:rsidRPr="00F00BC5">
        <w:rPr>
          <w:rFonts w:asciiTheme="majorBidi" w:eastAsia="Times New Roman" w:hAnsiTheme="majorBidi" w:cstheme="majorBidi"/>
          <w:sz w:val="24"/>
          <w:szCs w:val="24"/>
        </w:rPr>
        <w:t>groups:</w:t>
      </w:r>
      <w:r w:rsidRPr="00F00BC5">
        <w:rPr>
          <w:rFonts w:asciiTheme="majorBidi" w:eastAsia="Times New Roman" w:hAnsiTheme="majorBidi" w:cstheme="majorBidi"/>
          <w:sz w:val="24"/>
          <w:szCs w:val="24"/>
        </w:rPr>
        <w:t xml:space="preserve"> 3.36 ±1.92</w:t>
      </w:r>
      <w:r w:rsidR="001744E8">
        <w:rPr>
          <w:rFonts w:asciiTheme="majorBidi" w:eastAsia="Times New Roman" w:hAnsiTheme="majorBidi" w:cstheme="majorBidi"/>
          <w:sz w:val="24"/>
          <w:szCs w:val="24"/>
        </w:rPr>
        <w:t xml:space="preserve"> for </w:t>
      </w:r>
      <w:r w:rsidR="00D40D44">
        <w:rPr>
          <w:rFonts w:asciiTheme="majorBidi" w:eastAsia="Times New Roman" w:hAnsiTheme="majorBidi" w:cstheme="majorBidi"/>
          <w:sz w:val="24"/>
          <w:szCs w:val="24"/>
        </w:rPr>
        <w:t>postoperative DTC diagnosis</w:t>
      </w:r>
      <w:r w:rsidRPr="00F00BC5">
        <w:rPr>
          <w:rFonts w:asciiTheme="majorBidi" w:eastAsia="Times New Roman" w:hAnsiTheme="majorBidi" w:cstheme="majorBidi"/>
          <w:sz w:val="24"/>
          <w:szCs w:val="24"/>
        </w:rPr>
        <w:t xml:space="preserve"> vs. 3.64 ±1.75 centimeters </w:t>
      </w:r>
      <w:r w:rsidR="001744E8">
        <w:rPr>
          <w:rFonts w:asciiTheme="majorBidi" w:eastAsia="Times New Roman" w:hAnsiTheme="majorBidi" w:cstheme="majorBidi"/>
          <w:sz w:val="24"/>
          <w:szCs w:val="24"/>
        </w:rPr>
        <w:t>for benign TN</w:t>
      </w:r>
      <w:r w:rsidRPr="00F00BC5">
        <w:rPr>
          <w:rFonts w:asciiTheme="majorBidi" w:eastAsia="Times New Roman" w:hAnsiTheme="majorBidi" w:cstheme="majorBidi"/>
          <w:sz w:val="24"/>
          <w:szCs w:val="24"/>
        </w:rPr>
        <w:t xml:space="preserve"> (p=0.5). </w:t>
      </w:r>
      <w:r w:rsidR="0021688E">
        <w:rPr>
          <w:rFonts w:asciiTheme="majorBidi" w:eastAsia="Times New Roman" w:hAnsiTheme="majorBidi" w:cstheme="majorBidi"/>
          <w:sz w:val="24"/>
          <w:szCs w:val="24"/>
        </w:rPr>
        <w:t>L</w:t>
      </w:r>
      <w:r w:rsidRPr="00F00BC5">
        <w:rPr>
          <w:rFonts w:asciiTheme="majorBidi" w:eastAsia="Times New Roman" w:hAnsiTheme="majorBidi" w:cstheme="majorBidi"/>
          <w:sz w:val="24"/>
          <w:szCs w:val="24"/>
        </w:rPr>
        <w:t xml:space="preserve">ast preoperative serum Tg </w:t>
      </w:r>
      <w:r w:rsidR="0021688E">
        <w:rPr>
          <w:rFonts w:asciiTheme="majorBidi" w:eastAsia="Times New Roman" w:hAnsiTheme="majorBidi" w:cstheme="majorBidi"/>
          <w:sz w:val="24"/>
          <w:szCs w:val="24"/>
        </w:rPr>
        <w:t xml:space="preserve">concentration </w:t>
      </w:r>
      <w:r w:rsidR="00D40D44" w:rsidRPr="00F00BC5">
        <w:rPr>
          <w:rFonts w:asciiTheme="majorBidi" w:eastAsia="Times New Roman" w:hAnsiTheme="majorBidi" w:cstheme="majorBidi"/>
          <w:sz w:val="24"/>
          <w:szCs w:val="24"/>
        </w:rPr>
        <w:t>w</w:t>
      </w:r>
      <w:r w:rsidR="00D40D44">
        <w:rPr>
          <w:rFonts w:asciiTheme="majorBidi" w:eastAsia="Times New Roman" w:hAnsiTheme="majorBidi" w:cstheme="majorBidi"/>
          <w:sz w:val="24"/>
          <w:szCs w:val="24"/>
        </w:rPr>
        <w:t>as</w:t>
      </w:r>
      <w:r w:rsidR="00D40D44" w:rsidRPr="00F00BC5">
        <w:rPr>
          <w:rFonts w:asciiTheme="majorBidi" w:eastAsia="Times New Roman" w:hAnsiTheme="majorBidi" w:cstheme="majorBidi"/>
          <w:sz w:val="24"/>
          <w:szCs w:val="24"/>
        </w:rPr>
        <w:t xml:space="preserve"> </w:t>
      </w:r>
      <w:r w:rsidR="00F74575">
        <w:rPr>
          <w:rFonts w:asciiTheme="majorBidi" w:eastAsia="Times New Roman" w:hAnsiTheme="majorBidi" w:cstheme="majorBidi"/>
          <w:sz w:val="24"/>
          <w:szCs w:val="24"/>
        </w:rPr>
        <w:t>lower</w:t>
      </w:r>
      <w:r w:rsidR="001744E8">
        <w:rPr>
          <w:rFonts w:asciiTheme="majorBidi" w:eastAsia="Times New Roman" w:hAnsiTheme="majorBidi" w:cstheme="majorBidi"/>
          <w:sz w:val="24"/>
          <w:szCs w:val="24"/>
        </w:rPr>
        <w:t xml:space="preserve">, though </w:t>
      </w:r>
      <w:r w:rsidR="00D40D44">
        <w:rPr>
          <w:rFonts w:asciiTheme="majorBidi" w:eastAsia="Times New Roman" w:hAnsiTheme="majorBidi" w:cstheme="majorBidi"/>
          <w:sz w:val="24"/>
          <w:szCs w:val="24"/>
        </w:rPr>
        <w:t>not</w:t>
      </w:r>
      <w:r w:rsidR="001744E8">
        <w:rPr>
          <w:rFonts w:asciiTheme="majorBidi" w:eastAsia="Times New Roman" w:hAnsiTheme="majorBidi" w:cstheme="majorBidi"/>
          <w:sz w:val="24"/>
          <w:szCs w:val="24"/>
        </w:rPr>
        <w:t xml:space="preserve"> statistically signific</w:t>
      </w:r>
      <w:r w:rsidR="00D40D44">
        <w:rPr>
          <w:rFonts w:asciiTheme="majorBidi" w:eastAsia="Times New Roman" w:hAnsiTheme="majorBidi" w:cstheme="majorBidi"/>
          <w:sz w:val="24"/>
          <w:szCs w:val="24"/>
        </w:rPr>
        <w:t>ant</w:t>
      </w:r>
      <w:r w:rsidR="00DC0812">
        <w:rPr>
          <w:rFonts w:asciiTheme="majorBidi" w:eastAsia="Times New Roman" w:hAnsiTheme="majorBidi" w:cstheme="majorBidi"/>
          <w:sz w:val="24"/>
          <w:szCs w:val="24"/>
        </w:rPr>
        <w:t>,</w:t>
      </w:r>
      <w:r w:rsidR="00F74575">
        <w:rPr>
          <w:rFonts w:asciiTheme="majorBidi" w:eastAsia="Times New Roman" w:hAnsiTheme="majorBidi" w:cstheme="majorBidi"/>
          <w:sz w:val="24"/>
          <w:szCs w:val="24"/>
        </w:rPr>
        <w:t xml:space="preserve"> in </w:t>
      </w:r>
      <w:r w:rsidR="00D40D44">
        <w:rPr>
          <w:rFonts w:asciiTheme="majorBidi" w:eastAsia="Times New Roman" w:hAnsiTheme="majorBidi" w:cstheme="majorBidi"/>
          <w:sz w:val="24"/>
          <w:szCs w:val="24"/>
        </w:rPr>
        <w:t>patients with postoperative DTC diagnosis compared with those diagnosed with benign TN (median (Q1,Q3)</w:t>
      </w:r>
      <w:r w:rsidR="00DC0812">
        <w:rPr>
          <w:rFonts w:asciiTheme="majorBidi" w:eastAsia="Times New Roman" w:hAnsiTheme="majorBidi" w:cstheme="majorBidi"/>
          <w:sz w:val="24"/>
          <w:szCs w:val="24"/>
        </w:rPr>
        <w:t>)</w:t>
      </w:r>
      <w:r w:rsidR="00D40D44">
        <w:rPr>
          <w:rFonts w:asciiTheme="majorBidi" w:eastAsia="Times New Roman" w:hAnsiTheme="majorBidi" w:cstheme="majorBidi"/>
          <w:sz w:val="24"/>
          <w:szCs w:val="24"/>
        </w:rPr>
        <w:t xml:space="preserve">: </w:t>
      </w:r>
      <w:r w:rsidR="00D40D44" w:rsidRPr="00F00BC5">
        <w:rPr>
          <w:rFonts w:asciiTheme="majorBidi" w:eastAsia="Times New Roman" w:hAnsiTheme="majorBidi" w:cstheme="majorBidi"/>
          <w:sz w:val="24"/>
          <w:szCs w:val="24"/>
        </w:rPr>
        <w:t>160.5 ng/mL</w:t>
      </w:r>
      <w:r w:rsidR="00D40D44">
        <w:rPr>
          <w:rFonts w:asciiTheme="majorBidi" w:eastAsia="Times New Roman" w:hAnsiTheme="majorBidi" w:cstheme="majorBidi"/>
          <w:sz w:val="24"/>
          <w:szCs w:val="24"/>
        </w:rPr>
        <w:t xml:space="preserve"> (</w:t>
      </w:r>
      <w:r w:rsidR="00D40D44" w:rsidRPr="00F00BC5">
        <w:rPr>
          <w:rFonts w:asciiTheme="majorBidi" w:eastAsia="Times New Roman" w:hAnsiTheme="majorBidi" w:cstheme="majorBidi"/>
          <w:sz w:val="24"/>
          <w:szCs w:val="24"/>
        </w:rPr>
        <w:t>82.2</w:t>
      </w:r>
      <w:r w:rsidR="00D40D44">
        <w:rPr>
          <w:rFonts w:asciiTheme="majorBidi" w:eastAsia="Times New Roman" w:hAnsiTheme="majorBidi" w:cstheme="majorBidi"/>
          <w:sz w:val="24"/>
          <w:szCs w:val="24"/>
        </w:rPr>
        <w:t>,</w:t>
      </w:r>
      <w:r w:rsidR="00D40D44" w:rsidRPr="00F00BC5">
        <w:rPr>
          <w:rFonts w:asciiTheme="majorBidi" w:eastAsia="Times New Roman" w:hAnsiTheme="majorBidi" w:cstheme="majorBidi"/>
          <w:sz w:val="24"/>
          <w:szCs w:val="24"/>
        </w:rPr>
        <w:t>536.7</w:t>
      </w:r>
      <w:r w:rsidR="00D40D44">
        <w:rPr>
          <w:rFonts w:asciiTheme="majorBidi" w:eastAsia="Times New Roman" w:hAnsiTheme="majorBidi" w:cstheme="majorBidi"/>
          <w:sz w:val="24"/>
          <w:szCs w:val="24"/>
        </w:rPr>
        <w:t xml:space="preserve">) and </w:t>
      </w:r>
      <w:r w:rsidR="00D40D44" w:rsidRPr="00F00BC5">
        <w:rPr>
          <w:rFonts w:asciiTheme="majorBidi" w:eastAsia="Times New Roman" w:hAnsiTheme="majorBidi" w:cstheme="majorBidi"/>
          <w:sz w:val="24"/>
          <w:szCs w:val="24"/>
        </w:rPr>
        <w:t>205.5 ng/mL</w:t>
      </w:r>
      <w:r w:rsidR="00D40D44">
        <w:rPr>
          <w:rFonts w:asciiTheme="majorBidi" w:eastAsia="Times New Roman" w:hAnsiTheme="majorBidi" w:cstheme="majorBidi"/>
          <w:sz w:val="24"/>
          <w:szCs w:val="24"/>
        </w:rPr>
        <w:t xml:space="preserve"> (</w:t>
      </w:r>
      <w:r w:rsidR="00D40D44" w:rsidRPr="00F00BC5">
        <w:rPr>
          <w:rFonts w:asciiTheme="majorBidi" w:eastAsia="Times New Roman" w:hAnsiTheme="majorBidi" w:cstheme="majorBidi"/>
          <w:sz w:val="24"/>
          <w:szCs w:val="24"/>
        </w:rPr>
        <w:t>65.2</w:t>
      </w:r>
      <w:r w:rsidR="00D40D44">
        <w:rPr>
          <w:rFonts w:asciiTheme="majorBidi" w:eastAsia="Times New Roman" w:hAnsiTheme="majorBidi" w:cstheme="majorBidi" w:hint="cs"/>
          <w:sz w:val="24"/>
          <w:szCs w:val="24"/>
          <w:rtl/>
        </w:rPr>
        <w:t>-</w:t>
      </w:r>
      <w:r w:rsidR="00D40D44" w:rsidRPr="00F00BC5">
        <w:rPr>
          <w:rFonts w:asciiTheme="majorBidi" w:eastAsia="Times New Roman" w:hAnsiTheme="majorBidi" w:cstheme="majorBidi"/>
          <w:sz w:val="24"/>
          <w:szCs w:val="24"/>
        </w:rPr>
        <w:t>821.5</w:t>
      </w:r>
      <w:r w:rsidR="00D40D44">
        <w:rPr>
          <w:rFonts w:asciiTheme="majorBidi" w:eastAsia="Times New Roman" w:hAnsiTheme="majorBidi" w:cstheme="majorBidi"/>
          <w:sz w:val="24"/>
          <w:szCs w:val="24"/>
        </w:rPr>
        <w:t>)</w:t>
      </w:r>
      <w:r w:rsidR="00DC0812">
        <w:rPr>
          <w:rFonts w:asciiTheme="majorBidi" w:eastAsia="Times New Roman" w:hAnsiTheme="majorBidi" w:cstheme="majorBidi"/>
          <w:sz w:val="24"/>
          <w:szCs w:val="24"/>
        </w:rPr>
        <w:t xml:space="preserve">, </w:t>
      </w:r>
      <w:r w:rsidR="00DC0812" w:rsidRPr="00F00BC5">
        <w:rPr>
          <w:rFonts w:asciiTheme="majorBidi" w:hAnsiTheme="majorBidi" w:cstheme="majorBidi"/>
          <w:i/>
          <w:iCs/>
          <w:sz w:val="24"/>
          <w:szCs w:val="24"/>
        </w:rPr>
        <w:t>p</w:t>
      </w:r>
      <w:r w:rsidR="00DC0812" w:rsidRPr="00F00BC5">
        <w:rPr>
          <w:rFonts w:asciiTheme="majorBidi" w:hAnsiTheme="majorBidi" w:cstheme="majorBidi"/>
          <w:sz w:val="24"/>
          <w:szCs w:val="24"/>
        </w:rPr>
        <w:t>= 0.93</w:t>
      </w:r>
      <w:r w:rsidR="00DC0812">
        <w:rPr>
          <w:rFonts w:asciiTheme="majorBidi" w:hAnsiTheme="majorBidi" w:cstheme="majorBidi"/>
          <w:sz w:val="24"/>
          <w:szCs w:val="24"/>
        </w:rPr>
        <w:t>.</w:t>
      </w:r>
      <w:r w:rsidR="00D40D44">
        <w:rPr>
          <w:rFonts w:asciiTheme="majorBidi" w:eastAsia="Times New Roman" w:hAnsiTheme="majorBidi" w:cstheme="majorBidi"/>
          <w:sz w:val="24"/>
          <w:szCs w:val="24"/>
        </w:rPr>
        <w:t xml:space="preserve"> </w:t>
      </w:r>
      <w:r w:rsidR="00DC0812">
        <w:rPr>
          <w:rFonts w:asciiTheme="majorBidi" w:hAnsiTheme="majorBidi" w:cstheme="majorBidi"/>
          <w:sz w:val="24"/>
          <w:szCs w:val="24"/>
        </w:rPr>
        <w:t>T</w:t>
      </w:r>
      <w:r w:rsidR="00DC0812" w:rsidRPr="006D79E4">
        <w:rPr>
          <w:rFonts w:asciiTheme="majorBidi" w:hAnsiTheme="majorBidi" w:cstheme="majorBidi"/>
          <w:sz w:val="24"/>
          <w:szCs w:val="24"/>
        </w:rPr>
        <w:t>he ROC analysis</w:t>
      </w:r>
      <w:r w:rsidR="00DC0812">
        <w:rPr>
          <w:rFonts w:asciiTheme="majorBidi" w:hAnsiTheme="majorBidi" w:cstheme="majorBidi"/>
          <w:sz w:val="24"/>
          <w:szCs w:val="24"/>
        </w:rPr>
        <w:t xml:space="preserve"> for Tg as a potential predictor of DTC in patients who were operated for TN with INC showed an</w:t>
      </w:r>
      <w:r w:rsidR="00271ED1" w:rsidRPr="006D79E4">
        <w:rPr>
          <w:rFonts w:asciiTheme="majorBidi" w:hAnsiTheme="majorBidi" w:cstheme="majorBidi"/>
          <w:sz w:val="24"/>
          <w:szCs w:val="24"/>
        </w:rPr>
        <w:t xml:space="preserve"> AUC</w:t>
      </w:r>
      <w:r w:rsidR="009F681C" w:rsidRPr="006D79E4">
        <w:rPr>
          <w:rFonts w:asciiTheme="majorBidi" w:hAnsiTheme="majorBidi" w:cstheme="majorBidi"/>
          <w:sz w:val="24"/>
          <w:szCs w:val="24"/>
        </w:rPr>
        <w:t xml:space="preserve"> </w:t>
      </w:r>
      <w:r w:rsidR="00271ED1" w:rsidRPr="006D79E4">
        <w:rPr>
          <w:rFonts w:asciiTheme="majorBidi" w:hAnsiTheme="majorBidi" w:cstheme="majorBidi"/>
          <w:sz w:val="24"/>
          <w:szCs w:val="24"/>
        </w:rPr>
        <w:t>of</w:t>
      </w:r>
      <w:r w:rsidR="00FD3A05" w:rsidRPr="006D79E4">
        <w:rPr>
          <w:rFonts w:asciiTheme="majorBidi" w:hAnsiTheme="majorBidi" w:cstheme="majorBidi"/>
          <w:sz w:val="24"/>
          <w:szCs w:val="24"/>
        </w:rPr>
        <w:t xml:space="preserve"> </w:t>
      </w:r>
      <w:r w:rsidR="00271ED1" w:rsidRPr="006D79E4">
        <w:rPr>
          <w:rFonts w:asciiTheme="majorBidi" w:hAnsiTheme="majorBidi" w:cstheme="majorBidi"/>
          <w:sz w:val="24"/>
          <w:szCs w:val="24"/>
        </w:rPr>
        <w:t>0.49 (</w:t>
      </w:r>
      <w:r w:rsidR="00271ED1" w:rsidRPr="006D79E4">
        <w:rPr>
          <w:rFonts w:asciiTheme="majorBidi" w:hAnsiTheme="majorBidi" w:cstheme="majorBidi"/>
          <w:i/>
          <w:iCs/>
          <w:sz w:val="24"/>
          <w:szCs w:val="24"/>
        </w:rPr>
        <w:t>p</w:t>
      </w:r>
      <w:r w:rsidR="00271ED1" w:rsidRPr="006D79E4">
        <w:rPr>
          <w:rFonts w:asciiTheme="majorBidi" w:hAnsiTheme="majorBidi" w:cstheme="majorBidi"/>
          <w:sz w:val="24"/>
          <w:szCs w:val="24"/>
        </w:rPr>
        <w:t>=0.93)</w:t>
      </w:r>
      <w:r w:rsidR="00DC0812">
        <w:rPr>
          <w:rFonts w:asciiTheme="majorBidi" w:hAnsiTheme="majorBidi" w:cstheme="majorBidi"/>
          <w:sz w:val="24"/>
          <w:szCs w:val="24"/>
        </w:rPr>
        <w:t>,</w:t>
      </w:r>
      <w:r w:rsidR="00271ED1" w:rsidRPr="006D79E4">
        <w:rPr>
          <w:rFonts w:asciiTheme="majorBidi" w:hAnsiTheme="majorBidi" w:cstheme="majorBidi"/>
          <w:sz w:val="24"/>
          <w:szCs w:val="24"/>
        </w:rPr>
        <w:t xml:space="preserve"> </w:t>
      </w:r>
      <w:r w:rsidR="00DC0812" w:rsidRPr="006D79E4">
        <w:rPr>
          <w:rFonts w:asciiTheme="majorBidi" w:hAnsiTheme="majorBidi" w:cstheme="majorBidi"/>
          <w:sz w:val="24"/>
          <w:szCs w:val="24"/>
        </w:rPr>
        <w:t>demonstrating that preoperative Tg did not distinguish between</w:t>
      </w:r>
      <w:r w:rsidR="00DC0812">
        <w:rPr>
          <w:rFonts w:asciiTheme="majorBidi" w:hAnsiTheme="majorBidi" w:cstheme="majorBidi"/>
          <w:sz w:val="24"/>
          <w:szCs w:val="24"/>
        </w:rPr>
        <w:t xml:space="preserve"> patients with postoperative diagnosis of DTC and benign TN (Figure 2C)</w:t>
      </w:r>
      <w:r w:rsidR="00271ED1" w:rsidRPr="006D79E4">
        <w:rPr>
          <w:rFonts w:asciiTheme="majorBidi" w:hAnsiTheme="majorBidi" w:cstheme="majorBidi"/>
          <w:sz w:val="24"/>
          <w:szCs w:val="24"/>
        </w:rPr>
        <w:t>.</w:t>
      </w:r>
      <w:r w:rsidR="00AC23E6">
        <w:rPr>
          <w:rFonts w:asciiTheme="majorBidi" w:hAnsiTheme="majorBidi" w:cstheme="majorBidi"/>
          <w:sz w:val="24"/>
          <w:szCs w:val="24"/>
        </w:rPr>
        <w:t xml:space="preserve"> </w:t>
      </w:r>
      <w:r w:rsidR="002413D1" w:rsidRPr="006D79E4">
        <w:rPr>
          <w:rFonts w:asciiTheme="majorBidi" w:hAnsiTheme="majorBidi" w:cstheme="majorBidi"/>
          <w:sz w:val="24"/>
          <w:szCs w:val="24"/>
        </w:rPr>
        <w:t xml:space="preserve">Among patients with </w:t>
      </w:r>
      <w:r w:rsidR="00FE2653" w:rsidRPr="006D79E4">
        <w:rPr>
          <w:rFonts w:asciiTheme="majorBidi" w:hAnsiTheme="majorBidi" w:cstheme="majorBidi"/>
          <w:sz w:val="24"/>
          <w:szCs w:val="24"/>
        </w:rPr>
        <w:t>INC</w:t>
      </w:r>
      <w:r w:rsidR="00AC23E6">
        <w:rPr>
          <w:rFonts w:asciiTheme="majorBidi" w:hAnsiTheme="majorBidi" w:cstheme="majorBidi"/>
          <w:sz w:val="24"/>
          <w:szCs w:val="24"/>
        </w:rPr>
        <w:t xml:space="preserve"> results</w:t>
      </w:r>
      <w:r w:rsidR="002413D1" w:rsidRPr="006D79E4">
        <w:rPr>
          <w:rFonts w:asciiTheme="majorBidi" w:hAnsiTheme="majorBidi" w:cstheme="majorBidi"/>
          <w:sz w:val="24"/>
          <w:szCs w:val="24"/>
        </w:rPr>
        <w:t xml:space="preserve">, the odds ratio of the </w:t>
      </w:r>
      <w:r w:rsidR="002B4FE0">
        <w:rPr>
          <w:rFonts w:asciiTheme="majorBidi" w:hAnsiTheme="majorBidi" w:cstheme="majorBidi"/>
          <w:sz w:val="24"/>
          <w:szCs w:val="24"/>
        </w:rPr>
        <w:t>TN</w:t>
      </w:r>
      <w:r w:rsidR="002413D1" w:rsidRPr="006D79E4">
        <w:rPr>
          <w:rFonts w:asciiTheme="majorBidi" w:hAnsiTheme="majorBidi" w:cstheme="majorBidi"/>
          <w:sz w:val="24"/>
          <w:szCs w:val="24"/>
        </w:rPr>
        <w:t xml:space="preserve"> in question </w:t>
      </w:r>
      <w:r w:rsidR="00AC23E6">
        <w:rPr>
          <w:rFonts w:asciiTheme="majorBidi" w:hAnsiTheme="majorBidi" w:cstheme="majorBidi"/>
          <w:sz w:val="24"/>
          <w:szCs w:val="24"/>
        </w:rPr>
        <w:t>being</w:t>
      </w:r>
      <w:r w:rsidR="002413D1" w:rsidRPr="006D79E4">
        <w:rPr>
          <w:rFonts w:asciiTheme="majorBidi" w:hAnsiTheme="majorBidi" w:cstheme="majorBidi"/>
          <w:sz w:val="24"/>
          <w:szCs w:val="24"/>
        </w:rPr>
        <w:t xml:space="preserve"> malignant were not statistically significant for any of the assessed parameters, including preoperative Tg level, TSH level or nodule diameter (table </w:t>
      </w:r>
      <w:r w:rsidR="002677CB">
        <w:rPr>
          <w:rFonts w:asciiTheme="majorBidi" w:hAnsiTheme="majorBidi" w:cstheme="majorBidi"/>
          <w:sz w:val="24"/>
          <w:szCs w:val="24"/>
        </w:rPr>
        <w:t>4</w:t>
      </w:r>
      <w:r w:rsidR="002413D1" w:rsidRPr="006D79E4">
        <w:rPr>
          <w:rFonts w:asciiTheme="majorBidi" w:hAnsiTheme="majorBidi" w:cstheme="majorBidi"/>
          <w:sz w:val="24"/>
          <w:szCs w:val="24"/>
        </w:rPr>
        <w:t>).</w:t>
      </w:r>
    </w:p>
    <w:p w14:paraId="38E48D13" w14:textId="77F77EA5" w:rsidR="005C754E" w:rsidRDefault="000F34A7" w:rsidP="00DC0812">
      <w:pPr>
        <w:bidi w:val="0"/>
        <w:spacing w:line="480" w:lineRule="auto"/>
        <w:rPr>
          <w:rFonts w:asciiTheme="majorBidi" w:eastAsia="Times New Roman" w:hAnsiTheme="majorBidi" w:cstheme="majorBidi"/>
          <w:sz w:val="24"/>
          <w:szCs w:val="24"/>
          <w:lang w:val="en-GB"/>
        </w:rPr>
      </w:pPr>
      <w:r w:rsidRPr="002F5283">
        <w:rPr>
          <w:rFonts w:asciiTheme="majorBidi" w:eastAsia="Times New Roman" w:hAnsiTheme="majorBidi" w:cstheme="majorBidi"/>
          <w:sz w:val="24"/>
          <w:szCs w:val="24"/>
          <w:lang w:val="en-GB"/>
        </w:rPr>
        <w:t>We</w:t>
      </w:r>
      <w:r w:rsidRPr="00442A69">
        <w:rPr>
          <w:rFonts w:asciiTheme="majorBidi" w:eastAsia="Times New Roman" w:hAnsiTheme="majorBidi" w:cstheme="majorBidi"/>
          <w:sz w:val="24"/>
          <w:szCs w:val="24"/>
          <w:lang w:val="en-GB"/>
        </w:rPr>
        <w:t xml:space="preserve"> </w:t>
      </w:r>
      <w:r w:rsidR="00521A38">
        <w:rPr>
          <w:rFonts w:asciiTheme="majorBidi" w:eastAsia="Times New Roman" w:hAnsiTheme="majorBidi" w:cstheme="majorBidi"/>
          <w:sz w:val="24"/>
          <w:szCs w:val="24"/>
          <w:lang w:val="en-GB"/>
        </w:rPr>
        <w:t xml:space="preserve">further </w:t>
      </w:r>
      <w:r w:rsidRPr="00442A69">
        <w:rPr>
          <w:rFonts w:asciiTheme="majorBidi" w:eastAsia="Times New Roman" w:hAnsiTheme="majorBidi" w:cstheme="majorBidi"/>
          <w:sz w:val="24"/>
          <w:szCs w:val="24"/>
          <w:lang w:val="en-GB"/>
        </w:rPr>
        <w:t>compared preoperative</w:t>
      </w:r>
      <w:r w:rsidR="00004D4E" w:rsidRPr="00004D4E">
        <w:rPr>
          <w:rFonts w:asciiTheme="majorBidi" w:eastAsia="Times New Roman" w:hAnsiTheme="majorBidi" w:cstheme="majorBidi"/>
          <w:sz w:val="24"/>
          <w:szCs w:val="24"/>
          <w:lang w:val="en-GB"/>
        </w:rPr>
        <w:t xml:space="preserve"> </w:t>
      </w:r>
      <w:r w:rsidR="00004D4E">
        <w:rPr>
          <w:rFonts w:asciiTheme="majorBidi" w:eastAsia="Times New Roman" w:hAnsiTheme="majorBidi" w:cstheme="majorBidi"/>
          <w:sz w:val="24"/>
          <w:szCs w:val="24"/>
          <w:lang w:val="en-GB"/>
        </w:rPr>
        <w:t>serum</w:t>
      </w:r>
      <w:r w:rsidRPr="00442A69">
        <w:rPr>
          <w:rFonts w:asciiTheme="majorBidi" w:eastAsia="Times New Roman" w:hAnsiTheme="majorBidi" w:cstheme="majorBidi"/>
          <w:sz w:val="24"/>
          <w:szCs w:val="24"/>
          <w:lang w:val="en-GB"/>
        </w:rPr>
        <w:t xml:space="preserve"> Tg </w:t>
      </w:r>
      <w:r w:rsidR="00521A38">
        <w:rPr>
          <w:rFonts w:asciiTheme="majorBidi" w:eastAsia="Times New Roman" w:hAnsiTheme="majorBidi" w:cstheme="majorBidi"/>
          <w:sz w:val="24"/>
          <w:szCs w:val="24"/>
          <w:lang w:val="en-GB"/>
        </w:rPr>
        <w:t>concentration among</w:t>
      </w:r>
      <w:r w:rsidR="00004D4E">
        <w:rPr>
          <w:rFonts w:asciiTheme="majorBidi" w:eastAsia="Times New Roman" w:hAnsiTheme="majorBidi" w:cstheme="majorBidi"/>
          <w:sz w:val="24"/>
          <w:szCs w:val="24"/>
          <w:lang w:val="en-GB"/>
        </w:rPr>
        <w:t xml:space="preserve"> patients in group 2</w:t>
      </w:r>
      <w:r w:rsidR="00521A38">
        <w:rPr>
          <w:rFonts w:asciiTheme="majorBidi" w:eastAsia="Times New Roman" w:hAnsiTheme="majorBidi" w:cstheme="majorBidi"/>
          <w:sz w:val="24"/>
          <w:szCs w:val="24"/>
          <w:lang w:val="en-GB"/>
        </w:rPr>
        <w:t xml:space="preserve"> according to their Bethesda system subcategory</w:t>
      </w:r>
      <w:r w:rsidR="00BF66BA">
        <w:rPr>
          <w:rFonts w:asciiTheme="majorBidi" w:eastAsia="Times New Roman" w:hAnsiTheme="majorBidi" w:cstheme="majorBidi"/>
          <w:sz w:val="24"/>
          <w:szCs w:val="24"/>
          <w:lang w:val="en-GB"/>
        </w:rPr>
        <w:t xml:space="preserve"> (table 1)</w:t>
      </w:r>
      <w:r w:rsidR="00521A38">
        <w:rPr>
          <w:rFonts w:asciiTheme="majorBidi" w:eastAsia="Times New Roman" w:hAnsiTheme="majorBidi" w:cstheme="majorBidi"/>
          <w:sz w:val="24"/>
          <w:szCs w:val="24"/>
          <w:lang w:val="en-GB"/>
        </w:rPr>
        <w:t>.</w:t>
      </w:r>
      <w:r w:rsidR="00D2794B">
        <w:rPr>
          <w:rFonts w:asciiTheme="majorBidi" w:eastAsia="Times New Roman" w:hAnsiTheme="majorBidi" w:cstheme="majorBidi"/>
          <w:sz w:val="24"/>
          <w:szCs w:val="24"/>
          <w:lang w:val="en-GB"/>
        </w:rPr>
        <w:t xml:space="preserve"> </w:t>
      </w:r>
      <w:r w:rsidR="009C7F48">
        <w:rPr>
          <w:rFonts w:asciiTheme="majorBidi" w:eastAsia="Times New Roman" w:hAnsiTheme="majorBidi" w:cstheme="majorBidi"/>
          <w:sz w:val="24"/>
          <w:szCs w:val="24"/>
          <w:lang w:val="en-GB"/>
        </w:rPr>
        <w:t>Of 62</w:t>
      </w:r>
      <w:r w:rsidR="009C3F99" w:rsidRPr="000F34A7">
        <w:rPr>
          <w:rFonts w:asciiTheme="majorBidi" w:eastAsia="Times New Roman" w:hAnsiTheme="majorBidi" w:cstheme="majorBidi"/>
          <w:sz w:val="24"/>
          <w:szCs w:val="24"/>
          <w:lang w:val="en-GB"/>
        </w:rPr>
        <w:t xml:space="preserve"> patients</w:t>
      </w:r>
      <w:r w:rsidR="00367C6F">
        <w:rPr>
          <w:rFonts w:asciiTheme="majorBidi" w:eastAsia="Times New Roman" w:hAnsiTheme="majorBidi" w:cstheme="majorBidi"/>
          <w:sz w:val="24"/>
          <w:szCs w:val="24"/>
          <w:lang w:val="en-GB"/>
        </w:rPr>
        <w:t xml:space="preserve">, </w:t>
      </w:r>
      <w:r w:rsidR="000E5E4E">
        <w:rPr>
          <w:rFonts w:asciiTheme="majorBidi" w:eastAsia="Times New Roman" w:hAnsiTheme="majorBidi" w:cstheme="majorBidi"/>
          <w:sz w:val="24"/>
          <w:szCs w:val="24"/>
          <w:lang w:val="en-GB"/>
        </w:rPr>
        <w:t>33</w:t>
      </w:r>
      <w:r w:rsidR="00367C6F">
        <w:rPr>
          <w:rFonts w:asciiTheme="majorBidi" w:eastAsia="Times New Roman" w:hAnsiTheme="majorBidi" w:cstheme="majorBidi"/>
          <w:sz w:val="24"/>
          <w:szCs w:val="24"/>
          <w:lang w:val="en-GB"/>
        </w:rPr>
        <w:t xml:space="preserve"> </w:t>
      </w:r>
      <w:r w:rsidR="00E90557">
        <w:rPr>
          <w:rFonts w:asciiTheme="majorBidi" w:eastAsia="Times New Roman" w:hAnsiTheme="majorBidi" w:cstheme="majorBidi"/>
          <w:sz w:val="24"/>
          <w:szCs w:val="24"/>
          <w:lang w:val="en-GB"/>
        </w:rPr>
        <w:t xml:space="preserve">and </w:t>
      </w:r>
      <w:r w:rsidR="000E5E4E">
        <w:rPr>
          <w:rFonts w:asciiTheme="majorBidi" w:eastAsia="Times New Roman" w:hAnsiTheme="majorBidi" w:cstheme="majorBidi"/>
          <w:sz w:val="24"/>
          <w:szCs w:val="24"/>
          <w:lang w:val="en-GB"/>
        </w:rPr>
        <w:t>29</w:t>
      </w:r>
      <w:r w:rsidR="00367C6F">
        <w:rPr>
          <w:rFonts w:asciiTheme="majorBidi" w:eastAsia="Times New Roman" w:hAnsiTheme="majorBidi" w:cstheme="majorBidi"/>
          <w:sz w:val="24"/>
          <w:szCs w:val="24"/>
          <w:lang w:val="en-GB"/>
        </w:rPr>
        <w:t xml:space="preserve"> </w:t>
      </w:r>
      <w:r w:rsidR="000E5E4E">
        <w:rPr>
          <w:rFonts w:asciiTheme="majorBidi" w:eastAsia="Times New Roman" w:hAnsiTheme="majorBidi" w:cstheme="majorBidi"/>
          <w:sz w:val="24"/>
          <w:szCs w:val="24"/>
          <w:lang w:val="en-GB"/>
        </w:rPr>
        <w:t xml:space="preserve">patients </w:t>
      </w:r>
      <w:r w:rsidR="00367C6F">
        <w:rPr>
          <w:rFonts w:asciiTheme="majorBidi" w:eastAsia="Times New Roman" w:hAnsiTheme="majorBidi" w:cstheme="majorBidi"/>
          <w:sz w:val="24"/>
          <w:szCs w:val="24"/>
          <w:lang w:val="en-GB"/>
        </w:rPr>
        <w:t xml:space="preserve">had a cytology </w:t>
      </w:r>
      <w:r w:rsidR="00E90557">
        <w:rPr>
          <w:rFonts w:asciiTheme="majorBidi" w:eastAsia="Times New Roman" w:hAnsiTheme="majorBidi" w:cstheme="majorBidi"/>
          <w:sz w:val="24"/>
          <w:szCs w:val="24"/>
          <w:lang w:val="en-GB"/>
        </w:rPr>
        <w:t>report of Bethesda III and IV, respectively.</w:t>
      </w:r>
      <w:r w:rsidR="00CF5686">
        <w:rPr>
          <w:rFonts w:asciiTheme="majorBidi" w:eastAsia="Times New Roman" w:hAnsiTheme="majorBidi" w:cstheme="majorBidi"/>
          <w:sz w:val="24"/>
          <w:szCs w:val="24"/>
          <w:lang w:val="en-GB"/>
        </w:rPr>
        <w:t xml:space="preserve"> </w:t>
      </w:r>
      <w:r w:rsidR="00BF66BA">
        <w:rPr>
          <w:rFonts w:asciiTheme="majorBidi" w:eastAsia="Times New Roman" w:hAnsiTheme="majorBidi" w:cstheme="majorBidi"/>
          <w:sz w:val="24"/>
          <w:szCs w:val="24"/>
          <w:lang w:val="en-GB"/>
        </w:rPr>
        <w:t xml:space="preserve">Among the </w:t>
      </w:r>
      <w:r w:rsidR="00CF5686">
        <w:rPr>
          <w:rFonts w:asciiTheme="majorBidi" w:eastAsia="Times New Roman" w:hAnsiTheme="majorBidi" w:cstheme="majorBidi"/>
          <w:sz w:val="24"/>
          <w:szCs w:val="24"/>
          <w:lang w:val="en-GB"/>
        </w:rPr>
        <w:t>33 patients with Bethesda III</w:t>
      </w:r>
      <w:r w:rsidR="00004D4E">
        <w:rPr>
          <w:rFonts w:asciiTheme="majorBidi" w:eastAsia="Times New Roman" w:hAnsiTheme="majorBidi" w:cstheme="majorBidi"/>
          <w:sz w:val="24"/>
          <w:szCs w:val="24"/>
          <w:lang w:val="en-GB"/>
        </w:rPr>
        <w:t xml:space="preserve"> cytology</w:t>
      </w:r>
      <w:r w:rsidR="00CF5686">
        <w:rPr>
          <w:rFonts w:asciiTheme="majorBidi" w:eastAsia="Times New Roman" w:hAnsiTheme="majorBidi" w:cstheme="majorBidi"/>
          <w:sz w:val="24"/>
          <w:szCs w:val="24"/>
          <w:lang w:val="en-GB"/>
        </w:rPr>
        <w:t xml:space="preserve">, 13 (39%) </w:t>
      </w:r>
      <w:r w:rsidR="00004D4E">
        <w:rPr>
          <w:rFonts w:asciiTheme="majorBidi" w:eastAsia="Times New Roman" w:hAnsiTheme="majorBidi" w:cstheme="majorBidi"/>
          <w:sz w:val="24"/>
          <w:szCs w:val="24"/>
          <w:lang w:val="en-GB"/>
        </w:rPr>
        <w:t xml:space="preserve">and 20 (61%) </w:t>
      </w:r>
      <w:r w:rsidR="00CF5686">
        <w:rPr>
          <w:rFonts w:asciiTheme="majorBidi" w:eastAsia="Times New Roman" w:hAnsiTheme="majorBidi" w:cstheme="majorBidi"/>
          <w:sz w:val="24"/>
          <w:szCs w:val="24"/>
          <w:lang w:val="en-GB"/>
        </w:rPr>
        <w:t>had final diagnosis of DTC</w:t>
      </w:r>
      <w:r w:rsidR="00004D4E">
        <w:rPr>
          <w:rFonts w:asciiTheme="majorBidi" w:eastAsia="Times New Roman" w:hAnsiTheme="majorBidi" w:cstheme="majorBidi"/>
          <w:sz w:val="24"/>
          <w:szCs w:val="24"/>
          <w:lang w:val="en-GB"/>
        </w:rPr>
        <w:t xml:space="preserve"> and benign TN, respectively. </w:t>
      </w:r>
      <w:r w:rsidR="00BF66BA">
        <w:rPr>
          <w:rFonts w:asciiTheme="majorBidi" w:eastAsia="Times New Roman" w:hAnsiTheme="majorBidi" w:cstheme="majorBidi"/>
          <w:sz w:val="24"/>
          <w:szCs w:val="24"/>
          <w:lang w:val="en-GB"/>
        </w:rPr>
        <w:t>P</w:t>
      </w:r>
      <w:r w:rsidR="00C25D23">
        <w:rPr>
          <w:rFonts w:asciiTheme="majorBidi" w:eastAsia="Times New Roman" w:hAnsiTheme="majorBidi" w:cstheme="majorBidi"/>
          <w:sz w:val="24"/>
          <w:szCs w:val="24"/>
          <w:lang w:val="en-GB"/>
        </w:rPr>
        <w:t xml:space="preserve">re-operative Tg did not discriminate between patients with final diagnosis of DTC or benign TN (mean±SD, </w:t>
      </w:r>
      <w:r w:rsidR="00C25D23" w:rsidRPr="00442A69">
        <w:rPr>
          <w:rFonts w:asciiTheme="majorBidi" w:eastAsia="Times New Roman" w:hAnsiTheme="majorBidi" w:cstheme="majorBidi"/>
          <w:sz w:val="24"/>
          <w:szCs w:val="24"/>
          <w:lang w:val="en-GB"/>
        </w:rPr>
        <w:t>694.7 ng/mL±1584.35</w:t>
      </w:r>
      <w:r w:rsidR="00C25D23">
        <w:rPr>
          <w:rFonts w:asciiTheme="majorBidi" w:eastAsia="Times New Roman" w:hAnsiTheme="majorBidi" w:cstheme="majorBidi"/>
          <w:sz w:val="24"/>
          <w:szCs w:val="24"/>
          <w:lang w:val="en-GB"/>
        </w:rPr>
        <w:t xml:space="preserve"> versus </w:t>
      </w:r>
      <w:r w:rsidR="00C25D23" w:rsidRPr="00442A69">
        <w:rPr>
          <w:rFonts w:asciiTheme="majorBidi" w:eastAsia="Times New Roman" w:hAnsiTheme="majorBidi" w:cstheme="majorBidi"/>
          <w:sz w:val="24"/>
          <w:szCs w:val="24"/>
          <w:lang w:val="en-GB"/>
        </w:rPr>
        <w:t>1012.75 ng/mL±1874.61</w:t>
      </w:r>
      <w:r w:rsidR="00C25D23">
        <w:rPr>
          <w:rFonts w:asciiTheme="majorBidi" w:eastAsia="Times New Roman" w:hAnsiTheme="majorBidi" w:cstheme="majorBidi"/>
          <w:sz w:val="24"/>
          <w:szCs w:val="24"/>
          <w:lang w:val="en-GB"/>
        </w:rPr>
        <w:t xml:space="preserve">, </w:t>
      </w:r>
      <w:r w:rsidR="004A49BD">
        <w:rPr>
          <w:rFonts w:asciiTheme="majorBidi" w:eastAsia="Times New Roman" w:hAnsiTheme="majorBidi" w:cstheme="majorBidi"/>
          <w:sz w:val="24"/>
          <w:szCs w:val="24"/>
          <w:lang w:val="en-GB"/>
        </w:rPr>
        <w:t>respectively</w:t>
      </w:r>
      <w:r w:rsidR="00C25D23">
        <w:rPr>
          <w:rFonts w:asciiTheme="majorBidi" w:eastAsia="Times New Roman" w:hAnsiTheme="majorBidi" w:cstheme="majorBidi"/>
          <w:sz w:val="24"/>
          <w:szCs w:val="24"/>
          <w:lang w:val="en-GB"/>
        </w:rPr>
        <w:t xml:space="preserve">, </w:t>
      </w:r>
      <w:r w:rsidR="00D73BC6">
        <w:rPr>
          <w:rFonts w:asciiTheme="majorBidi" w:eastAsia="Times New Roman" w:hAnsiTheme="majorBidi" w:cstheme="majorBidi"/>
          <w:sz w:val="24"/>
          <w:szCs w:val="24"/>
          <w:lang w:val="en-GB"/>
        </w:rPr>
        <w:t xml:space="preserve">p=0.61). </w:t>
      </w:r>
      <w:r w:rsidR="004A49BD">
        <w:rPr>
          <w:rFonts w:asciiTheme="majorBidi" w:eastAsia="Times New Roman" w:hAnsiTheme="majorBidi" w:cstheme="majorBidi"/>
          <w:sz w:val="24"/>
          <w:szCs w:val="24"/>
          <w:lang w:val="en-GB"/>
        </w:rPr>
        <w:t xml:space="preserve">The same was found </w:t>
      </w:r>
      <w:r w:rsidR="005C754E">
        <w:rPr>
          <w:rFonts w:asciiTheme="majorBidi" w:eastAsia="Times New Roman" w:hAnsiTheme="majorBidi" w:cstheme="majorBidi"/>
          <w:sz w:val="24"/>
          <w:szCs w:val="24"/>
          <w:lang w:val="en-GB"/>
        </w:rPr>
        <w:t xml:space="preserve">among the </w:t>
      </w:r>
      <w:r w:rsidR="00585091">
        <w:rPr>
          <w:rFonts w:asciiTheme="majorBidi" w:eastAsia="Times New Roman" w:hAnsiTheme="majorBidi" w:cstheme="majorBidi"/>
          <w:sz w:val="24"/>
          <w:szCs w:val="24"/>
          <w:lang w:val="en-GB"/>
        </w:rPr>
        <w:t>29 patients with Bethesda IV</w:t>
      </w:r>
      <w:r w:rsidR="005C754E">
        <w:rPr>
          <w:rFonts w:asciiTheme="majorBidi" w:eastAsia="Times New Roman" w:hAnsiTheme="majorBidi" w:cstheme="majorBidi"/>
          <w:sz w:val="24"/>
          <w:szCs w:val="24"/>
          <w:lang w:val="en-GB"/>
        </w:rPr>
        <w:t xml:space="preserve"> cytology</w:t>
      </w:r>
      <w:r w:rsidR="00BF66BA">
        <w:rPr>
          <w:rFonts w:asciiTheme="majorBidi" w:eastAsia="Times New Roman" w:hAnsiTheme="majorBidi" w:cstheme="majorBidi"/>
          <w:sz w:val="24"/>
          <w:szCs w:val="24"/>
          <w:lang w:val="en-GB"/>
        </w:rPr>
        <w:t>. Seventeen (59%)</w:t>
      </w:r>
      <w:r w:rsidR="008037A7">
        <w:rPr>
          <w:rFonts w:asciiTheme="majorBidi" w:eastAsia="Times New Roman" w:hAnsiTheme="majorBidi" w:cstheme="majorBidi"/>
          <w:sz w:val="24"/>
          <w:szCs w:val="24"/>
          <w:lang w:val="en-GB"/>
        </w:rPr>
        <w:t xml:space="preserve"> patients</w:t>
      </w:r>
      <w:r w:rsidR="00BF66BA">
        <w:rPr>
          <w:rFonts w:asciiTheme="majorBidi" w:eastAsia="Times New Roman" w:hAnsiTheme="majorBidi" w:cstheme="majorBidi"/>
          <w:sz w:val="24"/>
          <w:szCs w:val="24"/>
          <w:lang w:val="en-GB"/>
        </w:rPr>
        <w:t xml:space="preserve"> </w:t>
      </w:r>
      <w:r w:rsidR="008037A7">
        <w:rPr>
          <w:rFonts w:asciiTheme="majorBidi" w:eastAsia="Times New Roman" w:hAnsiTheme="majorBidi" w:cstheme="majorBidi"/>
          <w:sz w:val="24"/>
          <w:szCs w:val="24"/>
          <w:lang w:val="en-GB"/>
        </w:rPr>
        <w:t xml:space="preserve">with final diagnosis of DTC had mean preoperative Tg of </w:t>
      </w:r>
      <w:r w:rsidR="008037A7" w:rsidRPr="00442A69">
        <w:rPr>
          <w:rFonts w:asciiTheme="majorBidi" w:eastAsia="Times New Roman" w:hAnsiTheme="majorBidi" w:cstheme="majorBidi"/>
          <w:sz w:val="24"/>
          <w:szCs w:val="24"/>
          <w:lang w:val="en-GB"/>
        </w:rPr>
        <w:t>523.77 ng/mL</w:t>
      </w:r>
      <w:r w:rsidR="008037A7">
        <w:rPr>
          <w:rFonts w:asciiTheme="majorBidi" w:eastAsia="Times New Roman" w:hAnsiTheme="majorBidi" w:cstheme="majorBidi"/>
          <w:sz w:val="24"/>
          <w:szCs w:val="24"/>
          <w:lang w:val="en-GB"/>
        </w:rPr>
        <w:t xml:space="preserve"> </w:t>
      </w:r>
      <w:r w:rsidR="008037A7" w:rsidRPr="00442A69">
        <w:rPr>
          <w:rFonts w:asciiTheme="majorBidi" w:eastAsia="Times New Roman" w:hAnsiTheme="majorBidi" w:cstheme="majorBidi"/>
          <w:sz w:val="24"/>
          <w:szCs w:val="24"/>
          <w:lang w:val="en-GB"/>
        </w:rPr>
        <w:t>±587.04</w:t>
      </w:r>
      <w:r w:rsidR="008037A7">
        <w:rPr>
          <w:rFonts w:asciiTheme="majorBidi" w:eastAsia="Times New Roman" w:hAnsiTheme="majorBidi" w:cstheme="majorBidi"/>
          <w:sz w:val="24"/>
          <w:szCs w:val="24"/>
          <w:lang w:val="en-GB"/>
        </w:rPr>
        <w:t xml:space="preserve"> and in</w:t>
      </w:r>
      <w:r w:rsidR="00BF66BA">
        <w:rPr>
          <w:rFonts w:asciiTheme="majorBidi" w:eastAsia="Times New Roman" w:hAnsiTheme="majorBidi" w:cstheme="majorBidi"/>
          <w:sz w:val="24"/>
          <w:szCs w:val="24"/>
          <w:lang w:val="en-GB"/>
        </w:rPr>
        <w:t>12 (41%)</w:t>
      </w:r>
      <w:r w:rsidR="00585091">
        <w:rPr>
          <w:rFonts w:asciiTheme="majorBidi" w:eastAsia="Times New Roman" w:hAnsiTheme="majorBidi" w:cstheme="majorBidi"/>
          <w:sz w:val="24"/>
          <w:szCs w:val="24"/>
          <w:lang w:val="en-GB"/>
        </w:rPr>
        <w:t xml:space="preserve"> </w:t>
      </w:r>
      <w:r w:rsidR="008037A7">
        <w:rPr>
          <w:rFonts w:asciiTheme="majorBidi" w:eastAsia="Times New Roman" w:hAnsiTheme="majorBidi" w:cstheme="majorBidi"/>
          <w:sz w:val="24"/>
          <w:szCs w:val="24"/>
          <w:lang w:val="en-GB"/>
        </w:rPr>
        <w:t>patients with</w:t>
      </w:r>
      <w:r w:rsidR="00585091">
        <w:rPr>
          <w:rFonts w:asciiTheme="majorBidi" w:eastAsia="Times New Roman" w:hAnsiTheme="majorBidi" w:cstheme="majorBidi"/>
          <w:sz w:val="24"/>
          <w:szCs w:val="24"/>
          <w:lang w:val="en-GB"/>
        </w:rPr>
        <w:t xml:space="preserve"> final diagnosis of </w:t>
      </w:r>
      <w:r w:rsidR="008037A7">
        <w:rPr>
          <w:rFonts w:asciiTheme="majorBidi" w:eastAsia="Times New Roman" w:hAnsiTheme="majorBidi" w:cstheme="majorBidi"/>
          <w:sz w:val="24"/>
          <w:szCs w:val="24"/>
          <w:lang w:val="en-GB"/>
        </w:rPr>
        <w:t xml:space="preserve">benign TN the mean preoperative Tg was </w:t>
      </w:r>
      <w:r w:rsidR="008037A7" w:rsidRPr="00442A69">
        <w:rPr>
          <w:rFonts w:asciiTheme="majorBidi" w:eastAsia="Times New Roman" w:hAnsiTheme="majorBidi" w:cstheme="majorBidi"/>
          <w:sz w:val="24"/>
          <w:szCs w:val="24"/>
          <w:lang w:val="en-GB"/>
        </w:rPr>
        <w:t>563.77 ng/mL</w:t>
      </w:r>
      <w:r w:rsidR="008037A7">
        <w:rPr>
          <w:rFonts w:asciiTheme="majorBidi" w:eastAsia="Times New Roman" w:hAnsiTheme="majorBidi" w:cstheme="majorBidi"/>
          <w:sz w:val="24"/>
          <w:szCs w:val="24"/>
          <w:lang w:val="en-GB"/>
        </w:rPr>
        <w:t xml:space="preserve"> </w:t>
      </w:r>
      <w:r w:rsidR="008037A7" w:rsidRPr="00442A69">
        <w:rPr>
          <w:rFonts w:asciiTheme="majorBidi" w:eastAsia="Times New Roman" w:hAnsiTheme="majorBidi" w:cstheme="majorBidi"/>
          <w:sz w:val="24"/>
          <w:szCs w:val="24"/>
          <w:lang w:val="en-GB"/>
        </w:rPr>
        <w:t>±1427.71</w:t>
      </w:r>
      <w:r w:rsidR="008037A7">
        <w:rPr>
          <w:rFonts w:asciiTheme="majorBidi" w:eastAsia="Times New Roman" w:hAnsiTheme="majorBidi" w:cstheme="majorBidi"/>
          <w:sz w:val="24"/>
          <w:szCs w:val="24"/>
          <w:lang w:val="en-GB"/>
        </w:rPr>
        <w:t xml:space="preserve"> (</w:t>
      </w:r>
      <w:r w:rsidR="00585091">
        <w:rPr>
          <w:rFonts w:asciiTheme="majorBidi" w:eastAsia="Times New Roman" w:hAnsiTheme="majorBidi" w:cstheme="majorBidi"/>
          <w:sz w:val="24"/>
          <w:szCs w:val="24"/>
          <w:lang w:val="en-GB"/>
        </w:rPr>
        <w:t>p=0</w:t>
      </w:r>
      <w:r w:rsidR="00BF66BA">
        <w:rPr>
          <w:rFonts w:asciiTheme="majorBidi" w:eastAsia="Times New Roman" w:hAnsiTheme="majorBidi" w:cstheme="majorBidi"/>
          <w:sz w:val="24"/>
          <w:szCs w:val="24"/>
          <w:lang w:val="en-GB"/>
        </w:rPr>
        <w:t>.</w:t>
      </w:r>
      <w:r w:rsidR="004A49BD">
        <w:rPr>
          <w:rFonts w:asciiTheme="majorBidi" w:eastAsia="Times New Roman" w:hAnsiTheme="majorBidi" w:cstheme="majorBidi"/>
          <w:sz w:val="24"/>
          <w:szCs w:val="24"/>
          <w:lang w:val="en-GB"/>
        </w:rPr>
        <w:t>9</w:t>
      </w:r>
      <w:r w:rsidR="00585091">
        <w:rPr>
          <w:rFonts w:asciiTheme="majorBidi" w:eastAsia="Times New Roman" w:hAnsiTheme="majorBidi" w:cstheme="majorBidi"/>
          <w:sz w:val="24"/>
          <w:szCs w:val="24"/>
          <w:lang w:val="en-GB"/>
        </w:rPr>
        <w:t>1).</w:t>
      </w:r>
    </w:p>
    <w:p w14:paraId="22E3A854" w14:textId="32DFD41A" w:rsidR="000F34A7" w:rsidRPr="008E2DA7" w:rsidRDefault="00660C15" w:rsidP="00D8720C">
      <w:pPr>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addition, </w:t>
      </w:r>
      <w:r>
        <w:rPr>
          <w:rFonts w:asciiTheme="majorBidi" w:eastAsia="Times New Roman" w:hAnsiTheme="majorBidi" w:cstheme="majorBidi"/>
          <w:sz w:val="24"/>
          <w:szCs w:val="24"/>
          <w:lang w:val="en-GB"/>
        </w:rPr>
        <w:t>w</w:t>
      </w:r>
      <w:r w:rsidR="000F34A7" w:rsidRPr="000F34A7">
        <w:rPr>
          <w:rFonts w:asciiTheme="majorBidi" w:eastAsia="Times New Roman" w:hAnsiTheme="majorBidi" w:cstheme="majorBidi"/>
          <w:sz w:val="24"/>
          <w:szCs w:val="24"/>
          <w:lang w:val="en-GB"/>
        </w:rPr>
        <w:t xml:space="preserve">e </w:t>
      </w:r>
      <w:r w:rsidR="00B121B6">
        <w:rPr>
          <w:rFonts w:asciiTheme="majorBidi" w:eastAsia="Times New Roman" w:hAnsiTheme="majorBidi" w:cstheme="majorBidi"/>
          <w:sz w:val="24"/>
          <w:szCs w:val="24"/>
          <w:lang w:val="en-GB"/>
        </w:rPr>
        <w:t xml:space="preserve">analysed </w:t>
      </w:r>
      <w:r>
        <w:rPr>
          <w:rFonts w:asciiTheme="majorBidi" w:eastAsia="Times New Roman" w:hAnsiTheme="majorBidi" w:cstheme="majorBidi"/>
          <w:sz w:val="24"/>
          <w:szCs w:val="24"/>
          <w:lang w:val="en-GB"/>
        </w:rPr>
        <w:t xml:space="preserve">the potential role of </w:t>
      </w:r>
      <w:r w:rsidR="000F34A7" w:rsidRPr="000F34A7">
        <w:rPr>
          <w:rFonts w:asciiTheme="majorBidi" w:eastAsia="Times New Roman" w:hAnsiTheme="majorBidi" w:cstheme="majorBidi"/>
          <w:sz w:val="24"/>
          <w:szCs w:val="24"/>
          <w:lang w:val="en-GB"/>
        </w:rPr>
        <w:t>preoperative Tg</w:t>
      </w:r>
      <w:r>
        <w:rPr>
          <w:rFonts w:asciiTheme="majorBidi" w:eastAsia="Times New Roman" w:hAnsiTheme="majorBidi" w:cstheme="majorBidi"/>
          <w:sz w:val="24"/>
          <w:szCs w:val="24"/>
          <w:lang w:val="en-GB"/>
        </w:rPr>
        <w:t xml:space="preserve"> to predict postoperative diagnosis of DTC </w:t>
      </w:r>
      <w:r w:rsidR="00B121B6">
        <w:rPr>
          <w:rFonts w:asciiTheme="majorBidi" w:eastAsia="Times New Roman" w:hAnsiTheme="majorBidi" w:cstheme="majorBidi"/>
          <w:sz w:val="24"/>
          <w:szCs w:val="24"/>
          <w:lang w:val="en-GB"/>
        </w:rPr>
        <w:t>with</w:t>
      </w:r>
      <w:r w:rsidR="000F34A7" w:rsidRPr="000F34A7">
        <w:rPr>
          <w:rFonts w:asciiTheme="majorBidi" w:eastAsia="Times New Roman" w:hAnsiTheme="majorBidi" w:cstheme="majorBidi"/>
          <w:sz w:val="24"/>
          <w:szCs w:val="24"/>
          <w:lang w:val="en-GB"/>
        </w:rPr>
        <w:t>in the INC group</w:t>
      </w:r>
      <w:r w:rsidR="00A9185F">
        <w:rPr>
          <w:rFonts w:asciiTheme="majorBidi" w:eastAsia="Times New Roman" w:hAnsiTheme="majorBidi" w:cstheme="majorBidi"/>
          <w:sz w:val="24"/>
          <w:szCs w:val="24"/>
          <w:lang w:val="en-GB"/>
        </w:rPr>
        <w:t xml:space="preserve"> (62 patients)</w:t>
      </w:r>
      <w:r>
        <w:rPr>
          <w:rFonts w:asciiTheme="majorBidi" w:eastAsia="Times New Roman" w:hAnsiTheme="majorBidi" w:cstheme="majorBidi"/>
          <w:sz w:val="24"/>
          <w:szCs w:val="24"/>
          <w:lang w:val="en-GB"/>
        </w:rPr>
        <w:t>,</w:t>
      </w:r>
      <w:r w:rsidR="000F34A7" w:rsidRPr="000F34A7">
        <w:rPr>
          <w:rFonts w:asciiTheme="majorBidi" w:eastAsia="Times New Roman" w:hAnsiTheme="majorBidi" w:cstheme="majorBidi"/>
          <w:sz w:val="24"/>
          <w:szCs w:val="24"/>
          <w:lang w:val="en-GB"/>
        </w:rPr>
        <w:t xml:space="preserve"> according to the </w:t>
      </w:r>
      <w:r w:rsidR="00B121B6">
        <w:rPr>
          <w:rFonts w:asciiTheme="majorBidi" w:eastAsia="Times New Roman" w:hAnsiTheme="majorBidi" w:cstheme="majorBidi"/>
          <w:sz w:val="24"/>
          <w:szCs w:val="24"/>
          <w:lang w:val="en-GB"/>
        </w:rPr>
        <w:t>histological</w:t>
      </w:r>
      <w:r w:rsidR="000F34A7" w:rsidRPr="000F34A7">
        <w:rPr>
          <w:rFonts w:asciiTheme="majorBidi" w:eastAsia="Times New Roman" w:hAnsiTheme="majorBidi" w:cstheme="majorBidi"/>
          <w:sz w:val="24"/>
          <w:szCs w:val="24"/>
          <w:lang w:val="en-GB"/>
        </w:rPr>
        <w:t xml:space="preserve"> subtypes </w:t>
      </w:r>
      <w:r w:rsidR="00027908">
        <w:rPr>
          <w:rFonts w:asciiTheme="majorBidi" w:eastAsia="Times New Roman" w:hAnsiTheme="majorBidi" w:cstheme="majorBidi"/>
          <w:sz w:val="24"/>
          <w:szCs w:val="24"/>
          <w:lang w:val="en-GB"/>
        </w:rPr>
        <w:t xml:space="preserve">of DTC </w:t>
      </w:r>
      <w:r w:rsidR="000F34A7" w:rsidRPr="000F34A7">
        <w:rPr>
          <w:rFonts w:asciiTheme="majorBidi" w:eastAsia="Times New Roman" w:hAnsiTheme="majorBidi" w:cstheme="majorBidi"/>
          <w:sz w:val="24"/>
          <w:szCs w:val="24"/>
          <w:lang w:val="en-GB"/>
        </w:rPr>
        <w:t>(PTC, FTC)</w:t>
      </w:r>
      <w:r>
        <w:rPr>
          <w:rFonts w:asciiTheme="majorBidi" w:eastAsia="Times New Roman" w:hAnsiTheme="majorBidi" w:cstheme="majorBidi"/>
          <w:sz w:val="24"/>
          <w:szCs w:val="24"/>
          <w:lang w:val="en-GB"/>
        </w:rPr>
        <w:t xml:space="preserve"> </w:t>
      </w:r>
      <w:r w:rsidR="00B121B6">
        <w:rPr>
          <w:rFonts w:asciiTheme="majorBidi" w:eastAsia="Times New Roman" w:hAnsiTheme="majorBidi" w:cstheme="majorBidi"/>
          <w:sz w:val="24"/>
          <w:szCs w:val="24"/>
          <w:lang w:val="en-GB"/>
        </w:rPr>
        <w:t>compared with</w:t>
      </w:r>
      <w:r w:rsidR="00C867CA">
        <w:rPr>
          <w:rFonts w:asciiTheme="majorBidi" w:eastAsia="Times New Roman" w:hAnsiTheme="majorBidi" w:cstheme="majorBidi"/>
          <w:sz w:val="24"/>
          <w:szCs w:val="24"/>
          <w:lang w:val="en-GB"/>
        </w:rPr>
        <w:t xml:space="preserve"> </w:t>
      </w:r>
      <w:r w:rsidR="000F34A7" w:rsidRPr="000F34A7">
        <w:rPr>
          <w:rFonts w:asciiTheme="majorBidi" w:eastAsia="Times New Roman" w:hAnsiTheme="majorBidi" w:cstheme="majorBidi"/>
          <w:sz w:val="24"/>
          <w:szCs w:val="24"/>
          <w:lang w:val="en-GB"/>
        </w:rPr>
        <w:t xml:space="preserve">benign </w:t>
      </w:r>
      <w:r w:rsidR="00B121B6">
        <w:rPr>
          <w:rFonts w:asciiTheme="majorBidi" w:eastAsia="Times New Roman" w:hAnsiTheme="majorBidi" w:cstheme="majorBidi"/>
          <w:sz w:val="24"/>
          <w:szCs w:val="24"/>
          <w:lang w:val="en-GB"/>
        </w:rPr>
        <w:t>TN</w:t>
      </w:r>
      <w:r w:rsidR="009A700C">
        <w:rPr>
          <w:rFonts w:asciiTheme="majorBidi" w:eastAsia="Times New Roman" w:hAnsiTheme="majorBidi" w:cstheme="majorBidi"/>
          <w:sz w:val="24"/>
          <w:szCs w:val="24"/>
          <w:lang w:val="en-GB"/>
        </w:rPr>
        <w:t xml:space="preserve">. </w:t>
      </w:r>
      <w:r w:rsidR="000F34A7" w:rsidRPr="000F34A7">
        <w:rPr>
          <w:rFonts w:asciiTheme="majorBidi" w:eastAsia="Times New Roman" w:hAnsiTheme="majorBidi" w:cstheme="majorBidi"/>
          <w:sz w:val="24"/>
          <w:szCs w:val="24"/>
          <w:lang w:val="en-GB"/>
        </w:rPr>
        <w:t xml:space="preserve">PTC was diagnosed in 24 </w:t>
      </w:r>
      <w:r w:rsidR="00A9185F">
        <w:rPr>
          <w:rFonts w:asciiTheme="majorBidi" w:eastAsia="Times New Roman" w:hAnsiTheme="majorBidi" w:cstheme="majorBidi"/>
          <w:sz w:val="24"/>
          <w:szCs w:val="24"/>
          <w:lang w:val="en-GB"/>
        </w:rPr>
        <w:t>(38.7%)</w:t>
      </w:r>
      <w:r w:rsidRPr="00660C15">
        <w:rPr>
          <w:rFonts w:asciiTheme="majorBidi" w:eastAsia="Times New Roman" w:hAnsiTheme="majorBidi" w:cstheme="majorBidi"/>
          <w:sz w:val="24"/>
          <w:szCs w:val="24"/>
          <w:lang w:val="en-GB"/>
        </w:rPr>
        <w:t xml:space="preserve"> </w:t>
      </w:r>
      <w:r w:rsidRPr="000F34A7">
        <w:rPr>
          <w:rFonts w:asciiTheme="majorBidi" w:eastAsia="Times New Roman" w:hAnsiTheme="majorBidi" w:cstheme="majorBidi"/>
          <w:sz w:val="24"/>
          <w:szCs w:val="24"/>
          <w:lang w:val="en-GB"/>
        </w:rPr>
        <w:t>patients</w:t>
      </w:r>
      <w:r w:rsidR="00A9185F">
        <w:rPr>
          <w:rFonts w:asciiTheme="majorBidi" w:eastAsia="Times New Roman" w:hAnsiTheme="majorBidi" w:cstheme="majorBidi"/>
          <w:sz w:val="24"/>
          <w:szCs w:val="24"/>
          <w:lang w:val="en-GB"/>
        </w:rPr>
        <w:t>,</w:t>
      </w:r>
      <w:r w:rsidR="000F34A7" w:rsidRPr="000F34A7">
        <w:rPr>
          <w:rFonts w:asciiTheme="majorBidi" w:eastAsia="Times New Roman" w:hAnsiTheme="majorBidi" w:cstheme="majorBidi"/>
          <w:sz w:val="24"/>
          <w:szCs w:val="24"/>
          <w:lang w:val="en-GB"/>
        </w:rPr>
        <w:t xml:space="preserve"> FTC in 6 </w:t>
      </w:r>
      <w:r w:rsidR="00AE735E">
        <w:rPr>
          <w:rFonts w:asciiTheme="majorBidi" w:eastAsia="Times New Roman" w:hAnsiTheme="majorBidi" w:cstheme="majorBidi"/>
          <w:sz w:val="24"/>
          <w:szCs w:val="24"/>
          <w:lang w:val="en-GB"/>
        </w:rPr>
        <w:t>(9.7%)</w:t>
      </w:r>
      <w:r w:rsidRPr="00660C15">
        <w:rPr>
          <w:rFonts w:asciiTheme="majorBidi" w:eastAsia="Times New Roman" w:hAnsiTheme="majorBidi" w:cstheme="majorBidi"/>
          <w:sz w:val="24"/>
          <w:szCs w:val="24"/>
          <w:lang w:val="en-GB"/>
        </w:rPr>
        <w:t xml:space="preserve"> </w:t>
      </w:r>
      <w:r w:rsidRPr="000F34A7">
        <w:rPr>
          <w:rFonts w:asciiTheme="majorBidi" w:eastAsia="Times New Roman" w:hAnsiTheme="majorBidi" w:cstheme="majorBidi"/>
          <w:sz w:val="24"/>
          <w:szCs w:val="24"/>
          <w:lang w:val="en-GB"/>
        </w:rPr>
        <w:t>patients</w:t>
      </w:r>
      <w:r w:rsidR="00A9185F">
        <w:rPr>
          <w:rFonts w:asciiTheme="majorBidi" w:eastAsia="Times New Roman" w:hAnsiTheme="majorBidi" w:cstheme="majorBidi"/>
          <w:sz w:val="24"/>
          <w:szCs w:val="24"/>
          <w:lang w:val="en-GB"/>
        </w:rPr>
        <w:t>, and benign TN in 32 (51.6%)</w:t>
      </w:r>
      <w:r w:rsidR="00AE735E" w:rsidRPr="00AE735E">
        <w:rPr>
          <w:rFonts w:asciiTheme="majorBidi" w:eastAsia="Times New Roman" w:hAnsiTheme="majorBidi" w:cstheme="majorBidi"/>
          <w:sz w:val="24"/>
          <w:szCs w:val="24"/>
          <w:lang w:val="en-GB"/>
        </w:rPr>
        <w:t xml:space="preserve"> </w:t>
      </w:r>
      <w:r w:rsidR="00AE735E">
        <w:rPr>
          <w:rFonts w:asciiTheme="majorBidi" w:eastAsia="Times New Roman" w:hAnsiTheme="majorBidi" w:cstheme="majorBidi"/>
          <w:sz w:val="24"/>
          <w:szCs w:val="24"/>
          <w:lang w:val="en-GB"/>
        </w:rPr>
        <w:t>patients (table 1)</w:t>
      </w:r>
      <w:r w:rsidR="000F34A7" w:rsidRPr="000F34A7">
        <w:rPr>
          <w:rFonts w:asciiTheme="majorBidi" w:eastAsia="Times New Roman" w:hAnsiTheme="majorBidi" w:cstheme="majorBidi"/>
          <w:sz w:val="24"/>
          <w:szCs w:val="24"/>
          <w:lang w:val="en-GB"/>
        </w:rPr>
        <w:t>.</w:t>
      </w:r>
      <w:r w:rsidR="0001325B">
        <w:rPr>
          <w:rFonts w:asciiTheme="majorBidi" w:eastAsia="Times New Roman" w:hAnsiTheme="majorBidi" w:cstheme="majorBidi"/>
          <w:sz w:val="24"/>
          <w:szCs w:val="24"/>
          <w:lang w:val="en-GB"/>
        </w:rPr>
        <w:t xml:space="preserve"> P</w:t>
      </w:r>
      <w:r w:rsidR="0090305B">
        <w:rPr>
          <w:rFonts w:asciiTheme="majorBidi" w:eastAsia="Times New Roman" w:hAnsiTheme="majorBidi" w:cstheme="majorBidi"/>
          <w:sz w:val="24"/>
          <w:szCs w:val="24"/>
          <w:lang w:val="en-GB"/>
        </w:rPr>
        <w:t>reoperative</w:t>
      </w:r>
      <w:r w:rsidR="00AE735E">
        <w:rPr>
          <w:rFonts w:asciiTheme="majorBidi" w:eastAsia="Times New Roman" w:hAnsiTheme="majorBidi" w:cstheme="majorBidi"/>
          <w:sz w:val="24"/>
          <w:szCs w:val="24"/>
          <w:lang w:val="en-GB"/>
        </w:rPr>
        <w:t xml:space="preserve"> serum</w:t>
      </w:r>
      <w:r w:rsidR="0090305B">
        <w:rPr>
          <w:rFonts w:asciiTheme="majorBidi" w:eastAsia="Times New Roman" w:hAnsiTheme="majorBidi" w:cstheme="majorBidi"/>
          <w:sz w:val="24"/>
          <w:szCs w:val="24"/>
          <w:lang w:val="en-GB"/>
        </w:rPr>
        <w:t xml:space="preserve"> Tg </w:t>
      </w:r>
      <w:r w:rsidR="00AE735E">
        <w:rPr>
          <w:rFonts w:asciiTheme="majorBidi" w:eastAsia="Times New Roman" w:hAnsiTheme="majorBidi" w:cstheme="majorBidi"/>
          <w:sz w:val="24"/>
          <w:szCs w:val="24"/>
          <w:lang w:val="en-GB"/>
        </w:rPr>
        <w:t xml:space="preserve">concentration </w:t>
      </w:r>
      <w:r w:rsidR="0090305B">
        <w:rPr>
          <w:rFonts w:asciiTheme="majorBidi" w:eastAsia="Times New Roman" w:hAnsiTheme="majorBidi" w:cstheme="majorBidi"/>
          <w:sz w:val="24"/>
          <w:szCs w:val="24"/>
          <w:lang w:val="en-GB"/>
        </w:rPr>
        <w:t xml:space="preserve">of patients with PTC or of those with FTC </w:t>
      </w:r>
      <w:r w:rsidR="0001325B">
        <w:rPr>
          <w:rFonts w:asciiTheme="majorBidi" w:eastAsia="Times New Roman" w:hAnsiTheme="majorBidi" w:cstheme="majorBidi"/>
          <w:sz w:val="24"/>
          <w:szCs w:val="24"/>
          <w:lang w:val="en-GB"/>
        </w:rPr>
        <w:t xml:space="preserve">did not </w:t>
      </w:r>
      <w:r w:rsidR="0090305B">
        <w:rPr>
          <w:rFonts w:asciiTheme="majorBidi" w:eastAsia="Times New Roman" w:hAnsiTheme="majorBidi" w:cstheme="majorBidi"/>
          <w:sz w:val="24"/>
          <w:szCs w:val="24"/>
          <w:lang w:val="en-GB"/>
        </w:rPr>
        <w:t>differ from the preoperative</w:t>
      </w:r>
      <w:r w:rsidR="00AE735E">
        <w:rPr>
          <w:rFonts w:asciiTheme="majorBidi" w:eastAsia="Times New Roman" w:hAnsiTheme="majorBidi" w:cstheme="majorBidi"/>
          <w:sz w:val="24"/>
          <w:szCs w:val="24"/>
          <w:lang w:val="en-GB"/>
        </w:rPr>
        <w:t xml:space="preserve"> serum</w:t>
      </w:r>
      <w:r w:rsidR="0090305B">
        <w:rPr>
          <w:rFonts w:asciiTheme="majorBidi" w:eastAsia="Times New Roman" w:hAnsiTheme="majorBidi" w:cstheme="majorBidi"/>
          <w:sz w:val="24"/>
          <w:szCs w:val="24"/>
          <w:lang w:val="en-GB"/>
        </w:rPr>
        <w:t xml:space="preserve"> Tg concentration of patients with final histology of </w:t>
      </w:r>
      <w:r w:rsidR="00ED085A">
        <w:rPr>
          <w:rFonts w:asciiTheme="majorBidi" w:eastAsia="Times New Roman" w:hAnsiTheme="majorBidi" w:cstheme="majorBidi"/>
          <w:sz w:val="24"/>
          <w:szCs w:val="24"/>
          <w:lang w:val="en-GB"/>
        </w:rPr>
        <w:t>benign TN (</w:t>
      </w:r>
      <w:r w:rsidR="00ED085A" w:rsidRPr="000F34A7">
        <w:rPr>
          <w:rFonts w:asciiTheme="majorBidi" w:eastAsia="Times New Roman" w:hAnsiTheme="majorBidi" w:cstheme="majorBidi"/>
          <w:sz w:val="24"/>
          <w:szCs w:val="24"/>
          <w:lang w:val="en-GB"/>
        </w:rPr>
        <w:t>405.38 ng/mL ±478.7</w:t>
      </w:r>
      <w:r w:rsidR="00ED085A">
        <w:rPr>
          <w:rFonts w:asciiTheme="majorBidi" w:eastAsia="Times New Roman" w:hAnsiTheme="majorBidi" w:cstheme="majorBidi"/>
          <w:sz w:val="24"/>
          <w:szCs w:val="24"/>
          <w:lang w:val="en-GB"/>
        </w:rPr>
        <w:t xml:space="preserve"> [PTC] and </w:t>
      </w:r>
      <w:r w:rsidR="00ED085A" w:rsidRPr="000F34A7">
        <w:rPr>
          <w:rFonts w:asciiTheme="majorBidi" w:eastAsia="Times New Roman" w:hAnsiTheme="majorBidi" w:cstheme="majorBidi"/>
          <w:sz w:val="24"/>
          <w:szCs w:val="24"/>
          <w:lang w:val="en-GB"/>
        </w:rPr>
        <w:t>1367.81 ng/mL±2286.2</w:t>
      </w:r>
      <w:r w:rsidR="00ED085A">
        <w:rPr>
          <w:rFonts w:asciiTheme="majorBidi" w:eastAsia="Times New Roman" w:hAnsiTheme="majorBidi" w:cstheme="majorBidi"/>
          <w:sz w:val="24"/>
          <w:szCs w:val="24"/>
          <w:lang w:val="en-GB"/>
        </w:rPr>
        <w:t xml:space="preserve"> [FTC] versus </w:t>
      </w:r>
      <w:r w:rsidR="00ED085A" w:rsidRPr="000F34A7">
        <w:rPr>
          <w:rFonts w:asciiTheme="majorBidi" w:eastAsia="Times New Roman" w:hAnsiTheme="majorBidi" w:cstheme="majorBidi"/>
          <w:sz w:val="24"/>
          <w:szCs w:val="24"/>
          <w:lang w:val="en-GB"/>
        </w:rPr>
        <w:t xml:space="preserve">844.38 </w:t>
      </w:r>
      <w:r w:rsidR="00ED085A">
        <w:rPr>
          <w:rFonts w:asciiTheme="majorBidi" w:eastAsia="Times New Roman" w:hAnsiTheme="majorBidi" w:cstheme="majorBidi"/>
          <w:sz w:val="24"/>
          <w:szCs w:val="24"/>
          <w:lang w:val="en-GB"/>
        </w:rPr>
        <w:t>ng/mL</w:t>
      </w:r>
      <w:r w:rsidR="00ED085A" w:rsidRPr="000F34A7">
        <w:rPr>
          <w:rFonts w:asciiTheme="majorBidi" w:eastAsia="Times New Roman" w:hAnsiTheme="majorBidi" w:cstheme="majorBidi"/>
          <w:sz w:val="24"/>
          <w:szCs w:val="24"/>
          <w:lang w:val="en-GB"/>
        </w:rPr>
        <w:t>±1710.53</w:t>
      </w:r>
      <w:r w:rsidR="00ED085A">
        <w:rPr>
          <w:rFonts w:asciiTheme="majorBidi" w:eastAsia="Times New Roman" w:hAnsiTheme="majorBidi" w:cstheme="majorBidi"/>
          <w:sz w:val="24"/>
          <w:szCs w:val="24"/>
          <w:lang w:val="en-GB"/>
        </w:rPr>
        <w:t xml:space="preserve"> [benign TN</w:t>
      </w:r>
      <w:r w:rsidR="00C867CA">
        <w:rPr>
          <w:rFonts w:asciiTheme="majorBidi" w:eastAsia="Times New Roman" w:hAnsiTheme="majorBidi" w:cstheme="majorBidi"/>
          <w:sz w:val="24"/>
          <w:szCs w:val="24"/>
          <w:lang w:val="en-GB"/>
        </w:rPr>
        <w:t>], p=0.17 and 0.51, respectively</w:t>
      </w:r>
      <w:r w:rsidR="00ED085A" w:rsidRPr="000F34A7">
        <w:rPr>
          <w:rFonts w:asciiTheme="majorBidi" w:eastAsia="Times New Roman" w:hAnsiTheme="majorBidi" w:cstheme="majorBidi"/>
          <w:sz w:val="24"/>
          <w:szCs w:val="24"/>
          <w:lang w:val="en-GB"/>
        </w:rPr>
        <w:t>)</w:t>
      </w:r>
      <w:r w:rsidR="00C867CA">
        <w:rPr>
          <w:rFonts w:asciiTheme="majorBidi" w:eastAsia="Times New Roman" w:hAnsiTheme="majorBidi" w:cstheme="majorBidi"/>
          <w:sz w:val="24"/>
          <w:szCs w:val="24"/>
          <w:lang w:val="en-GB"/>
        </w:rPr>
        <w:t>.</w:t>
      </w:r>
      <w:r w:rsidR="00A9185F">
        <w:rPr>
          <w:rFonts w:asciiTheme="majorBidi" w:eastAsia="Times New Roman" w:hAnsiTheme="majorBidi" w:cstheme="majorBidi"/>
          <w:sz w:val="24"/>
          <w:szCs w:val="24"/>
          <w:lang w:val="en-GB"/>
        </w:rPr>
        <w:t xml:space="preserve"> </w:t>
      </w:r>
      <w:r w:rsidR="000F34A7" w:rsidRPr="000F34A7">
        <w:rPr>
          <w:rFonts w:asciiTheme="majorBidi" w:eastAsia="Times New Roman" w:hAnsiTheme="majorBidi" w:cstheme="majorBidi"/>
          <w:sz w:val="24"/>
          <w:szCs w:val="24"/>
          <w:lang w:val="en-GB"/>
        </w:rPr>
        <w:t xml:space="preserve"> </w:t>
      </w:r>
    </w:p>
    <w:bookmarkEnd w:id="5"/>
    <w:p w14:paraId="5908A2E1" w14:textId="5CA0C480" w:rsidR="001F3C5F" w:rsidRPr="00F00BC5" w:rsidRDefault="001F3C5F" w:rsidP="00D8720C">
      <w:pPr>
        <w:bidi w:val="0"/>
        <w:spacing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Discussion</w:t>
      </w:r>
    </w:p>
    <w:p w14:paraId="6E302B8D" w14:textId="24D7EFA8" w:rsidR="004A7D03" w:rsidRDefault="004A7D03" w:rsidP="00D8720C">
      <w:pPr>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the current </w:t>
      </w:r>
      <w:r w:rsidR="006F5E20">
        <w:rPr>
          <w:rFonts w:asciiTheme="majorBidi" w:eastAsia="Times New Roman" w:hAnsiTheme="majorBidi" w:cstheme="majorBidi"/>
          <w:sz w:val="24"/>
          <w:szCs w:val="24"/>
        </w:rPr>
        <w:t xml:space="preserve">retrospective </w:t>
      </w:r>
      <w:r w:rsidR="007D1BB2">
        <w:rPr>
          <w:rFonts w:asciiTheme="majorBidi" w:eastAsia="Times New Roman" w:hAnsiTheme="majorBidi" w:cstheme="majorBidi"/>
          <w:sz w:val="24"/>
          <w:szCs w:val="24"/>
        </w:rPr>
        <w:t>study,</w:t>
      </w:r>
      <w:r>
        <w:rPr>
          <w:rFonts w:asciiTheme="majorBidi" w:eastAsia="Times New Roman" w:hAnsiTheme="majorBidi" w:cstheme="majorBidi"/>
          <w:sz w:val="24"/>
          <w:szCs w:val="24"/>
        </w:rPr>
        <w:t xml:space="preserve"> we evaluated</w:t>
      </w:r>
      <w:r w:rsidR="000D5CB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potential </w:t>
      </w:r>
      <w:r w:rsidR="00E6790D">
        <w:rPr>
          <w:rFonts w:asciiTheme="majorBidi" w:eastAsia="Times New Roman" w:hAnsiTheme="majorBidi" w:cstheme="majorBidi"/>
          <w:sz w:val="24"/>
          <w:szCs w:val="24"/>
        </w:rPr>
        <w:t xml:space="preserve">role </w:t>
      </w:r>
      <w:r>
        <w:rPr>
          <w:rFonts w:asciiTheme="majorBidi" w:eastAsia="Times New Roman" w:hAnsiTheme="majorBidi" w:cstheme="majorBidi"/>
          <w:sz w:val="24"/>
          <w:szCs w:val="24"/>
        </w:rPr>
        <w:t>of preoperative</w:t>
      </w:r>
      <w:r w:rsidR="0071644F">
        <w:rPr>
          <w:rFonts w:asciiTheme="majorBidi" w:eastAsia="Times New Roman" w:hAnsiTheme="majorBidi" w:cstheme="majorBidi"/>
          <w:sz w:val="24"/>
          <w:szCs w:val="24"/>
        </w:rPr>
        <w:t xml:space="preserve"> serum</w:t>
      </w:r>
      <w:r>
        <w:rPr>
          <w:rFonts w:asciiTheme="majorBidi" w:eastAsia="Times New Roman" w:hAnsiTheme="majorBidi" w:cstheme="majorBidi"/>
          <w:sz w:val="24"/>
          <w:szCs w:val="24"/>
        </w:rPr>
        <w:t xml:space="preserve"> </w:t>
      </w:r>
      <w:r w:rsidR="00D06E38">
        <w:rPr>
          <w:rFonts w:asciiTheme="majorBidi" w:eastAsia="Times New Roman" w:hAnsiTheme="majorBidi" w:cstheme="majorBidi"/>
          <w:sz w:val="24"/>
          <w:szCs w:val="24"/>
        </w:rPr>
        <w:t xml:space="preserve">Tg </w:t>
      </w:r>
      <w:r>
        <w:rPr>
          <w:rFonts w:asciiTheme="majorBidi" w:eastAsia="Times New Roman" w:hAnsiTheme="majorBidi" w:cstheme="majorBidi"/>
          <w:sz w:val="24"/>
          <w:szCs w:val="24"/>
        </w:rPr>
        <w:t>concentration to predict final DTC diagnosis in patients who were operated</w:t>
      </w:r>
      <w:r w:rsidR="0071644F">
        <w:rPr>
          <w:rFonts w:asciiTheme="majorBidi" w:eastAsia="Times New Roman" w:hAnsiTheme="majorBidi" w:cstheme="majorBidi"/>
          <w:sz w:val="24"/>
          <w:szCs w:val="24"/>
        </w:rPr>
        <w:t xml:space="preserve"> (partial or complete thyroidectomy)</w:t>
      </w:r>
      <w:r>
        <w:rPr>
          <w:rFonts w:asciiTheme="majorBidi" w:eastAsia="Times New Roman" w:hAnsiTheme="majorBidi" w:cstheme="majorBidi"/>
          <w:sz w:val="24"/>
          <w:szCs w:val="24"/>
        </w:rPr>
        <w:t xml:space="preserve"> for apparently benign MNG (group 1) or for a TN with</w:t>
      </w:r>
      <w:r w:rsidR="000946E8">
        <w:rPr>
          <w:rFonts w:asciiTheme="majorBidi" w:eastAsia="Times New Roman" w:hAnsiTheme="majorBidi" w:cstheme="majorBidi"/>
          <w:sz w:val="24"/>
          <w:szCs w:val="24"/>
        </w:rPr>
        <w:t xml:space="preserve"> INC (group 2).</w:t>
      </w:r>
      <w:r w:rsidR="0071644F">
        <w:rPr>
          <w:rFonts w:asciiTheme="majorBidi" w:eastAsia="Times New Roman" w:hAnsiTheme="majorBidi" w:cstheme="majorBidi"/>
          <w:sz w:val="24"/>
          <w:szCs w:val="24"/>
        </w:rPr>
        <w:t xml:space="preserve"> In general, preoperative </w:t>
      </w:r>
      <w:r w:rsidR="00D06E38">
        <w:rPr>
          <w:rFonts w:asciiTheme="majorBidi" w:eastAsia="Times New Roman" w:hAnsiTheme="majorBidi" w:cstheme="majorBidi"/>
          <w:sz w:val="24"/>
          <w:szCs w:val="24"/>
        </w:rPr>
        <w:t xml:space="preserve">Tg </w:t>
      </w:r>
      <w:r w:rsidR="0071644F">
        <w:rPr>
          <w:rFonts w:asciiTheme="majorBidi" w:eastAsia="Times New Roman" w:hAnsiTheme="majorBidi" w:cstheme="majorBidi"/>
          <w:sz w:val="24"/>
          <w:szCs w:val="24"/>
        </w:rPr>
        <w:t xml:space="preserve">concentration </w:t>
      </w:r>
      <w:r w:rsidR="008015E4">
        <w:rPr>
          <w:rFonts w:asciiTheme="majorBidi" w:eastAsia="Times New Roman" w:hAnsiTheme="majorBidi" w:cstheme="majorBidi"/>
          <w:sz w:val="24"/>
          <w:szCs w:val="24"/>
        </w:rPr>
        <w:t>was</w:t>
      </w:r>
      <w:r w:rsidR="0071644F">
        <w:rPr>
          <w:rFonts w:asciiTheme="majorBidi" w:eastAsia="Times New Roman" w:hAnsiTheme="majorBidi" w:cstheme="majorBidi"/>
          <w:sz w:val="24"/>
          <w:szCs w:val="24"/>
        </w:rPr>
        <w:t xml:space="preserve"> significantly elevated in both groups</w:t>
      </w:r>
      <w:r w:rsidR="008015E4">
        <w:rPr>
          <w:rFonts w:asciiTheme="majorBidi" w:eastAsia="Times New Roman" w:hAnsiTheme="majorBidi" w:cstheme="majorBidi"/>
          <w:sz w:val="24"/>
          <w:szCs w:val="24"/>
        </w:rPr>
        <w:t xml:space="preserve">. This may suggest that elevated </w:t>
      </w:r>
      <w:r w:rsidR="00BB2E21">
        <w:rPr>
          <w:rFonts w:asciiTheme="majorBidi" w:eastAsia="Times New Roman" w:hAnsiTheme="majorBidi" w:cstheme="majorBidi"/>
          <w:sz w:val="24"/>
          <w:szCs w:val="24"/>
        </w:rPr>
        <w:t xml:space="preserve">serum </w:t>
      </w:r>
      <w:r w:rsidR="00D06E38">
        <w:rPr>
          <w:rFonts w:asciiTheme="majorBidi" w:eastAsia="Times New Roman" w:hAnsiTheme="majorBidi" w:cstheme="majorBidi"/>
          <w:sz w:val="24"/>
          <w:szCs w:val="24"/>
        </w:rPr>
        <w:t xml:space="preserve">Tg </w:t>
      </w:r>
      <w:r w:rsidR="00BB2E21">
        <w:rPr>
          <w:rFonts w:asciiTheme="majorBidi" w:eastAsia="Times New Roman" w:hAnsiTheme="majorBidi" w:cstheme="majorBidi"/>
          <w:sz w:val="24"/>
          <w:szCs w:val="24"/>
        </w:rPr>
        <w:t>concentration</w:t>
      </w:r>
      <w:r w:rsidR="008015E4">
        <w:rPr>
          <w:rFonts w:asciiTheme="majorBidi" w:eastAsia="Times New Roman" w:hAnsiTheme="majorBidi" w:cstheme="majorBidi"/>
          <w:sz w:val="24"/>
          <w:szCs w:val="24"/>
        </w:rPr>
        <w:t xml:space="preserve"> was a consideration in those who were referred for thyroid surgery.</w:t>
      </w:r>
      <w:r w:rsidR="0071644F">
        <w:rPr>
          <w:rFonts w:asciiTheme="majorBidi" w:eastAsia="Times New Roman" w:hAnsiTheme="majorBidi" w:cstheme="majorBidi"/>
          <w:sz w:val="24"/>
          <w:szCs w:val="24"/>
        </w:rPr>
        <w:t xml:space="preserve"> </w:t>
      </w:r>
      <w:r w:rsidR="008015E4">
        <w:rPr>
          <w:rFonts w:asciiTheme="majorBidi" w:eastAsia="Times New Roman" w:hAnsiTheme="majorBidi" w:cstheme="majorBidi"/>
          <w:sz w:val="24"/>
          <w:szCs w:val="24"/>
        </w:rPr>
        <w:t xml:space="preserve">In our surgical cohort with malignancy rate of 18% in group 1 and 48% in group 2, </w:t>
      </w:r>
      <w:r w:rsidR="00CC5152">
        <w:rPr>
          <w:rFonts w:asciiTheme="majorBidi" w:eastAsia="Times New Roman" w:hAnsiTheme="majorBidi" w:cstheme="majorBidi"/>
          <w:sz w:val="24"/>
          <w:szCs w:val="24"/>
        </w:rPr>
        <w:t>neither</w:t>
      </w:r>
      <w:r w:rsidR="000946E8">
        <w:rPr>
          <w:rFonts w:asciiTheme="majorBidi" w:eastAsia="Times New Roman" w:hAnsiTheme="majorBidi" w:cstheme="majorBidi"/>
          <w:sz w:val="24"/>
          <w:szCs w:val="24"/>
        </w:rPr>
        <w:t xml:space="preserve"> preoperative </w:t>
      </w:r>
      <w:r w:rsidR="006F5E20">
        <w:rPr>
          <w:rFonts w:asciiTheme="majorBidi" w:eastAsia="Times New Roman" w:hAnsiTheme="majorBidi" w:cstheme="majorBidi"/>
          <w:sz w:val="24"/>
          <w:szCs w:val="24"/>
        </w:rPr>
        <w:t xml:space="preserve">serum </w:t>
      </w:r>
      <w:r w:rsidR="00D06E38">
        <w:rPr>
          <w:rFonts w:asciiTheme="majorBidi" w:eastAsia="Times New Roman" w:hAnsiTheme="majorBidi" w:cstheme="majorBidi"/>
          <w:sz w:val="24"/>
          <w:szCs w:val="24"/>
        </w:rPr>
        <w:t xml:space="preserve">Tg </w:t>
      </w:r>
      <w:r w:rsidR="006F5E20">
        <w:rPr>
          <w:rFonts w:asciiTheme="majorBidi" w:eastAsia="Times New Roman" w:hAnsiTheme="majorBidi" w:cstheme="majorBidi"/>
          <w:sz w:val="24"/>
          <w:szCs w:val="24"/>
        </w:rPr>
        <w:t>concentration</w:t>
      </w:r>
      <w:r w:rsidR="000946E8">
        <w:rPr>
          <w:rFonts w:asciiTheme="majorBidi" w:eastAsia="Times New Roman" w:hAnsiTheme="majorBidi" w:cstheme="majorBidi"/>
          <w:sz w:val="24"/>
          <w:szCs w:val="24"/>
        </w:rPr>
        <w:t xml:space="preserve"> nor preoperative</w:t>
      </w:r>
      <w:r w:rsidR="006F5E20">
        <w:rPr>
          <w:rFonts w:asciiTheme="majorBidi" w:eastAsia="Times New Roman" w:hAnsiTheme="majorBidi" w:cstheme="majorBidi"/>
          <w:sz w:val="24"/>
          <w:szCs w:val="24"/>
        </w:rPr>
        <w:t xml:space="preserve"> serum</w:t>
      </w:r>
      <w:r w:rsidR="000946E8">
        <w:rPr>
          <w:rFonts w:asciiTheme="majorBidi" w:eastAsia="Times New Roman" w:hAnsiTheme="majorBidi" w:cstheme="majorBidi"/>
          <w:sz w:val="24"/>
          <w:szCs w:val="24"/>
        </w:rPr>
        <w:t xml:space="preserve"> TSH</w:t>
      </w:r>
      <w:r w:rsidR="006F5E20">
        <w:rPr>
          <w:rFonts w:asciiTheme="majorBidi" w:eastAsia="Times New Roman" w:hAnsiTheme="majorBidi" w:cstheme="majorBidi"/>
          <w:sz w:val="24"/>
          <w:szCs w:val="24"/>
        </w:rPr>
        <w:t xml:space="preserve"> concentration</w:t>
      </w:r>
      <w:r w:rsidR="000946E8">
        <w:rPr>
          <w:rFonts w:asciiTheme="majorBidi" w:eastAsia="Times New Roman" w:hAnsiTheme="majorBidi" w:cstheme="majorBidi"/>
          <w:sz w:val="24"/>
          <w:szCs w:val="24"/>
        </w:rPr>
        <w:t xml:space="preserve"> </w:t>
      </w:r>
      <w:r w:rsidR="000D5CB5">
        <w:rPr>
          <w:rFonts w:asciiTheme="majorBidi" w:eastAsia="Times New Roman" w:hAnsiTheme="majorBidi" w:cstheme="majorBidi"/>
          <w:sz w:val="24"/>
          <w:szCs w:val="24"/>
        </w:rPr>
        <w:t>or</w:t>
      </w:r>
      <w:r w:rsidR="000946E8">
        <w:rPr>
          <w:rFonts w:asciiTheme="majorBidi" w:eastAsia="Times New Roman" w:hAnsiTheme="majorBidi" w:cstheme="majorBidi"/>
          <w:sz w:val="24"/>
          <w:szCs w:val="24"/>
        </w:rPr>
        <w:t xml:space="preserve"> TN diameter could discriminate benign from malignant thyroid nodular disease</w:t>
      </w:r>
      <w:r w:rsidR="000D5CB5">
        <w:rPr>
          <w:rFonts w:asciiTheme="majorBidi" w:eastAsia="Times New Roman" w:hAnsiTheme="majorBidi" w:cstheme="majorBidi"/>
          <w:sz w:val="24"/>
          <w:szCs w:val="24"/>
        </w:rPr>
        <w:t xml:space="preserve"> in both groups</w:t>
      </w:r>
      <w:r w:rsidR="000946E8">
        <w:rPr>
          <w:rFonts w:asciiTheme="majorBidi" w:eastAsia="Times New Roman" w:hAnsiTheme="majorBidi" w:cstheme="majorBidi"/>
          <w:sz w:val="24"/>
          <w:szCs w:val="24"/>
        </w:rPr>
        <w:t>. Furthermore, th</w:t>
      </w:r>
      <w:r w:rsidR="000D5CB5">
        <w:rPr>
          <w:rFonts w:asciiTheme="majorBidi" w:eastAsia="Times New Roman" w:hAnsiTheme="majorBidi" w:cstheme="majorBidi"/>
          <w:sz w:val="24"/>
          <w:szCs w:val="24"/>
        </w:rPr>
        <w:t>e</w:t>
      </w:r>
      <w:r w:rsidR="000946E8">
        <w:rPr>
          <w:rFonts w:asciiTheme="majorBidi" w:eastAsia="Times New Roman" w:hAnsiTheme="majorBidi" w:cstheme="majorBidi"/>
          <w:sz w:val="24"/>
          <w:szCs w:val="24"/>
        </w:rPr>
        <w:t>s</w:t>
      </w:r>
      <w:r w:rsidR="000D5CB5">
        <w:rPr>
          <w:rFonts w:asciiTheme="majorBidi" w:eastAsia="Times New Roman" w:hAnsiTheme="majorBidi" w:cstheme="majorBidi"/>
          <w:sz w:val="24"/>
          <w:szCs w:val="24"/>
        </w:rPr>
        <w:t>e</w:t>
      </w:r>
      <w:r w:rsidR="000946E8">
        <w:rPr>
          <w:rFonts w:asciiTheme="majorBidi" w:eastAsia="Times New Roman" w:hAnsiTheme="majorBidi" w:cstheme="majorBidi"/>
          <w:sz w:val="24"/>
          <w:szCs w:val="24"/>
        </w:rPr>
        <w:t xml:space="preserve"> findings were consistent when we analyzed separately Bethesda 3 and 4 categories</w:t>
      </w:r>
      <w:r w:rsidR="000D5CB5">
        <w:rPr>
          <w:rFonts w:asciiTheme="majorBidi" w:eastAsia="Times New Roman" w:hAnsiTheme="majorBidi" w:cstheme="majorBidi"/>
          <w:sz w:val="24"/>
          <w:szCs w:val="24"/>
        </w:rPr>
        <w:t xml:space="preserve"> within group 2,</w:t>
      </w:r>
      <w:r w:rsidR="000946E8">
        <w:rPr>
          <w:rFonts w:asciiTheme="majorBidi" w:eastAsia="Times New Roman" w:hAnsiTheme="majorBidi" w:cstheme="majorBidi"/>
          <w:sz w:val="24"/>
          <w:szCs w:val="24"/>
        </w:rPr>
        <w:t xml:space="preserve"> and when we </w:t>
      </w:r>
      <w:r w:rsidR="000D5CB5">
        <w:rPr>
          <w:rFonts w:asciiTheme="majorBidi" w:eastAsia="Times New Roman" w:hAnsiTheme="majorBidi" w:cstheme="majorBidi"/>
          <w:sz w:val="24"/>
          <w:szCs w:val="24"/>
        </w:rPr>
        <w:t xml:space="preserve">grouped and </w:t>
      </w:r>
      <w:r w:rsidR="000946E8">
        <w:rPr>
          <w:rFonts w:asciiTheme="majorBidi" w:eastAsia="Times New Roman" w:hAnsiTheme="majorBidi" w:cstheme="majorBidi"/>
          <w:sz w:val="24"/>
          <w:szCs w:val="24"/>
        </w:rPr>
        <w:t>investigated</w:t>
      </w:r>
      <w:r w:rsidR="000D5CB5">
        <w:rPr>
          <w:rFonts w:asciiTheme="majorBidi" w:eastAsia="Times New Roman" w:hAnsiTheme="majorBidi" w:cstheme="majorBidi"/>
          <w:sz w:val="24"/>
          <w:szCs w:val="24"/>
        </w:rPr>
        <w:t xml:space="preserve"> patients</w:t>
      </w:r>
      <w:r w:rsidR="00BB2E21">
        <w:rPr>
          <w:rFonts w:asciiTheme="majorBidi" w:eastAsia="Times New Roman" w:hAnsiTheme="majorBidi" w:cstheme="majorBidi"/>
          <w:sz w:val="24"/>
          <w:szCs w:val="24"/>
        </w:rPr>
        <w:t xml:space="preserve"> who were diagnosed</w:t>
      </w:r>
      <w:r w:rsidR="000D5CB5">
        <w:rPr>
          <w:rFonts w:asciiTheme="majorBidi" w:eastAsia="Times New Roman" w:hAnsiTheme="majorBidi" w:cstheme="majorBidi"/>
          <w:sz w:val="24"/>
          <w:szCs w:val="24"/>
        </w:rPr>
        <w:t xml:space="preserve"> with </w:t>
      </w:r>
      <w:r w:rsidR="000946E8">
        <w:rPr>
          <w:rFonts w:asciiTheme="majorBidi" w:eastAsia="Times New Roman" w:hAnsiTheme="majorBidi" w:cstheme="majorBidi"/>
          <w:sz w:val="24"/>
          <w:szCs w:val="24"/>
        </w:rPr>
        <w:t xml:space="preserve">FTC </w:t>
      </w:r>
      <w:r w:rsidR="000D5CB5">
        <w:rPr>
          <w:rFonts w:asciiTheme="majorBidi" w:eastAsia="Times New Roman" w:hAnsiTheme="majorBidi" w:cstheme="majorBidi"/>
          <w:sz w:val="24"/>
          <w:szCs w:val="24"/>
        </w:rPr>
        <w:t>or</w:t>
      </w:r>
      <w:r w:rsidR="000946E8">
        <w:rPr>
          <w:rFonts w:asciiTheme="majorBidi" w:eastAsia="Times New Roman" w:hAnsiTheme="majorBidi" w:cstheme="majorBidi"/>
          <w:sz w:val="24"/>
          <w:szCs w:val="24"/>
        </w:rPr>
        <w:t xml:space="preserve"> PTC against</w:t>
      </w:r>
      <w:r w:rsidR="000D5CB5">
        <w:rPr>
          <w:rFonts w:asciiTheme="majorBidi" w:eastAsia="Times New Roman" w:hAnsiTheme="majorBidi" w:cstheme="majorBidi"/>
          <w:sz w:val="24"/>
          <w:szCs w:val="24"/>
        </w:rPr>
        <w:t xml:space="preserve"> those with</w:t>
      </w:r>
      <w:r w:rsidR="000946E8">
        <w:rPr>
          <w:rFonts w:asciiTheme="majorBidi" w:eastAsia="Times New Roman" w:hAnsiTheme="majorBidi" w:cstheme="majorBidi"/>
          <w:sz w:val="24"/>
          <w:szCs w:val="24"/>
        </w:rPr>
        <w:t xml:space="preserve"> benign final histology. </w:t>
      </w:r>
      <w:r w:rsidR="00FD79E7">
        <w:rPr>
          <w:rFonts w:asciiTheme="majorBidi" w:eastAsia="Times New Roman" w:hAnsiTheme="majorBidi" w:cstheme="majorBidi"/>
          <w:sz w:val="24"/>
          <w:szCs w:val="24"/>
        </w:rPr>
        <w:t>Importantly,</w:t>
      </w:r>
      <w:r w:rsidR="00FD79E7" w:rsidRPr="00FD79E7">
        <w:rPr>
          <w:rFonts w:asciiTheme="majorBidi" w:eastAsia="Times New Roman" w:hAnsiTheme="majorBidi" w:cstheme="majorBidi"/>
          <w:sz w:val="24"/>
          <w:szCs w:val="24"/>
        </w:rPr>
        <w:t xml:space="preserve"> </w:t>
      </w:r>
      <w:r w:rsidR="00FD79E7">
        <w:rPr>
          <w:rFonts w:asciiTheme="majorBidi" w:eastAsia="Times New Roman" w:hAnsiTheme="majorBidi" w:cstheme="majorBidi"/>
          <w:sz w:val="24"/>
          <w:szCs w:val="24"/>
        </w:rPr>
        <w:t xml:space="preserve">to the best of our knowledge there were no studies which investigated preoperative </w:t>
      </w:r>
      <w:r w:rsidR="00D06E38">
        <w:rPr>
          <w:rFonts w:asciiTheme="majorBidi" w:eastAsia="Times New Roman" w:hAnsiTheme="majorBidi" w:cstheme="majorBidi"/>
          <w:sz w:val="24"/>
          <w:szCs w:val="24"/>
        </w:rPr>
        <w:t xml:space="preserve">Tg </w:t>
      </w:r>
      <w:r w:rsidR="00FD79E7">
        <w:rPr>
          <w:rFonts w:asciiTheme="majorBidi" w:eastAsia="Times New Roman" w:hAnsiTheme="majorBidi" w:cstheme="majorBidi"/>
          <w:sz w:val="24"/>
          <w:szCs w:val="24"/>
        </w:rPr>
        <w:t>as a predictor of DTC in patients who were operated for MNG. Our results support the notion that in this group of patients th</w:t>
      </w:r>
      <w:r w:rsidR="00E6790D">
        <w:rPr>
          <w:rFonts w:asciiTheme="majorBidi" w:eastAsia="Times New Roman" w:hAnsiTheme="majorBidi" w:cstheme="majorBidi"/>
          <w:sz w:val="24"/>
          <w:szCs w:val="24"/>
        </w:rPr>
        <w:t>at</w:t>
      </w:r>
      <w:r w:rsidR="00FD79E7">
        <w:rPr>
          <w:rFonts w:asciiTheme="majorBidi" w:eastAsia="Times New Roman" w:hAnsiTheme="majorBidi" w:cstheme="majorBidi"/>
          <w:sz w:val="24"/>
          <w:szCs w:val="24"/>
        </w:rPr>
        <w:t xml:space="preserve"> </w:t>
      </w:r>
      <w:r w:rsidR="003E79F8">
        <w:rPr>
          <w:rFonts w:asciiTheme="majorBidi" w:eastAsia="Times New Roman" w:hAnsiTheme="majorBidi" w:cstheme="majorBidi"/>
          <w:sz w:val="24"/>
          <w:szCs w:val="24"/>
        </w:rPr>
        <w:t xml:space="preserve">thyroid mass in the main component determining </w:t>
      </w:r>
      <w:r w:rsidR="00D06E38">
        <w:rPr>
          <w:rFonts w:asciiTheme="majorBidi" w:eastAsia="Times New Roman" w:hAnsiTheme="majorBidi" w:cstheme="majorBidi"/>
          <w:sz w:val="24"/>
          <w:szCs w:val="24"/>
        </w:rPr>
        <w:t xml:space="preserve">Tg </w:t>
      </w:r>
      <w:r w:rsidR="003E79F8">
        <w:rPr>
          <w:rFonts w:asciiTheme="majorBidi" w:eastAsia="Times New Roman" w:hAnsiTheme="majorBidi" w:cstheme="majorBidi"/>
          <w:sz w:val="24"/>
          <w:szCs w:val="24"/>
        </w:rPr>
        <w:t>concentration</w:t>
      </w:r>
      <w:r w:rsidR="0079593C">
        <w:rPr>
          <w:rFonts w:asciiTheme="majorBidi" w:eastAsia="Times New Roman" w:hAnsiTheme="majorBidi" w:cstheme="majorBidi"/>
          <w:sz w:val="24"/>
          <w:szCs w:val="24"/>
        </w:rPr>
        <w:t xml:space="preserve"> and not the presence of DTC within </w:t>
      </w:r>
      <w:r w:rsidR="00D352A5">
        <w:rPr>
          <w:rFonts w:asciiTheme="majorBidi" w:eastAsia="Times New Roman" w:hAnsiTheme="majorBidi" w:cstheme="majorBidi"/>
          <w:sz w:val="24"/>
          <w:szCs w:val="24"/>
        </w:rPr>
        <w:t>a large</w:t>
      </w:r>
      <w:r w:rsidR="0079593C">
        <w:rPr>
          <w:rFonts w:asciiTheme="majorBidi" w:eastAsia="Times New Roman" w:hAnsiTheme="majorBidi" w:cstheme="majorBidi"/>
          <w:sz w:val="24"/>
          <w:szCs w:val="24"/>
        </w:rPr>
        <w:t xml:space="preserve"> MNG</w:t>
      </w:r>
      <w:r w:rsidR="006F5E20">
        <w:rPr>
          <w:rFonts w:asciiTheme="majorBidi" w:eastAsia="Times New Roman" w:hAnsiTheme="majorBidi" w:cstheme="majorBidi"/>
          <w:sz w:val="24"/>
          <w:szCs w:val="24"/>
        </w:rPr>
        <w:t xml:space="preserve"> </w:t>
      </w:r>
      <w:r w:rsidR="00EC5D99">
        <w:rPr>
          <w:rFonts w:asciiTheme="majorBidi" w:eastAsia="Times New Roman" w:hAnsiTheme="majorBidi" w:cstheme="majorBidi"/>
          <w:sz w:val="24"/>
          <w:szCs w:val="24"/>
        </w:rPr>
        <w:fldChar w:fldCharType="begin" w:fldLock="1"/>
      </w:r>
      <w:r w:rsidR="003D4BD6">
        <w:rPr>
          <w:rFonts w:asciiTheme="majorBidi" w:eastAsia="Times New Roman" w:hAnsiTheme="majorBidi" w:cstheme="majorBidi"/>
          <w:sz w:val="24"/>
          <w:szCs w:val="24"/>
        </w:rPr>
        <w:instrText>ADDIN CSL_CITATION {"citationItems":[{"id":"ITEM-1","itemData":{"DOI":"10.4331/wjbc.v8.i1.81","ISSN":"1949-8454","abstract":"It is worthwhile to measure serum thyroglobulin (TG) level in thyroid cancer before subjecting patients to surgery for two reasons. Firstly, if the level is high, it may give a clue to the local and metastatic tumour burden at presentation; secondly, if the level is normal, it identifies the patients who are unlikely to show rising TG levels in the presence of thyroid cancer. Those who have high serum TG before surgery will show up recurrence as rising serum TG during the postoperative period. Those who do not have high serum TG before surgery will not show up rising serum TG in the presence of recurrent disease. In the latter situation, normal TG level gives only a false reassurance regarding recurrence of disease. Nevertheless, rising serum TG during the postoperative period must be interpreted cautiously because this could be due to the enlargement of non-cancerous residual thyroid tissue inadvertently left behind during surgery.","author":[{"dropping-particle":"","family":"Indrasena","given":"Buddhike Sri Harsha","non-dropping-particle":"","parse-names":false,"suffix":""}],"container-title":"World Journal of Biological Chemistry","id":"ITEM-1","issue":"1","issued":{"date-parts":[["2017"]]},"page":"81","title":"Use of thyroglobulin as a tumour marker","type":"article-journal","volume":"8"},"uris":["http://www.mendeley.com/documents/?uuid=bd659c6a-1661-4091-8ec2-51fb039810b9"]}],"mendeley":{"formattedCitation":"(7)","plainTextFormattedCitation":"(7)","previouslyFormattedCitation":"(7)"},"properties":{"noteIndex":0},"schema":"https://github.com/citation-style-language/schema/raw/master/csl-citation.json"}</w:instrText>
      </w:r>
      <w:r w:rsidR="00EC5D99">
        <w:rPr>
          <w:rFonts w:asciiTheme="majorBidi" w:eastAsia="Times New Roman" w:hAnsiTheme="majorBidi" w:cstheme="majorBidi"/>
          <w:sz w:val="24"/>
          <w:szCs w:val="24"/>
        </w:rPr>
        <w:fldChar w:fldCharType="separate"/>
      </w:r>
      <w:r w:rsidR="00EC5D99" w:rsidRPr="00EC5D99">
        <w:rPr>
          <w:rFonts w:asciiTheme="majorBidi" w:eastAsia="Times New Roman" w:hAnsiTheme="majorBidi" w:cstheme="majorBidi"/>
          <w:noProof/>
          <w:sz w:val="24"/>
          <w:szCs w:val="24"/>
        </w:rPr>
        <w:t>(7)</w:t>
      </w:r>
      <w:r w:rsidR="00EC5D99">
        <w:rPr>
          <w:rFonts w:asciiTheme="majorBidi" w:eastAsia="Times New Roman" w:hAnsiTheme="majorBidi" w:cstheme="majorBidi"/>
          <w:sz w:val="24"/>
          <w:szCs w:val="24"/>
        </w:rPr>
        <w:fldChar w:fldCharType="end"/>
      </w:r>
      <w:r w:rsidR="003E79F8">
        <w:rPr>
          <w:rFonts w:asciiTheme="majorBidi" w:eastAsia="Times New Roman" w:hAnsiTheme="majorBidi" w:cstheme="majorBidi"/>
          <w:sz w:val="24"/>
          <w:szCs w:val="24"/>
        </w:rPr>
        <w:t>.</w:t>
      </w:r>
    </w:p>
    <w:p w14:paraId="72CF8E8D" w14:textId="75A6688C" w:rsidR="0050262F" w:rsidRDefault="0079593C" w:rsidP="005D4215">
      <w:pPr>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006F5E20">
        <w:rPr>
          <w:rFonts w:asciiTheme="majorBidi" w:eastAsia="Times New Roman" w:hAnsiTheme="majorBidi" w:cstheme="majorBidi"/>
          <w:sz w:val="24"/>
          <w:szCs w:val="24"/>
        </w:rPr>
        <w:t xml:space="preserve">everal studies investigated the potential role of preoperative </w:t>
      </w:r>
      <w:r w:rsidR="00D06E38">
        <w:rPr>
          <w:rFonts w:asciiTheme="majorBidi" w:eastAsia="Times New Roman" w:hAnsiTheme="majorBidi" w:cstheme="majorBidi"/>
          <w:sz w:val="24"/>
          <w:szCs w:val="24"/>
        </w:rPr>
        <w:t xml:space="preserve">Tg </w:t>
      </w:r>
      <w:r w:rsidR="006F5E20">
        <w:rPr>
          <w:rFonts w:asciiTheme="majorBidi" w:eastAsia="Times New Roman" w:hAnsiTheme="majorBidi" w:cstheme="majorBidi"/>
          <w:sz w:val="24"/>
          <w:szCs w:val="24"/>
        </w:rPr>
        <w:t xml:space="preserve">concentration in patients with TN resembling INC, mainly of Bethesda 4 category. </w:t>
      </w:r>
      <w:r w:rsidR="006D4F7D">
        <w:rPr>
          <w:rFonts w:asciiTheme="majorBidi" w:eastAsia="Times New Roman" w:hAnsiTheme="majorBidi" w:cstheme="majorBidi"/>
          <w:sz w:val="24"/>
          <w:szCs w:val="24"/>
        </w:rPr>
        <w:t xml:space="preserve">The results of these studies were conflicting. </w:t>
      </w:r>
      <w:r w:rsidR="004A4964">
        <w:rPr>
          <w:rFonts w:asciiTheme="majorBidi" w:eastAsia="Times New Roman" w:hAnsiTheme="majorBidi" w:cstheme="majorBidi"/>
          <w:sz w:val="24"/>
          <w:szCs w:val="24"/>
        </w:rPr>
        <w:t xml:space="preserve">Among those, few supported our results. </w:t>
      </w:r>
      <w:r w:rsidR="004A4964" w:rsidRPr="00F00BC5">
        <w:rPr>
          <w:rFonts w:asciiTheme="majorBidi" w:eastAsia="Times New Roman" w:hAnsiTheme="majorBidi" w:cstheme="majorBidi" w:hint="cs"/>
          <w:sz w:val="24"/>
          <w:szCs w:val="24"/>
        </w:rPr>
        <w:t>A</w:t>
      </w:r>
      <w:r w:rsidR="004A4964" w:rsidRPr="00F00BC5">
        <w:rPr>
          <w:rFonts w:asciiTheme="majorBidi" w:eastAsia="Times New Roman" w:hAnsiTheme="majorBidi" w:cstheme="majorBidi"/>
          <w:sz w:val="24"/>
          <w:szCs w:val="24"/>
        </w:rPr>
        <w:t xml:space="preserve"> study by Suh et al., included 39 </w:t>
      </w:r>
      <w:r w:rsidR="004A4964">
        <w:rPr>
          <w:rFonts w:asciiTheme="majorBidi" w:eastAsia="Times New Roman" w:hAnsiTheme="majorBidi" w:cstheme="majorBidi"/>
          <w:sz w:val="24"/>
          <w:szCs w:val="24"/>
        </w:rPr>
        <w:t>TN</w:t>
      </w:r>
      <w:r w:rsidR="004A4964" w:rsidRPr="00F00BC5">
        <w:rPr>
          <w:rFonts w:asciiTheme="majorBidi" w:eastAsia="Times New Roman" w:hAnsiTheme="majorBidi" w:cstheme="majorBidi"/>
          <w:sz w:val="24"/>
          <w:szCs w:val="24"/>
        </w:rPr>
        <w:t xml:space="preserve"> that were classified by cytology as follicular or Hurtle cell neoplasms (Bethesda IV), found no correlation between </w:t>
      </w:r>
      <w:r>
        <w:rPr>
          <w:rFonts w:asciiTheme="majorBidi" w:eastAsia="Times New Roman" w:hAnsiTheme="majorBidi" w:cstheme="majorBidi"/>
          <w:sz w:val="24"/>
          <w:szCs w:val="24"/>
        </w:rPr>
        <w:t xml:space="preserve">preoperative </w:t>
      </w:r>
      <w:r w:rsidR="004A4964" w:rsidRPr="00F00BC5">
        <w:rPr>
          <w:rFonts w:asciiTheme="majorBidi" w:eastAsia="Times New Roman" w:hAnsiTheme="majorBidi" w:cstheme="majorBidi"/>
          <w:sz w:val="24"/>
          <w:szCs w:val="24"/>
        </w:rPr>
        <w:t>serum Tg</w:t>
      </w:r>
      <w:r w:rsidR="004A4964">
        <w:rPr>
          <w:rFonts w:asciiTheme="majorBidi" w:eastAsia="Times New Roman" w:hAnsiTheme="majorBidi" w:cstheme="majorBidi" w:hint="cs"/>
          <w:sz w:val="24"/>
          <w:szCs w:val="24"/>
          <w:rtl/>
        </w:rPr>
        <w:t xml:space="preserve"> </w:t>
      </w:r>
      <w:r w:rsidR="004A4964">
        <w:rPr>
          <w:rFonts w:asciiTheme="majorBidi" w:eastAsia="Times New Roman" w:hAnsiTheme="majorBidi" w:cstheme="majorBidi"/>
          <w:sz w:val="24"/>
          <w:szCs w:val="24"/>
        </w:rPr>
        <w:t>concentration</w:t>
      </w:r>
      <w:r w:rsidR="004A4964" w:rsidRPr="00F00BC5">
        <w:rPr>
          <w:rFonts w:asciiTheme="majorBidi" w:eastAsia="Times New Roman" w:hAnsiTheme="majorBidi" w:cstheme="majorBidi"/>
          <w:sz w:val="24"/>
          <w:szCs w:val="24"/>
        </w:rPr>
        <w:t xml:space="preserve"> and</w:t>
      </w:r>
      <w:r>
        <w:rPr>
          <w:rFonts w:asciiTheme="majorBidi" w:eastAsia="Times New Roman" w:hAnsiTheme="majorBidi" w:cstheme="majorBidi"/>
          <w:sz w:val="24"/>
          <w:szCs w:val="24"/>
        </w:rPr>
        <w:t xml:space="preserve"> postoperative</w:t>
      </w:r>
      <w:r w:rsidR="004A4964" w:rsidRPr="00F00BC5">
        <w:rPr>
          <w:rFonts w:asciiTheme="majorBidi" w:eastAsia="Times New Roman" w:hAnsiTheme="majorBidi" w:cstheme="majorBidi"/>
          <w:sz w:val="24"/>
          <w:szCs w:val="24"/>
        </w:rPr>
        <w:t xml:space="preserve"> DTC</w:t>
      </w:r>
      <w:r w:rsidR="004A4964">
        <w:rPr>
          <w:rFonts w:asciiTheme="majorBidi" w:eastAsia="Times New Roman" w:hAnsiTheme="majorBidi" w:cstheme="majorBidi"/>
          <w:sz w:val="24"/>
          <w:szCs w:val="24"/>
        </w:rPr>
        <w:t xml:space="preserve"> diagnosis</w:t>
      </w:r>
      <w:r w:rsidR="004A4964" w:rsidRPr="00F00BC5">
        <w:rPr>
          <w:rFonts w:asciiTheme="majorBidi" w:eastAsia="Times New Roman" w:hAnsiTheme="majorBidi" w:cstheme="majorBidi"/>
          <w:sz w:val="24"/>
          <w:szCs w:val="24"/>
        </w:rPr>
        <w:t xml:space="preserve"> </w:t>
      </w:r>
      <w:r w:rsidR="004A4964" w:rsidRPr="00F00BC5">
        <w:rPr>
          <w:rFonts w:asciiTheme="majorBidi" w:eastAsia="Times New Roman" w:hAnsiTheme="majorBidi" w:cstheme="majorBidi"/>
          <w:sz w:val="24"/>
          <w:szCs w:val="24"/>
        </w:rPr>
        <w:fldChar w:fldCharType="begin" w:fldLock="1"/>
      </w:r>
      <w:r w:rsidR="00520AB1">
        <w:rPr>
          <w:rFonts w:asciiTheme="majorBidi" w:eastAsia="Times New Roman" w:hAnsiTheme="majorBidi" w:cstheme="majorBidi"/>
          <w:sz w:val="24"/>
          <w:szCs w:val="24"/>
        </w:rPr>
        <w:instrText>ADDIN CSL_CITATION {"citationItems":[{"id":"ITEM-1","itemData":{"DOI":"10.1016/j.amjsurg.2009.08.030","ISSN":"00029610","author":[{"dropping-particle":"","family":"Suh","given":"Insoo","non-dropping-particle":"","parse-names":false,"suffix":""},{"dropping-particle":"","family":"Vriens","given":"Menno R.","non-dropping-particle":"","parse-names":false,"suffix":""},{"dropping-particle":"","family":"Guerrero","given":"Marlon A.","non-dropping-particle":"","parse-names":false,"suffix":""},{"dropping-particle":"","family":"Griffin","given":"Ann","non-dropping-particle":"","parse-names":false,"suffix":""},{"dropping-particle":"","family":"Shen","given":"Wen T.","non-dropping-particle":"","parse-names":false,"suffix":""},{"dropping-particle":"","family":"Duh","given":"Quan-Yang","non-dropping-particle":"","parse-names":false,"suffix":""},{"dropping-particle":"","family":"Clark","given":"Orlo H.","non-dropping-particle":"","parse-names":false,"suffix":""},{"dropping-particle":"","family":"Kebebew","given":"Electron","non-dropping-particle":"","parse-names":false,"suffix":""}],"container-title":"The American Journal of Surgery","id":"ITEM-1","issue":"1","issued":{"date-parts":[["2010","7"]]},"page":"41-46","title":"Serum thyroglobulin is a poor diagnostic biomarker of malignancy in follicular and Ḧurthle-cell neoplasms of the thyroid","type":"article-journal","volume":"200"},"uris":["http://www.mendeley.com/documents/?uuid=f6e216db-9b28-344b-8e80-2b2e7507c7e8"]}],"mendeley":{"formattedCitation":"(14)","plainTextFormattedCitation":"(14)","previouslyFormattedCitation":"(14)"},"properties":{"noteIndex":0},"schema":"https://github.com/citation-style-language/schema/raw/master/csl-citation.json"}</w:instrText>
      </w:r>
      <w:r w:rsidR="004A4964" w:rsidRPr="00F00BC5">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(14)</w:t>
      </w:r>
      <w:r w:rsidR="004A4964" w:rsidRPr="00F00BC5">
        <w:rPr>
          <w:rFonts w:asciiTheme="majorBidi" w:eastAsia="Times New Roman" w:hAnsiTheme="majorBidi" w:cstheme="majorBidi"/>
          <w:sz w:val="24"/>
          <w:szCs w:val="24"/>
        </w:rPr>
        <w:fldChar w:fldCharType="end"/>
      </w:r>
      <w:r w:rsidR="004A4964" w:rsidRPr="00F00BC5">
        <w:rPr>
          <w:rFonts w:asciiTheme="majorBidi" w:eastAsia="Times New Roman" w:hAnsiTheme="majorBidi" w:cstheme="majorBidi"/>
          <w:sz w:val="24"/>
          <w:szCs w:val="24"/>
        </w:rPr>
        <w:t>.</w:t>
      </w:r>
      <w:r w:rsidR="004A4964" w:rsidRPr="00F00BC5">
        <w:rPr>
          <w:rFonts w:asciiTheme="majorBidi" w:eastAsia="Times New Roman" w:hAnsiTheme="majorBidi" w:cstheme="majorBidi" w:hint="cs"/>
          <w:sz w:val="24"/>
          <w:szCs w:val="24"/>
          <w:rtl/>
        </w:rPr>
        <w:t xml:space="preserve"> </w:t>
      </w:r>
      <w:r w:rsidR="004A4964" w:rsidRPr="00F00BC5">
        <w:rPr>
          <w:rFonts w:asciiTheme="majorBidi" w:eastAsia="Times New Roman" w:hAnsiTheme="majorBidi" w:cstheme="majorBidi"/>
          <w:sz w:val="24"/>
          <w:szCs w:val="24"/>
        </w:rPr>
        <w:t>Kihara et al. also investigated preoperative serum Tg</w:t>
      </w:r>
      <w:r w:rsidR="00751A9A">
        <w:rPr>
          <w:rFonts w:asciiTheme="majorBidi" w:eastAsia="Times New Roman" w:hAnsiTheme="majorBidi" w:cstheme="majorBidi" w:hint="cs"/>
          <w:sz w:val="24"/>
          <w:szCs w:val="24"/>
          <w:rtl/>
        </w:rPr>
        <w:t xml:space="preserve"> </w:t>
      </w:r>
      <w:r w:rsidR="00751A9A">
        <w:rPr>
          <w:rFonts w:asciiTheme="majorBidi" w:eastAsia="Times New Roman" w:hAnsiTheme="majorBidi" w:cstheme="majorBidi"/>
          <w:sz w:val="24"/>
          <w:szCs w:val="24"/>
        </w:rPr>
        <w:t xml:space="preserve"> concentration</w:t>
      </w:r>
      <w:r w:rsidR="004A4964" w:rsidRPr="00F00BC5">
        <w:rPr>
          <w:rFonts w:asciiTheme="majorBidi" w:eastAsia="Times New Roman" w:hAnsiTheme="majorBidi" w:cstheme="majorBidi"/>
          <w:sz w:val="24"/>
          <w:szCs w:val="24"/>
        </w:rPr>
        <w:t xml:space="preserve"> in 137 patients with INC nodules who underwent surgery </w:t>
      </w:r>
      <w:r w:rsidR="004A4964" w:rsidRPr="00F00BC5">
        <w:rPr>
          <w:rFonts w:asciiTheme="majorBidi" w:eastAsia="Times New Roman" w:hAnsiTheme="majorBidi" w:cstheme="majorBidi"/>
          <w:sz w:val="24"/>
          <w:szCs w:val="24"/>
        </w:rPr>
        <w:fldChar w:fldCharType="begin" w:fldLock="1"/>
      </w:r>
      <w:r w:rsidR="00520AB1">
        <w:rPr>
          <w:rFonts w:asciiTheme="majorBidi" w:eastAsia="Times New Roman" w:hAnsiTheme="majorBidi" w:cstheme="majorBidi"/>
          <w:sz w:val="24"/>
          <w:szCs w:val="24"/>
        </w:rPr>
        <w:instrText>ADDIN CSL_CITATION {"citationItems":[{"id":"ITEM-1","itemData":{"DOI":"10.1016/j.anl.2010.09.011","ISSN":"03858146","PMID":"21269788","abstract":"OBJECTIVE The purpose of this study is to evaluate the role of ultrasonography (US) in the management of thyroid nodules when the cytology is indeterminate as follicular tumor on fine needle aspiration biopsy (FNAB). METHODS In 2006, 6586 patients with thyroid nodules, which were detected on US underwent FNAB in our department. Of these patients, we extracted 438 patients (6.7%) whose nodules were cytologically diagnosed as indeterminate. Of them, 227 patients were diagnosed as follicular tumor were enrolled in this study. Surgery was performed according to our criteria for surgical indication. We compared the results of clinical findings including US classification and final histopathological diagnosis. RESULTS One hundred thirty-seven of 227 underwent surgical treatment. Thirty-three (24%) were diagnosed as malignancy pathologically. Large nodule or high serum thyroglobulin level were not associated with an increased risk of malignancy. Ultrasonographic evaluation as malignancy was directly linked to pathological diagnosis as thyroid carcinoma (p&lt;0.0001). CONCLUSION US plays a crucial role in deciding whether surgical treatment is necessary for cytologically indeterminate thyroid nodules as follicular tumor.","author":[{"dropping-particle":"","family":"Kihara","given":"Minoru","non-dropping-particle":"","parse-names":false,"suffix":""},{"dropping-particle":"","family":"Ito","given":"Yasuhiro","non-dropping-particle":"","parse-names":false,"suffix":""},{"dropping-particle":"","family":"Hirokawa","given":"Mitsuyoshi","non-dropping-particle":"","parse-names":false,"suffix":""},{"dropping-particle":"","family":"Masuoka","given":"Hiroo","non-dropping-particle":"","parse-names":false,"suffix":""},{"dropping-particle":"","family":"Yabuta","given":"Tomonori","non-dropping-particle":"","parse-names":false,"suffix":""},{"dropping-particle":"","family":"Tomoda","given":"Chisato","non-dropping-particle":"","parse-names":false,"suffix":""},{"dropping-particle":"","family":"Higashiyama","given":"Takuya","non-dropping-particle":"","parse-names":false,"suffix":""},{"dropping-particle":"","family":"Inoue","given":"Hiroyuki","non-dropping-particle":"","parse-names":false,"suffix":""},{"dropping-particle":"","family":"Fukushima","given":"Mitsuhiro","non-dropping-particle":"","parse-names":false,"suffix":""},{"dropping-particle":"","family":"Takamura","given":"Yuuki","non-dropping-particle":"","parse-names":false,"suffix":""},{"dropping-particle":"","family":"Kobayashi","given":"Kaoru","non-dropping-particle":"","parse-names":false,"suffix":""},{"dropping-particle":"","family":"Miya","given":"Akihiro","non-dropping-particle":"","parse-names":false,"suffix":""},{"dropping-particle":"","family":"Miyauchi","given":"Akira","non-dropping-particle":"","parse-names":false,"suffix":""}],"container-title":"Auris Nasus Larynx","id":"ITEM-1","issue":"4","issued":{"date-parts":[["2011","8"]]},"page":"508-511","title":"Role of ultrasonography in patients with cytologically follicular thyroid tumor","type":"article-journal","volume":"38"},"uris":["http://www.mendeley.com/documents/?uuid=1850d330-4ba6-3861-9bb8-3b6b02292510"]}],"mendeley":{"formattedCitation":"(15)","plainTextFormattedCitation":"(15)","previouslyFormattedCitation":"(15)"},"properties":{"noteIndex":0},"schema":"https://github.com/citation-style-language/schema/raw/master/csl-citation.json"}</w:instrText>
      </w:r>
      <w:r w:rsidR="004A4964" w:rsidRPr="00F00BC5">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(15)</w:t>
      </w:r>
      <w:r w:rsidR="004A4964" w:rsidRPr="00F00BC5">
        <w:rPr>
          <w:rFonts w:asciiTheme="majorBidi" w:eastAsia="Times New Roman" w:hAnsiTheme="majorBidi" w:cstheme="majorBidi"/>
          <w:sz w:val="24"/>
          <w:szCs w:val="24"/>
        </w:rPr>
        <w:fldChar w:fldCharType="end"/>
      </w:r>
      <w:r w:rsidR="004A4964" w:rsidRPr="00F00BC5">
        <w:rPr>
          <w:rFonts w:asciiTheme="majorBidi" w:eastAsia="Times New Roman" w:hAnsiTheme="majorBidi" w:cstheme="majorBidi"/>
          <w:sz w:val="24"/>
          <w:szCs w:val="24"/>
        </w:rPr>
        <w:t xml:space="preserve">. </w:t>
      </w:r>
      <w:r w:rsidR="004A4964">
        <w:rPr>
          <w:rFonts w:asciiTheme="majorBidi" w:eastAsia="Times New Roman" w:hAnsiTheme="majorBidi" w:cstheme="majorBidi"/>
          <w:sz w:val="24"/>
          <w:szCs w:val="24"/>
        </w:rPr>
        <w:t>The included patients had serum</w:t>
      </w:r>
      <w:r w:rsidR="004A4964" w:rsidRPr="00F00BC5">
        <w:rPr>
          <w:rFonts w:asciiTheme="majorBidi" w:eastAsia="Times New Roman" w:hAnsiTheme="majorBidi" w:cstheme="majorBidi"/>
          <w:sz w:val="24"/>
          <w:szCs w:val="24"/>
        </w:rPr>
        <w:t xml:space="preserve"> T</w:t>
      </w:r>
      <w:r w:rsidR="004A4964">
        <w:rPr>
          <w:rFonts w:asciiTheme="majorBidi" w:eastAsia="Times New Roman" w:hAnsiTheme="majorBidi" w:cstheme="majorBidi"/>
          <w:sz w:val="24"/>
          <w:szCs w:val="24"/>
        </w:rPr>
        <w:t>g</w:t>
      </w:r>
      <w:r w:rsidR="004A4964" w:rsidRPr="00F00BC5">
        <w:rPr>
          <w:rFonts w:asciiTheme="majorBidi" w:eastAsia="Times New Roman" w:hAnsiTheme="majorBidi" w:cstheme="majorBidi"/>
          <w:sz w:val="24"/>
          <w:szCs w:val="24"/>
        </w:rPr>
        <w:t xml:space="preserve"> </w:t>
      </w:r>
      <w:r w:rsidR="004A4964">
        <w:rPr>
          <w:rFonts w:asciiTheme="majorBidi" w:eastAsia="Times New Roman" w:hAnsiTheme="majorBidi" w:cstheme="majorBidi"/>
          <w:sz w:val="24"/>
          <w:szCs w:val="24"/>
        </w:rPr>
        <w:t>concentration</w:t>
      </w:r>
      <w:r w:rsidR="00751A9A">
        <w:rPr>
          <w:rFonts w:asciiTheme="majorBidi" w:eastAsia="Times New Roman" w:hAnsiTheme="majorBidi" w:cstheme="majorBidi"/>
          <w:sz w:val="24"/>
          <w:szCs w:val="24"/>
        </w:rPr>
        <w:t xml:space="preserve"> which was </w:t>
      </w:r>
      <w:r w:rsidR="004A4964">
        <w:rPr>
          <w:rFonts w:asciiTheme="majorBidi" w:eastAsia="Times New Roman" w:hAnsiTheme="majorBidi" w:cstheme="majorBidi"/>
          <w:sz w:val="24"/>
          <w:szCs w:val="24"/>
        </w:rPr>
        <w:t>comparable with that observed in our cohort.</w:t>
      </w:r>
      <w:r w:rsidR="004A4964" w:rsidRPr="00F00BC5">
        <w:rPr>
          <w:rFonts w:asciiTheme="majorBidi" w:eastAsia="Times New Roman" w:hAnsiTheme="majorBidi" w:cstheme="majorBidi"/>
          <w:sz w:val="24"/>
          <w:szCs w:val="24"/>
        </w:rPr>
        <w:t xml:space="preserve"> </w:t>
      </w:r>
      <w:r w:rsidR="004A4964">
        <w:rPr>
          <w:rFonts w:asciiTheme="majorBidi" w:eastAsia="Times New Roman" w:hAnsiTheme="majorBidi" w:cstheme="majorBidi"/>
          <w:sz w:val="24"/>
          <w:szCs w:val="24"/>
        </w:rPr>
        <w:t xml:space="preserve">There was no </w:t>
      </w:r>
      <w:r w:rsidR="004A4964" w:rsidRPr="00F00BC5">
        <w:rPr>
          <w:rFonts w:asciiTheme="majorBidi" w:eastAsia="Times New Roman" w:hAnsiTheme="majorBidi" w:cstheme="majorBidi"/>
          <w:sz w:val="24"/>
          <w:szCs w:val="24"/>
        </w:rPr>
        <w:t>statistically significant difference</w:t>
      </w:r>
      <w:r w:rsidR="004A4964">
        <w:rPr>
          <w:rFonts w:asciiTheme="majorBidi" w:eastAsia="Times New Roman" w:hAnsiTheme="majorBidi" w:cstheme="majorBidi"/>
          <w:sz w:val="24"/>
          <w:szCs w:val="24"/>
        </w:rPr>
        <w:t xml:space="preserve"> in serum </w:t>
      </w:r>
      <w:r w:rsidR="00D06E38">
        <w:rPr>
          <w:rFonts w:asciiTheme="majorBidi" w:eastAsia="Times New Roman" w:hAnsiTheme="majorBidi" w:cstheme="majorBidi"/>
          <w:sz w:val="24"/>
          <w:szCs w:val="24"/>
        </w:rPr>
        <w:t xml:space="preserve">Tg </w:t>
      </w:r>
      <w:r w:rsidR="004A4964">
        <w:rPr>
          <w:rFonts w:asciiTheme="majorBidi" w:eastAsia="Times New Roman" w:hAnsiTheme="majorBidi" w:cstheme="majorBidi"/>
          <w:sz w:val="24"/>
          <w:szCs w:val="24"/>
        </w:rPr>
        <w:t>concentration</w:t>
      </w:r>
      <w:r w:rsidR="004A4964" w:rsidRPr="00F00BC5">
        <w:rPr>
          <w:rFonts w:asciiTheme="majorBidi" w:eastAsia="Times New Roman" w:hAnsiTheme="majorBidi" w:cstheme="majorBidi"/>
          <w:sz w:val="24"/>
          <w:szCs w:val="24"/>
        </w:rPr>
        <w:t xml:space="preserve"> between</w:t>
      </w:r>
      <w:r w:rsidR="004A4964">
        <w:rPr>
          <w:rFonts w:asciiTheme="majorBidi" w:eastAsia="Times New Roman" w:hAnsiTheme="majorBidi" w:cstheme="majorBidi"/>
          <w:sz w:val="24"/>
          <w:szCs w:val="24"/>
        </w:rPr>
        <w:t xml:space="preserve"> patients with</w:t>
      </w:r>
      <w:r w:rsidR="00751A9A">
        <w:rPr>
          <w:rFonts w:asciiTheme="majorBidi" w:eastAsia="Times New Roman" w:hAnsiTheme="majorBidi" w:cstheme="majorBidi"/>
          <w:sz w:val="24"/>
          <w:szCs w:val="24"/>
        </w:rPr>
        <w:t xml:space="preserve"> final histology of DTC</w:t>
      </w:r>
      <w:r w:rsidR="004A4964" w:rsidRPr="00F00BC5">
        <w:rPr>
          <w:rFonts w:asciiTheme="majorBidi" w:eastAsia="Times New Roman" w:hAnsiTheme="majorBidi" w:cstheme="majorBidi"/>
          <w:sz w:val="24"/>
          <w:szCs w:val="24"/>
        </w:rPr>
        <w:t xml:space="preserve"> and benign</w:t>
      </w:r>
      <w:r w:rsidR="004A4964" w:rsidRPr="00F00BC5" w:rsidDel="00C67420">
        <w:rPr>
          <w:rFonts w:asciiTheme="majorBidi" w:eastAsia="Times New Roman" w:hAnsiTheme="majorBidi" w:cstheme="majorBidi"/>
          <w:sz w:val="24"/>
          <w:szCs w:val="24"/>
        </w:rPr>
        <w:t xml:space="preserve"> </w:t>
      </w:r>
      <w:r w:rsidR="00751A9A">
        <w:rPr>
          <w:rFonts w:asciiTheme="majorBidi" w:eastAsia="Times New Roman" w:hAnsiTheme="majorBidi" w:cstheme="majorBidi"/>
          <w:sz w:val="24"/>
          <w:szCs w:val="24"/>
        </w:rPr>
        <w:t>TN</w:t>
      </w:r>
      <w:r w:rsidR="004A4964" w:rsidRPr="00F00BC5">
        <w:rPr>
          <w:rFonts w:asciiTheme="majorBidi" w:eastAsia="Times New Roman" w:hAnsiTheme="majorBidi" w:cstheme="majorBidi"/>
          <w:sz w:val="24"/>
          <w:szCs w:val="24"/>
        </w:rPr>
        <w:t>.</w:t>
      </w:r>
      <w:r w:rsidR="004A4964">
        <w:rPr>
          <w:rFonts w:asciiTheme="majorBidi" w:eastAsia="Times New Roman" w:hAnsiTheme="majorBidi" w:cstheme="majorBidi"/>
          <w:sz w:val="24"/>
          <w:szCs w:val="24"/>
        </w:rPr>
        <w:t xml:space="preserve"> </w:t>
      </w:r>
      <w:r w:rsidR="004A4964" w:rsidRPr="00F00BC5">
        <w:rPr>
          <w:rFonts w:asciiTheme="majorBidi" w:eastAsia="Times New Roman" w:hAnsiTheme="majorBidi" w:cstheme="majorBidi"/>
          <w:sz w:val="24"/>
          <w:szCs w:val="24"/>
        </w:rPr>
        <w:t>In contrast with our results, Lee et al. examined 164 Korean patients with INC, who underwent thyroidectomy. They found that preoperative Tg</w:t>
      </w:r>
      <w:r w:rsidR="00751A9A">
        <w:rPr>
          <w:rFonts w:asciiTheme="majorBidi" w:eastAsia="Times New Roman" w:hAnsiTheme="majorBidi" w:cstheme="majorBidi"/>
          <w:sz w:val="24"/>
          <w:szCs w:val="24"/>
        </w:rPr>
        <w:t xml:space="preserve"> concentration</w:t>
      </w:r>
      <w:r w:rsidR="004A4964" w:rsidRPr="00F00BC5">
        <w:rPr>
          <w:rFonts w:asciiTheme="majorBidi" w:eastAsia="Times New Roman" w:hAnsiTheme="majorBidi" w:cstheme="majorBidi"/>
          <w:sz w:val="24"/>
          <w:szCs w:val="24"/>
        </w:rPr>
        <w:t xml:space="preserve"> </w:t>
      </w:r>
      <w:r w:rsidR="00D352A5" w:rsidRPr="00F00BC5">
        <w:rPr>
          <w:rFonts w:asciiTheme="majorBidi" w:eastAsia="Times New Roman" w:hAnsiTheme="majorBidi" w:cstheme="majorBidi"/>
          <w:sz w:val="24"/>
          <w:szCs w:val="24"/>
        </w:rPr>
        <w:t>ha</w:t>
      </w:r>
      <w:r w:rsidR="00D352A5">
        <w:rPr>
          <w:rFonts w:asciiTheme="majorBidi" w:eastAsia="Times New Roman" w:hAnsiTheme="majorBidi" w:cstheme="majorBidi"/>
          <w:sz w:val="24"/>
          <w:szCs w:val="24"/>
        </w:rPr>
        <w:t>d</w:t>
      </w:r>
      <w:r w:rsidR="00D352A5" w:rsidRPr="00F00BC5">
        <w:rPr>
          <w:rFonts w:asciiTheme="majorBidi" w:eastAsia="Times New Roman" w:hAnsiTheme="majorBidi" w:cstheme="majorBidi"/>
          <w:sz w:val="24"/>
          <w:szCs w:val="24"/>
        </w:rPr>
        <w:t xml:space="preserve"> </w:t>
      </w:r>
      <w:r w:rsidR="004A4964" w:rsidRPr="00F00BC5">
        <w:rPr>
          <w:rFonts w:asciiTheme="majorBidi" w:eastAsia="Times New Roman" w:hAnsiTheme="majorBidi" w:cstheme="majorBidi"/>
          <w:sz w:val="24"/>
          <w:szCs w:val="24"/>
        </w:rPr>
        <w:t>a significant role as a predictor of FTC</w:t>
      </w:r>
      <w:r w:rsidR="00AF705B">
        <w:rPr>
          <w:rFonts w:asciiTheme="majorBidi" w:eastAsia="Times New Roman" w:hAnsiTheme="majorBidi" w:cstheme="majorBidi"/>
          <w:sz w:val="24"/>
          <w:szCs w:val="24"/>
        </w:rPr>
        <w:t>,</w:t>
      </w:r>
      <w:r w:rsidR="004A4964">
        <w:rPr>
          <w:rFonts w:asciiTheme="majorBidi" w:eastAsia="Times New Roman" w:hAnsiTheme="majorBidi" w:cstheme="majorBidi"/>
          <w:sz w:val="24"/>
          <w:szCs w:val="24"/>
        </w:rPr>
        <w:t xml:space="preserve"> </w:t>
      </w:r>
      <w:r w:rsidR="00AF705B" w:rsidRPr="00F00BC5">
        <w:rPr>
          <w:rFonts w:asciiTheme="majorBidi" w:eastAsia="Times New Roman" w:hAnsiTheme="majorBidi" w:cstheme="majorBidi"/>
          <w:sz w:val="24"/>
          <w:szCs w:val="24"/>
        </w:rPr>
        <w:t>and suggested additional risk factors for DTC such as young</w:t>
      </w:r>
      <w:r w:rsidR="00751A9A">
        <w:rPr>
          <w:rFonts w:asciiTheme="majorBidi" w:eastAsia="Times New Roman" w:hAnsiTheme="majorBidi" w:cstheme="majorBidi"/>
          <w:sz w:val="24"/>
          <w:szCs w:val="24"/>
        </w:rPr>
        <w:t>er</w:t>
      </w:r>
      <w:r w:rsidR="00AF705B" w:rsidRPr="00F00BC5">
        <w:rPr>
          <w:rFonts w:asciiTheme="majorBidi" w:eastAsia="Times New Roman" w:hAnsiTheme="majorBidi" w:cstheme="majorBidi"/>
          <w:sz w:val="24"/>
          <w:szCs w:val="24"/>
        </w:rPr>
        <w:t xml:space="preserve"> age, male</w:t>
      </w:r>
      <w:r w:rsidR="00751A9A">
        <w:rPr>
          <w:rFonts w:asciiTheme="majorBidi" w:eastAsia="Times New Roman" w:hAnsiTheme="majorBidi" w:cstheme="majorBidi"/>
          <w:sz w:val="24"/>
          <w:szCs w:val="24"/>
        </w:rPr>
        <w:t xml:space="preserve"> gender</w:t>
      </w:r>
      <w:r w:rsidR="00AF705B" w:rsidRPr="00F00BC5">
        <w:rPr>
          <w:rFonts w:asciiTheme="majorBidi" w:eastAsia="Times New Roman" w:hAnsiTheme="majorBidi" w:cstheme="majorBidi"/>
          <w:sz w:val="24"/>
          <w:szCs w:val="24"/>
        </w:rPr>
        <w:t xml:space="preserve">, and </w:t>
      </w:r>
      <w:r w:rsidR="00751A9A">
        <w:rPr>
          <w:rFonts w:asciiTheme="majorBidi" w:eastAsia="Times New Roman" w:hAnsiTheme="majorBidi" w:cstheme="majorBidi"/>
          <w:sz w:val="24"/>
          <w:szCs w:val="24"/>
        </w:rPr>
        <w:t xml:space="preserve">specific </w:t>
      </w:r>
      <w:r w:rsidR="00AF705B" w:rsidRPr="00F00BC5">
        <w:rPr>
          <w:rFonts w:asciiTheme="majorBidi" w:eastAsia="Times New Roman" w:hAnsiTheme="majorBidi" w:cstheme="majorBidi"/>
          <w:sz w:val="24"/>
          <w:szCs w:val="24"/>
        </w:rPr>
        <w:t>sonographic features</w:t>
      </w:r>
      <w:r w:rsidR="00751A9A">
        <w:rPr>
          <w:rFonts w:asciiTheme="majorBidi" w:eastAsia="Times New Roman" w:hAnsiTheme="majorBidi" w:cstheme="majorBidi"/>
          <w:sz w:val="24"/>
          <w:szCs w:val="24"/>
        </w:rPr>
        <w:t xml:space="preserve"> including larger TN</w:t>
      </w:r>
      <w:r w:rsidR="00AF705B" w:rsidRPr="00F00BC5">
        <w:rPr>
          <w:rFonts w:asciiTheme="majorBidi" w:eastAsia="Times New Roman" w:hAnsiTheme="majorBidi" w:cstheme="majorBidi"/>
          <w:sz w:val="24"/>
          <w:szCs w:val="24"/>
        </w:rPr>
        <w:t xml:space="preserve"> </w:t>
      </w:r>
      <w:r w:rsidR="00AF705B" w:rsidRPr="00F00BC5">
        <w:rPr>
          <w:rFonts w:asciiTheme="majorBidi" w:eastAsia="Times New Roman" w:hAnsiTheme="majorBidi" w:cstheme="majorBidi"/>
          <w:sz w:val="24"/>
          <w:szCs w:val="24"/>
        </w:rPr>
        <w:fldChar w:fldCharType="begin" w:fldLock="1"/>
      </w:r>
      <w:r w:rsidR="00CC5152">
        <w:rPr>
          <w:rFonts w:asciiTheme="majorBidi" w:eastAsia="Times New Roman" w:hAnsiTheme="majorBidi" w:cstheme="majorBidi"/>
          <w:sz w:val="24"/>
          <w:szCs w:val="24"/>
        </w:rPr>
        <w:instrText>ADDIN CSL_CITATION {"citationItems":[{"id":"ITEM-1","itemData":{"DOI":"10.3346/jkms.2012.27.9.1014","ISSN":"1598-6357","PMID":"22969246","abstract":"Indeterminate cytology results increase the number of repetitive procedure and unnecessary surgery. This study was designed to find useful and simple predictive tools to differentiate malignant thyroid nodules from indeterminate nodules. We retrospectively enrolled 164 patients who had undergone thyroid surgery as a result of indeterminate cytology in the National Cancer Center. We reviewed patients' age at diagnosis, sex, preoperative biochemical markers such as thyroglobulin (Tg), anti-Tg antibody, free T4 and TSH level, and sonographical and pathological findings, which were subjected to statistical analysis. We found several clinical and sonographical predictive factors that showed significant differences. Young age, male, preoperative high Tg level, and hypoechoic nodule on sonography all increased cancer probability significantly in multivariate analysis. With a cut-off value of 187.5 ng/mL Tg, sensitivity and specificity were 54.8% and 90.1%, respectively (AUC 0.748, P &lt; 0.001). In the case of nodule size &gt; 1.7 cm, elevated serum Tg predicts the risk of malignancy; especially Tg &gt; 70 ng/mL (odds ratio 3.245, 95% confidence interval 1.115-9.450, P = 0.038). Preoperative Tg levels had very high specificity in predicting thyroid cancer in case of suspicious follicular neoplasm. Therefore, Tg levels may be a useful marker for differentiating thyroid cancer from benign thyroid nodules in the cytological diagnosis of indeterminate nodules.","author":[{"dropping-particle":"","family":"Lee","given":"Eun Kyung","non-dropping-particle":"","parse-names":false,"suffix":""},{"dropping-particle":"","family":"Chung","given":"Ki-Wook","non-dropping-particle":"","parse-names":false,"suffix":""},{"dropping-particle":"","family":"Min","given":"Hye Sook","non-dropping-particle":"","parse-names":false,"suffix":""},{"dropping-particle":"","family":"Kim","given":"Tae Sung","non-dropping-particle":"","parse-names":false,"suffix":""},{"dropping-particle":"","family":"Kim","given":"Tae Hyun","non-dropping-particle":"","parse-names":false,"suffix":""},{"dropping-particle":"","family":"Ryu","given":"Jun Sun","non-dropping-particle":"","parse-names":false,"suffix":""},{"dropping-particle":"","family":"Jung","given":"Yoo Seok","non-dropping-particle":"","parse-names":false,"suffix":""},{"dropping-particle":"","family":"Kim","given":"Seok Ki","non-dropping-particle":"","parse-names":false,"suffix":""},{"dropping-particle":"","family":"Lee","given":"You Jin","non-dropping-particle":"","parse-names":false,"suffix":""}],"container-title":"Journal of Korean medical science","id":"ITEM-1","issue":"9","issued":{"date-parts":[["2012","9"]]},"page":"1014-8","publisher":"Korean Academy of Medical Sciences","title":"Preoperative serum thyroglobulin as a useful predictive marker to differentiate follicular thyroid cancer from benign nodules in indeterminate nodules.","type":"article-journal","volume":"27"},"uris":["http://www.mendeley.com/documents/?uuid=d6164c02-66b7-3f0b-88ec-e401b2884013"]}],"mendeley":{"formattedCitation":"(10)","plainTextFormattedCitation":"(10)","previouslyFormattedCitation":"(10)"},"properties":{"noteIndex":0},"schema":"https://github.com/citation-style-language/schema/raw/master/csl-citation.json"}</w:instrText>
      </w:r>
      <w:r w:rsidR="00AF705B" w:rsidRPr="00F00BC5">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(10)</w:t>
      </w:r>
      <w:r w:rsidR="00AF705B" w:rsidRPr="00F00BC5">
        <w:rPr>
          <w:rFonts w:asciiTheme="majorBidi" w:eastAsia="Times New Roman" w:hAnsiTheme="majorBidi" w:cstheme="majorBidi"/>
          <w:sz w:val="24"/>
          <w:szCs w:val="24"/>
        </w:rPr>
        <w:fldChar w:fldCharType="end"/>
      </w:r>
      <w:r w:rsidR="00AF705B" w:rsidRPr="00F00BC5">
        <w:rPr>
          <w:rFonts w:asciiTheme="majorBidi" w:eastAsia="Times New Roman" w:hAnsiTheme="majorBidi" w:cstheme="majorBidi"/>
          <w:sz w:val="24"/>
          <w:szCs w:val="24"/>
        </w:rPr>
        <w:t xml:space="preserve">. All these parameters were not found </w:t>
      </w:r>
      <w:r w:rsidR="00751A9A">
        <w:rPr>
          <w:rFonts w:asciiTheme="majorBidi" w:eastAsia="Times New Roman" w:hAnsiTheme="majorBidi" w:cstheme="majorBidi"/>
          <w:sz w:val="24"/>
          <w:szCs w:val="24"/>
        </w:rPr>
        <w:t xml:space="preserve">to be valuable </w:t>
      </w:r>
      <w:r w:rsidR="00AF705B" w:rsidRPr="00F00BC5">
        <w:rPr>
          <w:rFonts w:asciiTheme="majorBidi" w:eastAsia="Times New Roman" w:hAnsiTheme="majorBidi" w:cstheme="majorBidi"/>
          <w:sz w:val="24"/>
          <w:szCs w:val="24"/>
        </w:rPr>
        <w:t>predictors of DTC in our cohort. Interestingly</w:t>
      </w:r>
      <w:r w:rsidR="00AF705B">
        <w:rPr>
          <w:rFonts w:asciiTheme="majorBidi" w:eastAsia="Times New Roman" w:hAnsiTheme="majorBidi" w:cstheme="majorBidi"/>
          <w:sz w:val="24"/>
          <w:szCs w:val="24"/>
        </w:rPr>
        <w:t>,</w:t>
      </w:r>
      <w:r w:rsidR="00AF705B" w:rsidRPr="00F00BC5">
        <w:rPr>
          <w:rFonts w:asciiTheme="majorBidi" w:eastAsia="Times New Roman" w:hAnsiTheme="majorBidi" w:cstheme="majorBidi"/>
          <w:sz w:val="24"/>
          <w:szCs w:val="24"/>
        </w:rPr>
        <w:t xml:space="preserve"> mean serum Tg</w:t>
      </w:r>
      <w:r w:rsidR="00AF705B">
        <w:rPr>
          <w:rFonts w:asciiTheme="majorBidi" w:eastAsia="Times New Roman" w:hAnsiTheme="majorBidi" w:cstheme="majorBidi"/>
          <w:sz w:val="24"/>
          <w:szCs w:val="24"/>
        </w:rPr>
        <w:t xml:space="preserve"> concentration</w:t>
      </w:r>
      <w:r w:rsidR="00AF705B" w:rsidRPr="00F00BC5">
        <w:rPr>
          <w:rFonts w:asciiTheme="majorBidi" w:eastAsia="Times New Roman" w:hAnsiTheme="majorBidi" w:cstheme="majorBidi"/>
          <w:sz w:val="24"/>
          <w:szCs w:val="24"/>
        </w:rPr>
        <w:t xml:space="preserve"> in this study </w:t>
      </w:r>
      <w:r w:rsidR="00AF705B">
        <w:rPr>
          <w:rFonts w:asciiTheme="majorBidi" w:eastAsia="Times New Roman" w:hAnsiTheme="majorBidi" w:cstheme="majorBidi"/>
          <w:sz w:val="24"/>
          <w:szCs w:val="24"/>
        </w:rPr>
        <w:t>was</w:t>
      </w:r>
      <w:r w:rsidR="00AF705B" w:rsidRPr="00F00BC5">
        <w:rPr>
          <w:rFonts w:asciiTheme="majorBidi" w:eastAsia="Times New Roman" w:hAnsiTheme="majorBidi" w:cstheme="majorBidi"/>
          <w:sz w:val="24"/>
          <w:szCs w:val="24"/>
        </w:rPr>
        <w:t xml:space="preserve"> lower than most similar studies including ours.</w:t>
      </w:r>
      <w:r w:rsidR="00751A9A">
        <w:rPr>
          <w:rFonts w:asciiTheme="majorBidi" w:eastAsia="Times New Roman" w:hAnsiTheme="majorBidi" w:cstheme="majorBidi"/>
          <w:sz w:val="24"/>
          <w:szCs w:val="24"/>
        </w:rPr>
        <w:t xml:space="preserve"> This difference may be explained by </w:t>
      </w:r>
      <w:r w:rsidR="0008243D">
        <w:rPr>
          <w:rFonts w:asciiTheme="majorBidi" w:eastAsia="Times New Roman" w:hAnsiTheme="majorBidi" w:cstheme="majorBidi"/>
          <w:sz w:val="24"/>
          <w:szCs w:val="24"/>
        </w:rPr>
        <w:t>surgical intervention for relatively small TN, reported i</w:t>
      </w:r>
      <w:r w:rsidR="00AF705B" w:rsidRPr="00F00BC5">
        <w:rPr>
          <w:rFonts w:asciiTheme="majorBidi" w:eastAsia="Times New Roman" w:hAnsiTheme="majorBidi" w:cstheme="majorBidi"/>
          <w:sz w:val="24"/>
          <w:szCs w:val="24"/>
        </w:rPr>
        <w:t>n Korea</w:t>
      </w:r>
      <w:r w:rsidR="00D352A5">
        <w:rPr>
          <w:rFonts w:asciiTheme="majorBidi" w:eastAsia="Times New Roman" w:hAnsiTheme="majorBidi" w:cstheme="majorBidi"/>
          <w:sz w:val="24"/>
          <w:szCs w:val="24"/>
        </w:rPr>
        <w:t>,</w:t>
      </w:r>
      <w:r w:rsidR="0008243D">
        <w:rPr>
          <w:rFonts w:asciiTheme="majorBidi" w:eastAsia="Times New Roman" w:hAnsiTheme="majorBidi" w:cstheme="majorBidi"/>
          <w:sz w:val="24"/>
          <w:szCs w:val="24"/>
        </w:rPr>
        <w:t xml:space="preserve"> where this study was conducted</w:t>
      </w:r>
      <w:r w:rsidR="00AF705B">
        <w:rPr>
          <w:rFonts w:asciiTheme="majorBidi" w:eastAsia="Times New Roman" w:hAnsiTheme="majorBidi" w:cstheme="majorBidi"/>
          <w:sz w:val="24"/>
          <w:szCs w:val="24"/>
        </w:rPr>
        <w:t xml:space="preserve"> </w:t>
      </w:r>
      <w:r w:rsidR="00AF705B">
        <w:rPr>
          <w:rFonts w:asciiTheme="majorBidi" w:eastAsia="Times New Roman" w:hAnsiTheme="majorBidi" w:cstheme="majorBidi"/>
          <w:sz w:val="24"/>
          <w:szCs w:val="24"/>
        </w:rPr>
        <w:fldChar w:fldCharType="begin" w:fldLock="1"/>
      </w:r>
      <w:r w:rsidR="00520AB1">
        <w:rPr>
          <w:rFonts w:asciiTheme="majorBidi" w:eastAsia="Times New Roman" w:hAnsiTheme="majorBidi" w:cstheme="majorBidi"/>
          <w:sz w:val="24"/>
          <w:szCs w:val="24"/>
        </w:rPr>
        <w:instrText>ADDIN CSL_CITATION {"citationItems":[{"id":"ITEM-1","itemData":{"DOI":"10.1056/nejmp1411244","ISSN":"0028-4793","PMID":"25229794","abstract":"In any field, improving performance and accountability depends on having a shared goal that unites the interests and activities of all stakeholders. In health care, however, stakeholders have myriad, often conflicting goals, including access to services, profitability, high quality, cost containment, safety, convenience, patient-centeredness, and satisfaction. Lack of clarity about goals has led to divergent approaches, gaming of the system, and slow progress in performance improvement. Achieving high value for patients must become the overarching goal of health care delivery, with value defined as the health outcomes achieved per dollar spent.(1) This goal is what matters for patients and unites . . .","author":[{"dropping-particle":"","family":"Mitman","given":"Gregg","non-dropping-particle":"","parse-names":false,"suffix":""}],"container-title":"New England Journal of Medicine","id":"ITEM-1","issue":"19","issued":{"date-parts":[["2014"]]},"page":"1763-1765","title":"Ebola in a Stew of Fear","type":"article-journal","volume":"371"},"uris":["http://www.mendeley.com/documents/?uuid=f33497df-ab47-4b09-ad04-c6ee1b723c97"]},{"id":"ITEM-2","itemData":{"DOI":"10.1016/S2213-8587(21)00027-9","ISSN":"2213-8587","PMID":"33662333","abstract":"&lt;h2&gt;Summary&lt;/h2&gt;&lt;h3&gt;Background&lt;/h3&gt;&lt;p&gt;The incidence of thyroid cancer has increased in different populations worldwide in the past 30 years. We present here an overview of international trends of thyroid cancer incidence by major histological subtypes.&lt;/p&gt;&lt;h3&gt;Methods&lt;/h3&gt;&lt;p&gt;We did a population-based study with data for thyroid cancer incidence collected by the International Agency for Research on Cancer (IARC) for the period 1998–2012. Data were extracted from the Cancer Incidence in Five Continents &lt;i&gt;plus&lt;/i&gt; compendium. We selected data for 25 countries that had a population of more than 2 million individuals covered by cancer registration (87 registries in total). Further criteria were that the selected registration areas had to have a proportion of unspecified thyroid cancer of less than 10% and analyses were restricted to individuals aged 20–84 years. We calculated age-specific incidence rates and age-standardised rates per 100 000 person-years for individuals aged 20 to 84 years, and assessed trends by country, sex, and major histological subtype (papillary, follicular, medullary, or anaplastic) based on absolute changes in age-standardised incidence rates between 1998–2002 and 2008–12.&lt;/p&gt;&lt;h3&gt;Findings&lt;/h3&gt;&lt;p&gt;Papillary thyroid cancer was the main contributor to overall thyroid cancer in all the studied countries, and was the only histological subtype that increased systematically in all countries, although with large variability between countries. In women, the age-standardised incidence rate of papillary thyroid cancer during 2008–12 ranged from 4·3–5·3 cases per 100 000 person-years in the Netherlands, the UK, and Denmark, to 143·3 cases per 100 000 women in South Korea. For men during the same period, the age-standardised incidence rates of papillary thyroid cancer per 100 000 person-years ranged from 1·2 cases per 100 000 in Thailand to 30·7 cases per 100 000 in South Korea. In many countries in Asia, the increase in papillary thyroid cancer rates in women was particularly pronounced after the year 2000; rates stabilised since around 2009 in the USA, Austria, Croatia, Germany, Slovenia, Spain, Lithuania, and Bulgaria. Temporal trends for follicular and medullary thyroid cancer did not show consistent patterns across countries, but slight decreases were seen for anaplastic thyroid cancer in 21 of 25 countries between 1998–2002, and 2008–12. In 2008–12, age-standardised rates for the follicular subtype ranged between 0·5 and 2·5 cases per 100 0…","author":[{"dropping-particle":"","family":"Miranda-Filho","given":"Adalberto","non-dropping-particle":"","parse-names":false,"suffix":""},{"dropping-particle":"","family":"Lortet-Tieulent","given":"Joannie","non-dropping-particle":"","parse-names":false,"suffix":""},{"dropping-particle":"","family":"Bray","given":"Freddie","non-dropping-particle":"","parse-names":false,"suffix":""},{"dropping-particle":"","family":"Cao","given":"Bochen","non-dropping-particle":"","parse-names":false,"suffix":""},{"dropping-particle":"","family":"Franceschi","given":"Silvia","non-dropping-particle":"","parse-names":false,"suffix":""},{"dropping-particle":"","family":"Vaccarella","given":"Salvatore","non-dropping-particle":"","parse-names":false,"suffix":""},{"dropping-particle":"","family":"Dal Maso","given":"Luigino","non-dropping-particle":"","parse-names":false,"suffix":""}],"container-title":"The Lancet Diabetes &amp; Endocrinology","id":"ITEM-2","issue":"4","issued":{"date-parts":[["2021","4","1"]]},"page":"225-234","publisher":"Elsevier","title":"Thyroid cancer incidence trends by histology in 25 countries: a population-based study","type":"article-journal","volume":"9"},"uris":["http://www.mendeley.com/documents/?uuid=93a4837d-ec80-39bb-8a59-952e4376bb22"]}],"mendeley":{"formattedCitation":"(16,17)","plainTextFormattedCitation":"(16,17)","previouslyFormattedCitation":"(16,17)"},"properties":{"noteIndex":0},"schema":"https://github.com/citation-style-language/schema/raw/master/csl-citation.json"}</w:instrText>
      </w:r>
      <w:r w:rsidR="00AF705B">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(16,17)</w:t>
      </w:r>
      <w:r w:rsidR="00AF705B">
        <w:rPr>
          <w:rFonts w:asciiTheme="majorBidi" w:eastAsia="Times New Roman" w:hAnsiTheme="majorBidi" w:cstheme="majorBidi"/>
          <w:sz w:val="24"/>
          <w:szCs w:val="24"/>
        </w:rPr>
        <w:fldChar w:fldCharType="end"/>
      </w:r>
      <w:r w:rsidR="00AF705B">
        <w:rPr>
          <w:rFonts w:asciiTheme="majorBidi" w:eastAsia="Times New Roman" w:hAnsiTheme="majorBidi" w:cstheme="majorBidi"/>
          <w:sz w:val="24"/>
          <w:szCs w:val="24"/>
        </w:rPr>
        <w:t>.</w:t>
      </w:r>
    </w:p>
    <w:p w14:paraId="7FAB770C" w14:textId="177EB417" w:rsidR="00235C3B" w:rsidRPr="00CC5152" w:rsidRDefault="009A700C" w:rsidP="0050262F">
      <w:pPr>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w:t>
      </w:r>
      <w:r w:rsidR="00FB1787">
        <w:rPr>
          <w:rFonts w:asciiTheme="majorBidi" w:eastAsia="Times New Roman" w:hAnsiTheme="majorBidi" w:cstheme="majorBidi"/>
          <w:sz w:val="24"/>
          <w:szCs w:val="24"/>
        </w:rPr>
        <w:t>wo</w:t>
      </w:r>
      <w:r w:rsidR="00887870" w:rsidRPr="00F00BC5">
        <w:rPr>
          <w:rFonts w:asciiTheme="majorBidi" w:eastAsia="Times New Roman" w:hAnsiTheme="majorBidi" w:cstheme="majorBidi"/>
          <w:sz w:val="24"/>
          <w:szCs w:val="24"/>
        </w:rPr>
        <w:t xml:space="preserve"> other studies </w:t>
      </w:r>
      <w:r w:rsidR="00D352A5">
        <w:rPr>
          <w:rFonts w:asciiTheme="majorBidi" w:eastAsia="Times New Roman" w:hAnsiTheme="majorBidi" w:cstheme="majorBidi"/>
          <w:sz w:val="24"/>
          <w:szCs w:val="24"/>
        </w:rPr>
        <w:t xml:space="preserve">which addressed specifically TN with cytology reported </w:t>
      </w:r>
      <w:r w:rsidR="00D352A5" w:rsidRPr="00F00BC5">
        <w:rPr>
          <w:rFonts w:asciiTheme="majorBidi" w:eastAsia="Times New Roman" w:hAnsiTheme="majorBidi" w:cstheme="majorBidi"/>
          <w:sz w:val="24"/>
          <w:szCs w:val="24"/>
        </w:rPr>
        <w:t xml:space="preserve">follicular </w:t>
      </w:r>
      <w:r w:rsidR="00D352A5">
        <w:rPr>
          <w:rFonts w:asciiTheme="majorBidi" w:eastAsia="Times New Roman" w:hAnsiTheme="majorBidi" w:cstheme="majorBidi"/>
          <w:sz w:val="24"/>
          <w:szCs w:val="24"/>
        </w:rPr>
        <w:t>or</w:t>
      </w:r>
      <w:r w:rsidR="00D352A5" w:rsidRPr="00F00BC5">
        <w:rPr>
          <w:rFonts w:asciiTheme="majorBidi" w:eastAsia="Times New Roman" w:hAnsiTheme="majorBidi" w:cstheme="majorBidi"/>
          <w:sz w:val="24"/>
          <w:szCs w:val="24"/>
        </w:rPr>
        <w:t xml:space="preserve"> Hürthle cell neoplasms</w:t>
      </w:r>
      <w:r w:rsidR="001D6942">
        <w:rPr>
          <w:rFonts w:asciiTheme="majorBidi" w:eastAsia="Times New Roman" w:hAnsiTheme="majorBidi" w:cstheme="majorBidi"/>
          <w:sz w:val="24"/>
          <w:szCs w:val="24"/>
        </w:rPr>
        <w:t>,</w:t>
      </w:r>
      <w:r w:rsidR="00D352A5">
        <w:rPr>
          <w:rFonts w:asciiTheme="majorBidi" w:eastAsia="Times New Roman" w:hAnsiTheme="majorBidi" w:cstheme="majorBidi"/>
          <w:sz w:val="24"/>
          <w:szCs w:val="24"/>
        </w:rPr>
        <w:t xml:space="preserve"> </w:t>
      </w:r>
      <w:r w:rsidR="00850D38" w:rsidRPr="00F00BC5">
        <w:rPr>
          <w:rFonts w:asciiTheme="majorBidi" w:eastAsia="Times New Roman" w:hAnsiTheme="majorBidi" w:cstheme="majorBidi"/>
          <w:sz w:val="24"/>
          <w:szCs w:val="24"/>
        </w:rPr>
        <w:t>support</w:t>
      </w:r>
      <w:r w:rsidR="002B2581">
        <w:rPr>
          <w:rFonts w:asciiTheme="majorBidi" w:eastAsia="Times New Roman" w:hAnsiTheme="majorBidi" w:cstheme="majorBidi"/>
          <w:sz w:val="24"/>
          <w:szCs w:val="24"/>
        </w:rPr>
        <w:t>ed the</w:t>
      </w:r>
      <w:r w:rsidR="00850D38" w:rsidRPr="00F00BC5">
        <w:rPr>
          <w:rFonts w:asciiTheme="majorBidi" w:eastAsia="Times New Roman" w:hAnsiTheme="majorBidi" w:cstheme="majorBidi"/>
          <w:sz w:val="24"/>
          <w:szCs w:val="24"/>
        </w:rPr>
        <w:t xml:space="preserve"> role </w:t>
      </w:r>
      <w:r w:rsidR="00AF705B">
        <w:rPr>
          <w:rFonts w:asciiTheme="majorBidi" w:eastAsia="Times New Roman" w:hAnsiTheme="majorBidi" w:cstheme="majorBidi"/>
          <w:sz w:val="24"/>
          <w:szCs w:val="24"/>
        </w:rPr>
        <w:t>of</w:t>
      </w:r>
      <w:r w:rsidR="00AF705B" w:rsidRPr="00F00BC5">
        <w:rPr>
          <w:rFonts w:asciiTheme="majorBidi" w:eastAsia="Times New Roman" w:hAnsiTheme="majorBidi" w:cstheme="majorBidi"/>
          <w:sz w:val="24"/>
          <w:szCs w:val="24"/>
        </w:rPr>
        <w:t xml:space="preserve"> </w:t>
      </w:r>
      <w:r w:rsidR="00850D38" w:rsidRPr="00F00BC5">
        <w:rPr>
          <w:rFonts w:asciiTheme="majorBidi" w:eastAsia="Times New Roman" w:hAnsiTheme="majorBidi" w:cstheme="majorBidi"/>
          <w:sz w:val="24"/>
          <w:szCs w:val="24"/>
        </w:rPr>
        <w:t>higher</w:t>
      </w:r>
      <w:r w:rsidR="001D6942">
        <w:rPr>
          <w:rFonts w:asciiTheme="majorBidi" w:eastAsia="Times New Roman" w:hAnsiTheme="majorBidi" w:cstheme="majorBidi"/>
          <w:sz w:val="24"/>
          <w:szCs w:val="24"/>
        </w:rPr>
        <w:t xml:space="preserve"> preoperative serum</w:t>
      </w:r>
      <w:r w:rsidR="00850D38" w:rsidRPr="00F00BC5">
        <w:rPr>
          <w:rFonts w:asciiTheme="majorBidi" w:eastAsia="Times New Roman" w:hAnsiTheme="majorBidi" w:cstheme="majorBidi"/>
          <w:sz w:val="24"/>
          <w:szCs w:val="24"/>
        </w:rPr>
        <w:t xml:space="preserve"> Tg </w:t>
      </w:r>
      <w:r w:rsidR="001D6942">
        <w:rPr>
          <w:rFonts w:asciiTheme="majorBidi" w:eastAsia="Times New Roman" w:hAnsiTheme="majorBidi" w:cstheme="majorBidi"/>
          <w:sz w:val="24"/>
          <w:szCs w:val="24"/>
        </w:rPr>
        <w:t xml:space="preserve">concentration </w:t>
      </w:r>
      <w:r w:rsidR="002B2581">
        <w:rPr>
          <w:rFonts w:asciiTheme="majorBidi" w:eastAsia="Times New Roman" w:hAnsiTheme="majorBidi" w:cstheme="majorBidi"/>
          <w:sz w:val="24"/>
          <w:szCs w:val="24"/>
        </w:rPr>
        <w:t>as a predictor</w:t>
      </w:r>
      <w:r w:rsidR="00850D38" w:rsidRPr="00F00BC5">
        <w:rPr>
          <w:rFonts w:asciiTheme="majorBidi" w:eastAsia="Times New Roman" w:hAnsiTheme="majorBidi" w:cstheme="majorBidi"/>
          <w:sz w:val="24"/>
          <w:szCs w:val="24"/>
        </w:rPr>
        <w:t xml:space="preserve"> of DTC</w:t>
      </w:r>
      <w:r w:rsidR="001D6942">
        <w:rPr>
          <w:rFonts w:asciiTheme="majorBidi" w:eastAsia="Times New Roman" w:hAnsiTheme="majorBidi" w:cstheme="majorBidi"/>
          <w:sz w:val="24"/>
          <w:szCs w:val="24"/>
        </w:rPr>
        <w:t>.</w:t>
      </w:r>
      <w:r w:rsidR="00887870" w:rsidRPr="00F00BC5">
        <w:rPr>
          <w:rFonts w:asciiTheme="majorBidi" w:eastAsia="Times New Roman" w:hAnsiTheme="majorBidi" w:cstheme="majorBidi"/>
          <w:sz w:val="24"/>
          <w:szCs w:val="24"/>
        </w:rPr>
        <w:t xml:space="preserve"> </w:t>
      </w:r>
      <w:r w:rsidR="008337BC" w:rsidRPr="00F00BC5">
        <w:rPr>
          <w:rFonts w:asciiTheme="majorBidi" w:eastAsia="Times New Roman" w:hAnsiTheme="majorBidi" w:cstheme="majorBidi"/>
          <w:sz w:val="24"/>
          <w:szCs w:val="24"/>
        </w:rPr>
        <w:t xml:space="preserve">Petric et al. </w:t>
      </w:r>
      <w:r w:rsidR="002B2581">
        <w:rPr>
          <w:rFonts w:asciiTheme="majorBidi" w:eastAsia="Times New Roman" w:hAnsiTheme="majorBidi" w:cstheme="majorBidi"/>
          <w:sz w:val="24"/>
          <w:szCs w:val="24"/>
        </w:rPr>
        <w:t>suggested</w:t>
      </w:r>
      <w:r w:rsidR="002B2581" w:rsidRPr="00F00BC5">
        <w:rPr>
          <w:rFonts w:asciiTheme="majorBidi" w:eastAsia="Times New Roman" w:hAnsiTheme="majorBidi" w:cstheme="majorBidi"/>
          <w:sz w:val="24"/>
          <w:szCs w:val="24"/>
        </w:rPr>
        <w:t xml:space="preserve"> </w:t>
      </w:r>
      <w:r w:rsidR="00887870" w:rsidRPr="00F00BC5">
        <w:rPr>
          <w:rFonts w:asciiTheme="majorBidi" w:eastAsia="Times New Roman" w:hAnsiTheme="majorBidi" w:cstheme="majorBidi"/>
          <w:sz w:val="24"/>
          <w:szCs w:val="24"/>
        </w:rPr>
        <w:t xml:space="preserve">three independent predictors of </w:t>
      </w:r>
      <w:r w:rsidR="00043314" w:rsidRPr="00F00BC5">
        <w:rPr>
          <w:rFonts w:asciiTheme="majorBidi" w:eastAsia="Times New Roman" w:hAnsiTheme="majorBidi" w:cstheme="majorBidi"/>
          <w:sz w:val="24"/>
          <w:szCs w:val="24"/>
        </w:rPr>
        <w:t>DTC</w:t>
      </w:r>
      <w:r w:rsidR="00887870" w:rsidRPr="00F00BC5">
        <w:rPr>
          <w:rFonts w:asciiTheme="majorBidi" w:eastAsia="Times New Roman" w:hAnsiTheme="majorBidi" w:cstheme="majorBidi"/>
          <w:sz w:val="24"/>
          <w:szCs w:val="24"/>
        </w:rPr>
        <w:t xml:space="preserve"> in </w:t>
      </w:r>
      <w:r w:rsidR="00CD2006" w:rsidRPr="00F00BC5">
        <w:rPr>
          <w:rFonts w:asciiTheme="majorBidi" w:eastAsia="Times New Roman" w:hAnsiTheme="majorBidi" w:cstheme="majorBidi"/>
          <w:sz w:val="24"/>
          <w:szCs w:val="24"/>
        </w:rPr>
        <w:t>a cohort o</w:t>
      </w:r>
      <w:r w:rsidR="00B76DDF" w:rsidRPr="00F00BC5">
        <w:rPr>
          <w:rFonts w:asciiTheme="majorBidi" w:eastAsia="Times New Roman" w:hAnsiTheme="majorBidi" w:cstheme="majorBidi"/>
          <w:sz w:val="24"/>
          <w:szCs w:val="24"/>
        </w:rPr>
        <w:t>f</w:t>
      </w:r>
      <w:r w:rsidR="00CD2006" w:rsidRPr="00F00BC5">
        <w:rPr>
          <w:rFonts w:asciiTheme="majorBidi" w:eastAsia="Times New Roman" w:hAnsiTheme="majorBidi" w:cstheme="majorBidi"/>
          <w:sz w:val="24"/>
          <w:szCs w:val="24"/>
        </w:rPr>
        <w:t xml:space="preserve"> 388 patients</w:t>
      </w:r>
      <w:r w:rsidR="00887870" w:rsidRPr="00F00BC5">
        <w:rPr>
          <w:rFonts w:asciiTheme="majorBidi" w:eastAsia="Times New Roman" w:hAnsiTheme="majorBidi" w:cstheme="majorBidi"/>
          <w:sz w:val="24"/>
          <w:szCs w:val="24"/>
        </w:rPr>
        <w:t>: age (younger than 45), solitary tumor and</w:t>
      </w:r>
      <w:r w:rsidR="001D6942">
        <w:rPr>
          <w:rFonts w:asciiTheme="majorBidi" w:eastAsia="Times New Roman" w:hAnsiTheme="majorBidi" w:cstheme="majorBidi"/>
          <w:sz w:val="24"/>
          <w:szCs w:val="24"/>
        </w:rPr>
        <w:t xml:space="preserve"> preoperative serum</w:t>
      </w:r>
      <w:r w:rsidR="00887870" w:rsidRPr="00F00BC5">
        <w:rPr>
          <w:rFonts w:asciiTheme="majorBidi" w:eastAsia="Times New Roman" w:hAnsiTheme="majorBidi" w:cstheme="majorBidi"/>
          <w:sz w:val="24"/>
          <w:szCs w:val="24"/>
        </w:rPr>
        <w:t xml:space="preserve"> Tg concentration above 400 ng/mL</w:t>
      </w:r>
      <w:r w:rsidR="00E9109B" w:rsidRPr="00F00BC5">
        <w:rPr>
          <w:rFonts w:asciiTheme="majorBidi" w:eastAsia="Times New Roman" w:hAnsiTheme="majorBidi" w:cstheme="majorBidi"/>
          <w:sz w:val="24"/>
          <w:szCs w:val="24"/>
        </w:rPr>
        <w:t xml:space="preserve"> </w:t>
      </w:r>
      <w:r w:rsidR="00E9109B" w:rsidRPr="00F00BC5">
        <w:rPr>
          <w:rFonts w:asciiTheme="majorBidi" w:eastAsia="Times New Roman" w:hAnsiTheme="majorBidi" w:cstheme="majorBidi"/>
          <w:sz w:val="24"/>
          <w:szCs w:val="24"/>
        </w:rPr>
        <w:fldChar w:fldCharType="begin" w:fldLock="1"/>
      </w:r>
      <w:r w:rsidR="00520AB1">
        <w:rPr>
          <w:rFonts w:asciiTheme="majorBidi" w:eastAsia="Times New Roman" w:hAnsiTheme="majorBidi" w:cstheme="majorBidi"/>
          <w:sz w:val="24"/>
          <w:szCs w:val="24"/>
        </w:rPr>
        <w:instrText>ADDIN CSL_CITATION {"citationItems":[{"id":"ITEM-1","itemData":{"DOI":"10.1002/jso.22030","ISSN":"00224790","PMID":"21751218","abstract":"Background A distinction between a benign follicular neoplasm (FN) and a malignant FN based entirely on cytologic examination of fine-needle aspiration biopsy is not possible. The aim of this retrospective study was to find predictive factors of carcinoma in patients with FN. Methods A chart review of 388 patients (314 females, 74 males; mean age 50 years, range 9-81 years) with FN, who were surgically treated between 1988 and 2009, was performed. Predictive factors for malignancy were identified by the chi-squared test and multivariate logistic regression. Results The histopathological diagnoses were carcinoma, adenoma, and benign goiter in 127 (33%), 126 (32%), and 135 (35%) patients, respectively. The independent predictors of malignancy as shown by multivariate logistic regression were age of patients (OR 1.88, P=0.008), solitary tumor (OR 1.72, P=0.037), and Tg concentration (OR 2.36, P=0.001). Carcinoma was more common in patients younger than 45 years, with solitary tumor and with preoperative serum Tg concentration more than 400ng/ml. Conclusions The independent predictors of malignancy in FN were age of patients, solitary tumor, and preoperative Tg concentration. The determination of Tg concentration may be useful in the patients with FN in order to decrease the number of completion thyroidectomies. Copyright © 2011 Wiley Periodicals, Inc.","author":[{"dropping-particle":"","family":"Petric","given":"Rok","non-dropping-particle":"","parse-names":false,"suffix":""},{"dropping-particle":"","family":"Perhavec","given":"Andraz","non-dropping-particle":"","parse-names":false,"suffix":""},{"dropping-particle":"","family":"Gazic","given":"Barbara","non-dropping-particle":"","parse-names":false,"suffix":""},{"dropping-particle":"","family":"Besic","given":"Nikola","non-dropping-particle":"","parse-names":false,"suffix":""}],"container-title":"Journal of Surgical Oncology","id":"ITEM-1","issue":"4","issued":{"date-parts":[["2012"]]},"page":"351-356","title":"Preoperative serum thyroglobulin concentration is an independent predictive factor of malignancy in follicular neoplasms of the thyroid gland","type":"article-journal","volume":"105"},"uris":["http://www.mendeley.com/documents/?uuid=d634f4f9-f4ca-448d-86a2-309164c68a8a"]}],"mendeley":{"formattedCitation":"(13)","plainTextFormattedCitation":"(13)","previouslyFormattedCitation":"(13)"},"properties":{"noteIndex":0},"schema":"https://github.com/citation-style-language/schema/raw/master/csl-citation.json"}</w:instrText>
      </w:r>
      <w:r w:rsidR="00E9109B" w:rsidRPr="00F00BC5">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(13)</w:t>
      </w:r>
      <w:r w:rsidR="00E9109B" w:rsidRPr="00F00BC5">
        <w:rPr>
          <w:rFonts w:asciiTheme="majorBidi" w:eastAsia="Times New Roman" w:hAnsiTheme="majorBidi" w:cstheme="majorBidi"/>
          <w:sz w:val="24"/>
          <w:szCs w:val="24"/>
        </w:rPr>
        <w:fldChar w:fldCharType="end"/>
      </w:r>
      <w:r w:rsidR="00887870" w:rsidRPr="00F00BC5">
        <w:rPr>
          <w:rFonts w:asciiTheme="majorBidi" w:eastAsia="Times New Roman" w:hAnsiTheme="majorBidi" w:cstheme="majorBidi"/>
          <w:sz w:val="24"/>
          <w:szCs w:val="24"/>
        </w:rPr>
        <w:t>. Besic et al.</w:t>
      </w:r>
      <w:r w:rsidR="001D6942">
        <w:rPr>
          <w:rFonts w:asciiTheme="majorBidi" w:eastAsia="Times New Roman" w:hAnsiTheme="majorBidi" w:cstheme="majorBidi"/>
          <w:sz w:val="24"/>
          <w:szCs w:val="24"/>
        </w:rPr>
        <w:t xml:space="preserve"> evaluated preoperative serum Tg concentration </w:t>
      </w:r>
      <w:r w:rsidR="001D6942" w:rsidRPr="00F00BC5">
        <w:rPr>
          <w:rFonts w:asciiTheme="majorBidi" w:eastAsia="Times New Roman" w:hAnsiTheme="majorBidi" w:cstheme="majorBidi"/>
          <w:sz w:val="24"/>
          <w:szCs w:val="24"/>
        </w:rPr>
        <w:t>in a cohort of 244 patients</w:t>
      </w:r>
      <w:r w:rsidR="001D6942">
        <w:rPr>
          <w:rFonts w:asciiTheme="majorBidi" w:eastAsia="Times New Roman" w:hAnsiTheme="majorBidi" w:cstheme="majorBidi"/>
          <w:sz w:val="24"/>
          <w:szCs w:val="24"/>
        </w:rPr>
        <w:t xml:space="preserve"> with follicular or Hurtle cell neoplasm &lt; 2 centimeters. This group suggested </w:t>
      </w:r>
      <w:r w:rsidR="002B2581">
        <w:rPr>
          <w:rFonts w:asciiTheme="majorBidi" w:eastAsia="Times New Roman" w:hAnsiTheme="majorBidi" w:cstheme="majorBidi"/>
          <w:sz w:val="24"/>
          <w:szCs w:val="24"/>
        </w:rPr>
        <w:t xml:space="preserve">a much lower </w:t>
      </w:r>
      <w:r w:rsidR="00887870" w:rsidRPr="00F00BC5">
        <w:rPr>
          <w:rFonts w:asciiTheme="majorBidi" w:eastAsia="Times New Roman" w:hAnsiTheme="majorBidi" w:cstheme="majorBidi"/>
          <w:sz w:val="24"/>
          <w:szCs w:val="24"/>
        </w:rPr>
        <w:t>cut-off</w:t>
      </w:r>
      <w:r w:rsidR="00FC259D">
        <w:rPr>
          <w:rFonts w:asciiTheme="majorBidi" w:eastAsia="Times New Roman" w:hAnsiTheme="majorBidi" w:cstheme="majorBidi"/>
          <w:sz w:val="24"/>
          <w:szCs w:val="24"/>
        </w:rPr>
        <w:t>,</w:t>
      </w:r>
      <w:r w:rsidR="001D6942">
        <w:rPr>
          <w:rFonts w:asciiTheme="majorBidi" w:eastAsia="Times New Roman" w:hAnsiTheme="majorBidi" w:cstheme="majorBidi"/>
          <w:sz w:val="24"/>
          <w:szCs w:val="24"/>
        </w:rPr>
        <w:t xml:space="preserve"> of</w:t>
      </w:r>
      <w:r w:rsidR="00FC259D">
        <w:rPr>
          <w:rFonts w:asciiTheme="majorBidi" w:eastAsia="Times New Roman" w:hAnsiTheme="majorBidi" w:cstheme="majorBidi"/>
          <w:sz w:val="24"/>
          <w:szCs w:val="24"/>
        </w:rPr>
        <w:t xml:space="preserve"> 80 ng/mL</w:t>
      </w:r>
      <w:r w:rsidR="001D6942">
        <w:rPr>
          <w:rFonts w:asciiTheme="majorBidi" w:eastAsia="Times New Roman" w:hAnsiTheme="majorBidi" w:cstheme="majorBidi"/>
          <w:sz w:val="24"/>
          <w:szCs w:val="24"/>
        </w:rPr>
        <w:t xml:space="preserve">, as a discriminator for </w:t>
      </w:r>
      <w:r w:rsidR="001D6942" w:rsidRPr="00F00BC5">
        <w:rPr>
          <w:rFonts w:asciiTheme="majorBidi" w:eastAsia="Times New Roman" w:hAnsiTheme="majorBidi" w:cstheme="majorBidi"/>
          <w:sz w:val="24"/>
          <w:szCs w:val="24"/>
        </w:rPr>
        <w:t xml:space="preserve">DTC </w:t>
      </w:r>
      <w:r w:rsidR="001D6942">
        <w:rPr>
          <w:rFonts w:asciiTheme="majorBidi" w:eastAsia="Times New Roman" w:hAnsiTheme="majorBidi" w:cstheme="majorBidi"/>
          <w:sz w:val="24"/>
          <w:szCs w:val="24"/>
        </w:rPr>
        <w:t xml:space="preserve">diagnosis, with somewhat low </w:t>
      </w:r>
      <w:r w:rsidR="005217BC">
        <w:rPr>
          <w:rFonts w:asciiTheme="majorBidi" w:eastAsia="Times New Roman" w:hAnsiTheme="majorBidi" w:cstheme="majorBidi"/>
          <w:sz w:val="24"/>
          <w:szCs w:val="24"/>
        </w:rPr>
        <w:t>sensitivity</w:t>
      </w:r>
      <w:r w:rsidR="001D6942">
        <w:rPr>
          <w:rFonts w:asciiTheme="majorBidi" w:eastAsia="Times New Roman" w:hAnsiTheme="majorBidi" w:cstheme="majorBidi"/>
          <w:sz w:val="24"/>
          <w:szCs w:val="24"/>
        </w:rPr>
        <w:t xml:space="preserve"> </w:t>
      </w:r>
      <w:r w:rsidR="00896A66">
        <w:rPr>
          <w:rFonts w:asciiTheme="majorBidi" w:eastAsia="Times New Roman" w:hAnsiTheme="majorBidi" w:cstheme="majorBidi"/>
          <w:sz w:val="24"/>
          <w:szCs w:val="24"/>
        </w:rPr>
        <w:t>(</w:t>
      </w:r>
      <w:r w:rsidR="005217BC">
        <w:rPr>
          <w:rFonts w:asciiTheme="majorBidi" w:eastAsia="Times New Roman" w:hAnsiTheme="majorBidi" w:cstheme="majorBidi"/>
          <w:sz w:val="24"/>
          <w:szCs w:val="24"/>
        </w:rPr>
        <w:t>54.8%</w:t>
      </w:r>
      <w:r w:rsidR="00896A66">
        <w:rPr>
          <w:rFonts w:asciiTheme="majorBidi" w:eastAsia="Times New Roman" w:hAnsiTheme="majorBidi" w:cstheme="majorBidi"/>
          <w:sz w:val="24"/>
          <w:szCs w:val="24"/>
        </w:rPr>
        <w:t>)</w:t>
      </w:r>
      <w:r w:rsidR="001D6942">
        <w:rPr>
          <w:rFonts w:asciiTheme="majorBidi" w:eastAsia="Times New Roman" w:hAnsiTheme="majorBidi" w:cstheme="majorBidi"/>
          <w:sz w:val="24"/>
          <w:szCs w:val="24"/>
        </w:rPr>
        <w:t xml:space="preserve"> and</w:t>
      </w:r>
      <w:r w:rsidR="005217BC">
        <w:rPr>
          <w:rFonts w:asciiTheme="majorBidi" w:eastAsia="Times New Roman" w:hAnsiTheme="majorBidi" w:cstheme="majorBidi"/>
          <w:sz w:val="24"/>
          <w:szCs w:val="24"/>
        </w:rPr>
        <w:t xml:space="preserve"> specificity </w:t>
      </w:r>
      <w:r w:rsidR="00896A66">
        <w:rPr>
          <w:rFonts w:asciiTheme="majorBidi" w:eastAsia="Times New Roman" w:hAnsiTheme="majorBidi" w:cstheme="majorBidi"/>
          <w:sz w:val="24"/>
          <w:szCs w:val="24"/>
        </w:rPr>
        <w:t>(</w:t>
      </w:r>
      <w:r w:rsidR="005217BC">
        <w:rPr>
          <w:rFonts w:asciiTheme="majorBidi" w:eastAsia="Times New Roman" w:hAnsiTheme="majorBidi" w:cstheme="majorBidi"/>
          <w:sz w:val="24"/>
          <w:szCs w:val="24"/>
        </w:rPr>
        <w:t>31.1%</w:t>
      </w:r>
      <w:r w:rsidR="00896A66">
        <w:rPr>
          <w:rFonts w:asciiTheme="majorBidi" w:eastAsia="Times New Roman" w:hAnsiTheme="majorBidi" w:cstheme="majorBidi"/>
          <w:sz w:val="24"/>
          <w:szCs w:val="24"/>
        </w:rPr>
        <w:t>)</w:t>
      </w:r>
      <w:r w:rsidR="00817FBB" w:rsidRPr="00F00BC5">
        <w:rPr>
          <w:rFonts w:asciiTheme="majorBidi" w:eastAsia="Times New Roman" w:hAnsiTheme="majorBidi" w:cstheme="majorBidi"/>
          <w:sz w:val="24"/>
          <w:szCs w:val="24"/>
        </w:rPr>
        <w:t xml:space="preserve"> </w:t>
      </w:r>
      <w:r w:rsidR="00817FBB" w:rsidRPr="00F00BC5">
        <w:rPr>
          <w:rFonts w:asciiTheme="majorBidi" w:eastAsia="Times New Roman" w:hAnsiTheme="majorBidi" w:cstheme="majorBidi"/>
          <w:sz w:val="24"/>
          <w:szCs w:val="24"/>
        </w:rPr>
        <w:fldChar w:fldCharType="begin" w:fldLock="1"/>
      </w:r>
      <w:r w:rsidR="00520AB1">
        <w:rPr>
          <w:rFonts w:asciiTheme="majorBidi" w:eastAsia="Times New Roman" w:hAnsiTheme="majorBidi" w:cstheme="majorBidi"/>
          <w:sz w:val="24"/>
          <w:szCs w:val="24"/>
        </w:rPr>
        <w:instrText>ADDIN CSL_CITATION {"citationItems":[{"id":"ITEM-1","itemData":{"DOI":"10.1186/1477-7819-12-282","ISSN":"14777819","PMID":"25213012","abstract":"Background: Cytologic examination of a fine-needle aspiration biopsy specimen cannot distinguish between benign and malignant follicular or Hürthle cell neoplasms. Serum thyroglobulin (Tg) concentrations are higher in follicular and Hürthle cell carcinomas than in benign follicular or Hürthle cell tumors, but preoperative measurement of Tg is not recommended for initial evaluation of thyroid nodules. The aim of this study was to find out whether preoperative serum Tg concentration is a predictive factor of malignant disease in patients with a follicular or Hürthle cell neoplasm with a diameter of 2 cm or less. Methods: From 1988 to 2013, a total of 244 patients (214 female, 30 male, age range 9 to 82 years, median age 52 years) had a surgical procedure at our institute because of follicular or Hürthle cell neoplasms with a tumor diameter of 2 cm or less. In these patients a preoperative concentration of Tg was determined and Tg-autoantibodies were negative. The risk factors for malignancy were identified by a chi-square test and multivariate logistic regression. Results: The histopathologic diagnoses were carcinoma, adenoma, and benign goiter in 62 (25.5%), 115 (47%), and 67 (27.5%) patients, respectively. The median preoperative Tg concentration in benign tumors, papillary carcinomas, follicular carcinomas, and Hürthle cell carcinomas was 41, 87, 72, and 106 ng/ml (P = 0.05), respectively. The predictive factors for carcinoma shown by the chi-square test were: sex, thyroid volume, and preoperative Tg concentration. The independent predictors of malignancy as shown by multivariate logistic regression were: male sex (odds ratio, 2.57; P = 0.02), and a Tg concentration of more than 80 ng/ml (odds ratio, 2.35; P = 0.005). Conclusion: The independent predictors of malignancy in follicular or Hürthle cell neoplasms are sex and preoperative Tg concentration.","author":[{"dropping-particle":"","family":"Petric","given":"Rok","non-dropping-particle":"","parse-names":false,"suffix":""},{"dropping-particle":"","family":"Besic","given":"Hana","non-dropping-particle":"","parse-names":false,"suffix":""},{"dropping-particle":"","family":"Besic","given":"Nikola","non-dropping-particle":"","parse-names":false,"suffix":""}],"container-title":"World Journal of Surgical Oncology","id":"ITEM-1","issue":"1","issued":{"date-parts":[["2014"]]},"page":"1-7","title":"Preoperative serum thyroglobulin concentration as a predictive factor of malignancy in small follicular and Hürthle cell neoplasms of the thyroid gland","type":"article-journal","volume":"12"},"uris":["http://www.mendeley.com/documents/?uuid=c5626ebb-8ff5-4681-8558-5eccd62f5930"]}],"mendeley":{"formattedCitation":"(12)","plainTextFormattedCitation":"(12)","previouslyFormattedCitation":"(12)"},"properties":{"noteIndex":0},"schema":"https://github.com/citation-style-language/schema/raw/master/csl-citation.json"}</w:instrText>
      </w:r>
      <w:r w:rsidR="00817FBB" w:rsidRPr="00F00BC5">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(12)</w:t>
      </w:r>
      <w:r w:rsidR="00817FBB" w:rsidRPr="00F00BC5">
        <w:rPr>
          <w:rFonts w:asciiTheme="majorBidi" w:eastAsia="Times New Roman" w:hAnsiTheme="majorBidi" w:cstheme="majorBidi"/>
          <w:sz w:val="24"/>
          <w:szCs w:val="24"/>
        </w:rPr>
        <w:fldChar w:fldCharType="end"/>
      </w:r>
      <w:r w:rsidR="00887870" w:rsidRPr="00F00BC5">
        <w:rPr>
          <w:rFonts w:asciiTheme="majorBidi" w:eastAsia="Times New Roman" w:hAnsiTheme="majorBidi" w:cstheme="majorBidi"/>
          <w:sz w:val="24"/>
          <w:szCs w:val="24"/>
        </w:rPr>
        <w:t>.</w:t>
      </w:r>
      <w:r w:rsidR="00E5483C">
        <w:rPr>
          <w:rFonts w:asciiTheme="majorBidi" w:eastAsia="Times New Roman" w:hAnsiTheme="majorBidi" w:cstheme="majorBidi"/>
          <w:sz w:val="24"/>
          <w:szCs w:val="24"/>
        </w:rPr>
        <w:t xml:space="preserve"> </w:t>
      </w:r>
      <w:r w:rsidR="005D4215" w:rsidRPr="00CB110C">
        <w:rPr>
          <w:rFonts w:asciiTheme="majorBidi" w:eastAsia="Times New Roman" w:hAnsiTheme="majorBidi" w:cstheme="majorBidi"/>
          <w:sz w:val="24"/>
          <w:szCs w:val="24"/>
        </w:rPr>
        <w:t xml:space="preserve">A recent prospective study by Hulikal et al. included </w:t>
      </w:r>
      <w:r w:rsidR="005D4215" w:rsidRPr="00CC5152">
        <w:rPr>
          <w:rFonts w:asciiTheme="majorBidi" w:hAnsiTheme="majorBidi" w:cstheme="majorBidi"/>
          <w:sz w:val="24"/>
          <w:szCs w:val="24"/>
          <w:shd w:val="clear" w:color="auto" w:fill="FDFDFD"/>
        </w:rPr>
        <w:t xml:space="preserve">92 patients </w:t>
      </w:r>
      <w:r w:rsidR="004F0799" w:rsidRPr="00CC5152">
        <w:rPr>
          <w:rFonts w:asciiTheme="majorBidi" w:hAnsiTheme="majorBidi" w:cstheme="majorBidi"/>
          <w:sz w:val="24"/>
          <w:szCs w:val="24"/>
          <w:shd w:val="clear" w:color="auto" w:fill="FDFDFD"/>
        </w:rPr>
        <w:t xml:space="preserve">who were </w:t>
      </w:r>
      <w:r w:rsidR="005D4215" w:rsidRPr="00CC5152">
        <w:rPr>
          <w:rFonts w:asciiTheme="majorBidi" w:hAnsiTheme="majorBidi" w:cstheme="majorBidi"/>
          <w:sz w:val="24"/>
          <w:szCs w:val="24"/>
          <w:shd w:val="clear" w:color="auto" w:fill="FDFDFD"/>
        </w:rPr>
        <w:t>evaluated</w:t>
      </w:r>
      <w:r w:rsidR="004F0799" w:rsidRPr="00CC5152">
        <w:rPr>
          <w:rFonts w:asciiTheme="majorBidi" w:hAnsiTheme="majorBidi" w:cstheme="majorBidi"/>
          <w:sz w:val="24"/>
          <w:szCs w:val="24"/>
          <w:shd w:val="clear" w:color="auto" w:fill="FDFDFD"/>
        </w:rPr>
        <w:t xml:space="preserve"> and operated</w:t>
      </w:r>
      <w:r w:rsidR="005D4215" w:rsidRPr="00CC5152">
        <w:rPr>
          <w:rFonts w:asciiTheme="majorBidi" w:hAnsiTheme="majorBidi" w:cstheme="majorBidi"/>
          <w:sz w:val="24"/>
          <w:szCs w:val="24"/>
          <w:shd w:val="clear" w:color="auto" w:fill="FDFDFD"/>
        </w:rPr>
        <w:t xml:space="preserve"> for TN. The authors used ROC analysis to assess the role of preoperative serum Tg concentration as a potential predictor for DTC. They found that a Tg cut off value of 53ng/ml predicted malignancy risk with a sensitivity and specificity of 72% and 73% respectively (p&lt;0.001). This study included only 33 patients with INC. In this sub-group, 13/17 patients (76%) with preoperative serum Tg concentration above 53 ng/ml had final histology of DTC compared to 20/33 patients (60%) with Tg concentration below this cut-off. The authors however, did not calculate the sensitivity and specificity of preoperative serum Tg concentration of for this subgroup </w:t>
      </w:r>
      <w:r w:rsidR="00E5483C" w:rsidRPr="00CC5152">
        <w:rPr>
          <w:rFonts w:asciiTheme="majorBidi" w:eastAsia="Times New Roman" w:hAnsiTheme="majorBidi" w:cstheme="majorBidi"/>
          <w:sz w:val="24"/>
          <w:szCs w:val="24"/>
        </w:rPr>
        <w:fldChar w:fldCharType="begin" w:fldLock="1"/>
      </w:r>
      <w:r w:rsidR="00CC5152" w:rsidRPr="00CC5152">
        <w:rPr>
          <w:rFonts w:asciiTheme="majorBidi" w:eastAsia="Times New Roman" w:hAnsiTheme="majorBidi" w:cstheme="majorBidi"/>
          <w:sz w:val="24"/>
          <w:szCs w:val="24"/>
        </w:rPr>
        <w:instrText>ADDIN CSL_CITATION {"citationItems":[{"id":"ITEM-1","itemData":{"DOI":"10.14639/0392-100X-N0276","ISSN":"1827675X","PMID":"32275647","abstract":"Although thyroid nodule is a common presentation, malignancy is rare. The present study investigated biochemical predictors of malignancy in enlarged thyroid. This is a prospective study of all willing patients 18 to 70 years presenting with a complaint of thyroid swelling and who underwent definitive surgery over a period of 19 months. All subjects were initially evaluated with detailed history, physical examination, ultrasonography of neck and fine needle aspiration cytology (FNAC). Preoperative estimation of serum thyroid stimulating hormone (TSH), thyroglobulin (Tg) and anti-thyroglobulin (anti Tg) antibody was obtained. The treatment plan was based on FNAC results and included hemi-or total thyroidectomy. During the study period, 110 patients underwent thyroidectomy, and met the selection criteria, of which 47 patients had malignancy on final histopathology. The majority were females, 30 to 60 years old. Median serum Tg, TSH and anti Tg levels in the benign group were, respectively 29 ng/ml, 1,6 mIU/L and 1,1 IU/ml, whereas in malignant nodules they were 162 ng/ml. 1,7 mIU/L and 0,9 IU/ml. On receiver operating characteristic curve analysis, a Tg cut off value of 53 ng/ml predicted malignancy risk with a sensitivity and specificity of 72% and 73%, respectively (p &lt; 0.001). Our study showed the utility of preoperative Tg in predicting risk of malignancy. Its role should be further explored especially in the backdrop of indeterminate cytology through a larger study.","author":[{"dropping-particle":"","family":"Hulikal","given":"Narendra","non-dropping-particle":"","parse-names":false,"suffix":""},{"dropping-particle":"","family":"Azhagamuthu","given":"R. E.","non-dropping-particle":"","parse-names":false,"suffix":""},{"dropping-particle":"","family":"Banoth","given":"Manilal","non-dropping-particle":"","parse-names":false,"suffix":""},{"dropping-particle":"","family":"Chowhan","given":"Amith Kumar","non-dropping-particle":"","parse-names":false,"suffix":""},{"dropping-particle":"","family":"Yutla","given":"Mutheswaraiah","non-dropping-particle":"","parse-names":false,"suffix":""},{"dropping-particle":"","family":"Sachan","given":"Alok","non-dropping-particle":"","parse-names":false,"suffix":""}],"container-title":"Acta Otorhinolaryngologica Italica","id":"ITEM-1","issue":"1","issued":{"date-parts":[["2020"]]},"page":"33-37","title":"Can preoperative serum thyroglobulin levels predict the risk of malignancy? Results from prospective analysis of biochemical predictors of malignancy in thyroid nodules","type":"article-journal","volume":"40"},"uris":["http://www.mendeley.com/documents/?uuid=2c30efc8-17ba-4c72-96a0-3334bcc3e7e2"]}],"mendeley":{"formattedCitation":"(11)","plainTextFormattedCitation":"(11)","previouslyFormattedCitation":"(11)"},"properties":{"noteIndex":0},"schema":"https://github.com/citation-style-language/schema/raw/master/csl-citation.json"}</w:instrText>
      </w:r>
      <w:r w:rsidR="00E5483C" w:rsidRPr="00CC5152">
        <w:rPr>
          <w:rFonts w:asciiTheme="majorBidi" w:eastAsia="Times New Roman" w:hAnsiTheme="majorBidi" w:cstheme="majorBidi"/>
          <w:sz w:val="24"/>
          <w:szCs w:val="24"/>
        </w:rPr>
        <w:fldChar w:fldCharType="separate"/>
      </w:r>
      <w:r w:rsidR="00CC5152" w:rsidRPr="00CC5152">
        <w:rPr>
          <w:rFonts w:asciiTheme="majorBidi" w:eastAsia="Times New Roman" w:hAnsiTheme="majorBidi" w:cstheme="majorBidi"/>
          <w:noProof/>
          <w:sz w:val="24"/>
          <w:szCs w:val="24"/>
        </w:rPr>
        <w:t>(11)</w:t>
      </w:r>
      <w:r w:rsidR="00E5483C" w:rsidRPr="00CC5152">
        <w:rPr>
          <w:rFonts w:asciiTheme="majorBidi" w:eastAsia="Times New Roman" w:hAnsiTheme="majorBidi" w:cstheme="majorBidi"/>
          <w:sz w:val="24"/>
          <w:szCs w:val="24"/>
        </w:rPr>
        <w:fldChar w:fldCharType="end"/>
      </w:r>
      <w:r w:rsidR="00E5483C" w:rsidRPr="00CC5152">
        <w:rPr>
          <w:rFonts w:asciiTheme="majorBidi" w:eastAsia="Times New Roman" w:hAnsiTheme="majorBidi" w:cstheme="majorBidi"/>
          <w:sz w:val="24"/>
          <w:szCs w:val="24"/>
        </w:rPr>
        <w:t xml:space="preserve">. </w:t>
      </w:r>
    </w:p>
    <w:p w14:paraId="2E408105" w14:textId="67BC5273" w:rsidR="009A700C" w:rsidRPr="00F00BC5" w:rsidRDefault="00BE0A54" w:rsidP="00F27589">
      <w:pPr>
        <w:bidi w:val="0"/>
        <w:spacing w:line="48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The conflicting results between our study </w:t>
      </w:r>
      <w:r w:rsidR="00E77BC4">
        <w:rPr>
          <w:rFonts w:asciiTheme="majorBidi" w:eastAsia="Times New Roman" w:hAnsiTheme="majorBidi" w:cstheme="majorBidi"/>
          <w:sz w:val="24"/>
          <w:szCs w:val="24"/>
        </w:rPr>
        <w:t>and</w:t>
      </w:r>
      <w:r>
        <w:rPr>
          <w:rFonts w:asciiTheme="majorBidi" w:eastAsia="Times New Roman" w:hAnsiTheme="majorBidi" w:cstheme="majorBidi"/>
          <w:sz w:val="24"/>
          <w:szCs w:val="24"/>
        </w:rPr>
        <w:t xml:space="preserve"> </w:t>
      </w:r>
      <w:r w:rsidR="00235C3B">
        <w:rPr>
          <w:rFonts w:asciiTheme="majorBidi" w:eastAsia="Times New Roman" w:hAnsiTheme="majorBidi" w:cstheme="majorBidi"/>
          <w:sz w:val="24"/>
          <w:szCs w:val="24"/>
        </w:rPr>
        <w:t xml:space="preserve">most </w:t>
      </w:r>
      <w:r>
        <w:rPr>
          <w:rFonts w:asciiTheme="majorBidi" w:eastAsia="Times New Roman" w:hAnsiTheme="majorBidi" w:cstheme="majorBidi"/>
          <w:sz w:val="24"/>
          <w:szCs w:val="24"/>
        </w:rPr>
        <w:t xml:space="preserve">other cohorts may be explained by different inclusion criteria and time periods. For example, the largest reported cohort </w:t>
      </w:r>
      <w:r w:rsidR="00FB1787">
        <w:rPr>
          <w:rFonts w:asciiTheme="majorBidi" w:eastAsia="Times New Roman" w:hAnsiTheme="majorBidi" w:cstheme="majorBidi"/>
          <w:sz w:val="24"/>
          <w:szCs w:val="24"/>
        </w:rPr>
        <w:t>by</w:t>
      </w:r>
      <w:r>
        <w:rPr>
          <w:rFonts w:asciiTheme="majorBidi" w:eastAsia="Times New Roman" w:hAnsiTheme="majorBidi" w:cstheme="majorBidi"/>
          <w:sz w:val="24"/>
          <w:szCs w:val="24"/>
        </w:rPr>
        <w:t xml:space="preserve"> Petric et al (15) included patients with Bethesda 4 sub-category only</w:t>
      </w:r>
      <w:r w:rsidR="00FB1787">
        <w:rPr>
          <w:rFonts w:asciiTheme="majorBidi" w:eastAsia="Times New Roman" w:hAnsiTheme="majorBidi" w:cstheme="majorBidi"/>
          <w:sz w:val="24"/>
          <w:szCs w:val="24"/>
        </w:rPr>
        <w:t>, while we included patients with Bethesda 3 and 4 categories</w:t>
      </w:r>
      <w:r w:rsidR="00235C3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887870" w:rsidRPr="00F00BC5">
        <w:rPr>
          <w:rFonts w:asciiTheme="majorBidi" w:eastAsia="Times New Roman" w:hAnsiTheme="majorBidi" w:cstheme="majorBidi"/>
          <w:sz w:val="24"/>
          <w:szCs w:val="24"/>
        </w:rPr>
        <w:t xml:space="preserve"> </w:t>
      </w:r>
      <w:r w:rsidR="008E6ADB">
        <w:rPr>
          <w:rFonts w:asciiTheme="majorBidi" w:eastAsia="Times New Roman" w:hAnsiTheme="majorBidi" w:cstheme="majorBidi"/>
          <w:sz w:val="24"/>
          <w:szCs w:val="24"/>
        </w:rPr>
        <w:t>Moreover</w:t>
      </w:r>
      <w:r w:rsidR="009A700C">
        <w:rPr>
          <w:rFonts w:asciiTheme="majorBidi" w:eastAsia="Times New Roman" w:hAnsiTheme="majorBidi" w:cstheme="majorBidi"/>
          <w:sz w:val="24"/>
          <w:szCs w:val="24"/>
        </w:rPr>
        <w:t>,</w:t>
      </w:r>
      <w:r w:rsidR="00B87DFA" w:rsidRPr="00F00BC5">
        <w:rPr>
          <w:rFonts w:asciiTheme="majorBidi" w:eastAsia="Times New Roman" w:hAnsiTheme="majorBidi" w:cstheme="majorBidi"/>
          <w:sz w:val="24"/>
          <w:szCs w:val="24"/>
        </w:rPr>
        <w:t xml:space="preserve"> their study</w:t>
      </w:r>
      <w:r w:rsidR="00235C3B">
        <w:rPr>
          <w:rFonts w:asciiTheme="majorBidi" w:eastAsia="Times New Roman" w:hAnsiTheme="majorBidi" w:cstheme="majorBidi"/>
          <w:sz w:val="24"/>
          <w:szCs w:val="24"/>
        </w:rPr>
        <w:t xml:space="preserve"> reported on data</w:t>
      </w:r>
      <w:r w:rsidR="00B87DFA" w:rsidRPr="00F00BC5">
        <w:rPr>
          <w:rFonts w:asciiTheme="majorBidi" w:eastAsia="Times New Roman" w:hAnsiTheme="majorBidi" w:cstheme="majorBidi"/>
          <w:sz w:val="24"/>
          <w:szCs w:val="24"/>
        </w:rPr>
        <w:t xml:space="preserve"> from as early as 1988</w:t>
      </w:r>
      <w:r w:rsidR="00FB1787">
        <w:rPr>
          <w:rFonts w:asciiTheme="majorBidi" w:eastAsia="Times New Roman" w:hAnsiTheme="majorBidi" w:cstheme="majorBidi"/>
          <w:sz w:val="24"/>
          <w:szCs w:val="24"/>
        </w:rPr>
        <w:t>. Thus,</w:t>
      </w:r>
      <w:r w:rsidR="00B87DFA" w:rsidRPr="00F00BC5">
        <w:rPr>
          <w:rFonts w:asciiTheme="majorBidi" w:eastAsia="Times New Roman" w:hAnsiTheme="majorBidi" w:cstheme="majorBidi"/>
          <w:sz w:val="24"/>
          <w:szCs w:val="24"/>
        </w:rPr>
        <w:t xml:space="preserve"> the patients</w:t>
      </w:r>
      <w:r w:rsidR="00FB1787">
        <w:rPr>
          <w:rFonts w:asciiTheme="majorBidi" w:eastAsia="Times New Roman" w:hAnsiTheme="majorBidi" w:cstheme="majorBidi"/>
          <w:sz w:val="24"/>
          <w:szCs w:val="24"/>
        </w:rPr>
        <w:t xml:space="preserve"> that were included may differ</w:t>
      </w:r>
      <w:r w:rsidR="00B87DFA" w:rsidRPr="00F00BC5">
        <w:rPr>
          <w:rFonts w:asciiTheme="majorBidi" w:eastAsia="Times New Roman" w:hAnsiTheme="majorBidi" w:cstheme="majorBidi"/>
          <w:sz w:val="24"/>
          <w:szCs w:val="24"/>
        </w:rPr>
        <w:t xml:space="preserve"> from patients undergoing thyroidectomy nowadays</w:t>
      </w:r>
      <w:r w:rsidR="00E77BC4">
        <w:rPr>
          <w:rFonts w:asciiTheme="majorBidi" w:eastAsia="Times New Roman" w:hAnsiTheme="majorBidi" w:cstheme="majorBidi"/>
          <w:sz w:val="24"/>
          <w:szCs w:val="24"/>
        </w:rPr>
        <w:t>,</w:t>
      </w:r>
      <w:r w:rsidR="00B87DFA" w:rsidRPr="00F00BC5">
        <w:rPr>
          <w:rFonts w:asciiTheme="majorBidi" w:eastAsia="Times New Roman" w:hAnsiTheme="majorBidi" w:cstheme="majorBidi"/>
          <w:sz w:val="24"/>
          <w:szCs w:val="24"/>
        </w:rPr>
        <w:t xml:space="preserve"> as imaging modalities and cytopathology reporting</w:t>
      </w:r>
      <w:r w:rsidR="008E6ADB">
        <w:rPr>
          <w:rFonts w:asciiTheme="majorBidi" w:eastAsia="Times New Roman" w:hAnsiTheme="majorBidi" w:cstheme="majorBidi"/>
          <w:sz w:val="24"/>
          <w:szCs w:val="24"/>
        </w:rPr>
        <w:t xml:space="preserve"> systems</w:t>
      </w:r>
      <w:r w:rsidR="00B87DFA" w:rsidRPr="00F00BC5">
        <w:rPr>
          <w:rFonts w:asciiTheme="majorBidi" w:eastAsia="Times New Roman" w:hAnsiTheme="majorBidi" w:cstheme="majorBidi"/>
          <w:sz w:val="24"/>
          <w:szCs w:val="24"/>
        </w:rPr>
        <w:t xml:space="preserve"> have</w:t>
      </w:r>
      <w:r w:rsidR="00E77BC4">
        <w:rPr>
          <w:rFonts w:asciiTheme="majorBidi" w:eastAsia="Times New Roman" w:hAnsiTheme="majorBidi" w:cstheme="majorBidi"/>
          <w:sz w:val="24"/>
          <w:szCs w:val="24"/>
        </w:rPr>
        <w:t xml:space="preserve"> been</w:t>
      </w:r>
      <w:r w:rsidR="00B87DFA" w:rsidRPr="00F00BC5">
        <w:rPr>
          <w:rFonts w:asciiTheme="majorBidi" w:eastAsia="Times New Roman" w:hAnsiTheme="majorBidi" w:cstheme="majorBidi"/>
          <w:sz w:val="24"/>
          <w:szCs w:val="24"/>
        </w:rPr>
        <w:t xml:space="preserve"> changed considerabl</w:t>
      </w:r>
      <w:r w:rsidR="00FB1787">
        <w:rPr>
          <w:rFonts w:asciiTheme="majorBidi" w:eastAsia="Times New Roman" w:hAnsiTheme="majorBidi" w:cstheme="majorBidi"/>
          <w:sz w:val="24"/>
          <w:szCs w:val="24"/>
        </w:rPr>
        <w:t>y</w:t>
      </w:r>
      <w:r w:rsidR="00B87DFA" w:rsidRPr="00F00BC5">
        <w:rPr>
          <w:rFonts w:asciiTheme="majorBidi" w:eastAsia="Times New Roman" w:hAnsiTheme="majorBidi" w:cstheme="majorBidi" w:hint="cs"/>
          <w:sz w:val="24"/>
          <w:szCs w:val="24"/>
          <w:rtl/>
        </w:rPr>
        <w:t>.</w:t>
      </w:r>
      <w:r w:rsidR="005E42A0" w:rsidRPr="00F00BC5">
        <w:rPr>
          <w:rFonts w:asciiTheme="majorBidi" w:eastAsia="Times New Roman" w:hAnsiTheme="majorBidi" w:cstheme="majorBidi"/>
          <w:sz w:val="24"/>
          <w:szCs w:val="24"/>
        </w:rPr>
        <w:t xml:space="preserve"> </w:t>
      </w:r>
      <w:r w:rsidR="00FB1787">
        <w:rPr>
          <w:rFonts w:asciiTheme="majorBidi" w:eastAsia="Times New Roman" w:hAnsiTheme="majorBidi" w:cstheme="majorBidi"/>
          <w:sz w:val="24"/>
          <w:szCs w:val="24"/>
        </w:rPr>
        <w:t xml:space="preserve">In addition, </w:t>
      </w:r>
      <w:r w:rsidR="008E6ADB">
        <w:rPr>
          <w:rFonts w:asciiTheme="majorBidi" w:eastAsia="Times New Roman" w:hAnsiTheme="majorBidi" w:cstheme="majorBidi"/>
          <w:sz w:val="24"/>
          <w:szCs w:val="24"/>
        </w:rPr>
        <w:t>with the tendency to report on</w:t>
      </w:r>
      <w:r w:rsidR="00FB1787">
        <w:rPr>
          <w:rFonts w:asciiTheme="majorBidi" w:eastAsia="Times New Roman" w:hAnsiTheme="majorBidi" w:cstheme="majorBidi"/>
          <w:sz w:val="24"/>
          <w:szCs w:val="24"/>
        </w:rPr>
        <w:t xml:space="preserve"> ‘positive’ results more frequently </w:t>
      </w:r>
      <w:r w:rsidR="00235C3B">
        <w:rPr>
          <w:rFonts w:asciiTheme="majorBidi" w:eastAsia="Times New Roman" w:hAnsiTheme="majorBidi" w:cstheme="majorBidi"/>
          <w:sz w:val="24"/>
          <w:szCs w:val="24"/>
        </w:rPr>
        <w:t>than on</w:t>
      </w:r>
      <w:r w:rsidR="00FB1787">
        <w:rPr>
          <w:rFonts w:asciiTheme="majorBidi" w:eastAsia="Times New Roman" w:hAnsiTheme="majorBidi" w:cstheme="majorBidi"/>
          <w:sz w:val="24"/>
          <w:szCs w:val="24"/>
        </w:rPr>
        <w:t xml:space="preserve"> ‘negative’ </w:t>
      </w:r>
      <w:r w:rsidR="00235C3B">
        <w:rPr>
          <w:rFonts w:asciiTheme="majorBidi" w:eastAsia="Times New Roman" w:hAnsiTheme="majorBidi" w:cstheme="majorBidi"/>
          <w:sz w:val="24"/>
          <w:szCs w:val="24"/>
        </w:rPr>
        <w:t>ones</w:t>
      </w:r>
      <w:r w:rsidR="00FB1787">
        <w:rPr>
          <w:rFonts w:asciiTheme="majorBidi" w:eastAsia="Times New Roman" w:hAnsiTheme="majorBidi" w:cstheme="majorBidi"/>
          <w:sz w:val="24"/>
          <w:szCs w:val="24"/>
        </w:rPr>
        <w:t>, a publication bias cannot be excluded</w:t>
      </w:r>
      <w:r w:rsidR="00235C3B">
        <w:rPr>
          <w:rFonts w:asciiTheme="majorBidi" w:eastAsia="Times New Roman" w:hAnsiTheme="majorBidi" w:cstheme="majorBidi"/>
          <w:sz w:val="24"/>
          <w:szCs w:val="24"/>
        </w:rPr>
        <w:t xml:space="preserve"> </w:t>
      </w:r>
      <w:r w:rsidR="00520AB1">
        <w:rPr>
          <w:rFonts w:asciiTheme="majorBidi" w:eastAsia="Times New Roman" w:hAnsiTheme="majorBidi" w:cstheme="majorBidi"/>
          <w:sz w:val="24"/>
          <w:szCs w:val="24"/>
        </w:rPr>
        <w:fldChar w:fldCharType="begin" w:fldLock="1"/>
      </w:r>
      <w:r w:rsidR="00EC5D99">
        <w:rPr>
          <w:rFonts w:asciiTheme="majorBidi" w:eastAsia="Times New Roman" w:hAnsiTheme="majorBidi" w:cstheme="majorBidi"/>
          <w:sz w:val="24"/>
          <w:szCs w:val="24"/>
        </w:rPr>
        <w:instrText>ADDIN CSL_CITATION {"citationItems":[{"id":"ITEM-1","itemData":{"DOI":"10.11613/BM.2017.030201","ISSN":"1330-0962","PMID":"29180912","abstract":"Studies with positive results are greatly more represented in literature than studies with negative results, producing so-called publication bias. This review aims to discuss occurring problems around negative results and to emphasize the importance of reporting negative results. Underreporting of negative results introduces bias into meta-analysis, which consequently misinforms researchers, doctors and policymakers. More resources are potentially wasted on already disputed research that remains unpublished and therefore unavailable to the scientific community. Ethical obligations need to be considered when reporting results of studies on human subjects as people have exposed themselves to risk with the assurance that the study is performed to benefit others. Some studies disprove the common conception that journal editors preferably publish positive findings, which are considered as more citable. Therefore, all stakeholders, but especially researchers, need to be conscious of disseminating negative and positive findings alike.","author":[{"dropping-particle":"","family":"Mlinarić","given":"Ana","non-dropping-particle":"","parse-names":false,"suffix":""},{"dropping-particle":"","family":"Horvat","given":"Martina","non-dropping-particle":"","parse-names":false,"suffix":""},{"dropping-particle":"","family":"Smolčić","given":"Vesna Šupak","non-dropping-particle":"","parse-names":false,"suffix":""}],"container-title":"Biochemia medica","id":"ITEM-1","issue":"3","issued":{"date-parts":[["2017","10","1"]]},"publisher":"Biochem Med (Zagreb)","title":"Dealing with the positive publication bias: Why you should really publish your negative results","type":"article-journal","volume":"27"},"uris":["http://www.mendeley.com/documents/?uuid=e57f1d75-1b66-3922-9871-11c35643957d"]}],"mendeley":{"formattedCitation":"(18)","plainTextFormattedCitation":"(18)","previouslyFormattedCitation":"(18)"},"properties":{"noteIndex":0},"schema":"https://github.com/citation-style-language/schema/raw/master/csl-citation.json"}</w:instrText>
      </w:r>
      <w:r w:rsidR="00520AB1">
        <w:rPr>
          <w:rFonts w:asciiTheme="majorBidi" w:eastAsia="Times New Roman" w:hAnsiTheme="majorBidi" w:cstheme="majorBidi"/>
          <w:sz w:val="24"/>
          <w:szCs w:val="24"/>
        </w:rPr>
        <w:fldChar w:fldCharType="separate"/>
      </w:r>
      <w:r w:rsidR="00520AB1" w:rsidRPr="00520AB1">
        <w:rPr>
          <w:rFonts w:asciiTheme="majorBidi" w:eastAsia="Times New Roman" w:hAnsiTheme="majorBidi" w:cstheme="majorBidi"/>
          <w:noProof/>
          <w:sz w:val="24"/>
          <w:szCs w:val="24"/>
        </w:rPr>
        <w:t>(18)</w:t>
      </w:r>
      <w:r w:rsidR="00520AB1">
        <w:rPr>
          <w:rFonts w:asciiTheme="majorBidi" w:eastAsia="Times New Roman" w:hAnsiTheme="majorBidi" w:cstheme="majorBidi"/>
          <w:sz w:val="24"/>
          <w:szCs w:val="24"/>
        </w:rPr>
        <w:fldChar w:fldCharType="end"/>
      </w:r>
      <w:r w:rsidR="00E6790D">
        <w:rPr>
          <w:rFonts w:asciiTheme="majorBidi" w:eastAsia="Times New Roman" w:hAnsiTheme="majorBidi" w:cstheme="majorBidi"/>
          <w:sz w:val="24"/>
          <w:szCs w:val="24"/>
        </w:rPr>
        <w:t xml:space="preserve">. </w:t>
      </w:r>
      <w:r w:rsidR="00BA7A48">
        <w:rPr>
          <w:rFonts w:asciiTheme="majorBidi" w:eastAsia="Times New Roman" w:hAnsiTheme="majorBidi" w:cstheme="majorBidi"/>
          <w:sz w:val="24"/>
          <w:szCs w:val="24"/>
        </w:rPr>
        <w:t>Considering the large range of reported Tg cut-offs, a</w:t>
      </w:r>
      <w:r w:rsidR="00235C3B">
        <w:rPr>
          <w:rFonts w:asciiTheme="majorBidi" w:eastAsia="Times New Roman" w:hAnsiTheme="majorBidi" w:cstheme="majorBidi"/>
          <w:sz w:val="24"/>
          <w:szCs w:val="24"/>
        </w:rPr>
        <w:t xml:space="preserve"> main question is the </w:t>
      </w:r>
      <w:r w:rsidR="00D301E6">
        <w:rPr>
          <w:rFonts w:asciiTheme="majorBidi" w:eastAsia="Times New Roman" w:hAnsiTheme="majorBidi" w:cstheme="majorBidi"/>
          <w:sz w:val="24"/>
          <w:szCs w:val="24"/>
        </w:rPr>
        <w:t>reproducibility</w:t>
      </w:r>
      <w:r w:rsidR="00235C3B">
        <w:rPr>
          <w:rFonts w:asciiTheme="majorBidi" w:eastAsia="Times New Roman" w:hAnsiTheme="majorBidi" w:cstheme="majorBidi"/>
          <w:sz w:val="24"/>
          <w:szCs w:val="24"/>
        </w:rPr>
        <w:t xml:space="preserve"> of </w:t>
      </w:r>
      <w:r w:rsidR="00BA7A48">
        <w:rPr>
          <w:rFonts w:asciiTheme="majorBidi" w:eastAsia="Times New Roman" w:hAnsiTheme="majorBidi" w:cstheme="majorBidi"/>
          <w:sz w:val="24"/>
          <w:szCs w:val="24"/>
        </w:rPr>
        <w:t xml:space="preserve">these values from one cohort to another. To address this </w:t>
      </w:r>
      <w:r w:rsidR="00EE38BA">
        <w:rPr>
          <w:rFonts w:asciiTheme="majorBidi" w:eastAsia="Times New Roman" w:hAnsiTheme="majorBidi" w:cstheme="majorBidi"/>
          <w:sz w:val="24"/>
          <w:szCs w:val="24"/>
        </w:rPr>
        <w:t>question,</w:t>
      </w:r>
      <w:r w:rsidR="00BA7A48">
        <w:rPr>
          <w:rFonts w:asciiTheme="majorBidi" w:eastAsia="Times New Roman" w:hAnsiTheme="majorBidi" w:cstheme="majorBidi"/>
          <w:sz w:val="24"/>
          <w:szCs w:val="24"/>
        </w:rPr>
        <w:t xml:space="preserve"> we tested the cut-off of 400 ng/mL, suggested by </w:t>
      </w:r>
      <w:r w:rsidR="00EE38BA">
        <w:rPr>
          <w:rFonts w:asciiTheme="majorBidi" w:eastAsia="Times New Roman" w:hAnsiTheme="majorBidi" w:cstheme="majorBidi"/>
          <w:sz w:val="24"/>
          <w:szCs w:val="24"/>
        </w:rPr>
        <w:t xml:space="preserve">largest cohort reported by </w:t>
      </w:r>
      <w:r w:rsidR="00BA7A48">
        <w:rPr>
          <w:rFonts w:asciiTheme="majorBidi" w:eastAsia="Times New Roman" w:hAnsiTheme="majorBidi" w:cstheme="majorBidi"/>
          <w:sz w:val="24"/>
          <w:szCs w:val="24"/>
        </w:rPr>
        <w:t>Petric at al (15) on our</w:t>
      </w:r>
      <w:r w:rsidR="00EE38BA">
        <w:rPr>
          <w:rFonts w:asciiTheme="majorBidi" w:eastAsia="Times New Roman" w:hAnsiTheme="majorBidi" w:cstheme="majorBidi"/>
          <w:sz w:val="24"/>
          <w:szCs w:val="24"/>
        </w:rPr>
        <w:t xml:space="preserve"> 29 patients of Bethesda 4 sub-category.</w:t>
      </w:r>
      <w:r w:rsidR="00BA7A48">
        <w:rPr>
          <w:rFonts w:asciiTheme="majorBidi" w:eastAsia="Times New Roman" w:hAnsiTheme="majorBidi" w:cstheme="majorBidi"/>
          <w:sz w:val="24"/>
          <w:szCs w:val="24"/>
        </w:rPr>
        <w:t xml:space="preserve"> </w:t>
      </w:r>
      <w:r w:rsidR="00D301E6">
        <w:rPr>
          <w:rFonts w:asciiTheme="majorBidi" w:eastAsia="Times New Roman" w:hAnsiTheme="majorBidi" w:cstheme="majorBidi"/>
          <w:sz w:val="24"/>
          <w:szCs w:val="24"/>
        </w:rPr>
        <w:t xml:space="preserve"> </w:t>
      </w:r>
      <w:r w:rsidR="00EE38BA">
        <w:rPr>
          <w:rFonts w:asciiTheme="majorBidi" w:eastAsia="Times New Roman" w:hAnsiTheme="majorBidi" w:cstheme="majorBidi"/>
          <w:sz w:val="24"/>
          <w:szCs w:val="24"/>
        </w:rPr>
        <w:t>Using 2X2 table (Supplementary table 1) we found that this cut-off had positive and negative predictive values of</w:t>
      </w:r>
      <w:r w:rsidR="009A700C" w:rsidRPr="009A700C">
        <w:rPr>
          <w:rFonts w:asciiTheme="majorBidi" w:eastAsia="Times New Roman" w:hAnsiTheme="majorBidi" w:cstheme="majorBidi"/>
          <w:sz w:val="24"/>
          <w:szCs w:val="24"/>
        </w:rPr>
        <w:t xml:space="preserve"> 75%</w:t>
      </w:r>
      <w:r w:rsidR="00EE38BA">
        <w:rPr>
          <w:rFonts w:asciiTheme="majorBidi" w:eastAsia="Times New Roman" w:hAnsiTheme="majorBidi" w:cstheme="majorBidi"/>
          <w:sz w:val="24"/>
          <w:szCs w:val="24"/>
        </w:rPr>
        <w:t xml:space="preserve"> and </w:t>
      </w:r>
      <w:r w:rsidR="009A700C" w:rsidRPr="009A700C">
        <w:rPr>
          <w:rFonts w:asciiTheme="majorBidi" w:eastAsia="Times New Roman" w:hAnsiTheme="majorBidi" w:cstheme="majorBidi"/>
          <w:sz w:val="24"/>
          <w:szCs w:val="24"/>
        </w:rPr>
        <w:t>47%</w:t>
      </w:r>
      <w:r w:rsidR="00EE38BA">
        <w:rPr>
          <w:rFonts w:asciiTheme="majorBidi" w:eastAsia="Times New Roman" w:hAnsiTheme="majorBidi" w:cstheme="majorBidi"/>
          <w:sz w:val="24"/>
          <w:szCs w:val="24"/>
        </w:rPr>
        <w:t xml:space="preserve"> respectively</w:t>
      </w:r>
      <w:r w:rsidR="009A700C" w:rsidRPr="009A700C">
        <w:rPr>
          <w:rFonts w:asciiTheme="majorBidi" w:eastAsia="Times New Roman" w:hAnsiTheme="majorBidi" w:cstheme="majorBidi"/>
          <w:sz w:val="24"/>
          <w:szCs w:val="24"/>
        </w:rPr>
        <w:t>.</w:t>
      </w:r>
      <w:r w:rsidR="00786C33">
        <w:rPr>
          <w:rFonts w:asciiTheme="majorBidi" w:eastAsia="Times New Roman" w:hAnsiTheme="majorBidi" w:cstheme="majorBidi"/>
          <w:sz w:val="24"/>
          <w:szCs w:val="24"/>
        </w:rPr>
        <w:t xml:space="preserve"> </w:t>
      </w:r>
      <w:r w:rsidR="004045C5" w:rsidRPr="006F3217">
        <w:rPr>
          <w:rFonts w:asciiTheme="majorBidi" w:eastAsia="Times New Roman" w:hAnsiTheme="majorBidi" w:cstheme="majorBidi"/>
          <w:sz w:val="24"/>
          <w:szCs w:val="24"/>
        </w:rPr>
        <w:t>Hence</w:t>
      </w:r>
      <w:r w:rsidR="004045C5">
        <w:rPr>
          <w:rFonts w:asciiTheme="majorBidi" w:eastAsia="Times New Roman" w:hAnsiTheme="majorBidi" w:cstheme="majorBidi"/>
          <w:sz w:val="24"/>
          <w:szCs w:val="24"/>
        </w:rPr>
        <w:t xml:space="preserve">, </w:t>
      </w:r>
      <w:r w:rsidR="006F3217">
        <w:rPr>
          <w:rFonts w:asciiTheme="majorBidi" w:eastAsia="Times New Roman" w:hAnsiTheme="majorBidi" w:cstheme="majorBidi"/>
          <w:sz w:val="24"/>
          <w:szCs w:val="24"/>
        </w:rPr>
        <w:t>this</w:t>
      </w:r>
      <w:r w:rsidR="005D7FBA">
        <w:rPr>
          <w:rFonts w:asciiTheme="majorBidi" w:eastAsia="Times New Roman" w:hAnsiTheme="majorBidi" w:cstheme="majorBidi"/>
          <w:sz w:val="24"/>
          <w:szCs w:val="24"/>
        </w:rPr>
        <w:t xml:space="preserve"> cut-off miss</w:t>
      </w:r>
      <w:r w:rsidR="00E77BC4">
        <w:rPr>
          <w:rFonts w:asciiTheme="majorBidi" w:eastAsia="Times New Roman" w:hAnsiTheme="majorBidi" w:cstheme="majorBidi"/>
          <w:sz w:val="24"/>
          <w:szCs w:val="24"/>
        </w:rPr>
        <w:t>ed</w:t>
      </w:r>
      <w:r w:rsidR="005D7FBA">
        <w:rPr>
          <w:rFonts w:asciiTheme="majorBidi" w:eastAsia="Times New Roman" w:hAnsiTheme="majorBidi" w:cstheme="majorBidi"/>
          <w:sz w:val="24"/>
          <w:szCs w:val="24"/>
        </w:rPr>
        <w:t xml:space="preserve"> approximately 50% of patients in our cohort with preoperative serum thyroglobulin below 400 ng/mg, classifying them as having benign TN, while they truly harbored DTC.</w:t>
      </w:r>
      <w:r w:rsidR="00786C33">
        <w:rPr>
          <w:rFonts w:asciiTheme="majorBidi" w:eastAsia="Times New Roman" w:hAnsiTheme="majorBidi" w:cstheme="majorBidi"/>
          <w:sz w:val="24"/>
          <w:szCs w:val="24"/>
        </w:rPr>
        <w:tab/>
      </w:r>
    </w:p>
    <w:p w14:paraId="00B76ED6" w14:textId="08127E35" w:rsidR="001F3C5F" w:rsidRPr="00F00BC5" w:rsidRDefault="001F3C5F"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 xml:space="preserve">Our study has </w:t>
      </w:r>
      <w:r w:rsidR="002211BB" w:rsidRPr="00F00BC5">
        <w:rPr>
          <w:rFonts w:asciiTheme="majorBidi" w:eastAsia="Times New Roman" w:hAnsiTheme="majorBidi" w:cstheme="majorBidi"/>
          <w:sz w:val="24"/>
          <w:szCs w:val="24"/>
        </w:rPr>
        <w:t xml:space="preserve">several </w:t>
      </w:r>
      <w:r w:rsidRPr="00F00BC5">
        <w:rPr>
          <w:rFonts w:asciiTheme="majorBidi" w:eastAsia="Times New Roman" w:hAnsiTheme="majorBidi" w:cstheme="majorBidi"/>
          <w:sz w:val="24"/>
          <w:szCs w:val="24"/>
        </w:rPr>
        <w:t>limitations</w:t>
      </w:r>
      <w:r w:rsidR="00850827">
        <w:rPr>
          <w:rFonts w:asciiTheme="majorBidi" w:eastAsia="Times New Roman" w:hAnsiTheme="majorBidi" w:cstheme="majorBidi"/>
          <w:sz w:val="24"/>
          <w:szCs w:val="24"/>
        </w:rPr>
        <w:t>,</w:t>
      </w:r>
      <w:r w:rsidR="000E36FB">
        <w:rPr>
          <w:rFonts w:asciiTheme="majorBidi" w:eastAsia="Times New Roman" w:hAnsiTheme="majorBidi" w:cstheme="majorBidi"/>
          <w:sz w:val="24"/>
          <w:szCs w:val="24"/>
        </w:rPr>
        <w:t xml:space="preserve"> t</w:t>
      </w:r>
      <w:r w:rsidR="00FF562C" w:rsidRPr="00F00BC5">
        <w:rPr>
          <w:rFonts w:asciiTheme="majorBidi" w:eastAsia="Times New Roman" w:hAnsiTheme="majorBidi" w:cstheme="majorBidi"/>
          <w:sz w:val="24"/>
          <w:szCs w:val="24"/>
        </w:rPr>
        <w:t xml:space="preserve">he most important </w:t>
      </w:r>
      <w:r w:rsidR="000E36FB">
        <w:rPr>
          <w:rFonts w:asciiTheme="majorBidi" w:eastAsia="Times New Roman" w:hAnsiTheme="majorBidi" w:cstheme="majorBidi"/>
          <w:sz w:val="24"/>
          <w:szCs w:val="24"/>
        </w:rPr>
        <w:t>being its</w:t>
      </w:r>
      <w:r w:rsidR="00EB08B5" w:rsidRPr="00F00BC5">
        <w:rPr>
          <w:rFonts w:asciiTheme="majorBidi" w:eastAsia="Times New Roman" w:hAnsiTheme="majorBidi" w:cstheme="majorBidi"/>
          <w:sz w:val="24"/>
          <w:szCs w:val="24"/>
        </w:rPr>
        <w:t xml:space="preserve"> </w:t>
      </w:r>
      <w:r w:rsidR="004D06E0" w:rsidRPr="00F00BC5">
        <w:rPr>
          <w:rFonts w:asciiTheme="majorBidi" w:eastAsia="Times New Roman" w:hAnsiTheme="majorBidi" w:cstheme="majorBidi"/>
          <w:sz w:val="24"/>
          <w:szCs w:val="24"/>
        </w:rPr>
        <w:t>retrospective</w:t>
      </w:r>
      <w:r w:rsidR="00EB08B5">
        <w:rPr>
          <w:rFonts w:asciiTheme="majorBidi" w:eastAsia="Times New Roman" w:hAnsiTheme="majorBidi" w:cstheme="majorBidi"/>
          <w:sz w:val="24"/>
          <w:szCs w:val="24"/>
        </w:rPr>
        <w:t xml:space="preserve"> nature</w:t>
      </w:r>
      <w:r w:rsidR="003D501E">
        <w:rPr>
          <w:rFonts w:asciiTheme="majorBidi" w:eastAsia="Times New Roman" w:hAnsiTheme="majorBidi" w:cstheme="majorBidi"/>
          <w:sz w:val="24"/>
          <w:szCs w:val="24"/>
        </w:rPr>
        <w:t xml:space="preserve"> and relatively small sample size</w:t>
      </w:r>
      <w:r w:rsidR="004D06E0" w:rsidRPr="00F00BC5">
        <w:rPr>
          <w:rFonts w:asciiTheme="majorBidi" w:eastAsia="Times New Roman" w:hAnsiTheme="majorBidi" w:cstheme="majorBidi"/>
          <w:sz w:val="24"/>
          <w:szCs w:val="24"/>
        </w:rPr>
        <w:t xml:space="preserve">. In addition, this study is a </w:t>
      </w:r>
      <w:r w:rsidR="00FF562C" w:rsidRPr="00F00BC5">
        <w:rPr>
          <w:rFonts w:asciiTheme="majorBidi" w:eastAsia="Times New Roman" w:hAnsiTheme="majorBidi" w:cstheme="majorBidi"/>
          <w:sz w:val="24"/>
          <w:szCs w:val="24"/>
        </w:rPr>
        <w:t xml:space="preserve">surgical series, which introduces a selection </w:t>
      </w:r>
      <w:r w:rsidR="002211BB" w:rsidRPr="00F00BC5">
        <w:rPr>
          <w:rFonts w:asciiTheme="majorBidi" w:eastAsia="Times New Roman" w:hAnsiTheme="majorBidi" w:cstheme="majorBidi"/>
          <w:sz w:val="24"/>
          <w:szCs w:val="24"/>
        </w:rPr>
        <w:t>bias</w:t>
      </w:r>
      <w:r w:rsidR="00FF562C" w:rsidRPr="00F00BC5">
        <w:rPr>
          <w:rFonts w:asciiTheme="majorBidi" w:eastAsia="Times New Roman" w:hAnsiTheme="majorBidi" w:cstheme="majorBidi"/>
          <w:sz w:val="24"/>
          <w:szCs w:val="24"/>
        </w:rPr>
        <w:t xml:space="preserve">. </w:t>
      </w:r>
      <w:r w:rsidR="00FF0DBF">
        <w:rPr>
          <w:rFonts w:asciiTheme="majorBidi" w:eastAsia="Times New Roman" w:hAnsiTheme="majorBidi" w:cstheme="majorBidi"/>
          <w:sz w:val="24"/>
          <w:szCs w:val="24"/>
        </w:rPr>
        <w:t>It may be assumed that the</w:t>
      </w:r>
      <w:r w:rsidR="00FF562C" w:rsidRPr="00F00BC5">
        <w:rPr>
          <w:rFonts w:asciiTheme="majorBidi" w:eastAsia="Times New Roman" w:hAnsiTheme="majorBidi" w:cstheme="majorBidi"/>
          <w:sz w:val="24"/>
          <w:szCs w:val="24"/>
        </w:rPr>
        <w:t xml:space="preserve"> size of </w:t>
      </w:r>
      <w:r w:rsidR="00FF0DBF">
        <w:rPr>
          <w:rFonts w:asciiTheme="majorBidi" w:eastAsia="Times New Roman" w:hAnsiTheme="majorBidi" w:cstheme="majorBidi"/>
          <w:sz w:val="24"/>
          <w:szCs w:val="24"/>
        </w:rPr>
        <w:t xml:space="preserve">the TN, suspicious US features, </w:t>
      </w:r>
      <w:r w:rsidR="00FF562C" w:rsidRPr="00F00BC5">
        <w:rPr>
          <w:rFonts w:asciiTheme="majorBidi" w:eastAsia="Times New Roman" w:hAnsiTheme="majorBidi" w:cstheme="majorBidi"/>
          <w:sz w:val="24"/>
          <w:szCs w:val="24"/>
        </w:rPr>
        <w:t xml:space="preserve">and </w:t>
      </w:r>
      <w:r w:rsidR="00F72A9B" w:rsidRPr="00F00BC5">
        <w:rPr>
          <w:rFonts w:asciiTheme="majorBidi" w:eastAsia="Times New Roman" w:hAnsiTheme="majorBidi" w:cstheme="majorBidi"/>
          <w:sz w:val="24"/>
          <w:szCs w:val="24"/>
        </w:rPr>
        <w:t xml:space="preserve">possibly </w:t>
      </w:r>
      <w:r w:rsidR="00FF562C" w:rsidRPr="00F00BC5">
        <w:rPr>
          <w:rFonts w:asciiTheme="majorBidi" w:eastAsia="Times New Roman" w:hAnsiTheme="majorBidi" w:cstheme="majorBidi"/>
          <w:sz w:val="24"/>
          <w:szCs w:val="24"/>
        </w:rPr>
        <w:t xml:space="preserve">preoperative Tg levels </w:t>
      </w:r>
      <w:r w:rsidR="00850827">
        <w:rPr>
          <w:rFonts w:asciiTheme="majorBidi" w:eastAsia="Times New Roman" w:hAnsiTheme="majorBidi" w:cstheme="majorBidi"/>
          <w:sz w:val="24"/>
          <w:szCs w:val="24"/>
        </w:rPr>
        <w:t>were</w:t>
      </w:r>
      <w:r w:rsidR="00FF0DBF">
        <w:rPr>
          <w:rFonts w:asciiTheme="majorBidi" w:eastAsia="Times New Roman" w:hAnsiTheme="majorBidi" w:cstheme="majorBidi"/>
          <w:sz w:val="24"/>
          <w:szCs w:val="24"/>
        </w:rPr>
        <w:t xml:space="preserve"> a consideration </w:t>
      </w:r>
      <w:r w:rsidR="006B558F" w:rsidRPr="00F00BC5">
        <w:rPr>
          <w:rFonts w:asciiTheme="majorBidi" w:eastAsia="Times New Roman" w:hAnsiTheme="majorBidi" w:cstheme="majorBidi"/>
          <w:sz w:val="24"/>
          <w:szCs w:val="24"/>
        </w:rPr>
        <w:t>f</w:t>
      </w:r>
      <w:r w:rsidR="00FF562C" w:rsidRPr="00F00BC5">
        <w:rPr>
          <w:rFonts w:asciiTheme="majorBidi" w:eastAsia="Times New Roman" w:hAnsiTheme="majorBidi" w:cstheme="majorBidi"/>
          <w:sz w:val="24"/>
          <w:szCs w:val="24"/>
        </w:rPr>
        <w:t>or</w:t>
      </w:r>
      <w:r w:rsidR="00FF0DBF">
        <w:rPr>
          <w:rFonts w:asciiTheme="majorBidi" w:eastAsia="Times New Roman" w:hAnsiTheme="majorBidi" w:cstheme="majorBidi"/>
          <w:sz w:val="24"/>
          <w:szCs w:val="24"/>
        </w:rPr>
        <w:t xml:space="preserve"> surgical treatment</w:t>
      </w:r>
      <w:r w:rsidR="00FF562C" w:rsidRPr="00F00BC5">
        <w:rPr>
          <w:rFonts w:asciiTheme="majorBidi" w:eastAsia="Times New Roman" w:hAnsiTheme="majorBidi" w:cstheme="majorBidi"/>
          <w:sz w:val="24"/>
          <w:szCs w:val="24"/>
        </w:rPr>
        <w:t>.</w:t>
      </w:r>
      <w:r w:rsidR="002211BB" w:rsidRPr="00F00BC5">
        <w:rPr>
          <w:rFonts w:asciiTheme="majorBidi" w:eastAsia="Times New Roman" w:hAnsiTheme="majorBidi" w:cstheme="majorBidi"/>
          <w:sz w:val="24"/>
          <w:szCs w:val="24"/>
        </w:rPr>
        <w:t xml:space="preserve"> </w:t>
      </w:r>
      <w:r w:rsidR="00D25B39" w:rsidRPr="00F00BC5">
        <w:rPr>
          <w:rFonts w:asciiTheme="majorBidi" w:eastAsia="Times New Roman" w:hAnsiTheme="majorBidi" w:cstheme="majorBidi"/>
          <w:sz w:val="24"/>
          <w:szCs w:val="24"/>
        </w:rPr>
        <w:t>T</w:t>
      </w:r>
      <w:r w:rsidR="00FF562C" w:rsidRPr="00F00BC5">
        <w:rPr>
          <w:rFonts w:asciiTheme="majorBidi" w:eastAsia="Times New Roman" w:hAnsiTheme="majorBidi" w:cstheme="majorBidi"/>
          <w:sz w:val="24"/>
          <w:szCs w:val="24"/>
        </w:rPr>
        <w:t xml:space="preserve">he current study did not include patients with </w:t>
      </w:r>
      <w:r w:rsidR="002B4FE0">
        <w:rPr>
          <w:rFonts w:asciiTheme="majorBidi" w:eastAsia="Times New Roman" w:hAnsiTheme="majorBidi" w:cstheme="majorBidi"/>
          <w:sz w:val="24"/>
          <w:szCs w:val="24"/>
        </w:rPr>
        <w:t>TN</w:t>
      </w:r>
      <w:r w:rsidR="00143EAB" w:rsidRPr="00F00BC5">
        <w:rPr>
          <w:rFonts w:asciiTheme="majorBidi" w:eastAsia="Times New Roman" w:hAnsiTheme="majorBidi" w:cstheme="majorBidi"/>
          <w:sz w:val="24"/>
          <w:szCs w:val="24"/>
        </w:rPr>
        <w:t xml:space="preserve"> with INC</w:t>
      </w:r>
      <w:r w:rsidR="00FF562C" w:rsidRPr="00F00BC5">
        <w:rPr>
          <w:rFonts w:asciiTheme="majorBidi" w:eastAsia="Times New Roman" w:hAnsiTheme="majorBidi" w:cstheme="majorBidi"/>
          <w:sz w:val="24"/>
          <w:szCs w:val="24"/>
        </w:rPr>
        <w:t xml:space="preserve"> or MNG who were not </w:t>
      </w:r>
      <w:r w:rsidR="00850827">
        <w:rPr>
          <w:rFonts w:asciiTheme="majorBidi" w:eastAsia="Times New Roman" w:hAnsiTheme="majorBidi" w:cstheme="majorBidi"/>
          <w:sz w:val="24"/>
          <w:szCs w:val="24"/>
        </w:rPr>
        <w:t>operated</w:t>
      </w:r>
      <w:r w:rsidR="003D501E">
        <w:rPr>
          <w:rFonts w:asciiTheme="majorBidi" w:eastAsia="Times New Roman" w:hAnsiTheme="majorBidi" w:cstheme="majorBidi"/>
          <w:sz w:val="24"/>
          <w:szCs w:val="24"/>
        </w:rPr>
        <w:t>,</w:t>
      </w:r>
      <w:r w:rsidR="00850827">
        <w:rPr>
          <w:rFonts w:asciiTheme="majorBidi" w:eastAsia="Times New Roman" w:hAnsiTheme="majorBidi" w:cstheme="majorBidi"/>
          <w:sz w:val="24"/>
          <w:szCs w:val="24"/>
        </w:rPr>
        <w:t xml:space="preserve"> where s</w:t>
      </w:r>
      <w:r w:rsidR="0005724B" w:rsidRPr="00F00BC5">
        <w:rPr>
          <w:rFonts w:asciiTheme="majorBidi" w:eastAsia="Times New Roman" w:hAnsiTheme="majorBidi" w:cstheme="majorBidi"/>
          <w:sz w:val="24"/>
          <w:szCs w:val="24"/>
        </w:rPr>
        <w:t xml:space="preserve">erum Tg </w:t>
      </w:r>
      <w:r w:rsidR="00850827">
        <w:rPr>
          <w:rFonts w:asciiTheme="majorBidi" w:eastAsia="Times New Roman" w:hAnsiTheme="majorBidi" w:cstheme="majorBidi"/>
          <w:sz w:val="24"/>
          <w:szCs w:val="24"/>
        </w:rPr>
        <w:t>concentration</w:t>
      </w:r>
      <w:r w:rsidR="00850827" w:rsidRPr="00F00BC5">
        <w:rPr>
          <w:rFonts w:asciiTheme="majorBidi" w:eastAsia="Times New Roman" w:hAnsiTheme="majorBidi" w:cstheme="majorBidi"/>
          <w:sz w:val="24"/>
          <w:szCs w:val="24"/>
        </w:rPr>
        <w:t xml:space="preserve"> </w:t>
      </w:r>
      <w:r w:rsidR="0005724B" w:rsidRPr="00F00BC5">
        <w:rPr>
          <w:rFonts w:asciiTheme="majorBidi" w:eastAsia="Times New Roman" w:hAnsiTheme="majorBidi" w:cstheme="majorBidi"/>
          <w:sz w:val="24"/>
          <w:szCs w:val="24"/>
        </w:rPr>
        <w:t xml:space="preserve">may be significantly lower than that </w:t>
      </w:r>
      <w:r w:rsidR="00850827">
        <w:rPr>
          <w:rFonts w:asciiTheme="majorBidi" w:eastAsia="Times New Roman" w:hAnsiTheme="majorBidi" w:cstheme="majorBidi"/>
          <w:sz w:val="24"/>
          <w:szCs w:val="24"/>
        </w:rPr>
        <w:t xml:space="preserve">seen </w:t>
      </w:r>
      <w:r w:rsidR="0005724B" w:rsidRPr="00F00BC5">
        <w:rPr>
          <w:rFonts w:asciiTheme="majorBidi" w:eastAsia="Times New Roman" w:hAnsiTheme="majorBidi" w:cstheme="majorBidi"/>
          <w:sz w:val="24"/>
          <w:szCs w:val="24"/>
        </w:rPr>
        <w:t>in our</w:t>
      </w:r>
      <w:r w:rsidR="00850827">
        <w:rPr>
          <w:rFonts w:asciiTheme="majorBidi" w:eastAsia="Times New Roman" w:hAnsiTheme="majorBidi" w:cstheme="majorBidi"/>
          <w:sz w:val="24"/>
          <w:szCs w:val="24"/>
        </w:rPr>
        <w:t xml:space="preserve"> study</w:t>
      </w:r>
      <w:r w:rsidR="0005724B" w:rsidRPr="00F00BC5">
        <w:rPr>
          <w:rFonts w:asciiTheme="majorBidi" w:eastAsia="Times New Roman" w:hAnsiTheme="majorBidi" w:cstheme="majorBidi"/>
          <w:sz w:val="24"/>
          <w:szCs w:val="24"/>
        </w:rPr>
        <w:t xml:space="preserve"> </w:t>
      </w:r>
      <w:r w:rsidR="00850827">
        <w:rPr>
          <w:rFonts w:asciiTheme="majorBidi" w:eastAsia="Times New Roman" w:hAnsiTheme="majorBidi" w:cstheme="majorBidi"/>
          <w:sz w:val="24"/>
          <w:szCs w:val="24"/>
        </w:rPr>
        <w:t>cohort</w:t>
      </w:r>
      <w:r w:rsidR="0068198F" w:rsidRPr="00F00BC5">
        <w:rPr>
          <w:rFonts w:asciiTheme="majorBidi" w:eastAsia="Times New Roman" w:hAnsiTheme="majorBidi" w:cstheme="majorBidi"/>
          <w:sz w:val="24"/>
          <w:szCs w:val="24"/>
        </w:rPr>
        <w:t>.</w:t>
      </w:r>
      <w:r w:rsidR="00850827">
        <w:rPr>
          <w:rFonts w:asciiTheme="majorBidi" w:eastAsia="Times New Roman" w:hAnsiTheme="majorBidi" w:cstheme="majorBidi"/>
          <w:sz w:val="24"/>
          <w:szCs w:val="24"/>
        </w:rPr>
        <w:t xml:space="preserve"> </w:t>
      </w:r>
      <w:r w:rsidRPr="00F00BC5">
        <w:rPr>
          <w:rFonts w:asciiTheme="majorBidi" w:eastAsia="Times New Roman" w:hAnsiTheme="majorBidi" w:cstheme="majorBidi"/>
          <w:sz w:val="24"/>
          <w:szCs w:val="24"/>
        </w:rPr>
        <w:t>We did not consider the number of nodules each patient had</w:t>
      </w:r>
      <w:r w:rsidR="008C626E" w:rsidRPr="00F00BC5">
        <w:rPr>
          <w:rFonts w:asciiTheme="majorBidi" w:eastAsia="Times New Roman" w:hAnsiTheme="majorBidi" w:cstheme="majorBidi"/>
          <w:sz w:val="24"/>
          <w:szCs w:val="24"/>
        </w:rPr>
        <w:t xml:space="preserve"> or thyroid</w:t>
      </w:r>
      <w:r w:rsidR="00E47E31">
        <w:rPr>
          <w:rFonts w:asciiTheme="majorBidi" w:eastAsia="Times New Roman" w:hAnsiTheme="majorBidi" w:cstheme="majorBidi"/>
          <w:sz w:val="24"/>
          <w:szCs w:val="24"/>
        </w:rPr>
        <w:t xml:space="preserve"> and nodule</w:t>
      </w:r>
      <w:r w:rsidR="008C626E" w:rsidRPr="00F00BC5">
        <w:rPr>
          <w:rFonts w:asciiTheme="majorBidi" w:eastAsia="Times New Roman" w:hAnsiTheme="majorBidi" w:cstheme="majorBidi"/>
          <w:sz w:val="24"/>
          <w:szCs w:val="24"/>
        </w:rPr>
        <w:t xml:space="preserve"> volume</w:t>
      </w:r>
      <w:r w:rsidRPr="00F00BC5">
        <w:rPr>
          <w:rFonts w:asciiTheme="majorBidi" w:eastAsia="Times New Roman" w:hAnsiTheme="majorBidi" w:cstheme="majorBidi"/>
          <w:sz w:val="24"/>
          <w:szCs w:val="24"/>
        </w:rPr>
        <w:t xml:space="preserve"> prior to Tg measurement, rather we focused on the suspicious nodule which the FNA was obtained from. </w:t>
      </w:r>
      <w:r w:rsidR="002E3C98" w:rsidRPr="00F00BC5">
        <w:rPr>
          <w:rFonts w:asciiTheme="majorBidi" w:eastAsia="Times New Roman" w:hAnsiTheme="majorBidi" w:cstheme="majorBidi"/>
          <w:sz w:val="24"/>
          <w:szCs w:val="24"/>
        </w:rPr>
        <w:t>It is important to note that most of the studies reviewed here did not mention whether the dominant nodule was solitary or part of MNG</w:t>
      </w:r>
      <w:r w:rsidR="00487346" w:rsidRPr="00F00BC5">
        <w:rPr>
          <w:rFonts w:asciiTheme="majorBidi" w:eastAsia="Times New Roman" w:hAnsiTheme="majorBidi" w:cstheme="majorBidi"/>
          <w:sz w:val="24"/>
          <w:szCs w:val="24"/>
        </w:rPr>
        <w:t>.</w:t>
      </w:r>
    </w:p>
    <w:p w14:paraId="66387668" w14:textId="741733FD" w:rsidR="003D501E" w:rsidRDefault="003D501E" w:rsidP="00D8720C">
      <w:pPr>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Despite</w:t>
      </w:r>
      <w:r w:rsidRPr="00F00BC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of </w:t>
      </w:r>
      <w:r w:rsidR="00F86A14" w:rsidRPr="00F00BC5">
        <w:rPr>
          <w:rFonts w:asciiTheme="majorBidi" w:eastAsia="Times New Roman" w:hAnsiTheme="majorBidi" w:cstheme="majorBidi"/>
          <w:sz w:val="24"/>
          <w:szCs w:val="24"/>
        </w:rPr>
        <w:t>its limitations, t</w:t>
      </w:r>
      <w:r w:rsidR="0049205D" w:rsidRPr="00F00BC5">
        <w:rPr>
          <w:rFonts w:asciiTheme="majorBidi" w:eastAsia="Times New Roman" w:hAnsiTheme="majorBidi" w:cstheme="majorBidi"/>
          <w:sz w:val="24"/>
          <w:szCs w:val="24"/>
        </w:rPr>
        <w:t>his study has</w:t>
      </w:r>
      <w:r w:rsidR="00F86A14" w:rsidRPr="00F00BC5">
        <w:rPr>
          <w:rFonts w:asciiTheme="majorBidi" w:eastAsia="Times New Roman" w:hAnsiTheme="majorBidi" w:cstheme="majorBidi"/>
          <w:sz w:val="24"/>
          <w:szCs w:val="24"/>
        </w:rPr>
        <w:t xml:space="preserve"> </w:t>
      </w:r>
      <w:r w:rsidR="0049205D" w:rsidRPr="00F00BC5">
        <w:rPr>
          <w:rFonts w:asciiTheme="majorBidi" w:eastAsia="Times New Roman" w:hAnsiTheme="majorBidi" w:cstheme="majorBidi"/>
          <w:sz w:val="24"/>
          <w:szCs w:val="24"/>
        </w:rPr>
        <w:t>few</w:t>
      </w:r>
      <w:r w:rsidR="0005724B" w:rsidRPr="00F00BC5">
        <w:rPr>
          <w:rFonts w:asciiTheme="majorBidi" w:eastAsia="Times New Roman" w:hAnsiTheme="majorBidi" w:cstheme="majorBidi"/>
          <w:sz w:val="24"/>
          <w:szCs w:val="24"/>
        </w:rPr>
        <w:t xml:space="preserve"> </w:t>
      </w:r>
      <w:r w:rsidR="00F86A14" w:rsidRPr="00F00BC5">
        <w:rPr>
          <w:rFonts w:asciiTheme="majorBidi" w:eastAsia="Times New Roman" w:hAnsiTheme="majorBidi" w:cstheme="majorBidi"/>
          <w:sz w:val="24"/>
          <w:szCs w:val="24"/>
        </w:rPr>
        <w:t>significant strengths</w:t>
      </w:r>
      <w:r w:rsidR="0049205D" w:rsidRPr="00F00BC5">
        <w:rPr>
          <w:rFonts w:asciiTheme="majorBidi" w:eastAsia="Times New Roman" w:hAnsiTheme="majorBidi" w:cstheme="majorBidi"/>
          <w:sz w:val="24"/>
          <w:szCs w:val="24"/>
        </w:rPr>
        <w:t xml:space="preserve">. First, </w:t>
      </w:r>
      <w:r w:rsidR="002211BB" w:rsidRPr="00F00BC5">
        <w:rPr>
          <w:rFonts w:asciiTheme="majorBidi" w:eastAsia="Times New Roman" w:hAnsiTheme="majorBidi" w:cstheme="majorBidi"/>
          <w:sz w:val="24"/>
          <w:szCs w:val="24"/>
        </w:rPr>
        <w:t>this is a real</w:t>
      </w:r>
      <w:r w:rsidR="00D25B39" w:rsidRPr="00F00BC5">
        <w:rPr>
          <w:rFonts w:asciiTheme="majorBidi" w:eastAsia="Times New Roman" w:hAnsiTheme="majorBidi" w:cstheme="majorBidi"/>
          <w:sz w:val="24"/>
          <w:szCs w:val="24"/>
        </w:rPr>
        <w:t>-</w:t>
      </w:r>
      <w:r w:rsidR="002211BB" w:rsidRPr="00F00BC5">
        <w:rPr>
          <w:rFonts w:asciiTheme="majorBidi" w:eastAsia="Times New Roman" w:hAnsiTheme="majorBidi" w:cstheme="majorBidi"/>
          <w:sz w:val="24"/>
          <w:szCs w:val="24"/>
        </w:rPr>
        <w:t xml:space="preserve">life study which reflects the management of patients with MNG or </w:t>
      </w:r>
      <w:r w:rsidR="00E444BC" w:rsidRPr="00F00BC5">
        <w:rPr>
          <w:rFonts w:asciiTheme="majorBidi" w:eastAsia="Times New Roman" w:hAnsiTheme="majorBidi" w:cstheme="majorBidi"/>
          <w:sz w:val="24"/>
          <w:szCs w:val="24"/>
        </w:rPr>
        <w:t xml:space="preserve">INC </w:t>
      </w:r>
      <w:r w:rsidR="006F1422">
        <w:rPr>
          <w:rFonts w:asciiTheme="majorBidi" w:eastAsia="Times New Roman" w:hAnsiTheme="majorBidi" w:cstheme="majorBidi"/>
          <w:sz w:val="24"/>
          <w:szCs w:val="24"/>
        </w:rPr>
        <w:t>TN</w:t>
      </w:r>
      <w:r w:rsidR="002211BB" w:rsidRPr="00F00BC5">
        <w:rPr>
          <w:rFonts w:asciiTheme="majorBidi" w:eastAsia="Times New Roman" w:hAnsiTheme="majorBidi" w:cstheme="majorBidi"/>
          <w:sz w:val="24"/>
          <w:szCs w:val="24"/>
        </w:rPr>
        <w:t xml:space="preserve"> in a single institution. This allowed for uniform blood testing and </w:t>
      </w:r>
      <w:r w:rsidR="006B0926" w:rsidRPr="00F00BC5">
        <w:rPr>
          <w:rFonts w:asciiTheme="majorBidi" w:eastAsia="Times New Roman" w:hAnsiTheme="majorBidi" w:cstheme="majorBidi"/>
          <w:sz w:val="24"/>
          <w:szCs w:val="24"/>
        </w:rPr>
        <w:t>implied</w:t>
      </w:r>
      <w:r w:rsidR="002211BB" w:rsidRPr="00F00BC5">
        <w:rPr>
          <w:rFonts w:asciiTheme="majorBidi" w:eastAsia="Times New Roman" w:hAnsiTheme="majorBidi" w:cstheme="majorBidi"/>
          <w:sz w:val="24"/>
          <w:szCs w:val="24"/>
        </w:rPr>
        <w:t xml:space="preserve"> that the study population was </w:t>
      </w:r>
      <w:r w:rsidR="00983E6E" w:rsidRPr="00F00BC5">
        <w:rPr>
          <w:rFonts w:asciiTheme="majorBidi" w:eastAsia="Times New Roman" w:hAnsiTheme="majorBidi" w:cstheme="majorBidi"/>
          <w:sz w:val="24"/>
          <w:szCs w:val="24"/>
        </w:rPr>
        <w:t>relatively homogenous</w:t>
      </w:r>
      <w:r w:rsidR="002211BB" w:rsidRPr="00F00BC5">
        <w:rPr>
          <w:rFonts w:asciiTheme="majorBidi" w:eastAsia="Times New Roman" w:hAnsiTheme="majorBidi" w:cstheme="majorBidi"/>
          <w:sz w:val="24"/>
          <w:szCs w:val="24"/>
        </w:rPr>
        <w:t xml:space="preserve">. In </w:t>
      </w:r>
      <w:r w:rsidR="00983E6E" w:rsidRPr="00F00BC5">
        <w:rPr>
          <w:rFonts w:asciiTheme="majorBidi" w:eastAsia="Times New Roman" w:hAnsiTheme="majorBidi" w:cstheme="majorBidi"/>
          <w:sz w:val="24"/>
          <w:szCs w:val="24"/>
        </w:rPr>
        <w:t>addition,</w:t>
      </w:r>
      <w:r w:rsidR="002211BB" w:rsidRPr="00F00BC5">
        <w:rPr>
          <w:rFonts w:asciiTheme="majorBidi" w:eastAsia="Times New Roman" w:hAnsiTheme="majorBidi" w:cstheme="majorBidi"/>
          <w:sz w:val="24"/>
          <w:szCs w:val="24"/>
        </w:rPr>
        <w:t xml:space="preserve"> we excluded patient</w:t>
      </w:r>
      <w:r w:rsidR="006B5C5E" w:rsidRPr="00F00BC5">
        <w:rPr>
          <w:rFonts w:asciiTheme="majorBidi" w:eastAsia="Times New Roman" w:hAnsiTheme="majorBidi" w:cstheme="majorBidi"/>
          <w:sz w:val="24"/>
          <w:szCs w:val="24"/>
        </w:rPr>
        <w:t>s</w:t>
      </w:r>
      <w:r w:rsidR="002211BB" w:rsidRPr="00F00BC5">
        <w:rPr>
          <w:rFonts w:asciiTheme="majorBidi" w:eastAsia="Times New Roman" w:hAnsiTheme="majorBidi" w:cstheme="majorBidi"/>
          <w:sz w:val="24"/>
          <w:szCs w:val="24"/>
        </w:rPr>
        <w:t xml:space="preserve"> with positive anti </w:t>
      </w:r>
      <w:r w:rsidR="00D06E38">
        <w:rPr>
          <w:rFonts w:asciiTheme="majorBidi" w:eastAsia="Times New Roman" w:hAnsiTheme="majorBidi" w:cstheme="majorBidi"/>
          <w:sz w:val="24"/>
          <w:szCs w:val="24"/>
        </w:rPr>
        <w:t>Tg</w:t>
      </w:r>
      <w:r w:rsidR="00D06E38" w:rsidRPr="00F00BC5">
        <w:rPr>
          <w:rFonts w:asciiTheme="majorBidi" w:eastAsia="Times New Roman" w:hAnsiTheme="majorBidi" w:cstheme="majorBidi"/>
          <w:sz w:val="24"/>
          <w:szCs w:val="24"/>
        </w:rPr>
        <w:t xml:space="preserve"> </w:t>
      </w:r>
      <w:r w:rsidR="002211BB" w:rsidRPr="00F00BC5">
        <w:rPr>
          <w:rFonts w:asciiTheme="majorBidi" w:eastAsia="Times New Roman" w:hAnsiTheme="majorBidi" w:cstheme="majorBidi"/>
          <w:sz w:val="24"/>
          <w:szCs w:val="24"/>
        </w:rPr>
        <w:t xml:space="preserve">antibodies thus eliminating the possibility for falsely low </w:t>
      </w:r>
      <w:r w:rsidR="00D06E38">
        <w:rPr>
          <w:rFonts w:asciiTheme="majorBidi" w:eastAsia="Times New Roman" w:hAnsiTheme="majorBidi" w:cstheme="majorBidi"/>
          <w:sz w:val="24"/>
          <w:szCs w:val="24"/>
        </w:rPr>
        <w:t>Tg</w:t>
      </w:r>
      <w:r w:rsidR="00D06E38" w:rsidRPr="00F00BC5">
        <w:rPr>
          <w:rFonts w:asciiTheme="majorBidi" w:eastAsia="Times New Roman" w:hAnsiTheme="majorBidi" w:cstheme="majorBidi"/>
          <w:sz w:val="24"/>
          <w:szCs w:val="24"/>
        </w:rPr>
        <w:t xml:space="preserve"> </w:t>
      </w:r>
      <w:r w:rsidR="002211BB" w:rsidRPr="00F00BC5">
        <w:rPr>
          <w:rFonts w:asciiTheme="majorBidi" w:eastAsia="Times New Roman" w:hAnsiTheme="majorBidi" w:cstheme="majorBidi"/>
          <w:sz w:val="24"/>
          <w:szCs w:val="24"/>
        </w:rPr>
        <w:t>levels</w:t>
      </w:r>
      <w:r w:rsidR="006B0926">
        <w:rPr>
          <w:rFonts w:asciiTheme="majorBidi" w:eastAsia="Times New Roman" w:hAnsiTheme="majorBidi" w:cstheme="majorBidi"/>
          <w:sz w:val="24"/>
          <w:szCs w:val="24"/>
        </w:rPr>
        <w:t xml:space="preserve">. To increase the credibility of our results, larger prospective studies, preferably multi-central, incorporation preoperative serum Tg concentration in the diagnostic algorithm of patients </w:t>
      </w:r>
      <w:r w:rsidR="00421703">
        <w:rPr>
          <w:rFonts w:asciiTheme="majorBidi" w:eastAsia="Times New Roman" w:hAnsiTheme="majorBidi" w:cstheme="majorBidi"/>
          <w:sz w:val="24"/>
          <w:szCs w:val="24"/>
        </w:rPr>
        <w:t>evaluated for</w:t>
      </w:r>
      <w:r w:rsidR="006B0926">
        <w:rPr>
          <w:rFonts w:asciiTheme="majorBidi" w:eastAsia="Times New Roman" w:hAnsiTheme="majorBidi" w:cstheme="majorBidi"/>
          <w:sz w:val="24"/>
          <w:szCs w:val="24"/>
        </w:rPr>
        <w:t xml:space="preserve"> nodular thyroid diseases</w:t>
      </w:r>
      <w:r w:rsidR="006B0926" w:rsidRPr="006B0926">
        <w:rPr>
          <w:rFonts w:ascii="Times New Roman" w:hAnsi="Times New Roman" w:cs="Times New Roman"/>
          <w:sz w:val="24"/>
          <w:szCs w:val="24"/>
        </w:rPr>
        <w:t xml:space="preserve"> </w:t>
      </w:r>
      <w:r w:rsidR="006B0926" w:rsidRPr="00E47E31">
        <w:rPr>
          <w:rFonts w:ascii="Times New Roman" w:hAnsi="Times New Roman" w:cs="Times New Roman"/>
          <w:sz w:val="24"/>
          <w:szCs w:val="24"/>
        </w:rPr>
        <w:t>may be warranted</w:t>
      </w:r>
      <w:r w:rsidR="006B0926">
        <w:rPr>
          <w:rFonts w:ascii="Times New Roman" w:hAnsi="Times New Roman" w:cs="Times New Roman"/>
          <w:sz w:val="24"/>
          <w:szCs w:val="24"/>
        </w:rPr>
        <w:t>.</w:t>
      </w:r>
    </w:p>
    <w:p w14:paraId="041ED1D0" w14:textId="371CA7CF" w:rsidR="00712273" w:rsidRPr="00712273" w:rsidRDefault="003D501E" w:rsidP="003D501E">
      <w:pPr>
        <w:bidi w:val="0"/>
        <w:spacing w:line="480" w:lineRule="auto"/>
        <w:rPr>
          <w:rFonts w:ascii="Times New Roman" w:eastAsia="Times New Roman" w:hAnsi="Times New Roman" w:cs="Times New Roman"/>
          <w:b/>
          <w:bCs/>
          <w:sz w:val="24"/>
          <w:szCs w:val="24"/>
          <w:u w:val="single"/>
        </w:rPr>
      </w:pPr>
      <w:r>
        <w:rPr>
          <w:rFonts w:asciiTheme="majorBidi" w:eastAsia="Times New Roman" w:hAnsiTheme="majorBidi" w:cstheme="majorBidi"/>
          <w:sz w:val="24"/>
          <w:szCs w:val="24"/>
        </w:rPr>
        <w:t>In conclusion, consistent with the current ATA</w:t>
      </w:r>
      <w:r w:rsidR="003D4BD6">
        <w:rPr>
          <w:rFonts w:asciiTheme="majorBidi" w:eastAsia="Times New Roman" w:hAnsiTheme="majorBidi" w:cstheme="majorBidi"/>
          <w:sz w:val="24"/>
          <w:szCs w:val="24"/>
        </w:rPr>
        <w:t xml:space="preserve"> </w:t>
      </w:r>
      <w:r w:rsidR="003D4BD6">
        <w:rPr>
          <w:rFonts w:asciiTheme="majorBidi" w:eastAsia="Times New Roman" w:hAnsiTheme="majorBidi" w:cstheme="majorBidi"/>
          <w:sz w:val="24"/>
          <w:szCs w:val="24"/>
        </w:rPr>
        <w:fldChar w:fldCharType="begin" w:fldLock="1"/>
      </w:r>
      <w:r w:rsidR="003D4BD6">
        <w:rPr>
          <w:rFonts w:asciiTheme="majorBidi" w:eastAsia="Times New Roman" w:hAnsiTheme="majorBidi" w:cstheme="majorBidi"/>
          <w:sz w:val="24"/>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operties":{"noteIndex":0},"schema":"https://github.com/citation-style-language/schema/raw/master/csl-citation.json"}</w:instrText>
      </w:r>
      <w:r w:rsidR="003D4BD6">
        <w:rPr>
          <w:rFonts w:asciiTheme="majorBidi" w:eastAsia="Times New Roman" w:hAnsiTheme="majorBidi" w:cstheme="majorBidi"/>
          <w:sz w:val="24"/>
          <w:szCs w:val="24"/>
        </w:rPr>
        <w:fldChar w:fldCharType="separate"/>
      </w:r>
      <w:r w:rsidR="003D4BD6" w:rsidRPr="003D4BD6">
        <w:rPr>
          <w:rFonts w:asciiTheme="majorBidi" w:eastAsia="Times New Roman" w:hAnsiTheme="majorBidi" w:cstheme="majorBidi"/>
          <w:noProof/>
          <w:sz w:val="24"/>
          <w:szCs w:val="24"/>
        </w:rPr>
        <w:t>(3)</w:t>
      </w:r>
      <w:r w:rsidR="003D4BD6">
        <w:rPr>
          <w:rFonts w:asciiTheme="majorBidi" w:eastAsia="Times New Roman" w:hAnsiTheme="majorBidi" w:cstheme="majorBidi"/>
          <w:sz w:val="24"/>
          <w:szCs w:val="24"/>
        </w:rPr>
        <w:fldChar w:fldCharType="end"/>
      </w:r>
      <w:r>
        <w:rPr>
          <w:rFonts w:asciiTheme="majorBidi" w:eastAsia="Times New Roman" w:hAnsiTheme="majorBidi" w:cstheme="majorBidi"/>
          <w:sz w:val="24"/>
          <w:szCs w:val="24"/>
        </w:rPr>
        <w:t>,</w:t>
      </w:r>
      <w:r w:rsidR="006B0926">
        <w:rPr>
          <w:rFonts w:asciiTheme="majorBidi" w:eastAsia="Times New Roman" w:hAnsiTheme="majorBidi" w:cstheme="majorBidi"/>
          <w:sz w:val="24"/>
          <w:szCs w:val="24"/>
        </w:rPr>
        <w:t xml:space="preserve"> our results demonstrated that</w:t>
      </w:r>
      <w:r>
        <w:rPr>
          <w:rFonts w:asciiTheme="majorBidi" w:eastAsia="Times New Roman" w:hAnsiTheme="majorBidi" w:cstheme="majorBidi"/>
          <w:sz w:val="24"/>
          <w:szCs w:val="24"/>
        </w:rPr>
        <w:t xml:space="preserve"> p</w:t>
      </w:r>
      <w:r w:rsidR="00712273" w:rsidRPr="00F00BC5">
        <w:rPr>
          <w:rFonts w:asciiTheme="majorBidi" w:eastAsia="Times New Roman" w:hAnsiTheme="majorBidi" w:cstheme="majorBidi"/>
          <w:sz w:val="24"/>
          <w:szCs w:val="24"/>
        </w:rPr>
        <w:t xml:space="preserve">reoperative serum </w:t>
      </w:r>
      <w:r w:rsidR="00D06E38">
        <w:rPr>
          <w:rFonts w:asciiTheme="majorBidi" w:eastAsia="Times New Roman" w:hAnsiTheme="majorBidi" w:cstheme="majorBidi"/>
          <w:sz w:val="24"/>
          <w:szCs w:val="24"/>
        </w:rPr>
        <w:t>Tg</w:t>
      </w:r>
      <w:r w:rsidR="000930A6">
        <w:rPr>
          <w:rFonts w:asciiTheme="majorBidi" w:eastAsia="Times New Roman" w:hAnsiTheme="majorBidi" w:cstheme="majorBidi"/>
          <w:sz w:val="24"/>
          <w:szCs w:val="24"/>
        </w:rPr>
        <w:t xml:space="preserve"> concentration</w:t>
      </w:r>
      <w:r w:rsidR="00D06E38" w:rsidRPr="00F00BC5">
        <w:rPr>
          <w:rFonts w:asciiTheme="majorBidi" w:eastAsia="Times New Roman" w:hAnsiTheme="majorBidi" w:cstheme="majorBidi"/>
          <w:sz w:val="24"/>
          <w:szCs w:val="24"/>
        </w:rPr>
        <w:t xml:space="preserve"> </w:t>
      </w:r>
      <w:r w:rsidR="00712273">
        <w:rPr>
          <w:rFonts w:asciiTheme="majorBidi" w:eastAsia="Times New Roman" w:hAnsiTheme="majorBidi" w:cstheme="majorBidi"/>
          <w:sz w:val="24"/>
          <w:szCs w:val="24"/>
        </w:rPr>
        <w:t>alone</w:t>
      </w:r>
      <w:r>
        <w:rPr>
          <w:rFonts w:asciiTheme="majorBidi" w:eastAsia="Times New Roman" w:hAnsiTheme="majorBidi" w:cstheme="majorBidi"/>
          <w:sz w:val="24"/>
          <w:szCs w:val="24"/>
        </w:rPr>
        <w:t xml:space="preserve"> </w:t>
      </w:r>
      <w:r w:rsidR="006B0926">
        <w:rPr>
          <w:rFonts w:asciiTheme="majorBidi" w:eastAsia="Times New Roman" w:hAnsiTheme="majorBidi" w:cstheme="majorBidi"/>
          <w:sz w:val="24"/>
          <w:szCs w:val="24"/>
        </w:rPr>
        <w:t>is</w:t>
      </w:r>
      <w:r w:rsidR="00712273">
        <w:rPr>
          <w:rFonts w:asciiTheme="majorBidi" w:eastAsia="Times New Roman" w:hAnsiTheme="majorBidi" w:cstheme="majorBidi"/>
          <w:sz w:val="24"/>
          <w:szCs w:val="24"/>
        </w:rPr>
        <w:t xml:space="preserve"> insufficient to differentiate preoperatively malignant </w:t>
      </w:r>
      <w:r w:rsidR="000930A6">
        <w:rPr>
          <w:rFonts w:asciiTheme="majorBidi" w:eastAsia="Times New Roman" w:hAnsiTheme="majorBidi" w:cstheme="majorBidi"/>
          <w:sz w:val="24"/>
          <w:szCs w:val="24"/>
        </w:rPr>
        <w:t xml:space="preserve">from </w:t>
      </w:r>
      <w:r w:rsidR="00712273">
        <w:rPr>
          <w:rFonts w:asciiTheme="majorBidi" w:eastAsia="Times New Roman" w:hAnsiTheme="majorBidi" w:cstheme="majorBidi"/>
          <w:sz w:val="24"/>
          <w:szCs w:val="24"/>
        </w:rPr>
        <w:t xml:space="preserve">benign </w:t>
      </w:r>
      <w:r w:rsidR="000930A6">
        <w:rPr>
          <w:rFonts w:asciiTheme="majorBidi" w:eastAsia="Times New Roman" w:hAnsiTheme="majorBidi" w:cstheme="majorBidi"/>
          <w:sz w:val="24"/>
          <w:szCs w:val="24"/>
        </w:rPr>
        <w:t xml:space="preserve">nodular </w:t>
      </w:r>
      <w:r w:rsidR="00712273">
        <w:rPr>
          <w:rFonts w:asciiTheme="majorBidi" w:eastAsia="Times New Roman" w:hAnsiTheme="majorBidi" w:cstheme="majorBidi"/>
          <w:sz w:val="24"/>
          <w:szCs w:val="24"/>
        </w:rPr>
        <w:t>thyroid disease</w:t>
      </w:r>
      <w:r w:rsidR="000930A6">
        <w:rPr>
          <w:rFonts w:asciiTheme="majorBidi" w:eastAsia="Times New Roman" w:hAnsiTheme="majorBidi" w:cstheme="majorBidi"/>
          <w:sz w:val="24"/>
          <w:szCs w:val="24"/>
        </w:rPr>
        <w:t>.</w:t>
      </w:r>
      <w:r w:rsidR="006B0926">
        <w:rPr>
          <w:rFonts w:asciiTheme="majorBidi" w:eastAsia="Times New Roman" w:hAnsiTheme="majorBidi" w:cstheme="majorBidi"/>
          <w:sz w:val="24"/>
          <w:szCs w:val="24"/>
        </w:rPr>
        <w:t xml:space="preserve"> </w:t>
      </w:r>
      <w:r w:rsidR="000930A6">
        <w:rPr>
          <w:rFonts w:asciiTheme="majorBidi" w:eastAsia="Times New Roman" w:hAnsiTheme="majorBidi" w:cstheme="majorBidi"/>
          <w:sz w:val="24"/>
          <w:szCs w:val="24"/>
        </w:rPr>
        <w:t>T</w:t>
      </w:r>
      <w:r w:rsidR="006B0926">
        <w:rPr>
          <w:rFonts w:asciiTheme="majorBidi" w:eastAsia="Times New Roman" w:hAnsiTheme="majorBidi" w:cstheme="majorBidi"/>
          <w:sz w:val="24"/>
          <w:szCs w:val="24"/>
        </w:rPr>
        <w:t>hus</w:t>
      </w:r>
      <w:r w:rsidR="000930A6">
        <w:rPr>
          <w:rFonts w:asciiTheme="majorBidi" w:eastAsia="Times New Roman" w:hAnsiTheme="majorBidi" w:cstheme="majorBidi"/>
          <w:sz w:val="24"/>
          <w:szCs w:val="24"/>
        </w:rPr>
        <w:t>,</w:t>
      </w:r>
      <w:r w:rsidR="006B0926">
        <w:rPr>
          <w:rFonts w:asciiTheme="majorBidi" w:eastAsia="Times New Roman" w:hAnsiTheme="majorBidi" w:cstheme="majorBidi"/>
          <w:sz w:val="24"/>
          <w:szCs w:val="24"/>
        </w:rPr>
        <w:t xml:space="preserve"> </w:t>
      </w:r>
      <w:r w:rsidR="000930A6">
        <w:rPr>
          <w:rFonts w:asciiTheme="majorBidi" w:eastAsia="Times New Roman" w:hAnsiTheme="majorBidi" w:cstheme="majorBidi"/>
          <w:sz w:val="24"/>
          <w:szCs w:val="24"/>
        </w:rPr>
        <w:t xml:space="preserve">currently </w:t>
      </w:r>
      <w:r w:rsidR="00CC131F">
        <w:rPr>
          <w:rFonts w:asciiTheme="majorBidi" w:eastAsia="Times New Roman" w:hAnsiTheme="majorBidi" w:cstheme="majorBidi"/>
          <w:sz w:val="24"/>
          <w:szCs w:val="24"/>
        </w:rPr>
        <w:t xml:space="preserve">presurgical measurement of Tg </w:t>
      </w:r>
      <w:r w:rsidR="000930A6">
        <w:rPr>
          <w:rFonts w:asciiTheme="majorBidi" w:eastAsia="Times New Roman" w:hAnsiTheme="majorBidi" w:cstheme="majorBidi"/>
          <w:sz w:val="24"/>
          <w:szCs w:val="24"/>
        </w:rPr>
        <w:t xml:space="preserve">cannot be recommended for </w:t>
      </w:r>
      <w:r w:rsidR="006B0926">
        <w:rPr>
          <w:rFonts w:asciiTheme="majorBidi" w:eastAsia="Times New Roman" w:hAnsiTheme="majorBidi" w:cstheme="majorBidi"/>
          <w:sz w:val="24"/>
          <w:szCs w:val="24"/>
        </w:rPr>
        <w:t>this purpose</w:t>
      </w:r>
      <w:r w:rsidR="00712273">
        <w:t>.</w:t>
      </w:r>
    </w:p>
    <w:p w14:paraId="6A0924DF" w14:textId="1F61C066" w:rsidR="001F3C5F" w:rsidRPr="00F00BC5" w:rsidRDefault="001F3C5F" w:rsidP="00D8720C">
      <w:pPr>
        <w:bidi w:val="0"/>
        <w:spacing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 xml:space="preserve">Acknowledgements </w:t>
      </w:r>
    </w:p>
    <w:p w14:paraId="719E4251" w14:textId="19CDBD63" w:rsidR="00CE5714" w:rsidRPr="00F00BC5" w:rsidRDefault="001F3C5F"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This study was conducted as part of the requirements for graduation from the medical school of the faculty of health sciences, Ben-Gurion university of the Negev, Israel.</w:t>
      </w:r>
    </w:p>
    <w:p w14:paraId="04E7422E" w14:textId="07A6A0DB" w:rsidR="009826E3" w:rsidRPr="00F00BC5" w:rsidRDefault="009826E3" w:rsidP="00D8720C">
      <w:pPr>
        <w:bidi w:val="0"/>
        <w:spacing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Conflict of interest</w:t>
      </w:r>
    </w:p>
    <w:p w14:paraId="1E7598E6" w14:textId="4F9A1DE9" w:rsidR="009826E3" w:rsidRPr="00F00BC5" w:rsidRDefault="003009CD"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The author</w:t>
      </w:r>
      <w:r w:rsidR="00CD5D66" w:rsidRPr="00F00BC5">
        <w:rPr>
          <w:rFonts w:asciiTheme="majorBidi" w:eastAsia="Times New Roman" w:hAnsiTheme="majorBidi" w:cstheme="majorBidi"/>
          <w:sz w:val="24"/>
          <w:szCs w:val="24"/>
        </w:rPr>
        <w:t>s</w:t>
      </w:r>
      <w:r w:rsidRPr="00F00BC5">
        <w:rPr>
          <w:rFonts w:asciiTheme="majorBidi" w:eastAsia="Times New Roman" w:hAnsiTheme="majorBidi" w:cstheme="majorBidi"/>
          <w:sz w:val="24"/>
          <w:szCs w:val="24"/>
        </w:rPr>
        <w:t xml:space="preserve"> declare that the</w:t>
      </w:r>
      <w:r w:rsidR="00CD5D66" w:rsidRPr="00F00BC5">
        <w:rPr>
          <w:rFonts w:asciiTheme="majorBidi" w:eastAsia="Times New Roman" w:hAnsiTheme="majorBidi" w:cstheme="majorBidi"/>
          <w:sz w:val="24"/>
          <w:szCs w:val="24"/>
        </w:rPr>
        <w:t xml:space="preserve">y do not have any </w:t>
      </w:r>
      <w:r w:rsidRPr="00F00BC5">
        <w:rPr>
          <w:rFonts w:asciiTheme="majorBidi" w:eastAsia="Times New Roman" w:hAnsiTheme="majorBidi" w:cstheme="majorBidi"/>
          <w:sz w:val="24"/>
          <w:szCs w:val="24"/>
        </w:rPr>
        <w:t>conflict</w:t>
      </w:r>
      <w:r w:rsidR="00CD5D66" w:rsidRPr="00F00BC5">
        <w:rPr>
          <w:rFonts w:asciiTheme="majorBidi" w:eastAsia="Times New Roman" w:hAnsiTheme="majorBidi" w:cstheme="majorBidi"/>
          <w:sz w:val="24"/>
          <w:szCs w:val="24"/>
        </w:rPr>
        <w:t>s</w:t>
      </w:r>
      <w:r w:rsidRPr="00F00BC5">
        <w:rPr>
          <w:rFonts w:asciiTheme="majorBidi" w:eastAsia="Times New Roman" w:hAnsiTheme="majorBidi" w:cstheme="majorBidi"/>
          <w:sz w:val="24"/>
          <w:szCs w:val="24"/>
        </w:rPr>
        <w:t xml:space="preserve"> of interest.</w:t>
      </w:r>
    </w:p>
    <w:p w14:paraId="667A659C" w14:textId="13C7C4CA" w:rsidR="005350AD" w:rsidRPr="00F00BC5" w:rsidRDefault="005350AD" w:rsidP="00D8720C">
      <w:pPr>
        <w:bidi w:val="0"/>
        <w:spacing w:line="48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Funding</w:t>
      </w:r>
    </w:p>
    <w:p w14:paraId="71D543EF" w14:textId="69B260C4" w:rsidR="005350AD" w:rsidRPr="00F00BC5" w:rsidRDefault="005350AD" w:rsidP="00D8720C">
      <w:pPr>
        <w:bidi w:val="0"/>
        <w:spacing w:line="48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This research did not receive any grant from funding agencies in the public, commercial, or not-for-profit sectors</w:t>
      </w:r>
      <w:r w:rsidR="00674BE4">
        <w:rPr>
          <w:rFonts w:asciiTheme="majorBidi" w:eastAsia="Times New Roman" w:hAnsiTheme="majorBidi" w:cstheme="majorBidi"/>
          <w:sz w:val="24"/>
          <w:szCs w:val="24"/>
        </w:rPr>
        <w:t>.</w:t>
      </w:r>
    </w:p>
    <w:p w14:paraId="2FC0B69D" w14:textId="77777777" w:rsidR="009826E3" w:rsidRPr="00F00BC5" w:rsidRDefault="009826E3" w:rsidP="00D8720C">
      <w:pPr>
        <w:bidi w:val="0"/>
        <w:spacing w:line="480" w:lineRule="auto"/>
        <w:rPr>
          <w:rFonts w:asciiTheme="majorBidi" w:eastAsia="Times New Roman" w:hAnsiTheme="majorBidi" w:cstheme="majorBidi"/>
          <w:sz w:val="24"/>
          <w:szCs w:val="24"/>
        </w:rPr>
      </w:pPr>
    </w:p>
    <w:p w14:paraId="3B2542B0" w14:textId="10A26EF3" w:rsidR="009A0E73" w:rsidRDefault="009A0E73" w:rsidP="00D8720C">
      <w:pPr>
        <w:bidi w:val="0"/>
        <w:spacing w:line="360" w:lineRule="auto"/>
        <w:rPr>
          <w:rFonts w:asciiTheme="majorBidi" w:eastAsia="Times New Roman" w:hAnsiTheme="majorBidi" w:cstheme="majorBidi"/>
          <w:b/>
          <w:bCs/>
          <w:sz w:val="24"/>
          <w:szCs w:val="24"/>
          <w:u w:val="single"/>
          <w:lang w:val="en-GB"/>
        </w:rPr>
      </w:pPr>
    </w:p>
    <w:p w14:paraId="2401BFE4" w14:textId="78F8478A" w:rsidR="00412399" w:rsidRDefault="00412399" w:rsidP="00EA69B0">
      <w:pPr>
        <w:bidi w:val="0"/>
        <w:spacing w:line="360" w:lineRule="auto"/>
        <w:jc w:val="both"/>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Figures and tables</w:t>
      </w:r>
    </w:p>
    <w:p w14:paraId="6198C015" w14:textId="69ED377C" w:rsidR="009C5A33" w:rsidRDefault="00EA69B0" w:rsidP="009C5A33">
      <w:pPr>
        <w:bidi w:val="0"/>
        <w:spacing w:line="360" w:lineRule="auto"/>
        <w:jc w:val="both"/>
        <w:rPr>
          <w:rFonts w:asciiTheme="majorBidi" w:eastAsia="Times New Roman" w:hAnsiTheme="majorBidi" w:cstheme="majorBidi"/>
          <w:b/>
          <w:bCs/>
          <w:sz w:val="24"/>
          <w:szCs w:val="24"/>
          <w:u w:val="single"/>
        </w:rPr>
      </w:pPr>
      <w:r>
        <w:rPr>
          <w:noProof/>
        </w:rPr>
        <mc:AlternateContent>
          <mc:Choice Requires="wpg">
            <w:drawing>
              <wp:anchor distT="0" distB="0" distL="114300" distR="114300" simplePos="0" relativeHeight="251676672" behindDoc="0" locked="0" layoutInCell="1" allowOverlap="1" wp14:anchorId="1D1B355A" wp14:editId="5EEF6A66">
                <wp:simplePos x="0" y="0"/>
                <wp:positionH relativeFrom="column">
                  <wp:posOffset>-691515</wp:posOffset>
                </wp:positionH>
                <wp:positionV relativeFrom="paragraph">
                  <wp:posOffset>386080</wp:posOffset>
                </wp:positionV>
                <wp:extent cx="7240270" cy="4962525"/>
                <wp:effectExtent l="0" t="0" r="17780" b="28575"/>
                <wp:wrapSquare wrapText="bothSides"/>
                <wp:docPr id="13" name="Group 13"/>
                <wp:cNvGraphicFramePr/>
                <a:graphic xmlns:a="http://schemas.openxmlformats.org/drawingml/2006/main">
                  <a:graphicData uri="http://schemas.microsoft.com/office/word/2010/wordprocessingGroup">
                    <wpg:wgp>
                      <wpg:cNvGrpSpPr/>
                      <wpg:grpSpPr>
                        <a:xfrm>
                          <a:off x="0" y="0"/>
                          <a:ext cx="7240270" cy="4962525"/>
                          <a:chOff x="0" y="0"/>
                          <a:chExt cx="7240772" cy="4962525"/>
                        </a:xfrm>
                      </wpg:grpSpPr>
                      <wpg:grpSp>
                        <wpg:cNvPr id="15" name="Group 15"/>
                        <wpg:cNvGrpSpPr/>
                        <wpg:grpSpPr>
                          <a:xfrm>
                            <a:off x="1704975" y="0"/>
                            <a:ext cx="3486150" cy="952500"/>
                            <a:chOff x="0" y="0"/>
                            <a:chExt cx="3486150" cy="952500"/>
                          </a:xfrm>
                        </wpg:grpSpPr>
                        <wps:wsp>
                          <wps:cNvPr id="16" name="Flowchart: Alternate Process 16"/>
                          <wps:cNvSpPr/>
                          <wps:spPr>
                            <a:xfrm>
                              <a:off x="0" y="0"/>
                              <a:ext cx="3486150" cy="9525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28575" y="38100"/>
                              <a:ext cx="3390900" cy="857250"/>
                            </a:xfrm>
                            <a:prstGeom prst="rect">
                              <a:avLst/>
                            </a:prstGeom>
                            <a:noFill/>
                            <a:ln w="9525">
                              <a:noFill/>
                              <a:miter lim="800000"/>
                              <a:headEnd/>
                              <a:tailEnd/>
                            </a:ln>
                          </wps:spPr>
                          <wps:txbx>
                            <w:txbxContent>
                              <w:p w14:paraId="16F1A4FC" w14:textId="77777777" w:rsidR="00EA69B0" w:rsidRPr="00770274" w:rsidRDefault="00EA69B0" w:rsidP="00EA69B0">
                                <w:pPr>
                                  <w:rPr>
                                    <w:rFonts w:asciiTheme="majorBidi" w:hAnsiTheme="majorBidi" w:cstheme="majorBidi"/>
                                  </w:rPr>
                                </w:pPr>
                                <w:r w:rsidRPr="00770274">
                                  <w:rPr>
                                    <w:rFonts w:asciiTheme="majorBidi" w:hAnsiTheme="majorBidi" w:cstheme="majorBidi"/>
                                  </w:rPr>
                                  <w:t>177 patients were operated for the following indications:</w:t>
                                </w:r>
                              </w:p>
                              <w:p w14:paraId="4F531956" w14:textId="77777777" w:rsidR="00EA69B0" w:rsidRPr="00770274" w:rsidRDefault="00EA69B0" w:rsidP="00EA69B0">
                                <w:pPr>
                                  <w:numPr>
                                    <w:ilvl w:val="0"/>
                                    <w:numId w:val="6"/>
                                  </w:numPr>
                                  <w:bidi w:val="0"/>
                                  <w:spacing w:after="160" w:line="259" w:lineRule="auto"/>
                                  <w:rPr>
                                    <w:rFonts w:asciiTheme="majorBidi" w:hAnsiTheme="majorBidi" w:cstheme="majorBidi"/>
                                  </w:rPr>
                                </w:pPr>
                                <w:r w:rsidRPr="00770274">
                                  <w:rPr>
                                    <w:rFonts w:asciiTheme="majorBidi" w:hAnsiTheme="majorBidi" w:cstheme="majorBidi"/>
                                  </w:rPr>
                                  <w:t>Pre-operative diagnosis of benign MNG</w:t>
                                </w:r>
                              </w:p>
                              <w:p w14:paraId="41FFC9A7" w14:textId="77777777" w:rsidR="00EA69B0" w:rsidRPr="00770274" w:rsidRDefault="00EA69B0" w:rsidP="00EA69B0">
                                <w:pPr>
                                  <w:numPr>
                                    <w:ilvl w:val="0"/>
                                    <w:numId w:val="6"/>
                                  </w:numPr>
                                  <w:bidi w:val="0"/>
                                  <w:spacing w:after="160" w:line="259" w:lineRule="auto"/>
                                  <w:rPr>
                                    <w:rFonts w:asciiTheme="majorBidi" w:hAnsiTheme="majorBidi" w:cstheme="majorBidi"/>
                                  </w:rPr>
                                </w:pPr>
                                <w:r w:rsidRPr="00770274">
                                  <w:rPr>
                                    <w:rFonts w:asciiTheme="majorBidi" w:hAnsiTheme="majorBidi" w:cstheme="majorBidi"/>
                                  </w:rPr>
                                  <w:t>A thyroid nodule with INC</w:t>
                                </w:r>
                              </w:p>
                            </w:txbxContent>
                          </wps:txbx>
                          <wps:bodyPr rot="0" vert="horz" wrap="square" lIns="91440" tIns="45720" rIns="91440" bIns="45720" anchor="t" anchorCtr="0">
                            <a:noAutofit/>
                          </wps:bodyPr>
                        </wps:wsp>
                      </wpg:grpSp>
                      <wpg:grpSp>
                        <wpg:cNvPr id="18" name="Group 18"/>
                        <wpg:cNvGrpSpPr/>
                        <wpg:grpSpPr>
                          <a:xfrm>
                            <a:off x="2181225" y="1676400"/>
                            <a:ext cx="2400300" cy="314325"/>
                            <a:chOff x="0" y="0"/>
                            <a:chExt cx="2400300" cy="314325"/>
                          </a:xfrm>
                        </wpg:grpSpPr>
                        <wps:wsp>
                          <wps:cNvPr id="19" name="Flowchart: Alternate Process 19"/>
                          <wps:cNvSpPr/>
                          <wps:spPr>
                            <a:xfrm>
                              <a:off x="0" y="0"/>
                              <a:ext cx="2400300" cy="3048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142875" y="9525"/>
                              <a:ext cx="2171700" cy="304800"/>
                            </a:xfrm>
                            <a:prstGeom prst="rect">
                              <a:avLst/>
                            </a:prstGeom>
                            <a:noFill/>
                            <a:ln w="9525">
                              <a:noFill/>
                              <a:miter lim="800000"/>
                              <a:headEnd/>
                              <a:tailEnd/>
                            </a:ln>
                          </wps:spPr>
                          <wps:txbx>
                            <w:txbxContent>
                              <w:p w14:paraId="3684E799" w14:textId="77777777" w:rsidR="00EA69B0" w:rsidRPr="00770274" w:rsidRDefault="00EA69B0" w:rsidP="00EA69B0">
                                <w:pPr>
                                  <w:bidi w:val="0"/>
                                  <w:rPr>
                                    <w:rFonts w:asciiTheme="majorBidi" w:hAnsiTheme="majorBidi" w:cstheme="majorBidi"/>
                                    <w:b/>
                                    <w:bCs/>
                                  </w:rPr>
                                </w:pPr>
                                <w:r w:rsidRPr="00770274">
                                  <w:rPr>
                                    <w:rFonts w:asciiTheme="majorBidi" w:hAnsiTheme="majorBidi" w:cstheme="majorBidi"/>
                                    <w:b/>
                                    <w:bCs/>
                                  </w:rPr>
                                  <w:t xml:space="preserve">Final Study Cohort- 131 patients </w:t>
                                </w:r>
                              </w:p>
                            </w:txbxContent>
                          </wps:txbx>
                          <wps:bodyPr rot="0" vert="horz" wrap="square" lIns="91440" tIns="45720" rIns="91440" bIns="45720" anchor="t" anchorCtr="0">
                            <a:noAutofit/>
                          </wps:bodyPr>
                        </wps:wsp>
                      </wpg:grpSp>
                      <wpg:grpSp>
                        <wpg:cNvPr id="21" name="Group 21"/>
                        <wpg:cNvGrpSpPr/>
                        <wpg:grpSpPr>
                          <a:xfrm>
                            <a:off x="5048250" y="1057275"/>
                            <a:ext cx="2162175" cy="1162050"/>
                            <a:chOff x="0" y="0"/>
                            <a:chExt cx="2162175" cy="1162050"/>
                          </a:xfrm>
                        </wpg:grpSpPr>
                        <wps:wsp>
                          <wps:cNvPr id="22" name="Flowchart: Process 22"/>
                          <wps:cNvSpPr/>
                          <wps:spPr>
                            <a:xfrm>
                              <a:off x="28575" y="0"/>
                              <a:ext cx="2133600" cy="11239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0" y="0"/>
                              <a:ext cx="2095500" cy="1162050"/>
                            </a:xfrm>
                            <a:prstGeom prst="rect">
                              <a:avLst/>
                            </a:prstGeom>
                            <a:noFill/>
                            <a:ln w="9525">
                              <a:noFill/>
                              <a:miter lim="800000"/>
                              <a:headEnd/>
                              <a:tailEnd/>
                            </a:ln>
                          </wps:spPr>
                          <wps:txbx>
                            <w:txbxContent>
                              <w:p w14:paraId="0CCCC7EF" w14:textId="77777777" w:rsidR="00EA69B0" w:rsidRDefault="00EA69B0" w:rsidP="00EA69B0">
                                <w:pPr>
                                  <w:bidi w:val="0"/>
                                  <w:spacing w:line="240" w:lineRule="auto"/>
                                  <w:rPr>
                                    <w:rFonts w:asciiTheme="majorBidi" w:hAnsiTheme="majorBidi" w:cstheme="majorBidi"/>
                                  </w:rPr>
                                </w:pPr>
                                <w:r>
                                  <w:rPr>
                                    <w:rFonts w:asciiTheme="majorBidi" w:hAnsiTheme="majorBidi" w:cstheme="majorBidi"/>
                                  </w:rPr>
                                  <w:t>Excluded: 46</w:t>
                                </w:r>
                              </w:p>
                              <w:p w14:paraId="271EE328" w14:textId="77777777" w:rsidR="00EA69B0" w:rsidRPr="009270AB" w:rsidRDefault="00EA69B0" w:rsidP="00EA69B0">
                                <w:pPr>
                                  <w:bidi w:val="0"/>
                                  <w:spacing w:line="240" w:lineRule="auto"/>
                                  <w:rPr>
                                    <w:rFonts w:asciiTheme="majorBidi" w:hAnsiTheme="majorBidi" w:cstheme="majorBidi"/>
                                  </w:rPr>
                                </w:pPr>
                                <w:r>
                                  <w:rPr>
                                    <w:rFonts w:asciiTheme="majorBidi" w:hAnsiTheme="majorBidi" w:cstheme="majorBidi"/>
                                  </w:rPr>
                                  <w:t>32: Missing preoperative Tg</w:t>
                                </w:r>
                              </w:p>
                              <w:p w14:paraId="66FD4C5F" w14:textId="77777777" w:rsidR="00EA69B0" w:rsidRDefault="00EA69B0" w:rsidP="00EA69B0">
                                <w:pPr>
                                  <w:bidi w:val="0"/>
                                  <w:spacing w:line="240" w:lineRule="auto"/>
                                  <w:rPr>
                                    <w:rFonts w:asciiTheme="majorBidi" w:hAnsiTheme="majorBidi" w:cstheme="majorBidi"/>
                                  </w:rPr>
                                </w:pPr>
                                <w:r>
                                  <w:rPr>
                                    <w:rFonts w:asciiTheme="majorBidi" w:hAnsiTheme="majorBidi" w:cstheme="majorBidi"/>
                                  </w:rPr>
                                  <w:t xml:space="preserve">4: Missing preoperative cytology </w:t>
                                </w:r>
                              </w:p>
                              <w:p w14:paraId="1E67C65C" w14:textId="77777777" w:rsidR="00EA69B0" w:rsidRPr="00165398" w:rsidRDefault="00EA69B0" w:rsidP="00EA69B0">
                                <w:pPr>
                                  <w:bidi w:val="0"/>
                                  <w:spacing w:line="240" w:lineRule="auto"/>
                                  <w:rPr>
                                    <w:rFonts w:asciiTheme="majorBidi" w:hAnsiTheme="majorBidi" w:cstheme="majorBidi"/>
                                  </w:rPr>
                                </w:pPr>
                                <w:r>
                                  <w:rPr>
                                    <w:rFonts w:asciiTheme="majorBidi" w:hAnsiTheme="majorBidi" w:cstheme="majorBidi"/>
                                  </w:rPr>
                                  <w:t>10: Missing preoperative imaging</w:t>
                                </w:r>
                              </w:p>
                            </w:txbxContent>
                          </wps:txbx>
                          <wps:bodyPr rot="0" vert="horz" wrap="square" lIns="91440" tIns="45720" rIns="91440" bIns="45720" anchor="t" anchorCtr="0">
                            <a:noAutofit/>
                          </wps:bodyPr>
                        </wps:wsp>
                      </wpg:grpSp>
                      <wpg:grpSp>
                        <wpg:cNvPr id="24" name="Group 24"/>
                        <wpg:cNvGrpSpPr/>
                        <wpg:grpSpPr>
                          <a:xfrm>
                            <a:off x="3657600" y="3371850"/>
                            <a:ext cx="1485900" cy="542925"/>
                            <a:chOff x="0" y="0"/>
                            <a:chExt cx="1419225" cy="523182"/>
                          </a:xfrm>
                        </wpg:grpSpPr>
                        <wps:wsp>
                          <wps:cNvPr id="25" name="Flowchart: Alternate Process 25"/>
                          <wps:cNvSpPr/>
                          <wps:spPr>
                            <a:xfrm>
                              <a:off x="38100" y="0"/>
                              <a:ext cx="1381125" cy="523182"/>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0" y="0"/>
                              <a:ext cx="1409700" cy="438150"/>
                            </a:xfrm>
                            <a:prstGeom prst="rect">
                              <a:avLst/>
                            </a:prstGeom>
                            <a:noFill/>
                            <a:ln w="9525">
                              <a:noFill/>
                              <a:miter lim="800000"/>
                              <a:headEnd/>
                              <a:tailEnd/>
                            </a:ln>
                          </wps:spPr>
                          <wps:txbx>
                            <w:txbxContent>
                              <w:p w14:paraId="1A827859" w14:textId="7977B7DD" w:rsidR="00EA69B0" w:rsidRPr="00165398" w:rsidRDefault="00EA69B0" w:rsidP="00EA69B0">
                                <w:pPr>
                                  <w:jc w:val="center"/>
                                  <w:rPr>
                                    <w:rFonts w:asciiTheme="majorBidi" w:hAnsiTheme="majorBidi" w:cstheme="majorBidi"/>
                                  </w:rPr>
                                </w:pPr>
                                <w:r w:rsidRPr="0096576E">
                                  <w:rPr>
                                    <w:rFonts w:asciiTheme="majorBidi" w:hAnsiTheme="majorBidi" w:cstheme="majorBidi"/>
                                  </w:rPr>
                                  <w:t>Final histology DTC 30 (48%)</w:t>
                                </w:r>
                              </w:p>
                            </w:txbxContent>
                          </wps:txbx>
                          <wps:bodyPr rot="0" vert="horz" wrap="square" lIns="91440" tIns="45720" rIns="91440" bIns="45720" anchor="t" anchorCtr="0">
                            <a:noAutofit/>
                          </wps:bodyPr>
                        </wps:wsp>
                      </wpg:grpSp>
                      <wpg:grpSp>
                        <wpg:cNvPr id="27" name="Group 27"/>
                        <wpg:cNvGrpSpPr/>
                        <wpg:grpSpPr>
                          <a:xfrm>
                            <a:off x="5210175" y="3371850"/>
                            <a:ext cx="1857375" cy="533400"/>
                            <a:chOff x="0" y="0"/>
                            <a:chExt cx="1733550" cy="504825"/>
                          </a:xfrm>
                        </wpg:grpSpPr>
                        <wps:wsp>
                          <wps:cNvPr id="28" name="Flowchart: Alternate Process 28"/>
                          <wps:cNvSpPr/>
                          <wps:spPr>
                            <a:xfrm>
                              <a:off x="66675" y="9525"/>
                              <a:ext cx="1600200" cy="4953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0" y="0"/>
                              <a:ext cx="1733550" cy="428625"/>
                            </a:xfrm>
                            <a:prstGeom prst="rect">
                              <a:avLst/>
                            </a:prstGeom>
                            <a:noFill/>
                            <a:ln w="9525">
                              <a:noFill/>
                              <a:miter lim="800000"/>
                              <a:headEnd/>
                              <a:tailEnd/>
                            </a:ln>
                          </wps:spPr>
                          <wps:txbx>
                            <w:txbxContent>
                              <w:p w14:paraId="7DBFBFB1" w14:textId="488231C5" w:rsidR="00EA69B0" w:rsidRPr="00165398" w:rsidRDefault="00EA69B0" w:rsidP="00EA69B0">
                                <w:pPr>
                                  <w:jc w:val="center"/>
                                  <w:rPr>
                                    <w:rFonts w:asciiTheme="majorBidi" w:hAnsiTheme="majorBidi" w:cstheme="majorBidi"/>
                                  </w:rPr>
                                </w:pPr>
                                <w:r w:rsidRPr="0096576E">
                                  <w:rPr>
                                    <w:rFonts w:asciiTheme="majorBidi" w:hAnsiTheme="majorBidi" w:cstheme="majorBidi"/>
                                  </w:rPr>
                                  <w:t xml:space="preserve">Final histology benign TN </w:t>
                                </w:r>
                                <w:r w:rsidR="001B21B6">
                                  <w:rPr>
                                    <w:rFonts w:asciiTheme="majorBidi" w:hAnsiTheme="majorBidi" w:cstheme="majorBidi" w:hint="cs"/>
                                    <w:rtl/>
                                  </w:rPr>
                                  <w:t xml:space="preserve"> </w:t>
                                </w:r>
                                <w:r w:rsidRPr="0096576E">
                                  <w:rPr>
                                    <w:rFonts w:asciiTheme="majorBidi" w:hAnsiTheme="majorBidi" w:cstheme="majorBidi"/>
                                  </w:rPr>
                                  <w:t>32 (52%)</w:t>
                                </w:r>
                              </w:p>
                            </w:txbxContent>
                          </wps:txbx>
                          <wps:bodyPr rot="0" vert="horz" wrap="square" lIns="91440" tIns="45720" rIns="91440" bIns="45720" anchor="t" anchorCtr="0">
                            <a:noAutofit/>
                          </wps:bodyPr>
                        </wps:wsp>
                      </wpg:grpSp>
                      <wpg:grpSp>
                        <wpg:cNvPr id="30" name="Group 30"/>
                        <wpg:cNvGrpSpPr/>
                        <wpg:grpSpPr>
                          <a:xfrm>
                            <a:off x="1219200" y="2295525"/>
                            <a:ext cx="1581150" cy="790575"/>
                            <a:chOff x="0" y="0"/>
                            <a:chExt cx="1581150" cy="790575"/>
                          </a:xfrm>
                        </wpg:grpSpPr>
                        <wps:wsp>
                          <wps:cNvPr id="31" name="Text Box 2"/>
                          <wps:cNvSpPr txBox="1">
                            <a:spLocks noChangeArrowheads="1"/>
                          </wps:cNvSpPr>
                          <wps:spPr bwMode="auto">
                            <a:xfrm>
                              <a:off x="0" y="9525"/>
                              <a:ext cx="1581150" cy="781050"/>
                            </a:xfrm>
                            <a:prstGeom prst="rect">
                              <a:avLst/>
                            </a:prstGeom>
                            <a:noFill/>
                            <a:ln w="9525">
                              <a:noFill/>
                              <a:miter lim="800000"/>
                              <a:headEnd/>
                              <a:tailEnd/>
                            </a:ln>
                          </wps:spPr>
                          <wps:txbx>
                            <w:txbxContent>
                              <w:p w14:paraId="2442FC5A" w14:textId="77777777" w:rsidR="00EA69B0" w:rsidRPr="0096576E" w:rsidRDefault="00EA69B0" w:rsidP="00EA69B0">
                                <w:pPr>
                                  <w:jc w:val="center"/>
                                  <w:rPr>
                                    <w:rFonts w:asciiTheme="majorBidi" w:hAnsiTheme="majorBidi" w:cstheme="majorBidi"/>
                                  </w:rPr>
                                </w:pPr>
                                <w:r w:rsidRPr="0096576E">
                                  <w:rPr>
                                    <w:rFonts w:asciiTheme="majorBidi" w:hAnsiTheme="majorBidi" w:cstheme="majorBidi"/>
                                  </w:rPr>
                                  <w:t>Group 1: 69 patients</w:t>
                                </w:r>
                              </w:p>
                              <w:p w14:paraId="38D7CF21" w14:textId="77777777" w:rsidR="00EA69B0" w:rsidRPr="00165398" w:rsidRDefault="00EA69B0" w:rsidP="00EA69B0">
                                <w:pPr>
                                  <w:jc w:val="center"/>
                                  <w:rPr>
                                    <w:rFonts w:asciiTheme="majorBidi" w:hAnsiTheme="majorBidi" w:cstheme="majorBidi"/>
                                  </w:rPr>
                                </w:pPr>
                                <w:r w:rsidRPr="0096576E">
                                  <w:rPr>
                                    <w:rFonts w:asciiTheme="majorBidi" w:hAnsiTheme="majorBidi" w:cstheme="majorBidi"/>
                                  </w:rPr>
                                  <w:t>Pre-operative diagnosis of benign MNG</w:t>
                                </w:r>
                              </w:p>
                            </w:txbxContent>
                          </wps:txbx>
                          <wps:bodyPr rot="0" vert="horz" wrap="square" lIns="91440" tIns="45720" rIns="91440" bIns="45720" anchor="t" anchorCtr="0">
                            <a:noAutofit/>
                          </wps:bodyPr>
                        </wps:wsp>
                        <wps:wsp>
                          <wps:cNvPr id="32" name="Flowchart: Alternate Process 32"/>
                          <wps:cNvSpPr/>
                          <wps:spPr>
                            <a:xfrm>
                              <a:off x="19050" y="0"/>
                              <a:ext cx="1543050" cy="7905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3990975" y="2295525"/>
                            <a:ext cx="1552575" cy="819150"/>
                            <a:chOff x="0" y="0"/>
                            <a:chExt cx="1552575" cy="819150"/>
                          </a:xfrm>
                        </wpg:grpSpPr>
                        <wps:wsp>
                          <wps:cNvPr id="34" name="Text Box 2"/>
                          <wps:cNvSpPr txBox="1">
                            <a:spLocks noChangeArrowheads="1"/>
                          </wps:cNvSpPr>
                          <wps:spPr bwMode="auto">
                            <a:xfrm>
                              <a:off x="0" y="28575"/>
                              <a:ext cx="1533525" cy="733425"/>
                            </a:xfrm>
                            <a:prstGeom prst="rect">
                              <a:avLst/>
                            </a:prstGeom>
                            <a:noFill/>
                            <a:ln w="9525">
                              <a:noFill/>
                              <a:miter lim="800000"/>
                              <a:headEnd/>
                              <a:tailEnd/>
                            </a:ln>
                          </wps:spPr>
                          <wps:txbx>
                            <w:txbxContent>
                              <w:p w14:paraId="798E6DC1" w14:textId="77777777" w:rsidR="00EA69B0" w:rsidRPr="0096576E" w:rsidRDefault="00EA69B0" w:rsidP="00EA69B0">
                                <w:pPr>
                                  <w:jc w:val="center"/>
                                  <w:rPr>
                                    <w:rFonts w:asciiTheme="majorBidi" w:hAnsiTheme="majorBidi" w:cstheme="majorBidi"/>
                                  </w:rPr>
                                </w:pPr>
                                <w:r w:rsidRPr="0096576E">
                                  <w:rPr>
                                    <w:rFonts w:asciiTheme="majorBidi" w:hAnsiTheme="majorBidi" w:cstheme="majorBidi"/>
                                  </w:rPr>
                                  <w:t>Group 2: 62 patients</w:t>
                                </w:r>
                              </w:p>
                              <w:p w14:paraId="68158BC2" w14:textId="77777777" w:rsidR="00EA69B0" w:rsidRPr="00165398" w:rsidRDefault="00EA69B0" w:rsidP="00EA69B0">
                                <w:pPr>
                                  <w:jc w:val="center"/>
                                  <w:rPr>
                                    <w:rFonts w:asciiTheme="majorBidi" w:hAnsiTheme="majorBidi" w:cstheme="majorBidi"/>
                                  </w:rPr>
                                </w:pPr>
                                <w:r w:rsidRPr="0096576E">
                                  <w:rPr>
                                    <w:rFonts w:asciiTheme="majorBidi" w:hAnsiTheme="majorBidi" w:cstheme="majorBidi"/>
                                  </w:rPr>
                                  <w:t>Pre-operative diagnosis of TN with INC</w:t>
                                </w:r>
                              </w:p>
                            </w:txbxContent>
                          </wps:txbx>
                          <wps:bodyPr rot="0" vert="horz" wrap="square" lIns="91440" tIns="45720" rIns="91440" bIns="45720" anchor="t" anchorCtr="0">
                            <a:noAutofit/>
                          </wps:bodyPr>
                        </wps:wsp>
                        <wps:wsp>
                          <wps:cNvPr id="35" name="Flowchart: Alternate Process 35"/>
                          <wps:cNvSpPr/>
                          <wps:spPr>
                            <a:xfrm>
                              <a:off x="0" y="0"/>
                              <a:ext cx="1552575" cy="8191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oup 36"/>
                        <wpg:cNvGrpSpPr/>
                        <wpg:grpSpPr>
                          <a:xfrm>
                            <a:off x="0" y="3371850"/>
                            <a:ext cx="1409700" cy="561975"/>
                            <a:chOff x="0" y="0"/>
                            <a:chExt cx="1409700" cy="523875"/>
                          </a:xfrm>
                        </wpg:grpSpPr>
                        <wps:wsp>
                          <wps:cNvPr id="37" name="Text Box 2"/>
                          <wps:cNvSpPr txBox="1">
                            <a:spLocks noChangeArrowheads="1"/>
                          </wps:cNvSpPr>
                          <wps:spPr bwMode="auto">
                            <a:xfrm>
                              <a:off x="0" y="28575"/>
                              <a:ext cx="1409700" cy="419100"/>
                            </a:xfrm>
                            <a:prstGeom prst="rect">
                              <a:avLst/>
                            </a:prstGeom>
                            <a:noFill/>
                            <a:ln w="9525">
                              <a:noFill/>
                              <a:miter lim="800000"/>
                              <a:headEnd/>
                              <a:tailEnd/>
                            </a:ln>
                          </wps:spPr>
                          <wps:txbx>
                            <w:txbxContent>
                              <w:p w14:paraId="0A4078F1" w14:textId="3DE33426" w:rsidR="00EA69B0" w:rsidRPr="00165398" w:rsidRDefault="00EA69B0" w:rsidP="00EA69B0">
                                <w:pPr>
                                  <w:jc w:val="center"/>
                                  <w:rPr>
                                    <w:rFonts w:asciiTheme="majorBidi" w:hAnsiTheme="majorBidi" w:cstheme="majorBidi"/>
                                  </w:rPr>
                                </w:pPr>
                                <w:r w:rsidRPr="0096576E">
                                  <w:rPr>
                                    <w:rFonts w:asciiTheme="majorBidi" w:hAnsiTheme="majorBidi" w:cstheme="majorBidi"/>
                                  </w:rPr>
                                  <w:t>Final histology DTC 18 (26%)</w:t>
                                </w:r>
                              </w:p>
                            </w:txbxContent>
                          </wps:txbx>
                          <wps:bodyPr rot="0" vert="horz" wrap="square" lIns="91440" tIns="45720" rIns="91440" bIns="45720" anchor="t" anchorCtr="0">
                            <a:noAutofit/>
                          </wps:bodyPr>
                        </wps:wsp>
                        <wps:wsp>
                          <wps:cNvPr id="38" name="Flowchart: Alternate Process 38"/>
                          <wps:cNvSpPr/>
                          <wps:spPr>
                            <a:xfrm>
                              <a:off x="19050" y="0"/>
                              <a:ext cx="1352550" cy="523875"/>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1466850" y="3371850"/>
                            <a:ext cx="1895475" cy="552450"/>
                            <a:chOff x="-1" y="0"/>
                            <a:chExt cx="1895475" cy="552450"/>
                          </a:xfrm>
                        </wpg:grpSpPr>
                        <wps:wsp>
                          <wps:cNvPr id="40" name="Text Box 2"/>
                          <wps:cNvSpPr txBox="1">
                            <a:spLocks noChangeArrowheads="1"/>
                          </wps:cNvSpPr>
                          <wps:spPr bwMode="auto">
                            <a:xfrm>
                              <a:off x="-1" y="28575"/>
                              <a:ext cx="1895475" cy="457200"/>
                            </a:xfrm>
                            <a:prstGeom prst="rect">
                              <a:avLst/>
                            </a:prstGeom>
                            <a:noFill/>
                            <a:ln w="9525">
                              <a:noFill/>
                              <a:miter lim="800000"/>
                              <a:headEnd/>
                              <a:tailEnd/>
                            </a:ln>
                          </wps:spPr>
                          <wps:txbx>
                            <w:txbxContent>
                              <w:p w14:paraId="6A7E66C3" w14:textId="0A31078B" w:rsidR="00EA69B0" w:rsidRPr="00165398" w:rsidRDefault="00EA69B0" w:rsidP="00EA69B0">
                                <w:pPr>
                                  <w:jc w:val="center"/>
                                  <w:rPr>
                                    <w:rFonts w:asciiTheme="majorBidi" w:hAnsiTheme="majorBidi" w:cstheme="majorBidi"/>
                                  </w:rPr>
                                </w:pPr>
                                <w:r w:rsidRPr="0096576E">
                                  <w:rPr>
                                    <w:rFonts w:asciiTheme="majorBidi" w:hAnsiTheme="majorBidi" w:cstheme="majorBidi"/>
                                  </w:rPr>
                                  <w:t>Final histology benign MNG 51 (74%)</w:t>
                                </w:r>
                              </w:p>
                            </w:txbxContent>
                          </wps:txbx>
                          <wps:bodyPr rot="0" vert="horz" wrap="square" lIns="91440" tIns="45720" rIns="91440" bIns="45720" anchor="t" anchorCtr="0">
                            <a:noAutofit/>
                          </wps:bodyPr>
                        </wps:wsp>
                        <wps:wsp>
                          <wps:cNvPr id="41" name="Flowchart: Alternate Process 41"/>
                          <wps:cNvSpPr/>
                          <wps:spPr>
                            <a:xfrm>
                              <a:off x="38100" y="0"/>
                              <a:ext cx="1838324" cy="5524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Straight Arrow Connector 42"/>
                        <wps:cNvCnPr/>
                        <wps:spPr>
                          <a:xfrm>
                            <a:off x="3305175" y="962025"/>
                            <a:ext cx="952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a:off x="2457450" y="198120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a:off x="4305300" y="1990725"/>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V="1">
                            <a:off x="3324225" y="1285875"/>
                            <a:ext cx="1752600"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flipH="1">
                            <a:off x="1171575" y="3086100"/>
                            <a:ext cx="2286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2247900" y="308610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4591050" y="312420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a:off x="5362575" y="3124200"/>
                            <a:ext cx="2095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Text Box 2"/>
                        <wps:cNvSpPr txBox="1">
                          <a:spLocks noChangeArrowheads="1"/>
                        </wps:cNvSpPr>
                        <wps:spPr bwMode="auto">
                          <a:xfrm>
                            <a:off x="0" y="4476750"/>
                            <a:ext cx="7240772" cy="485775"/>
                          </a:xfrm>
                          <a:prstGeom prst="rect">
                            <a:avLst/>
                          </a:prstGeom>
                          <a:solidFill>
                            <a:srgbClr val="FFFFFF"/>
                          </a:solidFill>
                          <a:ln w="9525">
                            <a:solidFill>
                              <a:srgbClr val="000000"/>
                            </a:solidFill>
                            <a:miter lim="800000"/>
                            <a:headEnd/>
                            <a:tailEnd/>
                          </a:ln>
                        </wps:spPr>
                        <wps:txbx>
                          <w:txbxContent>
                            <w:p w14:paraId="42B2AD58" w14:textId="77777777" w:rsidR="00EA69B0" w:rsidRPr="009774E8" w:rsidRDefault="00EA69B0" w:rsidP="00EA69B0">
                              <w:pPr>
                                <w:bidi w:val="0"/>
                                <w:rPr>
                                  <w:rFonts w:asciiTheme="majorBidi" w:hAnsiTheme="majorBidi" w:cstheme="majorBidi"/>
                                </w:rPr>
                              </w:pPr>
                              <w:r w:rsidRPr="009774E8">
                                <w:rPr>
                                  <w:rFonts w:asciiTheme="majorBidi" w:hAnsiTheme="majorBidi" w:cstheme="majorBidi"/>
                                  <w:b/>
                                  <w:bCs/>
                                </w:rPr>
                                <w:t>Abbreviations</w:t>
                              </w:r>
                              <w:r w:rsidRPr="009774E8">
                                <w:rPr>
                                  <w:rFonts w:asciiTheme="majorBidi" w:hAnsiTheme="majorBidi" w:cstheme="majorBidi"/>
                                </w:rPr>
                                <w:t>: MNG- multinodular goiter</w:t>
                              </w:r>
                              <w:r>
                                <w:rPr>
                                  <w:rFonts w:asciiTheme="majorBidi" w:hAnsiTheme="majorBidi" w:cstheme="majorBidi"/>
                                </w:rPr>
                                <w:t>,</w:t>
                              </w:r>
                              <w:r w:rsidRPr="009774E8">
                                <w:rPr>
                                  <w:rFonts w:asciiTheme="majorBidi" w:hAnsiTheme="majorBidi" w:cstheme="majorBidi"/>
                                </w:rPr>
                                <w:t xml:space="preserve"> INC- indeterminate cytology, Tg- thyroglobulin, TN- thyroid nodule</w:t>
                              </w:r>
                              <w:r>
                                <w:rPr>
                                  <w:rFonts w:asciiTheme="majorBidi" w:hAnsiTheme="majorBidi" w:cstheme="majorBidi"/>
                                </w:rPr>
                                <w:t>,</w:t>
                              </w:r>
                              <w:r w:rsidRPr="009774E8">
                                <w:rPr>
                                  <w:rFonts w:asciiTheme="majorBidi" w:hAnsiTheme="majorBidi" w:cstheme="majorBidi"/>
                                </w:rPr>
                                <w:t xml:space="preserve"> DTC- differentiated thyroid carcinoma.</w:t>
                              </w:r>
                            </w:p>
                          </w:txbxContent>
                        </wps:txbx>
                        <wps:bodyPr rot="0" vert="horz" wrap="square" lIns="91440" tIns="45720" rIns="91440" bIns="45720" anchor="t" anchorCtr="0">
                          <a:noAutofit/>
                        </wps:bodyPr>
                      </wps:wsp>
                      <wps:wsp>
                        <wps:cNvPr id="51" name="Text Box 2"/>
                        <wps:cNvSpPr txBox="1">
                          <a:spLocks noChangeArrowheads="1"/>
                        </wps:cNvSpPr>
                        <wps:spPr bwMode="auto">
                          <a:xfrm>
                            <a:off x="0" y="4143375"/>
                            <a:ext cx="7240772" cy="314325"/>
                          </a:xfrm>
                          <a:prstGeom prst="rect">
                            <a:avLst/>
                          </a:prstGeom>
                          <a:solidFill>
                            <a:schemeClr val="bg2"/>
                          </a:solidFill>
                          <a:ln w="9525">
                            <a:noFill/>
                            <a:miter lim="800000"/>
                            <a:headEnd/>
                            <a:tailEnd/>
                          </a:ln>
                        </wps:spPr>
                        <wps:txbx>
                          <w:txbxContent>
                            <w:p w14:paraId="2E7DD3E7" w14:textId="77777777" w:rsidR="00EA69B0" w:rsidRPr="009774E8" w:rsidRDefault="00EA69B0" w:rsidP="00EA69B0">
                              <w:pPr>
                                <w:shd w:val="clear" w:color="auto" w:fill="E7E6E6" w:themeFill="background2"/>
                                <w:bidi w:val="0"/>
                                <w:rPr>
                                  <w:rFonts w:asciiTheme="majorBidi" w:hAnsiTheme="majorBidi" w:cstheme="majorBidi"/>
                                </w:rPr>
                              </w:pPr>
                              <w:r>
                                <w:rPr>
                                  <w:rFonts w:asciiTheme="majorBidi" w:hAnsiTheme="majorBidi" w:cstheme="majorBidi"/>
                                  <w:b/>
                                  <w:bCs/>
                                </w:rPr>
                                <w:t xml:space="preserve">Figure 1. </w:t>
                              </w:r>
                              <w:r>
                                <w:rPr>
                                  <w:rFonts w:asciiTheme="majorBidi" w:hAnsiTheme="majorBidi" w:cstheme="majorBidi"/>
                                </w:rPr>
                                <w:t>Flowchart summarizing study design, population selection and exclusion.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D1B355A" id="Group 13" o:spid="_x0000_s1026" style="position:absolute;left:0;text-align:left;margin-left:-54.45pt;margin-top:30.4pt;width:570.1pt;height:390.75pt;z-index:251676672;mso-width-relative:margin" coordsize="72407,4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">
                <v:group id="Group 15" o:spid="_x0000_s1027" style="position:absolute;left:17049;width:34862;height:9525" coordsize="3486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28" type="#_x0000_t176" style="position:absolute;width:34861;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2" o:spid="_x0000_s1029" type="#_x0000_t202" style="position:absolute;left:285;top:381;width:3390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1A4FC" w14:textId="77777777" w:rsidR="00EA69B0" w:rsidRPr="00770274" w:rsidRDefault="00EA69B0" w:rsidP="00EA69B0">
                          <w:pPr>
                            <w:rPr>
                              <w:rFonts w:asciiTheme="majorBidi" w:hAnsiTheme="majorBidi" w:cstheme="majorBidi"/>
                            </w:rPr>
                          </w:pPr>
                          <w:r w:rsidRPr="00770274">
                            <w:rPr>
                              <w:rFonts w:asciiTheme="majorBidi" w:hAnsiTheme="majorBidi" w:cstheme="majorBidi"/>
                            </w:rPr>
                            <w:t>177 patients were operated for the following indications:</w:t>
                          </w:r>
                        </w:p>
                        <w:p w14:paraId="4F531956" w14:textId="77777777" w:rsidR="00EA69B0" w:rsidRPr="00770274" w:rsidRDefault="00EA69B0" w:rsidP="00EA69B0">
                          <w:pPr>
                            <w:numPr>
                              <w:ilvl w:val="0"/>
                              <w:numId w:val="6"/>
                            </w:numPr>
                            <w:bidi w:val="0"/>
                            <w:spacing w:after="160" w:line="259" w:lineRule="auto"/>
                            <w:rPr>
                              <w:rFonts w:asciiTheme="majorBidi" w:hAnsiTheme="majorBidi" w:cstheme="majorBidi"/>
                            </w:rPr>
                          </w:pPr>
                          <w:r w:rsidRPr="00770274">
                            <w:rPr>
                              <w:rFonts w:asciiTheme="majorBidi" w:hAnsiTheme="majorBidi" w:cstheme="majorBidi"/>
                            </w:rPr>
                            <w:t>Pre-operative diagnosis of benign MNG</w:t>
                          </w:r>
                        </w:p>
                        <w:p w14:paraId="41FFC9A7" w14:textId="77777777" w:rsidR="00EA69B0" w:rsidRPr="00770274" w:rsidRDefault="00EA69B0" w:rsidP="00EA69B0">
                          <w:pPr>
                            <w:numPr>
                              <w:ilvl w:val="0"/>
                              <w:numId w:val="6"/>
                            </w:numPr>
                            <w:bidi w:val="0"/>
                            <w:spacing w:after="160" w:line="259" w:lineRule="auto"/>
                            <w:rPr>
                              <w:rFonts w:asciiTheme="majorBidi" w:hAnsiTheme="majorBidi" w:cstheme="majorBidi"/>
                            </w:rPr>
                          </w:pPr>
                          <w:r w:rsidRPr="00770274">
                            <w:rPr>
                              <w:rFonts w:asciiTheme="majorBidi" w:hAnsiTheme="majorBidi" w:cstheme="majorBidi"/>
                            </w:rPr>
                            <w:t>A thyroid nodule with INC</w:t>
                          </w:r>
                        </w:p>
                      </w:txbxContent>
                    </v:textbox>
                  </v:shape>
                </v:group>
                <v:group id="Group 18" o:spid="_x0000_s1030" style="position:absolute;left:21812;top:16764;width:24003;height:3143" coordsize="2400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owchart: Alternate Process 19" o:spid="_x0000_s1031" type="#_x0000_t176" style="position:absolute;width:240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" filled="f" strokecolor="black [3213]" strokeweight="1pt"/>
                  <v:shape id="Text Box 2" o:spid="_x0000_s1032" type="#_x0000_t202" style="position:absolute;left:1428;top:95;width:217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684E799" w14:textId="77777777" w:rsidR="00EA69B0" w:rsidRPr="00770274" w:rsidRDefault="00EA69B0" w:rsidP="00EA69B0">
                          <w:pPr>
                            <w:bidi w:val="0"/>
                            <w:rPr>
                              <w:rFonts w:asciiTheme="majorBidi" w:hAnsiTheme="majorBidi" w:cstheme="majorBidi"/>
                              <w:b/>
                              <w:bCs/>
                            </w:rPr>
                          </w:pPr>
                          <w:r w:rsidRPr="00770274">
                            <w:rPr>
                              <w:rFonts w:asciiTheme="majorBidi" w:hAnsiTheme="majorBidi" w:cstheme="majorBidi"/>
                              <w:b/>
                              <w:bCs/>
                            </w:rPr>
                            <w:t xml:space="preserve">Final Study Cohort- 131 patients </w:t>
                          </w:r>
                        </w:p>
                      </w:txbxContent>
                    </v:textbox>
                  </v:shape>
                </v:group>
                <v:group id="Group 21" o:spid="_x0000_s1033" style="position:absolute;left:50482;top:10572;width:21622;height:11621" coordsize="21621,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109" coordsize="21600,21600" o:spt="109" path="m,l,21600r21600,l21600,xe">
                    <v:stroke joinstyle="miter"/>
                    <v:path gradientshapeok="t" o:connecttype="rect"/>
                  </v:shapetype>
                  <v:shape id="Flowchart: Process 22" o:spid="_x0000_s1034" type="#_x0000_t109" style="position:absolute;left:285;width:21336;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" filled="f" strokecolor="black [3213]" strokeweight="1pt"/>
                  <v:shape id="Text Box 2" o:spid="_x0000_s1035" type="#_x0000_t202" style="position:absolute;width:20955;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CC7EF" w14:textId="77777777" w:rsidR="00EA69B0" w:rsidRDefault="00EA69B0" w:rsidP="00EA69B0">
                          <w:pPr>
                            <w:bidi w:val="0"/>
                            <w:spacing w:line="240" w:lineRule="auto"/>
                            <w:rPr>
                              <w:rFonts w:asciiTheme="majorBidi" w:hAnsiTheme="majorBidi" w:cstheme="majorBidi"/>
                            </w:rPr>
                          </w:pPr>
                          <w:r>
                            <w:rPr>
                              <w:rFonts w:asciiTheme="majorBidi" w:hAnsiTheme="majorBidi" w:cstheme="majorBidi"/>
                            </w:rPr>
                            <w:t>Excluded: 46</w:t>
                          </w:r>
                        </w:p>
                        <w:p w14:paraId="271EE328" w14:textId="77777777" w:rsidR="00EA69B0" w:rsidRPr="009270AB" w:rsidRDefault="00EA69B0" w:rsidP="00EA69B0">
                          <w:pPr>
                            <w:bidi w:val="0"/>
                            <w:spacing w:line="240" w:lineRule="auto"/>
                            <w:rPr>
                              <w:rFonts w:asciiTheme="majorBidi" w:hAnsiTheme="majorBidi" w:cstheme="majorBidi"/>
                            </w:rPr>
                          </w:pPr>
                          <w:r>
                            <w:rPr>
                              <w:rFonts w:asciiTheme="majorBidi" w:hAnsiTheme="majorBidi" w:cstheme="majorBidi"/>
                            </w:rPr>
                            <w:t>32: Missing preoperative Tg</w:t>
                          </w:r>
                        </w:p>
                        <w:p w14:paraId="66FD4C5F" w14:textId="77777777" w:rsidR="00EA69B0" w:rsidRDefault="00EA69B0" w:rsidP="00EA69B0">
                          <w:pPr>
                            <w:bidi w:val="0"/>
                            <w:spacing w:line="240" w:lineRule="auto"/>
                            <w:rPr>
                              <w:rFonts w:asciiTheme="majorBidi" w:hAnsiTheme="majorBidi" w:cstheme="majorBidi"/>
                            </w:rPr>
                          </w:pPr>
                          <w:r>
                            <w:rPr>
                              <w:rFonts w:asciiTheme="majorBidi" w:hAnsiTheme="majorBidi" w:cstheme="majorBidi"/>
                            </w:rPr>
                            <w:t xml:space="preserve">4: Missing preoperative cytology </w:t>
                          </w:r>
                        </w:p>
                        <w:p w14:paraId="1E67C65C" w14:textId="77777777" w:rsidR="00EA69B0" w:rsidRPr="00165398" w:rsidRDefault="00EA69B0" w:rsidP="00EA69B0">
                          <w:pPr>
                            <w:bidi w:val="0"/>
                            <w:spacing w:line="240" w:lineRule="auto"/>
                            <w:rPr>
                              <w:rFonts w:asciiTheme="majorBidi" w:hAnsiTheme="majorBidi" w:cstheme="majorBidi"/>
                            </w:rPr>
                          </w:pPr>
                          <w:r>
                            <w:rPr>
                              <w:rFonts w:asciiTheme="majorBidi" w:hAnsiTheme="majorBidi" w:cstheme="majorBidi"/>
                            </w:rPr>
                            <w:t>10: Missing preoperative imaging</w:t>
                          </w:r>
                        </w:p>
                      </w:txbxContent>
                    </v:textbox>
                  </v:shape>
                </v:group>
                <v:group id="Group 24" o:spid="_x0000_s1036" style="position:absolute;left:36576;top:33718;width:14859;height:5429" coordsize="1419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lowchart: Alternate Process 25" o:spid="_x0000_s1037" type="#_x0000_t176" style="position:absolute;left:381;width:13811;height:5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" filled="f" strokecolor="black [3213]" strokeweight="1pt"/>
                  <v:shape id="Text Box 2" o:spid="_x0000_s1038" type="#_x0000_t202" style="position:absolute;width:14097;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A827859" w14:textId="7977B7DD" w:rsidR="00EA69B0" w:rsidRPr="00165398" w:rsidRDefault="00EA69B0" w:rsidP="00EA69B0">
                          <w:pPr>
                            <w:jc w:val="center"/>
                            <w:rPr>
                              <w:rFonts w:asciiTheme="majorBidi" w:hAnsiTheme="majorBidi" w:cstheme="majorBidi"/>
                            </w:rPr>
                          </w:pPr>
                          <w:r w:rsidRPr="0096576E">
                            <w:rPr>
                              <w:rFonts w:asciiTheme="majorBidi" w:hAnsiTheme="majorBidi" w:cstheme="majorBidi"/>
                            </w:rPr>
                            <w:t>Final histology DTC 30 (48%)</w:t>
                          </w:r>
                        </w:p>
                      </w:txbxContent>
                    </v:textbox>
                  </v:shape>
                </v:group>
                <v:group id="Group 27" o:spid="_x0000_s1039" style="position:absolute;left:52101;top:33718;width:18574;height:5334" coordsize="17335,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lowchart: Alternate Process 28" o:spid="_x0000_s1040" type="#_x0000_t176" style="position:absolute;left:666;top:95;width:1600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" filled="f" strokecolor="black [3213]" strokeweight="1pt"/>
                  <v:shape id="Text Box 2" o:spid="_x0000_s1041" type="#_x0000_t202" style="position:absolute;width:1733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DBFBFB1" w14:textId="488231C5" w:rsidR="00EA69B0" w:rsidRPr="00165398" w:rsidRDefault="00EA69B0" w:rsidP="00EA69B0">
                          <w:pPr>
                            <w:jc w:val="center"/>
                            <w:rPr>
                              <w:rFonts w:asciiTheme="majorBidi" w:hAnsiTheme="majorBidi" w:cstheme="majorBidi"/>
                            </w:rPr>
                          </w:pPr>
                          <w:r w:rsidRPr="0096576E">
                            <w:rPr>
                              <w:rFonts w:asciiTheme="majorBidi" w:hAnsiTheme="majorBidi" w:cstheme="majorBidi"/>
                            </w:rPr>
                            <w:t xml:space="preserve">Final histology benign TN </w:t>
                          </w:r>
                          <w:r w:rsidR="001B21B6">
                            <w:rPr>
                              <w:rFonts w:asciiTheme="majorBidi" w:hAnsiTheme="majorBidi" w:cstheme="majorBidi" w:hint="cs"/>
                              <w:rtl/>
                            </w:rPr>
                            <w:t xml:space="preserve"> </w:t>
                          </w:r>
                          <w:r w:rsidRPr="0096576E">
                            <w:rPr>
                              <w:rFonts w:asciiTheme="majorBidi" w:hAnsiTheme="majorBidi" w:cstheme="majorBidi"/>
                            </w:rPr>
                            <w:t>32 (52%)</w:t>
                          </w:r>
                        </w:p>
                      </w:txbxContent>
                    </v:textbox>
                  </v:shape>
                </v:group>
                <v:group id="Group 30" o:spid="_x0000_s1042" style="position:absolute;left:12192;top:22955;width:15811;height:7906" coordsize="1581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43" type="#_x0000_t202" style="position:absolute;top:95;width:1581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442FC5A" w14:textId="77777777" w:rsidR="00EA69B0" w:rsidRPr="0096576E" w:rsidRDefault="00EA69B0" w:rsidP="00EA69B0">
                          <w:pPr>
                            <w:jc w:val="center"/>
                            <w:rPr>
                              <w:rFonts w:asciiTheme="majorBidi" w:hAnsiTheme="majorBidi" w:cstheme="majorBidi"/>
                            </w:rPr>
                          </w:pPr>
                          <w:r w:rsidRPr="0096576E">
                            <w:rPr>
                              <w:rFonts w:asciiTheme="majorBidi" w:hAnsiTheme="majorBidi" w:cstheme="majorBidi"/>
                            </w:rPr>
                            <w:t>Group 1: 69 patients</w:t>
                          </w:r>
                        </w:p>
                        <w:p w14:paraId="38D7CF21" w14:textId="77777777" w:rsidR="00EA69B0" w:rsidRPr="00165398" w:rsidRDefault="00EA69B0" w:rsidP="00EA69B0">
                          <w:pPr>
                            <w:jc w:val="center"/>
                            <w:rPr>
                              <w:rFonts w:asciiTheme="majorBidi" w:hAnsiTheme="majorBidi" w:cstheme="majorBidi"/>
                            </w:rPr>
                          </w:pPr>
                          <w:r w:rsidRPr="0096576E">
                            <w:rPr>
                              <w:rFonts w:asciiTheme="majorBidi" w:hAnsiTheme="majorBidi" w:cstheme="majorBidi"/>
                            </w:rPr>
                            <w:t>Pre-operative diagnosis of benign MNG</w:t>
                          </w:r>
                        </w:p>
                      </w:txbxContent>
                    </v:textbox>
                  </v:shape>
                  <v:shape id="Flowchart: Alternate Process 32" o:spid="_x0000_s1044" type="#_x0000_t176" style="position:absolute;left:190;width:15431;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" filled="f" strokecolor="black [3213]" strokeweight="1pt"/>
                </v:group>
                <v:group id="Group 33" o:spid="_x0000_s1045" style="position:absolute;left:39909;top:22955;width:15526;height:8191" coordsize="15525,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2" o:spid="_x0000_s1046" type="#_x0000_t202" style="position:absolute;top:285;width:15335;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98E6DC1" w14:textId="77777777" w:rsidR="00EA69B0" w:rsidRPr="0096576E" w:rsidRDefault="00EA69B0" w:rsidP="00EA69B0">
                          <w:pPr>
                            <w:jc w:val="center"/>
                            <w:rPr>
                              <w:rFonts w:asciiTheme="majorBidi" w:hAnsiTheme="majorBidi" w:cstheme="majorBidi"/>
                            </w:rPr>
                          </w:pPr>
                          <w:r w:rsidRPr="0096576E">
                            <w:rPr>
                              <w:rFonts w:asciiTheme="majorBidi" w:hAnsiTheme="majorBidi" w:cstheme="majorBidi"/>
                            </w:rPr>
                            <w:t>Group 2: 62 patients</w:t>
                          </w:r>
                        </w:p>
                        <w:p w14:paraId="68158BC2" w14:textId="77777777" w:rsidR="00EA69B0" w:rsidRPr="00165398" w:rsidRDefault="00EA69B0" w:rsidP="00EA69B0">
                          <w:pPr>
                            <w:jc w:val="center"/>
                            <w:rPr>
                              <w:rFonts w:asciiTheme="majorBidi" w:hAnsiTheme="majorBidi" w:cstheme="majorBidi"/>
                            </w:rPr>
                          </w:pPr>
                          <w:r w:rsidRPr="0096576E">
                            <w:rPr>
                              <w:rFonts w:asciiTheme="majorBidi" w:hAnsiTheme="majorBidi" w:cstheme="majorBidi"/>
                            </w:rPr>
                            <w:t>Pre-operative diagnosis of TN with INC</w:t>
                          </w:r>
                        </w:p>
                      </w:txbxContent>
                    </v:textbox>
                  </v:shape>
                  <v:shape id="Flowchart: Alternate Process 35" o:spid="_x0000_s1047" type="#_x0000_t176" style="position:absolute;width:1552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" filled="f" strokecolor="black [3213]" strokeweight="1pt"/>
                </v:group>
                <v:group id="Group 36" o:spid="_x0000_s1048" style="position:absolute;top:33718;width:14097;height:5620" coordsize="14097,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2" o:spid="_x0000_s1049" type="#_x0000_t202" style="position:absolute;top:285;width:1409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A4078F1" w14:textId="3DE33426" w:rsidR="00EA69B0" w:rsidRPr="00165398" w:rsidRDefault="00EA69B0" w:rsidP="00EA69B0">
                          <w:pPr>
                            <w:jc w:val="center"/>
                            <w:rPr>
                              <w:rFonts w:asciiTheme="majorBidi" w:hAnsiTheme="majorBidi" w:cstheme="majorBidi"/>
                            </w:rPr>
                          </w:pPr>
                          <w:r w:rsidRPr="0096576E">
                            <w:rPr>
                              <w:rFonts w:asciiTheme="majorBidi" w:hAnsiTheme="majorBidi" w:cstheme="majorBidi"/>
                            </w:rPr>
                            <w:t>Final histology DTC 18 (26%)</w:t>
                          </w:r>
                        </w:p>
                      </w:txbxContent>
                    </v:textbox>
                  </v:shape>
                  <v:shape id="Flowchart: Alternate Process 38" o:spid="_x0000_s1050" type="#_x0000_t176" style="position:absolute;left:190;width:13526;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" filled="f" strokecolor="black [3213]" strokeweight="1pt"/>
                </v:group>
                <v:group id="Group 39" o:spid="_x0000_s1051" style="position:absolute;left:14668;top:33718;width:18955;height:5525" coordorigin="" coordsize="1895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1052" type="#_x0000_t202" style="position:absolute;top:285;width:18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A7E66C3" w14:textId="0A31078B" w:rsidR="00EA69B0" w:rsidRPr="00165398" w:rsidRDefault="00EA69B0" w:rsidP="00EA69B0">
                          <w:pPr>
                            <w:jc w:val="center"/>
                            <w:rPr>
                              <w:rFonts w:asciiTheme="majorBidi" w:hAnsiTheme="majorBidi" w:cstheme="majorBidi"/>
                            </w:rPr>
                          </w:pPr>
                          <w:r w:rsidRPr="0096576E">
                            <w:rPr>
                              <w:rFonts w:asciiTheme="majorBidi" w:hAnsiTheme="majorBidi" w:cstheme="majorBidi"/>
                            </w:rPr>
                            <w:t>Final histology benign MNG 51 (74%)</w:t>
                          </w:r>
                        </w:p>
                      </w:txbxContent>
                    </v:textbox>
                  </v:shape>
                  <v:shape id="Flowchart: Alternate Process 41" o:spid="_x0000_s1053" type="#_x0000_t176" style="position:absolute;left:381;width:1838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" filled="f" strokecolor="black [3213]" strokeweight="1pt"/>
                </v:group>
                <v:shapetype id="_x0000_t32" coordsize="21600,21600" o:spt="32" o:oned="t" path="m,l21600,21600e" filled="f">
                  <v:path arrowok="t" fillok="f" o:connecttype="none"/>
                  <o:lock v:ext="edit" shapetype="t"/>
                </v:shapetype>
                <v:shape id="Straight Arrow Connector 42" o:spid="_x0000_s1054" type="#_x0000_t32" style="position:absolute;left:33051;top:9620;width:96;height:7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55" type="#_x0000_t32" style="position:absolute;left:24574;top:19812;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shape id="Straight Arrow Connector 44" o:spid="_x0000_s1056" type="#_x0000_t32" style="position:absolute;left:43053;top:1990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line id="Straight Connector 45" o:spid="_x0000_s1057" style="position:absolute;flip:y;visibility:visible;mso-wrap-style:square" from="33242,12858" to="50768,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" strokecolor="black [3213]" strokeweight=".5pt">
                  <v:stroke dashstyle="dash" joinstyle="miter"/>
                </v:line>
                <v:shape id="Straight Arrow Connector 46" o:spid="_x0000_s1058" type="#_x0000_t32" style="position:absolute;left:11715;top:30861;width:2286;height: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" strokecolor="black [3200]" strokeweight=".5pt">
                  <v:stroke endarrow="block" joinstyle="miter"/>
                </v:shape>
                <v:shape id="Straight Arrow Connector 47" o:spid="_x0000_s1059" type="#_x0000_t32" style="position:absolute;left:22479;top:30861;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shape id="Straight Arrow Connector 48" o:spid="_x0000_s1060" type="#_x0000_t32" style="position:absolute;left:45910;top:31242;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Straight Arrow Connector 49" o:spid="_x0000_s1061" type="#_x0000_t32" style="position:absolute;left:53625;top:31242;width:2096;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Text Box 2" o:spid="_x0000_s1062" type="#_x0000_t202" style="position:absolute;top:44767;width:7240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42B2AD58" w14:textId="77777777" w:rsidR="00EA69B0" w:rsidRPr="009774E8" w:rsidRDefault="00EA69B0" w:rsidP="00EA69B0">
                        <w:pPr>
                          <w:bidi w:val="0"/>
                          <w:rPr>
                            <w:rFonts w:asciiTheme="majorBidi" w:hAnsiTheme="majorBidi" w:cstheme="majorBidi"/>
                          </w:rPr>
                        </w:pPr>
                        <w:r w:rsidRPr="009774E8">
                          <w:rPr>
                            <w:rFonts w:asciiTheme="majorBidi" w:hAnsiTheme="majorBidi" w:cstheme="majorBidi"/>
                            <w:b/>
                            <w:bCs/>
                          </w:rPr>
                          <w:t>Abbreviations</w:t>
                        </w:r>
                        <w:r w:rsidRPr="009774E8">
                          <w:rPr>
                            <w:rFonts w:asciiTheme="majorBidi" w:hAnsiTheme="majorBidi" w:cstheme="majorBidi"/>
                          </w:rPr>
                          <w:t>: MNG- multinodular goiter</w:t>
                        </w:r>
                        <w:r>
                          <w:rPr>
                            <w:rFonts w:asciiTheme="majorBidi" w:hAnsiTheme="majorBidi" w:cstheme="majorBidi"/>
                          </w:rPr>
                          <w:t>,</w:t>
                        </w:r>
                        <w:r w:rsidRPr="009774E8">
                          <w:rPr>
                            <w:rFonts w:asciiTheme="majorBidi" w:hAnsiTheme="majorBidi" w:cstheme="majorBidi"/>
                          </w:rPr>
                          <w:t xml:space="preserve"> INC- indeterminate cytology, Tg- thyroglobulin, TN- thyroid nodule</w:t>
                        </w:r>
                        <w:r>
                          <w:rPr>
                            <w:rFonts w:asciiTheme="majorBidi" w:hAnsiTheme="majorBidi" w:cstheme="majorBidi"/>
                          </w:rPr>
                          <w:t>,</w:t>
                        </w:r>
                        <w:r w:rsidRPr="009774E8">
                          <w:rPr>
                            <w:rFonts w:asciiTheme="majorBidi" w:hAnsiTheme="majorBidi" w:cstheme="majorBidi"/>
                          </w:rPr>
                          <w:t xml:space="preserve"> DTC- differentiated thyroid carcinoma.</w:t>
                        </w:r>
                      </w:p>
                    </w:txbxContent>
                  </v:textbox>
                </v:shape>
                <v:shape id="Text Box 2" o:spid="_x0000_s1063" type="#_x0000_t202" style="position:absolute;top:41433;width:7240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" fillcolor="#e7e6e6 [3214]" stroked="f">
                  <v:textbox>
                    <w:txbxContent>
                      <w:p w14:paraId="2E7DD3E7" w14:textId="77777777" w:rsidR="00EA69B0" w:rsidRPr="009774E8" w:rsidRDefault="00EA69B0" w:rsidP="00EA69B0">
                        <w:pPr>
                          <w:shd w:val="clear" w:color="auto" w:fill="E7E6E6" w:themeFill="background2"/>
                          <w:bidi w:val="0"/>
                          <w:rPr>
                            <w:rFonts w:asciiTheme="majorBidi" w:hAnsiTheme="majorBidi" w:cstheme="majorBidi"/>
                          </w:rPr>
                        </w:pPr>
                        <w:r>
                          <w:rPr>
                            <w:rFonts w:asciiTheme="majorBidi" w:hAnsiTheme="majorBidi" w:cstheme="majorBidi"/>
                            <w:b/>
                            <w:bCs/>
                          </w:rPr>
                          <w:t xml:space="preserve">Figure 1. </w:t>
                        </w:r>
                        <w:r>
                          <w:rPr>
                            <w:rFonts w:asciiTheme="majorBidi" w:hAnsiTheme="majorBidi" w:cstheme="majorBidi"/>
                          </w:rPr>
                          <w:t>Flowchart summarizing study design, population selection and exclusion.</w:t>
                        </w:r>
                      </w:p>
                    </w:txbxContent>
                  </v:textbox>
                </v:shape>
                <w10:wrap type="square"/>
              </v:group>
            </w:pict>
          </mc:Fallback>
        </mc:AlternateContent>
      </w:r>
    </w:p>
    <w:p w14:paraId="7B9BB508" w14:textId="218AEE85" w:rsidR="009C5A33" w:rsidRDefault="009C5A33" w:rsidP="009C5A33">
      <w:pPr>
        <w:bidi w:val="0"/>
        <w:spacing w:line="360" w:lineRule="auto"/>
        <w:jc w:val="both"/>
        <w:rPr>
          <w:rFonts w:asciiTheme="majorBidi" w:eastAsia="Times New Roman" w:hAnsiTheme="majorBidi" w:cstheme="majorBidi"/>
          <w:b/>
          <w:bCs/>
          <w:sz w:val="24"/>
          <w:szCs w:val="24"/>
          <w:u w:val="single"/>
        </w:rPr>
      </w:pPr>
    </w:p>
    <w:p w14:paraId="167735E4" w14:textId="765B1689" w:rsidR="009C5A33" w:rsidRDefault="009C5A33" w:rsidP="009C5A33">
      <w:pPr>
        <w:bidi w:val="0"/>
        <w:spacing w:line="360" w:lineRule="auto"/>
        <w:jc w:val="both"/>
        <w:rPr>
          <w:rFonts w:asciiTheme="majorBidi" w:eastAsia="Times New Roman" w:hAnsiTheme="majorBidi" w:cstheme="majorBidi"/>
          <w:b/>
          <w:bCs/>
          <w:sz w:val="24"/>
          <w:szCs w:val="24"/>
          <w:u w:val="single"/>
        </w:rPr>
      </w:pPr>
    </w:p>
    <w:p w14:paraId="1F7C7424" w14:textId="048051FD" w:rsidR="009C5A33" w:rsidRDefault="009C5A33" w:rsidP="009C5A33">
      <w:pPr>
        <w:bidi w:val="0"/>
        <w:spacing w:line="360" w:lineRule="auto"/>
        <w:jc w:val="both"/>
        <w:rPr>
          <w:rFonts w:asciiTheme="majorBidi" w:eastAsia="Times New Roman" w:hAnsiTheme="majorBidi" w:cstheme="majorBidi"/>
          <w:b/>
          <w:bCs/>
          <w:sz w:val="24"/>
          <w:szCs w:val="24"/>
          <w:u w:val="single"/>
        </w:rPr>
      </w:pPr>
    </w:p>
    <w:p w14:paraId="49D60045" w14:textId="31D53B19" w:rsidR="009C5A33" w:rsidRDefault="009C5A33" w:rsidP="009C5A33">
      <w:pPr>
        <w:bidi w:val="0"/>
        <w:spacing w:line="360" w:lineRule="auto"/>
        <w:jc w:val="both"/>
        <w:rPr>
          <w:rFonts w:asciiTheme="majorBidi" w:eastAsia="Times New Roman" w:hAnsiTheme="majorBidi" w:cstheme="majorBidi"/>
          <w:b/>
          <w:bCs/>
          <w:sz w:val="24"/>
          <w:szCs w:val="24"/>
          <w:u w:val="single"/>
        </w:rPr>
      </w:pPr>
    </w:p>
    <w:p w14:paraId="5C48F45D" w14:textId="75D37C28" w:rsidR="009C5A33" w:rsidRDefault="009C5A33" w:rsidP="009C5A33">
      <w:pPr>
        <w:bidi w:val="0"/>
        <w:spacing w:line="360" w:lineRule="auto"/>
        <w:jc w:val="both"/>
        <w:rPr>
          <w:rFonts w:asciiTheme="majorBidi" w:eastAsia="Times New Roman" w:hAnsiTheme="majorBidi" w:cstheme="majorBidi"/>
          <w:b/>
          <w:bCs/>
          <w:sz w:val="24"/>
          <w:szCs w:val="24"/>
          <w:u w:val="single"/>
        </w:rPr>
      </w:pPr>
    </w:p>
    <w:p w14:paraId="1B9BF6C3" w14:textId="49565D59" w:rsidR="009C5A33" w:rsidRDefault="009C5A33" w:rsidP="009C5A33">
      <w:pPr>
        <w:bidi w:val="0"/>
        <w:spacing w:line="360" w:lineRule="auto"/>
        <w:jc w:val="both"/>
        <w:rPr>
          <w:rFonts w:asciiTheme="majorBidi" w:eastAsia="Times New Roman" w:hAnsiTheme="majorBidi" w:cstheme="majorBidi"/>
          <w:b/>
          <w:bCs/>
          <w:sz w:val="24"/>
          <w:szCs w:val="24"/>
          <w:u w:val="single"/>
        </w:rPr>
      </w:pPr>
    </w:p>
    <w:p w14:paraId="1147F641" w14:textId="0F96858C" w:rsidR="009C5A33" w:rsidRDefault="009C5A33" w:rsidP="009C5A33">
      <w:pPr>
        <w:bidi w:val="0"/>
        <w:spacing w:line="360" w:lineRule="auto"/>
        <w:jc w:val="both"/>
        <w:rPr>
          <w:rFonts w:asciiTheme="majorBidi" w:eastAsia="Times New Roman" w:hAnsiTheme="majorBidi" w:cstheme="majorBidi"/>
          <w:b/>
          <w:bCs/>
          <w:sz w:val="24"/>
          <w:szCs w:val="24"/>
          <w:u w:val="single"/>
        </w:rPr>
      </w:pPr>
    </w:p>
    <w:p w14:paraId="1C8E0C60" w14:textId="55CA75B7" w:rsidR="006E5ACF" w:rsidRDefault="006E5ACF" w:rsidP="006E5ACF">
      <w:pPr>
        <w:bidi w:val="0"/>
        <w:spacing w:line="360" w:lineRule="auto"/>
        <w:jc w:val="both"/>
        <w:rPr>
          <w:rFonts w:asciiTheme="majorBidi" w:eastAsia="Times New Roman" w:hAnsiTheme="majorBidi" w:cstheme="majorBidi"/>
          <w:b/>
          <w:bCs/>
          <w:sz w:val="24"/>
          <w:szCs w:val="24"/>
          <w:u w:val="single"/>
        </w:rPr>
      </w:pPr>
    </w:p>
    <w:tbl>
      <w:tblPr>
        <w:tblStyle w:val="TableGrid"/>
        <w:tblW w:w="9016" w:type="dxa"/>
        <w:tblInd w:w="0" w:type="dxa"/>
        <w:tblLayout w:type="fixed"/>
        <w:tblLook w:val="04A0" w:firstRow="1" w:lastRow="0" w:firstColumn="1" w:lastColumn="0" w:noHBand="0" w:noVBand="1"/>
      </w:tblPr>
      <w:tblGrid>
        <w:gridCol w:w="1108"/>
        <w:gridCol w:w="1722"/>
        <w:gridCol w:w="1265"/>
        <w:gridCol w:w="1628"/>
        <w:gridCol w:w="1697"/>
        <w:gridCol w:w="1596"/>
      </w:tblGrid>
      <w:tr w:rsidR="006E5ACF" w:rsidRPr="006D79E4" w14:paraId="4A4800EE" w14:textId="77777777" w:rsidTr="006F1810">
        <w:trPr>
          <w:trHeight w:val="306"/>
        </w:trPr>
        <w:tc>
          <w:tcPr>
            <w:tcW w:w="9016" w:type="dxa"/>
            <w:gridSpan w:val="6"/>
            <w:shd w:val="clear" w:color="auto" w:fill="EDEDED" w:themeFill="accent3" w:themeFillTint="33"/>
          </w:tcPr>
          <w:p w14:paraId="37BC34F2" w14:textId="77777777" w:rsidR="006E5ACF" w:rsidRPr="00F00BC5" w:rsidRDefault="006E5ACF" w:rsidP="006F1810">
            <w:pPr>
              <w:bidi w:val="0"/>
              <w:spacing w:line="360" w:lineRule="auto"/>
              <w:jc w:val="both"/>
              <w:rPr>
                <w:rFonts w:asciiTheme="majorBidi" w:eastAsia="Times New Roman" w:hAnsiTheme="majorBidi" w:cstheme="majorBidi"/>
                <w:b/>
                <w:bCs/>
                <w:sz w:val="24"/>
                <w:szCs w:val="24"/>
              </w:rPr>
            </w:pPr>
            <w:r w:rsidRPr="00F00BC5">
              <w:rPr>
                <w:rFonts w:asciiTheme="majorBidi" w:eastAsia="Times New Roman" w:hAnsiTheme="majorBidi" w:cstheme="majorBidi"/>
                <w:b/>
                <w:bCs/>
                <w:sz w:val="24"/>
                <w:szCs w:val="24"/>
              </w:rPr>
              <w:t xml:space="preserve">Table </w:t>
            </w:r>
            <w:r>
              <w:rPr>
                <w:rFonts w:asciiTheme="majorBidi" w:eastAsia="Times New Roman" w:hAnsiTheme="majorBidi" w:cstheme="majorBidi"/>
                <w:b/>
                <w:bCs/>
                <w:sz w:val="24"/>
                <w:szCs w:val="24"/>
              </w:rPr>
              <w:t>1</w:t>
            </w:r>
            <w:r w:rsidRPr="00F00BC5">
              <w:rPr>
                <w:rFonts w:asciiTheme="majorBidi" w:eastAsia="Times New Roman" w:hAnsiTheme="majorBidi" w:cstheme="majorBidi"/>
                <w:b/>
                <w:bCs/>
                <w:sz w:val="24"/>
                <w:szCs w:val="24"/>
              </w:rPr>
              <w:t xml:space="preserve">. </w:t>
            </w:r>
            <w:r w:rsidRPr="00F00BC5">
              <w:rPr>
                <w:rFonts w:asciiTheme="majorBidi" w:eastAsia="Times New Roman" w:hAnsiTheme="majorBidi" w:cstheme="majorBidi"/>
                <w:sz w:val="24"/>
                <w:szCs w:val="24"/>
              </w:rPr>
              <w:t>Postoperative diagnosis of patients with preoperative diagnosis of benign MNG or INC thyroid nodule</w:t>
            </w:r>
          </w:p>
        </w:tc>
      </w:tr>
      <w:tr w:rsidR="006E5ACF" w:rsidRPr="006D79E4" w14:paraId="25892335" w14:textId="77777777" w:rsidTr="006F1810">
        <w:trPr>
          <w:trHeight w:val="306"/>
        </w:trPr>
        <w:tc>
          <w:tcPr>
            <w:tcW w:w="2830" w:type="dxa"/>
            <w:gridSpan w:val="2"/>
            <w:vMerge w:val="restart"/>
            <w:shd w:val="clear" w:color="auto" w:fill="EDEDED" w:themeFill="accent3" w:themeFillTint="33"/>
            <w:vAlign w:val="bottom"/>
          </w:tcPr>
          <w:p w14:paraId="47587C35" w14:textId="1B14D063" w:rsidR="006E5ACF" w:rsidRPr="00F00BC5" w:rsidRDefault="006E5ACF" w:rsidP="006F1810">
            <w:pPr>
              <w:bidi w:val="0"/>
              <w:spacing w:line="360" w:lineRule="auto"/>
              <w:jc w:val="both"/>
              <w:rPr>
                <w:rFonts w:asciiTheme="majorBidi" w:eastAsia="Times New Roman" w:hAnsiTheme="majorBidi" w:cstheme="majorBidi"/>
                <w:b/>
                <w:bCs/>
                <w:sz w:val="24"/>
                <w:szCs w:val="24"/>
              </w:rPr>
            </w:pPr>
            <w:r w:rsidRPr="006D79E4">
              <w:rPr>
                <w:rFonts w:asciiTheme="majorBidi" w:hAnsiTheme="majorBidi" w:cstheme="majorBidi"/>
                <w:b/>
                <w:bCs/>
                <w:sz w:val="24"/>
                <w:szCs w:val="24"/>
              </w:rPr>
              <w:t>Preoperative diagnosis</w:t>
            </w:r>
          </w:p>
        </w:tc>
        <w:tc>
          <w:tcPr>
            <w:tcW w:w="4590" w:type="dxa"/>
            <w:gridSpan w:val="3"/>
            <w:shd w:val="clear" w:color="auto" w:fill="EDEDED" w:themeFill="accent3" w:themeFillTint="33"/>
          </w:tcPr>
          <w:p w14:paraId="28A1DD9D" w14:textId="77777777" w:rsidR="006E5ACF" w:rsidRPr="00F00BC5" w:rsidRDefault="006E5ACF" w:rsidP="006F1810">
            <w:pPr>
              <w:bidi w:val="0"/>
              <w:spacing w:line="360" w:lineRule="auto"/>
              <w:jc w:val="center"/>
              <w:rPr>
                <w:rFonts w:asciiTheme="majorBidi" w:eastAsia="Times New Roman" w:hAnsiTheme="majorBidi" w:cstheme="majorBidi"/>
                <w:b/>
                <w:bCs/>
                <w:sz w:val="24"/>
                <w:szCs w:val="24"/>
              </w:rPr>
            </w:pPr>
            <w:r w:rsidRPr="00F00BC5">
              <w:rPr>
                <w:rFonts w:asciiTheme="majorBidi" w:eastAsia="Times New Roman" w:hAnsiTheme="majorBidi" w:cstheme="majorBidi"/>
                <w:b/>
                <w:bCs/>
                <w:sz w:val="24"/>
                <w:szCs w:val="24"/>
              </w:rPr>
              <w:t>Postoperative diagnosis</w:t>
            </w:r>
          </w:p>
        </w:tc>
        <w:tc>
          <w:tcPr>
            <w:tcW w:w="1596" w:type="dxa"/>
            <w:vMerge w:val="restart"/>
            <w:shd w:val="clear" w:color="auto" w:fill="EDEDED" w:themeFill="accent3" w:themeFillTint="33"/>
          </w:tcPr>
          <w:p w14:paraId="64BF9A23" w14:textId="04FB9310" w:rsidR="006E5ACF" w:rsidRPr="001C258B"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Overall </w:t>
            </w:r>
            <w:r>
              <w:rPr>
                <w:rFonts w:asciiTheme="majorBidi" w:eastAsia="Times New Roman" w:hAnsiTheme="majorBidi" w:cstheme="majorBidi"/>
                <w:sz w:val="24"/>
                <w:szCs w:val="24"/>
              </w:rPr>
              <w:t>(category)</w:t>
            </w:r>
          </w:p>
        </w:tc>
      </w:tr>
      <w:tr w:rsidR="006E5ACF" w:rsidRPr="006D79E4" w14:paraId="003962EF" w14:textId="77777777" w:rsidTr="006F1810">
        <w:trPr>
          <w:trHeight w:val="126"/>
        </w:trPr>
        <w:tc>
          <w:tcPr>
            <w:tcW w:w="2830" w:type="dxa"/>
            <w:gridSpan w:val="2"/>
            <w:vMerge/>
          </w:tcPr>
          <w:p w14:paraId="191870B6" w14:textId="77777777" w:rsidR="006E5ACF" w:rsidRPr="00F00BC5" w:rsidRDefault="006E5ACF" w:rsidP="006F1810">
            <w:pPr>
              <w:bidi w:val="0"/>
              <w:spacing w:line="360" w:lineRule="auto"/>
              <w:jc w:val="both"/>
              <w:rPr>
                <w:rFonts w:asciiTheme="majorBidi" w:eastAsia="Times New Roman" w:hAnsiTheme="majorBidi" w:cstheme="majorBidi"/>
                <w:b/>
                <w:bCs/>
                <w:sz w:val="24"/>
                <w:szCs w:val="24"/>
              </w:rPr>
            </w:pPr>
          </w:p>
        </w:tc>
        <w:tc>
          <w:tcPr>
            <w:tcW w:w="1265" w:type="dxa"/>
          </w:tcPr>
          <w:p w14:paraId="59A8C265" w14:textId="77777777" w:rsidR="006E5ACF" w:rsidRPr="00F00BC5" w:rsidRDefault="006E5ACF" w:rsidP="006F1810">
            <w:pPr>
              <w:bidi w:val="0"/>
              <w:spacing w:line="360" w:lineRule="auto"/>
              <w:jc w:val="center"/>
              <w:rPr>
                <w:rFonts w:asciiTheme="majorBidi" w:eastAsia="Times New Roman" w:hAnsiTheme="majorBidi" w:cstheme="majorBidi"/>
                <w:b/>
                <w:bCs/>
                <w:sz w:val="24"/>
                <w:szCs w:val="24"/>
              </w:rPr>
            </w:pPr>
            <w:r w:rsidRPr="00F00BC5">
              <w:rPr>
                <w:rFonts w:asciiTheme="majorBidi" w:eastAsia="Times New Roman" w:hAnsiTheme="majorBidi" w:cstheme="majorBidi"/>
                <w:b/>
                <w:bCs/>
                <w:sz w:val="24"/>
                <w:szCs w:val="24"/>
              </w:rPr>
              <w:t>PTC</w:t>
            </w:r>
          </w:p>
        </w:tc>
        <w:tc>
          <w:tcPr>
            <w:tcW w:w="1628" w:type="dxa"/>
            <w:tcBorders>
              <w:right w:val="single" w:sz="24" w:space="0" w:color="auto"/>
            </w:tcBorders>
          </w:tcPr>
          <w:p w14:paraId="3A367316" w14:textId="77777777" w:rsidR="006E5ACF" w:rsidRPr="00F00BC5" w:rsidRDefault="006E5ACF" w:rsidP="006F1810">
            <w:pPr>
              <w:bidi w:val="0"/>
              <w:spacing w:line="360" w:lineRule="auto"/>
              <w:jc w:val="center"/>
              <w:rPr>
                <w:rFonts w:asciiTheme="majorBidi" w:eastAsia="Times New Roman" w:hAnsiTheme="majorBidi" w:cstheme="majorBidi"/>
                <w:b/>
                <w:bCs/>
                <w:sz w:val="24"/>
                <w:szCs w:val="24"/>
              </w:rPr>
            </w:pPr>
            <w:r w:rsidRPr="00F00BC5">
              <w:rPr>
                <w:rFonts w:asciiTheme="majorBidi" w:eastAsia="Times New Roman" w:hAnsiTheme="majorBidi" w:cstheme="majorBidi"/>
                <w:b/>
                <w:bCs/>
                <w:sz w:val="24"/>
                <w:szCs w:val="24"/>
              </w:rPr>
              <w:t>FTC</w:t>
            </w:r>
          </w:p>
        </w:tc>
        <w:tc>
          <w:tcPr>
            <w:tcW w:w="1697" w:type="dxa"/>
            <w:tcBorders>
              <w:left w:val="single" w:sz="24" w:space="0" w:color="auto"/>
              <w:right w:val="single" w:sz="24" w:space="0" w:color="auto"/>
            </w:tcBorders>
          </w:tcPr>
          <w:p w14:paraId="55E9D707" w14:textId="77777777" w:rsidR="006E5ACF" w:rsidRPr="00F00BC5" w:rsidRDefault="006E5ACF" w:rsidP="006F1810">
            <w:pPr>
              <w:bidi w:val="0"/>
              <w:spacing w:line="360" w:lineRule="auto"/>
              <w:jc w:val="center"/>
              <w:rPr>
                <w:rFonts w:asciiTheme="majorBidi" w:eastAsia="Times New Roman" w:hAnsiTheme="majorBidi" w:cstheme="majorBidi"/>
                <w:b/>
                <w:bCs/>
                <w:sz w:val="24"/>
                <w:szCs w:val="24"/>
              </w:rPr>
            </w:pPr>
            <w:r w:rsidRPr="00F00BC5">
              <w:rPr>
                <w:rFonts w:asciiTheme="majorBidi" w:eastAsia="Times New Roman" w:hAnsiTheme="majorBidi" w:cstheme="majorBidi"/>
                <w:b/>
                <w:bCs/>
                <w:sz w:val="24"/>
                <w:szCs w:val="24"/>
              </w:rPr>
              <w:t xml:space="preserve">Benign </w:t>
            </w:r>
          </w:p>
        </w:tc>
        <w:tc>
          <w:tcPr>
            <w:tcW w:w="1596" w:type="dxa"/>
            <w:vMerge/>
            <w:tcBorders>
              <w:left w:val="single" w:sz="24" w:space="0" w:color="auto"/>
            </w:tcBorders>
          </w:tcPr>
          <w:p w14:paraId="06EAFEB0" w14:textId="77777777" w:rsidR="006E5ACF" w:rsidRPr="00F00BC5" w:rsidRDefault="006E5ACF" w:rsidP="006F1810">
            <w:pPr>
              <w:bidi w:val="0"/>
              <w:spacing w:line="360" w:lineRule="auto"/>
              <w:jc w:val="center"/>
              <w:rPr>
                <w:rFonts w:asciiTheme="majorBidi" w:eastAsia="Times New Roman" w:hAnsiTheme="majorBidi" w:cstheme="majorBidi"/>
                <w:b/>
                <w:bCs/>
                <w:sz w:val="24"/>
                <w:szCs w:val="24"/>
              </w:rPr>
            </w:pPr>
          </w:p>
        </w:tc>
      </w:tr>
      <w:tr w:rsidR="006E5ACF" w:rsidRPr="006D79E4" w14:paraId="3EB21DE3" w14:textId="77777777" w:rsidTr="006F1810">
        <w:trPr>
          <w:trHeight w:val="240"/>
        </w:trPr>
        <w:tc>
          <w:tcPr>
            <w:tcW w:w="2830" w:type="dxa"/>
            <w:gridSpan w:val="2"/>
          </w:tcPr>
          <w:p w14:paraId="349518C2" w14:textId="6BFBEF22" w:rsidR="006E5ACF" w:rsidRPr="00DF5403" w:rsidRDefault="006E5ACF" w:rsidP="006F1810">
            <w:pPr>
              <w:bidi w:val="0"/>
              <w:spacing w:line="360" w:lineRule="auto"/>
              <w:rPr>
                <w:rFonts w:asciiTheme="majorBidi" w:eastAsia="Times New Roman" w:hAnsiTheme="majorBidi" w:cstheme="majorBidi"/>
                <w:sz w:val="24"/>
                <w:szCs w:val="24"/>
              </w:rPr>
            </w:pPr>
            <w:r w:rsidRPr="006D79E4">
              <w:rPr>
                <w:rFonts w:asciiTheme="majorBidi" w:hAnsiTheme="majorBidi" w:cstheme="majorBidi"/>
                <w:b/>
                <w:bCs/>
                <w:sz w:val="24"/>
                <w:szCs w:val="24"/>
              </w:rPr>
              <w:t>Benign MNG</w:t>
            </w:r>
            <w:r>
              <w:rPr>
                <w:rFonts w:asciiTheme="majorBidi" w:hAnsiTheme="majorBidi" w:cstheme="majorBidi"/>
                <w:b/>
                <w:bCs/>
                <w:sz w:val="24"/>
                <w:szCs w:val="24"/>
              </w:rPr>
              <w:t xml:space="preserve"> </w:t>
            </w:r>
          </w:p>
        </w:tc>
        <w:tc>
          <w:tcPr>
            <w:tcW w:w="1265" w:type="dxa"/>
          </w:tcPr>
          <w:p w14:paraId="56E38B37" w14:textId="00E41AF7" w:rsidR="006E5ACF" w:rsidRPr="00E95384" w:rsidRDefault="006E5ACF" w:rsidP="006F1810">
            <w:pPr>
              <w:bidi w:val="0"/>
              <w:spacing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b/>
                <w:bCs/>
                <w:sz w:val="24"/>
                <w:szCs w:val="24"/>
              </w:rPr>
              <w:t>17</w:t>
            </w:r>
            <w:r>
              <w:rPr>
                <w:rFonts w:asciiTheme="majorBidi" w:eastAsia="Times New Roman" w:hAnsiTheme="majorBidi" w:cstheme="majorBidi"/>
                <w:b/>
                <w:bCs/>
                <w:sz w:val="24"/>
                <w:szCs w:val="24"/>
              </w:rPr>
              <w:t xml:space="preserve"> </w:t>
            </w:r>
          </w:p>
        </w:tc>
        <w:tc>
          <w:tcPr>
            <w:tcW w:w="1628" w:type="dxa"/>
            <w:tcBorders>
              <w:right w:val="single" w:sz="24" w:space="0" w:color="auto"/>
            </w:tcBorders>
          </w:tcPr>
          <w:p w14:paraId="7260A2CE" w14:textId="69C9243B" w:rsidR="006E5ACF" w:rsidRPr="00892CDA" w:rsidRDefault="006E5ACF" w:rsidP="006F1810">
            <w:pPr>
              <w:bidi w:val="0"/>
              <w:spacing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b/>
                <w:bCs/>
                <w:sz w:val="24"/>
                <w:szCs w:val="24"/>
              </w:rPr>
              <w:t>1</w:t>
            </w:r>
            <w:r>
              <w:rPr>
                <w:rFonts w:asciiTheme="majorBidi" w:eastAsia="Times New Roman" w:hAnsiTheme="majorBidi" w:cstheme="majorBidi"/>
                <w:b/>
                <w:bCs/>
                <w:sz w:val="24"/>
                <w:szCs w:val="24"/>
              </w:rPr>
              <w:t xml:space="preserve"> </w:t>
            </w:r>
          </w:p>
        </w:tc>
        <w:tc>
          <w:tcPr>
            <w:tcW w:w="1697" w:type="dxa"/>
            <w:tcBorders>
              <w:left w:val="single" w:sz="24" w:space="0" w:color="auto"/>
            </w:tcBorders>
          </w:tcPr>
          <w:p w14:paraId="0052B346" w14:textId="0B8AD8EB" w:rsidR="006E5ACF" w:rsidRPr="00E95384" w:rsidRDefault="006E5ACF" w:rsidP="006F1810">
            <w:pPr>
              <w:bidi w:val="0"/>
              <w:spacing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b/>
                <w:bCs/>
                <w:sz w:val="24"/>
                <w:szCs w:val="24"/>
              </w:rPr>
              <w:t>51</w:t>
            </w:r>
            <w:r>
              <w:rPr>
                <w:rFonts w:asciiTheme="majorBidi" w:eastAsia="Times New Roman" w:hAnsiTheme="majorBidi" w:cstheme="majorBidi"/>
                <w:b/>
                <w:bCs/>
                <w:sz w:val="24"/>
                <w:szCs w:val="24"/>
              </w:rPr>
              <w:t xml:space="preserve"> </w:t>
            </w:r>
          </w:p>
        </w:tc>
        <w:tc>
          <w:tcPr>
            <w:tcW w:w="1596" w:type="dxa"/>
            <w:tcBorders>
              <w:left w:val="single" w:sz="24" w:space="0" w:color="auto"/>
            </w:tcBorders>
          </w:tcPr>
          <w:p w14:paraId="7FB43069" w14:textId="761D9FCC" w:rsidR="006E5ACF" w:rsidRPr="00E95384"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69 </w:t>
            </w:r>
          </w:p>
        </w:tc>
      </w:tr>
      <w:tr w:rsidR="006E5ACF" w:rsidRPr="006D79E4" w14:paraId="207C0735" w14:textId="77777777" w:rsidTr="006F1810">
        <w:trPr>
          <w:trHeight w:val="862"/>
        </w:trPr>
        <w:tc>
          <w:tcPr>
            <w:tcW w:w="1108" w:type="dxa"/>
            <w:vMerge w:val="restart"/>
          </w:tcPr>
          <w:p w14:paraId="52316B59" w14:textId="77777777" w:rsidR="006E5ACF" w:rsidRPr="00F00BC5" w:rsidRDefault="006E5ACF" w:rsidP="006F1810">
            <w:pPr>
              <w:bidi w:val="0"/>
              <w:spacing w:line="360" w:lineRule="auto"/>
              <w:rPr>
                <w:rFonts w:asciiTheme="majorBidi" w:eastAsia="Times New Roman" w:hAnsiTheme="majorBidi" w:cstheme="majorBidi"/>
                <w:b/>
                <w:bCs/>
                <w:sz w:val="24"/>
                <w:szCs w:val="24"/>
              </w:rPr>
            </w:pPr>
            <w:r w:rsidRPr="006D79E4">
              <w:rPr>
                <w:rFonts w:asciiTheme="majorBidi" w:hAnsiTheme="majorBidi" w:cstheme="majorBidi"/>
                <w:b/>
                <w:bCs/>
                <w:sz w:val="24"/>
                <w:szCs w:val="24"/>
              </w:rPr>
              <w:t>INC thyroid nodule</w:t>
            </w:r>
          </w:p>
        </w:tc>
        <w:tc>
          <w:tcPr>
            <w:tcW w:w="1722" w:type="dxa"/>
          </w:tcPr>
          <w:p w14:paraId="4CF02606" w14:textId="77777777" w:rsidR="006E5ACF" w:rsidRPr="00F00BC5" w:rsidRDefault="006E5ACF" w:rsidP="006F1810">
            <w:pPr>
              <w:bidi w:val="0"/>
              <w:spacing w:after="160" w:line="259"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Bethesda III</w:t>
            </w:r>
          </w:p>
        </w:tc>
        <w:tc>
          <w:tcPr>
            <w:tcW w:w="1265" w:type="dxa"/>
          </w:tcPr>
          <w:p w14:paraId="33EF9536" w14:textId="5FDEC383" w:rsidR="006E5ACF" w:rsidRPr="00892CDA"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12</w:t>
            </w:r>
            <w:r>
              <w:rPr>
                <w:rFonts w:asciiTheme="majorBidi" w:eastAsia="Times New Roman" w:hAnsiTheme="majorBidi" w:cstheme="majorBidi"/>
                <w:sz w:val="24"/>
                <w:szCs w:val="24"/>
              </w:rPr>
              <w:t xml:space="preserve"> </w:t>
            </w:r>
          </w:p>
        </w:tc>
        <w:tc>
          <w:tcPr>
            <w:tcW w:w="1628" w:type="dxa"/>
            <w:tcBorders>
              <w:right w:val="single" w:sz="24" w:space="0" w:color="auto"/>
            </w:tcBorders>
          </w:tcPr>
          <w:p w14:paraId="093C1B14" w14:textId="7897E888" w:rsidR="006E5ACF" w:rsidRPr="00892CDA"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1 </w:t>
            </w:r>
          </w:p>
        </w:tc>
        <w:tc>
          <w:tcPr>
            <w:tcW w:w="1697" w:type="dxa"/>
            <w:tcBorders>
              <w:left w:val="single" w:sz="24" w:space="0" w:color="auto"/>
            </w:tcBorders>
          </w:tcPr>
          <w:p w14:paraId="61E7754D" w14:textId="6F765189" w:rsidR="006E5ACF" w:rsidRPr="00892CDA"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20 </w:t>
            </w:r>
          </w:p>
        </w:tc>
        <w:tc>
          <w:tcPr>
            <w:tcW w:w="1596" w:type="dxa"/>
            <w:tcBorders>
              <w:left w:val="single" w:sz="24" w:space="0" w:color="auto"/>
            </w:tcBorders>
          </w:tcPr>
          <w:p w14:paraId="078BFD2B" w14:textId="391945EE" w:rsidR="006E5ACF" w:rsidRPr="00E95384"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33 </w:t>
            </w:r>
          </w:p>
        </w:tc>
      </w:tr>
      <w:tr w:rsidR="006E5ACF" w:rsidRPr="006D79E4" w14:paraId="4E9B5192" w14:textId="77777777" w:rsidTr="006F1810">
        <w:trPr>
          <w:trHeight w:val="735"/>
        </w:trPr>
        <w:tc>
          <w:tcPr>
            <w:tcW w:w="1108" w:type="dxa"/>
            <w:vMerge/>
          </w:tcPr>
          <w:p w14:paraId="512D32A7" w14:textId="77777777" w:rsidR="006E5ACF" w:rsidRPr="006D79E4" w:rsidRDefault="006E5ACF" w:rsidP="006F1810">
            <w:pPr>
              <w:bidi w:val="0"/>
              <w:spacing w:line="360" w:lineRule="auto"/>
              <w:rPr>
                <w:rFonts w:asciiTheme="majorBidi" w:hAnsiTheme="majorBidi" w:cstheme="majorBidi"/>
                <w:b/>
                <w:bCs/>
                <w:sz w:val="24"/>
                <w:szCs w:val="24"/>
              </w:rPr>
            </w:pPr>
          </w:p>
        </w:tc>
        <w:tc>
          <w:tcPr>
            <w:tcW w:w="1722" w:type="dxa"/>
          </w:tcPr>
          <w:p w14:paraId="4DFD0590" w14:textId="77777777" w:rsidR="006E5ACF" w:rsidRDefault="006E5ACF" w:rsidP="006F1810">
            <w:pPr>
              <w:bidi w:val="0"/>
              <w:spacing w:line="36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Bethesda IV</w:t>
            </w:r>
          </w:p>
        </w:tc>
        <w:tc>
          <w:tcPr>
            <w:tcW w:w="1265" w:type="dxa"/>
          </w:tcPr>
          <w:p w14:paraId="7ECB376E" w14:textId="1671EEB8" w:rsidR="006E5ACF" w:rsidRPr="00892CDA"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12 </w:t>
            </w:r>
          </w:p>
        </w:tc>
        <w:tc>
          <w:tcPr>
            <w:tcW w:w="1628" w:type="dxa"/>
            <w:tcBorders>
              <w:right w:val="single" w:sz="24" w:space="0" w:color="auto"/>
            </w:tcBorders>
          </w:tcPr>
          <w:p w14:paraId="551A7A29" w14:textId="2AADC24D" w:rsidR="006E5ACF" w:rsidRPr="00892CDA" w:rsidRDefault="006E5ACF" w:rsidP="006F1810">
            <w:pPr>
              <w:bidi w:val="0"/>
              <w:spacing w:line="360" w:lineRule="auto"/>
              <w:jc w:val="center"/>
              <w:rPr>
                <w:rFonts w:asciiTheme="majorBidi" w:eastAsia="Times New Roman" w:hAnsiTheme="majorBidi" w:cstheme="majorBidi"/>
                <w:sz w:val="24"/>
                <w:szCs w:val="24"/>
                <w:lang w:val="en-GB"/>
              </w:rPr>
            </w:pPr>
            <w:r>
              <w:rPr>
                <w:rFonts w:asciiTheme="majorBidi" w:eastAsia="Times New Roman" w:hAnsiTheme="majorBidi" w:cstheme="majorBidi"/>
                <w:b/>
                <w:bCs/>
                <w:sz w:val="24"/>
                <w:szCs w:val="24"/>
              </w:rPr>
              <w:t>5</w:t>
            </w:r>
            <w:r>
              <w:rPr>
                <w:rFonts w:asciiTheme="majorBidi" w:eastAsia="Times New Roman" w:hAnsiTheme="majorBidi" w:cstheme="majorBidi"/>
                <w:sz w:val="24"/>
                <w:szCs w:val="24"/>
              </w:rPr>
              <w:t xml:space="preserve"> </w:t>
            </w:r>
          </w:p>
        </w:tc>
        <w:tc>
          <w:tcPr>
            <w:tcW w:w="1697" w:type="dxa"/>
            <w:tcBorders>
              <w:left w:val="single" w:sz="24" w:space="0" w:color="auto"/>
            </w:tcBorders>
          </w:tcPr>
          <w:p w14:paraId="73CD52D4" w14:textId="3289DB4C" w:rsidR="006E5ACF" w:rsidRPr="00892CDA"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12 </w:t>
            </w:r>
          </w:p>
        </w:tc>
        <w:tc>
          <w:tcPr>
            <w:tcW w:w="1596" w:type="dxa"/>
            <w:tcBorders>
              <w:left w:val="single" w:sz="24" w:space="0" w:color="auto"/>
            </w:tcBorders>
          </w:tcPr>
          <w:p w14:paraId="26EF8A59" w14:textId="4337F3B7" w:rsidR="006E5ACF" w:rsidRPr="00E95384"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29 </w:t>
            </w:r>
          </w:p>
        </w:tc>
      </w:tr>
      <w:tr w:rsidR="006E5ACF" w:rsidRPr="006D79E4" w14:paraId="73F7CD4E" w14:textId="77777777" w:rsidTr="006F1810">
        <w:trPr>
          <w:trHeight w:val="735"/>
        </w:trPr>
        <w:tc>
          <w:tcPr>
            <w:tcW w:w="2830" w:type="dxa"/>
            <w:gridSpan w:val="2"/>
          </w:tcPr>
          <w:p w14:paraId="379534B1" w14:textId="171B142F" w:rsidR="006E5ACF" w:rsidRDefault="006E5ACF" w:rsidP="006F1810">
            <w:pPr>
              <w:bidi w:val="0"/>
              <w:spacing w:line="360" w:lineRule="auto"/>
              <w:rPr>
                <w:rFonts w:asciiTheme="majorBidi" w:eastAsia="Times New Roman" w:hAnsiTheme="majorBidi" w:cstheme="majorBidi"/>
                <w:b/>
                <w:bCs/>
                <w:sz w:val="24"/>
                <w:szCs w:val="24"/>
              </w:rPr>
            </w:pPr>
            <w:r w:rsidRPr="00136A5B">
              <w:rPr>
                <w:rFonts w:asciiTheme="majorBidi" w:eastAsia="Times New Roman" w:hAnsiTheme="majorBidi" w:cstheme="majorBidi"/>
                <w:b/>
                <w:bCs/>
                <w:sz w:val="24"/>
                <w:szCs w:val="24"/>
              </w:rPr>
              <w:t xml:space="preserve">Overall </w:t>
            </w:r>
            <w:r w:rsidRPr="00136A5B">
              <w:rPr>
                <w:rFonts w:asciiTheme="majorBidi" w:eastAsia="Times New Roman" w:hAnsiTheme="majorBidi" w:cstheme="majorBidi"/>
                <w:sz w:val="24"/>
                <w:szCs w:val="24"/>
              </w:rPr>
              <w:t>(</w:t>
            </w:r>
            <w:r>
              <w:rPr>
                <w:rFonts w:asciiTheme="majorBidi" w:eastAsia="Times New Roman" w:hAnsiTheme="majorBidi" w:cstheme="majorBidi"/>
                <w:sz w:val="24"/>
                <w:szCs w:val="24"/>
              </w:rPr>
              <w:t>final histology</w:t>
            </w:r>
            <w:r w:rsidRPr="00136A5B">
              <w:rPr>
                <w:rFonts w:asciiTheme="majorBidi" w:eastAsia="Times New Roman" w:hAnsiTheme="majorBidi" w:cstheme="majorBidi"/>
                <w:sz w:val="24"/>
                <w:szCs w:val="24"/>
              </w:rPr>
              <w:t>)</w:t>
            </w:r>
          </w:p>
        </w:tc>
        <w:tc>
          <w:tcPr>
            <w:tcW w:w="1265" w:type="dxa"/>
          </w:tcPr>
          <w:p w14:paraId="72133E4B" w14:textId="3C5983F1" w:rsidR="006E5ACF" w:rsidRPr="00E95384"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41 </w:t>
            </w:r>
          </w:p>
        </w:tc>
        <w:tc>
          <w:tcPr>
            <w:tcW w:w="1628" w:type="dxa"/>
            <w:tcBorders>
              <w:right w:val="single" w:sz="24" w:space="0" w:color="auto"/>
            </w:tcBorders>
          </w:tcPr>
          <w:p w14:paraId="6749B4D6" w14:textId="3807B803" w:rsidR="006E5ACF" w:rsidRPr="00E95384"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7 </w:t>
            </w:r>
          </w:p>
        </w:tc>
        <w:tc>
          <w:tcPr>
            <w:tcW w:w="1697" w:type="dxa"/>
            <w:tcBorders>
              <w:left w:val="single" w:sz="24" w:space="0" w:color="auto"/>
            </w:tcBorders>
          </w:tcPr>
          <w:p w14:paraId="11AB5DAC" w14:textId="32B69AC3" w:rsidR="006E5ACF" w:rsidRPr="00E95384" w:rsidRDefault="006E5ACF" w:rsidP="006F1810">
            <w:pPr>
              <w:bidi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83 </w:t>
            </w:r>
          </w:p>
        </w:tc>
        <w:tc>
          <w:tcPr>
            <w:tcW w:w="1596" w:type="dxa"/>
            <w:tcBorders>
              <w:left w:val="single" w:sz="24" w:space="0" w:color="auto"/>
            </w:tcBorders>
          </w:tcPr>
          <w:p w14:paraId="7635407C" w14:textId="5276E6D9" w:rsidR="006E5ACF" w:rsidRPr="00136A5B" w:rsidRDefault="006E5ACF" w:rsidP="006F1810">
            <w:pPr>
              <w:bidi w:val="0"/>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b/>
                <w:bCs/>
                <w:sz w:val="24"/>
                <w:szCs w:val="24"/>
              </w:rPr>
              <w:t xml:space="preserve">131 </w:t>
            </w:r>
          </w:p>
        </w:tc>
      </w:tr>
      <w:tr w:rsidR="006E5ACF" w:rsidRPr="006D79E4" w14:paraId="0D7643AA" w14:textId="77777777" w:rsidTr="006F1810">
        <w:trPr>
          <w:trHeight w:val="417"/>
        </w:trPr>
        <w:tc>
          <w:tcPr>
            <w:tcW w:w="9016" w:type="dxa"/>
            <w:gridSpan w:val="6"/>
          </w:tcPr>
          <w:p w14:paraId="048C17B6" w14:textId="77777777" w:rsidR="006E5ACF" w:rsidRPr="00F00BC5" w:rsidRDefault="006E5ACF" w:rsidP="006F1810">
            <w:pPr>
              <w:bidi w:val="0"/>
              <w:spacing w:line="360" w:lineRule="auto"/>
              <w:jc w:val="both"/>
              <w:rPr>
                <w:rFonts w:asciiTheme="majorBidi" w:eastAsia="Times New Roman" w:hAnsiTheme="majorBidi" w:cstheme="majorBidi"/>
                <w:b/>
                <w:bCs/>
                <w:sz w:val="20"/>
                <w:szCs w:val="20"/>
              </w:rPr>
            </w:pPr>
            <w:r w:rsidRPr="00F00BC5">
              <w:rPr>
                <w:rFonts w:asciiTheme="majorBidi" w:eastAsia="Times New Roman" w:hAnsiTheme="majorBidi" w:cstheme="majorBidi"/>
                <w:b/>
                <w:bCs/>
                <w:sz w:val="20"/>
                <w:szCs w:val="20"/>
              </w:rPr>
              <w:t>Abbreviations:</w:t>
            </w:r>
            <w:r w:rsidRPr="00F00BC5">
              <w:rPr>
                <w:rFonts w:asciiTheme="majorBidi" w:eastAsia="Times New Roman" w:hAnsiTheme="majorBidi" w:cstheme="majorBidi"/>
                <w:sz w:val="20"/>
                <w:szCs w:val="20"/>
              </w:rPr>
              <w:t xml:space="preserve"> MNG- multinodular goiter, INC- indeterminate</w:t>
            </w:r>
            <w:r w:rsidRPr="006D79E4">
              <w:rPr>
                <w:rFonts w:asciiTheme="majorBidi" w:hAnsiTheme="majorBidi" w:cstheme="majorBidi"/>
                <w:sz w:val="20"/>
                <w:szCs w:val="20"/>
              </w:rPr>
              <w:t xml:space="preserve"> cytology, PTC- papillary thyroid carcinoma, FTC- follicular thyroid carcinoma, TN- thyroid nodule</w:t>
            </w:r>
          </w:p>
        </w:tc>
      </w:tr>
    </w:tbl>
    <w:p w14:paraId="5312CF1C" w14:textId="12B0AF59"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1F43B2D7" w14:textId="43036B87"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7540FAEC" w14:textId="5FF67D54"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0E32DC48" w14:textId="4B753B7B"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6B77C070" w14:textId="4ABE282B"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18516F2C" w14:textId="126C5355"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60C59794" w14:textId="77777777"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63520D96" w14:textId="2684387D" w:rsidR="006E5ACF" w:rsidRDefault="006E5ACF" w:rsidP="006E5ACF">
      <w:pPr>
        <w:bidi w:val="0"/>
        <w:spacing w:line="360" w:lineRule="auto"/>
        <w:jc w:val="both"/>
        <w:rPr>
          <w:rFonts w:asciiTheme="majorBidi" w:eastAsia="Times New Roman" w:hAnsiTheme="majorBidi" w:cstheme="majorBidi"/>
          <w:b/>
          <w:bCs/>
          <w:sz w:val="24"/>
          <w:szCs w:val="24"/>
          <w:u w:val="single"/>
        </w:rPr>
      </w:pPr>
    </w:p>
    <w:p w14:paraId="3977E9BA" w14:textId="484E6800" w:rsidR="000F412A" w:rsidRDefault="000F412A" w:rsidP="000F412A">
      <w:pPr>
        <w:bidi w:val="0"/>
        <w:spacing w:line="360" w:lineRule="auto"/>
        <w:jc w:val="both"/>
        <w:rPr>
          <w:rFonts w:asciiTheme="majorBidi" w:eastAsia="Times New Roman" w:hAnsiTheme="majorBidi" w:cstheme="majorBidi"/>
          <w:b/>
          <w:bCs/>
          <w:sz w:val="24"/>
          <w:szCs w:val="24"/>
          <w:u w:val="single"/>
        </w:rPr>
      </w:pPr>
    </w:p>
    <w:p w14:paraId="02F8A344" w14:textId="179C2453" w:rsidR="000F412A" w:rsidRDefault="000F412A" w:rsidP="000F412A">
      <w:pPr>
        <w:bidi w:val="0"/>
        <w:spacing w:line="360" w:lineRule="auto"/>
        <w:jc w:val="both"/>
        <w:rPr>
          <w:rFonts w:asciiTheme="majorBidi" w:eastAsia="Times New Roman" w:hAnsiTheme="majorBidi" w:cstheme="majorBidi"/>
          <w:b/>
          <w:bCs/>
          <w:sz w:val="24"/>
          <w:szCs w:val="24"/>
          <w:u w:val="single"/>
        </w:rPr>
      </w:pPr>
    </w:p>
    <w:p w14:paraId="5C2A359B" w14:textId="77777777" w:rsidR="000F412A" w:rsidRDefault="000F412A" w:rsidP="000F412A">
      <w:pPr>
        <w:bidi w:val="0"/>
        <w:spacing w:line="360" w:lineRule="auto"/>
        <w:jc w:val="both"/>
        <w:rPr>
          <w:rFonts w:asciiTheme="majorBidi" w:eastAsia="Times New Roman" w:hAnsiTheme="majorBidi" w:cstheme="majorBidi"/>
          <w:b/>
          <w:bCs/>
          <w:sz w:val="24"/>
          <w:szCs w:val="24"/>
          <w:u w:val="single"/>
        </w:rPr>
      </w:pPr>
    </w:p>
    <w:p w14:paraId="7FF01573" w14:textId="77777777" w:rsidR="00286AA2" w:rsidRPr="00F00BC5" w:rsidRDefault="00286AA2" w:rsidP="00286AA2">
      <w:pPr>
        <w:bidi w:val="0"/>
        <w:spacing w:line="360" w:lineRule="auto"/>
        <w:jc w:val="both"/>
        <w:rPr>
          <w:rFonts w:asciiTheme="majorBidi" w:eastAsia="Times New Roman" w:hAnsiTheme="majorBidi" w:cstheme="majorBidi"/>
          <w:b/>
          <w:bCs/>
          <w:sz w:val="24"/>
          <w:szCs w:val="24"/>
          <w:u w:val="single"/>
        </w:rPr>
      </w:pPr>
    </w:p>
    <w:tbl>
      <w:tblPr>
        <w:tblW w:w="9356" w:type="dxa"/>
        <w:tblLook w:val="04A0" w:firstRow="1" w:lastRow="0" w:firstColumn="1" w:lastColumn="0" w:noHBand="0" w:noVBand="1"/>
      </w:tblPr>
      <w:tblGrid>
        <w:gridCol w:w="2681"/>
        <w:gridCol w:w="1541"/>
        <w:gridCol w:w="1705"/>
        <w:gridCol w:w="1979"/>
        <w:gridCol w:w="1167"/>
        <w:gridCol w:w="264"/>
        <w:gridCol w:w="19"/>
      </w:tblGrid>
      <w:tr w:rsidR="006D79E4" w:rsidRPr="006D79E4" w14:paraId="70FF7C77" w14:textId="77777777" w:rsidTr="00CD5D66">
        <w:trPr>
          <w:gridAfter w:val="2"/>
          <w:wAfter w:w="283" w:type="dxa"/>
          <w:trHeight w:val="745"/>
        </w:trPr>
        <w:tc>
          <w:tcPr>
            <w:tcW w:w="9073" w:type="dxa"/>
            <w:gridSpan w:val="5"/>
            <w:tcBorders>
              <w:top w:val="single" w:sz="8" w:space="0" w:color="auto"/>
              <w:left w:val="single" w:sz="8" w:space="0" w:color="auto"/>
              <w:bottom w:val="nil"/>
              <w:right w:val="single" w:sz="8" w:space="0" w:color="000000"/>
            </w:tcBorders>
            <w:shd w:val="clear" w:color="auto" w:fill="EDEDED" w:themeFill="accent3" w:themeFillTint="33"/>
            <w:vAlign w:val="center"/>
            <w:hideMark/>
          </w:tcPr>
          <w:p w14:paraId="23543845" w14:textId="6BFEB59B"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b/>
                <w:bCs/>
                <w:sz w:val="24"/>
                <w:szCs w:val="24"/>
              </w:rPr>
              <w:t xml:space="preserve">Table </w:t>
            </w:r>
            <w:r w:rsidR="005D1412">
              <w:rPr>
                <w:rFonts w:asciiTheme="majorBidi" w:eastAsia="Times New Roman" w:hAnsiTheme="majorBidi" w:cstheme="majorBidi"/>
                <w:b/>
                <w:bCs/>
                <w:sz w:val="24"/>
                <w:szCs w:val="24"/>
              </w:rPr>
              <w:t>2</w:t>
            </w:r>
            <w:r w:rsidRPr="00F00BC5">
              <w:rPr>
                <w:rFonts w:asciiTheme="majorBidi" w:eastAsia="Times New Roman" w:hAnsiTheme="majorBidi" w:cstheme="majorBidi"/>
                <w:sz w:val="24"/>
                <w:szCs w:val="24"/>
              </w:rPr>
              <w:t xml:space="preserve">. </w:t>
            </w:r>
            <w:r w:rsidRPr="00F00BC5">
              <w:rPr>
                <w:rFonts w:asciiTheme="majorBidi" w:hAnsiTheme="majorBidi" w:cstheme="majorBidi"/>
                <w:sz w:val="24"/>
                <w:szCs w:val="24"/>
              </w:rPr>
              <w:t>B</w:t>
            </w:r>
            <w:r w:rsidRPr="00F00BC5">
              <w:rPr>
                <w:rFonts w:asciiTheme="majorBidi" w:hAnsiTheme="majorBidi" w:cstheme="majorBidi"/>
                <w:sz w:val="24"/>
                <w:szCs w:val="24"/>
                <w:lang w:val="x-none"/>
              </w:rPr>
              <w:t xml:space="preserve">aseline characteristics of </w:t>
            </w:r>
            <w:r w:rsidRPr="00F00BC5">
              <w:rPr>
                <w:rFonts w:asciiTheme="majorBidi" w:hAnsiTheme="majorBidi" w:cstheme="majorBidi"/>
                <w:sz w:val="24"/>
                <w:szCs w:val="24"/>
              </w:rPr>
              <w:t xml:space="preserve">group 1- </w:t>
            </w:r>
            <w:r w:rsidRPr="00F00BC5">
              <w:rPr>
                <w:rFonts w:asciiTheme="majorBidi" w:hAnsiTheme="majorBidi" w:cstheme="majorBidi"/>
                <w:sz w:val="24"/>
                <w:szCs w:val="24"/>
                <w:lang w:val="x-none"/>
              </w:rPr>
              <w:t>patients</w:t>
            </w:r>
            <w:r w:rsidRPr="00F00BC5">
              <w:rPr>
                <w:rFonts w:asciiTheme="majorBidi" w:hAnsiTheme="majorBidi" w:cstheme="majorBidi"/>
                <w:sz w:val="24"/>
                <w:szCs w:val="24"/>
              </w:rPr>
              <w:t xml:space="preserve"> with preoperative diagnosis of benign multinodular goiter (MNG)</w:t>
            </w:r>
            <w:r w:rsidR="00C661DD">
              <w:rPr>
                <w:rFonts w:asciiTheme="majorBidi" w:hAnsiTheme="majorBidi" w:cstheme="majorBidi"/>
                <w:sz w:val="24"/>
                <w:szCs w:val="24"/>
              </w:rPr>
              <w:t>,</w:t>
            </w:r>
            <w:r w:rsidRPr="00F00BC5">
              <w:rPr>
                <w:rFonts w:asciiTheme="majorBidi" w:hAnsiTheme="majorBidi" w:cstheme="majorBidi"/>
                <w:sz w:val="24"/>
                <w:szCs w:val="24"/>
              </w:rPr>
              <w:t xml:space="preserve"> according to</w:t>
            </w:r>
            <w:r w:rsidRPr="00F00BC5">
              <w:rPr>
                <w:rFonts w:asciiTheme="majorBidi" w:hAnsiTheme="majorBidi" w:cstheme="majorBidi"/>
                <w:sz w:val="24"/>
                <w:szCs w:val="24"/>
                <w:lang w:val="x-none"/>
              </w:rPr>
              <w:t xml:space="preserve"> </w:t>
            </w:r>
            <w:r w:rsidRPr="00F00BC5">
              <w:rPr>
                <w:rFonts w:asciiTheme="majorBidi" w:hAnsiTheme="majorBidi" w:cstheme="majorBidi"/>
                <w:sz w:val="24"/>
                <w:szCs w:val="24"/>
              </w:rPr>
              <w:t>the final diagnosis DTC or benign MNG</w:t>
            </w:r>
          </w:p>
        </w:tc>
      </w:tr>
      <w:tr w:rsidR="006D79E4" w:rsidRPr="006D79E4" w14:paraId="05174D44" w14:textId="77777777" w:rsidTr="00CD5D66">
        <w:trPr>
          <w:gridAfter w:val="2"/>
          <w:wAfter w:w="283" w:type="dxa"/>
          <w:trHeight w:val="773"/>
        </w:trPr>
        <w:tc>
          <w:tcPr>
            <w:tcW w:w="2681" w:type="dxa"/>
            <w:vMerge w:val="restart"/>
            <w:tcBorders>
              <w:top w:val="single" w:sz="4" w:space="0" w:color="auto"/>
              <w:left w:val="single" w:sz="8" w:space="0" w:color="auto"/>
              <w:bottom w:val="single" w:sz="4" w:space="0" w:color="auto"/>
              <w:right w:val="single" w:sz="4" w:space="0" w:color="auto"/>
            </w:tcBorders>
            <w:vAlign w:val="center"/>
            <w:hideMark/>
          </w:tcPr>
          <w:p w14:paraId="1456D36D" w14:textId="77777777" w:rsidR="008A2355" w:rsidRPr="00F00BC5" w:rsidRDefault="008A2355" w:rsidP="00CD5D66">
            <w:pPr>
              <w:bidi w:val="0"/>
              <w:spacing w:after="0" w:line="360" w:lineRule="auto"/>
              <w:jc w:val="right"/>
              <w:rPr>
                <w:rFonts w:asciiTheme="majorBidi" w:eastAsia="Times New Roman" w:hAnsiTheme="majorBidi" w:cstheme="majorBidi"/>
                <w:b/>
                <w:bCs/>
                <w:sz w:val="24"/>
                <w:szCs w:val="24"/>
                <w:rtl/>
              </w:rPr>
            </w:pPr>
            <w:r w:rsidRPr="00F00BC5">
              <w:rPr>
                <w:rFonts w:asciiTheme="majorBidi" w:eastAsia="Times New Roman" w:hAnsiTheme="majorBidi" w:cstheme="majorBidi"/>
                <w:b/>
                <w:bCs/>
                <w:sz w:val="24"/>
                <w:szCs w:val="24"/>
              </w:rPr>
              <w:t> </w:t>
            </w:r>
          </w:p>
        </w:tc>
        <w:tc>
          <w:tcPr>
            <w:tcW w:w="1541" w:type="dxa"/>
            <w:tcBorders>
              <w:top w:val="single" w:sz="4" w:space="0" w:color="auto"/>
              <w:left w:val="nil"/>
              <w:bottom w:val="single" w:sz="4" w:space="0" w:color="auto"/>
              <w:right w:val="single" w:sz="4" w:space="0" w:color="auto"/>
            </w:tcBorders>
            <w:vAlign w:val="center"/>
            <w:hideMark/>
          </w:tcPr>
          <w:p w14:paraId="61F9A92E" w14:textId="77777777" w:rsidR="008A2355" w:rsidRPr="00F00BC5" w:rsidRDefault="008A2355" w:rsidP="00CD5D66">
            <w:pPr>
              <w:bidi w:val="0"/>
              <w:spacing w:after="0" w:line="360" w:lineRule="auto"/>
              <w:jc w:val="center"/>
              <w:rPr>
                <w:rFonts w:asciiTheme="majorBidi" w:eastAsia="Times New Roman" w:hAnsiTheme="majorBidi" w:cstheme="majorBidi"/>
                <w:b/>
                <w:bCs/>
                <w:sz w:val="24"/>
                <w:szCs w:val="24"/>
                <w:rtl/>
              </w:rPr>
            </w:pPr>
            <w:r w:rsidRPr="00F00BC5">
              <w:rPr>
                <w:rFonts w:asciiTheme="majorBidi" w:eastAsia="Times New Roman" w:hAnsiTheme="majorBidi" w:cstheme="majorBidi"/>
                <w:b/>
                <w:bCs/>
                <w:sz w:val="24"/>
                <w:szCs w:val="24"/>
              </w:rPr>
              <w:t>All</w:t>
            </w:r>
          </w:p>
        </w:tc>
        <w:tc>
          <w:tcPr>
            <w:tcW w:w="1705" w:type="dxa"/>
            <w:tcBorders>
              <w:top w:val="single" w:sz="4" w:space="0" w:color="auto"/>
              <w:left w:val="nil"/>
              <w:bottom w:val="single" w:sz="4" w:space="0" w:color="auto"/>
              <w:right w:val="single" w:sz="4" w:space="0" w:color="auto"/>
            </w:tcBorders>
            <w:vAlign w:val="center"/>
            <w:hideMark/>
          </w:tcPr>
          <w:p w14:paraId="41DC2679" w14:textId="77777777" w:rsidR="008A2355" w:rsidRPr="00F00BC5" w:rsidRDefault="008A2355" w:rsidP="00CD5D66">
            <w:pPr>
              <w:bidi w:val="0"/>
              <w:spacing w:after="0" w:line="360" w:lineRule="auto"/>
              <w:jc w:val="center"/>
              <w:rPr>
                <w:rFonts w:asciiTheme="majorBidi" w:eastAsia="Times New Roman" w:hAnsiTheme="majorBidi" w:cstheme="majorBidi"/>
                <w:b/>
                <w:bCs/>
                <w:sz w:val="24"/>
                <w:szCs w:val="24"/>
              </w:rPr>
            </w:pPr>
            <w:r w:rsidRPr="00F00BC5">
              <w:rPr>
                <w:rFonts w:asciiTheme="majorBidi" w:hAnsiTheme="majorBidi" w:cstheme="majorBidi"/>
                <w:b/>
                <w:bCs/>
                <w:sz w:val="24"/>
                <w:szCs w:val="24"/>
              </w:rPr>
              <w:t>DTC</w:t>
            </w:r>
          </w:p>
        </w:tc>
        <w:tc>
          <w:tcPr>
            <w:tcW w:w="1979" w:type="dxa"/>
            <w:tcBorders>
              <w:top w:val="single" w:sz="4" w:space="0" w:color="auto"/>
              <w:left w:val="nil"/>
              <w:bottom w:val="single" w:sz="4" w:space="0" w:color="auto"/>
              <w:right w:val="single" w:sz="4" w:space="0" w:color="auto"/>
            </w:tcBorders>
            <w:vAlign w:val="center"/>
            <w:hideMark/>
          </w:tcPr>
          <w:p w14:paraId="35BCC4DA" w14:textId="77777777" w:rsidR="008A2355" w:rsidRPr="00F00BC5" w:rsidRDefault="008A2355" w:rsidP="00CD5D66">
            <w:pPr>
              <w:bidi w:val="0"/>
              <w:spacing w:after="0" w:line="360" w:lineRule="auto"/>
              <w:jc w:val="center"/>
              <w:rPr>
                <w:rFonts w:asciiTheme="majorBidi" w:eastAsia="Times New Roman" w:hAnsiTheme="majorBidi" w:cstheme="majorBidi"/>
                <w:b/>
                <w:bCs/>
                <w:sz w:val="24"/>
                <w:szCs w:val="24"/>
              </w:rPr>
            </w:pPr>
            <w:r w:rsidRPr="00F00BC5">
              <w:rPr>
                <w:rFonts w:asciiTheme="majorBidi" w:hAnsiTheme="majorBidi" w:cstheme="majorBidi"/>
                <w:b/>
                <w:bCs/>
                <w:sz w:val="24"/>
                <w:szCs w:val="24"/>
              </w:rPr>
              <w:t>Benign MNG</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25D8B152"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p value</w:t>
            </w:r>
          </w:p>
        </w:tc>
      </w:tr>
      <w:tr w:rsidR="006D79E4" w:rsidRPr="006D79E4" w14:paraId="18028F38" w14:textId="77777777" w:rsidTr="00CD5D66">
        <w:trPr>
          <w:gridAfter w:val="2"/>
          <w:wAfter w:w="283" w:type="dxa"/>
          <w:trHeight w:val="496"/>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9FBDF33" w14:textId="77777777" w:rsidR="008A2355" w:rsidRPr="00F00BC5" w:rsidRDefault="008A2355" w:rsidP="00CD5D66">
            <w:pPr>
              <w:bidi w:val="0"/>
              <w:spacing w:after="0" w:line="360" w:lineRule="auto"/>
              <w:rPr>
                <w:rFonts w:asciiTheme="majorBidi" w:eastAsia="Times New Roman" w:hAnsiTheme="majorBidi" w:cstheme="majorBidi"/>
                <w:b/>
                <w:bCs/>
                <w:sz w:val="24"/>
                <w:szCs w:val="24"/>
              </w:rPr>
            </w:pPr>
          </w:p>
        </w:tc>
        <w:tc>
          <w:tcPr>
            <w:tcW w:w="1541" w:type="dxa"/>
            <w:vMerge w:val="restart"/>
            <w:tcBorders>
              <w:top w:val="nil"/>
              <w:left w:val="single" w:sz="4" w:space="0" w:color="auto"/>
              <w:bottom w:val="single" w:sz="4" w:space="0" w:color="auto"/>
              <w:right w:val="single" w:sz="4" w:space="0" w:color="auto"/>
            </w:tcBorders>
            <w:vAlign w:val="center"/>
            <w:hideMark/>
          </w:tcPr>
          <w:p w14:paraId="7EAE9BE3"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tl/>
              </w:rPr>
            </w:pPr>
            <w:r w:rsidRPr="00F00BC5">
              <w:rPr>
                <w:rFonts w:asciiTheme="majorBidi" w:eastAsia="Times New Roman" w:hAnsiTheme="majorBidi" w:cstheme="majorBidi"/>
                <w:sz w:val="24"/>
                <w:szCs w:val="24"/>
              </w:rPr>
              <w:t>(N=69)</w:t>
            </w:r>
          </w:p>
        </w:tc>
        <w:tc>
          <w:tcPr>
            <w:tcW w:w="1705" w:type="dxa"/>
            <w:vMerge w:val="restart"/>
            <w:tcBorders>
              <w:top w:val="nil"/>
              <w:left w:val="single" w:sz="4" w:space="0" w:color="auto"/>
              <w:bottom w:val="single" w:sz="4" w:space="0" w:color="auto"/>
              <w:right w:val="single" w:sz="4" w:space="0" w:color="auto"/>
            </w:tcBorders>
            <w:vAlign w:val="center"/>
            <w:hideMark/>
          </w:tcPr>
          <w:p w14:paraId="0B9F570B"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tl/>
              </w:rPr>
            </w:pPr>
            <w:r w:rsidRPr="00F00BC5">
              <w:rPr>
                <w:rFonts w:asciiTheme="majorBidi" w:eastAsia="Times New Roman" w:hAnsiTheme="majorBidi" w:cstheme="majorBidi"/>
                <w:sz w:val="24"/>
                <w:szCs w:val="24"/>
              </w:rPr>
              <w:t xml:space="preserve"> (N=18)</w:t>
            </w:r>
          </w:p>
        </w:tc>
        <w:tc>
          <w:tcPr>
            <w:tcW w:w="1979" w:type="dxa"/>
            <w:vMerge w:val="restart"/>
            <w:tcBorders>
              <w:top w:val="nil"/>
              <w:left w:val="single" w:sz="4" w:space="0" w:color="auto"/>
              <w:bottom w:val="single" w:sz="4" w:space="0" w:color="auto"/>
              <w:right w:val="single" w:sz="4" w:space="0" w:color="auto"/>
            </w:tcBorders>
            <w:vAlign w:val="center"/>
            <w:hideMark/>
          </w:tcPr>
          <w:p w14:paraId="7ADAF2F8"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(N=51)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81A37" w14:textId="77777777" w:rsidR="008A2355" w:rsidRPr="00F00BC5" w:rsidRDefault="008A2355" w:rsidP="00CD5D66">
            <w:pPr>
              <w:bidi w:val="0"/>
              <w:spacing w:after="0" w:line="360" w:lineRule="auto"/>
              <w:rPr>
                <w:rFonts w:asciiTheme="majorBidi" w:eastAsia="Times New Roman" w:hAnsiTheme="majorBidi" w:cstheme="majorBidi"/>
                <w:sz w:val="24"/>
                <w:szCs w:val="24"/>
              </w:rPr>
            </w:pPr>
          </w:p>
        </w:tc>
      </w:tr>
      <w:tr w:rsidR="006D79E4" w:rsidRPr="006D79E4" w14:paraId="614FDA3F" w14:textId="77777777" w:rsidTr="00CD5D66">
        <w:trPr>
          <w:trHeight w:val="268"/>
        </w:trPr>
        <w:tc>
          <w:tcPr>
            <w:tcW w:w="0" w:type="auto"/>
            <w:vMerge/>
            <w:tcBorders>
              <w:top w:val="single" w:sz="4" w:space="0" w:color="auto"/>
              <w:left w:val="single" w:sz="8" w:space="0" w:color="auto"/>
              <w:bottom w:val="single" w:sz="4" w:space="0" w:color="auto"/>
              <w:right w:val="single" w:sz="4" w:space="0" w:color="auto"/>
            </w:tcBorders>
            <w:vAlign w:val="center"/>
            <w:hideMark/>
          </w:tcPr>
          <w:p w14:paraId="353D05A7" w14:textId="77777777" w:rsidR="008A2355" w:rsidRPr="00F00BC5" w:rsidRDefault="008A2355" w:rsidP="00CD5D66">
            <w:pPr>
              <w:bidi w:val="0"/>
              <w:spacing w:after="0" w:line="360" w:lineRule="auto"/>
              <w:rPr>
                <w:rFonts w:asciiTheme="majorBidi" w:eastAsia="Times New Roman" w:hAnsiTheme="majorBidi" w:cstheme="majorBidi"/>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10E94E3" w14:textId="77777777" w:rsidR="008A2355" w:rsidRPr="00F00BC5" w:rsidRDefault="008A2355" w:rsidP="00CD5D66">
            <w:pPr>
              <w:bidi w:val="0"/>
              <w:spacing w:after="0" w:line="360" w:lineRule="auto"/>
              <w:rPr>
                <w:rFonts w:asciiTheme="majorBidi" w:eastAsia="Times New Roman" w:hAnsiTheme="majorBidi" w:cstheme="majorBidi"/>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7728B4D" w14:textId="77777777" w:rsidR="008A2355" w:rsidRPr="00F00BC5" w:rsidRDefault="008A2355" w:rsidP="00CD5D66">
            <w:pPr>
              <w:bidi w:val="0"/>
              <w:spacing w:after="0" w:line="360" w:lineRule="auto"/>
              <w:rPr>
                <w:rFonts w:asciiTheme="majorBidi" w:eastAsia="Times New Roman" w:hAnsiTheme="majorBidi" w:cstheme="majorBidi"/>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056E3B6" w14:textId="77777777" w:rsidR="008A2355" w:rsidRPr="00F00BC5" w:rsidRDefault="008A2355" w:rsidP="00CD5D66">
            <w:pPr>
              <w:bidi w:val="0"/>
              <w:spacing w:after="0" w:line="36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AA12F" w14:textId="77777777" w:rsidR="008A2355" w:rsidRPr="00F00BC5" w:rsidRDefault="008A2355" w:rsidP="00CD5D66">
            <w:pPr>
              <w:bidi w:val="0"/>
              <w:spacing w:after="0" w:line="360" w:lineRule="auto"/>
              <w:rPr>
                <w:rFonts w:asciiTheme="majorBidi" w:eastAsia="Times New Roman" w:hAnsiTheme="majorBidi" w:cstheme="majorBidi"/>
                <w:sz w:val="24"/>
                <w:szCs w:val="24"/>
              </w:rPr>
            </w:pPr>
          </w:p>
        </w:tc>
        <w:tc>
          <w:tcPr>
            <w:tcW w:w="283" w:type="dxa"/>
            <w:gridSpan w:val="2"/>
            <w:noWrap/>
            <w:vAlign w:val="bottom"/>
            <w:hideMark/>
          </w:tcPr>
          <w:p w14:paraId="25B66510" w14:textId="77777777" w:rsidR="008A2355" w:rsidRPr="006D79E4" w:rsidRDefault="008A2355" w:rsidP="00CD5D66">
            <w:pPr>
              <w:spacing w:line="360" w:lineRule="auto"/>
              <w:rPr>
                <w:rFonts w:asciiTheme="majorBidi" w:hAnsiTheme="majorBidi" w:cstheme="majorBidi"/>
                <w:rtl/>
              </w:rPr>
            </w:pPr>
          </w:p>
        </w:tc>
      </w:tr>
      <w:tr w:rsidR="006D79E4" w:rsidRPr="006D79E4" w14:paraId="0442BA3D" w14:textId="77777777" w:rsidTr="00CD5D66">
        <w:trPr>
          <w:gridAfter w:val="1"/>
          <w:wAfter w:w="19" w:type="dxa"/>
          <w:trHeight w:val="253"/>
        </w:trPr>
        <w:tc>
          <w:tcPr>
            <w:tcW w:w="90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4F748F02" w14:textId="77777777" w:rsidR="008A2355" w:rsidRPr="00F00BC5" w:rsidRDefault="008A2355" w:rsidP="00CD5D66">
            <w:pPr>
              <w:bidi w:val="0"/>
              <w:spacing w:after="0" w:line="360" w:lineRule="auto"/>
              <w:rPr>
                <w:rFonts w:asciiTheme="majorBidi" w:eastAsia="Times New Roman" w:hAnsiTheme="majorBidi" w:cstheme="majorBidi"/>
                <w:b/>
                <w:bCs/>
                <w:sz w:val="24"/>
                <w:szCs w:val="24"/>
              </w:rPr>
            </w:pPr>
            <w:r w:rsidRPr="00F00BC5">
              <w:rPr>
                <w:rFonts w:asciiTheme="majorBidi" w:hAnsiTheme="majorBidi" w:cstheme="majorBidi"/>
                <w:b/>
                <w:bCs/>
                <w:sz w:val="24"/>
                <w:szCs w:val="24"/>
                <w:lang w:val="x-none"/>
              </w:rPr>
              <w:t>Demographic</w:t>
            </w:r>
            <w:r w:rsidRPr="00F00BC5">
              <w:rPr>
                <w:rFonts w:asciiTheme="majorBidi" w:hAnsiTheme="majorBidi" w:cstheme="majorBidi"/>
                <w:b/>
                <w:bCs/>
                <w:sz w:val="24"/>
                <w:szCs w:val="24"/>
              </w:rPr>
              <w:t>s</w:t>
            </w:r>
          </w:p>
        </w:tc>
        <w:tc>
          <w:tcPr>
            <w:tcW w:w="264" w:type="dxa"/>
            <w:vAlign w:val="center"/>
            <w:hideMark/>
          </w:tcPr>
          <w:p w14:paraId="459F1DB0" w14:textId="77777777" w:rsidR="008A2355" w:rsidRPr="00F00BC5" w:rsidRDefault="008A2355" w:rsidP="00CD5D66">
            <w:pPr>
              <w:spacing w:line="360" w:lineRule="auto"/>
              <w:rPr>
                <w:rFonts w:asciiTheme="majorBidi" w:eastAsia="Times New Roman" w:hAnsiTheme="majorBidi" w:cstheme="majorBidi"/>
                <w:b/>
                <w:bCs/>
                <w:sz w:val="24"/>
                <w:szCs w:val="24"/>
              </w:rPr>
            </w:pPr>
          </w:p>
        </w:tc>
      </w:tr>
      <w:tr w:rsidR="006D79E4" w:rsidRPr="006D79E4" w14:paraId="1150F964" w14:textId="77777777" w:rsidTr="00CD5D66">
        <w:trPr>
          <w:trHeight w:val="1086"/>
        </w:trPr>
        <w:tc>
          <w:tcPr>
            <w:tcW w:w="2681" w:type="dxa"/>
            <w:tcBorders>
              <w:top w:val="nil"/>
              <w:left w:val="single" w:sz="8" w:space="0" w:color="auto"/>
              <w:bottom w:val="single" w:sz="4" w:space="0" w:color="auto"/>
              <w:right w:val="single" w:sz="4" w:space="0" w:color="auto"/>
            </w:tcBorders>
            <w:vAlign w:val="center"/>
            <w:hideMark/>
          </w:tcPr>
          <w:p w14:paraId="0EEF6CB6" w14:textId="77777777" w:rsidR="008A2355" w:rsidRPr="00F00BC5" w:rsidRDefault="008A2355" w:rsidP="00CD5D66">
            <w:pPr>
              <w:bidi w:val="0"/>
              <w:spacing w:after="0" w:line="360" w:lineRule="auto"/>
              <w:rPr>
                <w:rFonts w:asciiTheme="majorBidi" w:eastAsia="Times New Roman" w:hAnsiTheme="majorBidi" w:cstheme="majorBidi"/>
                <w:sz w:val="24"/>
                <w:szCs w:val="24"/>
                <w:rtl/>
              </w:rPr>
            </w:pPr>
            <w:r w:rsidRPr="00F00BC5">
              <w:rPr>
                <w:rFonts w:asciiTheme="majorBidi" w:eastAsia="Times New Roman" w:hAnsiTheme="majorBidi" w:cstheme="majorBidi"/>
                <w:sz w:val="24"/>
                <w:szCs w:val="24"/>
              </w:rPr>
              <w:t>Age, years</w:t>
            </w:r>
            <w:r w:rsidRPr="00F00BC5">
              <w:rPr>
                <w:rFonts w:asciiTheme="majorBidi" w:eastAsia="Times New Roman" w:hAnsiTheme="majorBidi" w:cstheme="majorBidi"/>
                <w:sz w:val="24"/>
                <w:szCs w:val="24"/>
              </w:rPr>
              <w:br/>
              <w:t>Mean ± SD (n)</w:t>
            </w:r>
            <w:r w:rsidRPr="00F00BC5">
              <w:rPr>
                <w:rFonts w:asciiTheme="majorBidi" w:eastAsia="Times New Roman" w:hAnsiTheme="majorBidi" w:cstheme="majorBidi"/>
                <w:sz w:val="24"/>
                <w:szCs w:val="24"/>
              </w:rPr>
              <w:br/>
              <w:t xml:space="preserve">   Median </w:t>
            </w:r>
            <w:r w:rsidRPr="00F00BC5">
              <w:rPr>
                <w:rFonts w:asciiTheme="majorBidi" w:eastAsia="Times New Roman" w:hAnsiTheme="majorBidi" w:cstheme="majorBidi"/>
                <w:sz w:val="24"/>
                <w:szCs w:val="24"/>
              </w:rPr>
              <w:br/>
              <w:t xml:space="preserve">   Min;Max</w:t>
            </w:r>
          </w:p>
        </w:tc>
        <w:tc>
          <w:tcPr>
            <w:tcW w:w="1541" w:type="dxa"/>
            <w:tcBorders>
              <w:top w:val="nil"/>
              <w:left w:val="nil"/>
              <w:bottom w:val="single" w:sz="4" w:space="0" w:color="auto"/>
              <w:right w:val="single" w:sz="4" w:space="0" w:color="auto"/>
            </w:tcBorders>
            <w:vAlign w:val="center"/>
            <w:hideMark/>
          </w:tcPr>
          <w:p w14:paraId="122A3E96"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43.46 (±14.91)</w:t>
            </w:r>
            <w:r w:rsidRPr="00F00BC5">
              <w:rPr>
                <w:rFonts w:asciiTheme="majorBidi" w:eastAsia="Times New Roman" w:hAnsiTheme="majorBidi" w:cstheme="majorBidi"/>
                <w:sz w:val="24"/>
                <w:szCs w:val="24"/>
              </w:rPr>
              <w:br/>
              <w:t>42</w:t>
            </w:r>
            <w:r w:rsidRPr="00F00BC5">
              <w:rPr>
                <w:rFonts w:asciiTheme="majorBidi" w:eastAsia="Times New Roman" w:hAnsiTheme="majorBidi" w:cstheme="majorBidi"/>
                <w:sz w:val="24"/>
                <w:szCs w:val="24"/>
              </w:rPr>
              <w:br/>
              <w:t>10;76</w:t>
            </w:r>
          </w:p>
        </w:tc>
        <w:tc>
          <w:tcPr>
            <w:tcW w:w="1705" w:type="dxa"/>
            <w:tcBorders>
              <w:top w:val="nil"/>
              <w:left w:val="nil"/>
              <w:bottom w:val="single" w:sz="4" w:space="0" w:color="auto"/>
              <w:right w:val="single" w:sz="4" w:space="0" w:color="auto"/>
            </w:tcBorders>
            <w:vAlign w:val="center"/>
            <w:hideMark/>
          </w:tcPr>
          <w:p w14:paraId="79AFCA5E"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49 (±15.69)</w:t>
            </w:r>
            <w:r w:rsidRPr="00F00BC5">
              <w:rPr>
                <w:rFonts w:asciiTheme="majorBidi" w:eastAsia="Times New Roman" w:hAnsiTheme="majorBidi" w:cstheme="majorBidi"/>
                <w:sz w:val="24"/>
                <w:szCs w:val="24"/>
              </w:rPr>
              <w:br/>
              <w:t>50</w:t>
            </w:r>
            <w:r w:rsidRPr="00F00BC5">
              <w:rPr>
                <w:rFonts w:asciiTheme="majorBidi" w:eastAsia="Times New Roman" w:hAnsiTheme="majorBidi" w:cstheme="majorBidi"/>
                <w:sz w:val="24"/>
                <w:szCs w:val="24"/>
              </w:rPr>
              <w:br/>
              <w:t>17;69</w:t>
            </w:r>
          </w:p>
        </w:tc>
        <w:tc>
          <w:tcPr>
            <w:tcW w:w="1979" w:type="dxa"/>
            <w:tcBorders>
              <w:top w:val="nil"/>
              <w:left w:val="nil"/>
              <w:bottom w:val="single" w:sz="4" w:space="0" w:color="auto"/>
              <w:right w:val="single" w:sz="4" w:space="0" w:color="auto"/>
            </w:tcBorders>
            <w:vAlign w:val="center"/>
            <w:hideMark/>
          </w:tcPr>
          <w:p w14:paraId="67F37C18"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41.5 (±14.27)</w:t>
            </w:r>
            <w:r w:rsidRPr="00F00BC5">
              <w:rPr>
                <w:rFonts w:asciiTheme="majorBidi" w:eastAsia="Times New Roman" w:hAnsiTheme="majorBidi" w:cstheme="majorBidi"/>
                <w:sz w:val="24"/>
                <w:szCs w:val="24"/>
              </w:rPr>
              <w:br/>
              <w:t>39</w:t>
            </w:r>
            <w:r w:rsidRPr="00F00BC5">
              <w:rPr>
                <w:rFonts w:asciiTheme="majorBidi" w:eastAsia="Times New Roman" w:hAnsiTheme="majorBidi" w:cstheme="majorBidi"/>
                <w:sz w:val="24"/>
                <w:szCs w:val="24"/>
              </w:rPr>
              <w:br/>
              <w:t>10;76</w:t>
            </w:r>
          </w:p>
        </w:tc>
        <w:tc>
          <w:tcPr>
            <w:tcW w:w="1167" w:type="dxa"/>
            <w:tcBorders>
              <w:top w:val="nil"/>
              <w:left w:val="nil"/>
              <w:bottom w:val="single" w:sz="4" w:space="0" w:color="auto"/>
              <w:right w:val="single" w:sz="4" w:space="0" w:color="auto"/>
            </w:tcBorders>
            <w:vAlign w:val="center"/>
            <w:hideMark/>
          </w:tcPr>
          <w:p w14:paraId="02EC9FFB"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0.06</w:t>
            </w:r>
          </w:p>
        </w:tc>
        <w:tc>
          <w:tcPr>
            <w:tcW w:w="283" w:type="dxa"/>
            <w:gridSpan w:val="2"/>
            <w:vAlign w:val="center"/>
            <w:hideMark/>
          </w:tcPr>
          <w:p w14:paraId="4AC20BF1" w14:textId="77777777" w:rsidR="008A2355" w:rsidRPr="00F00BC5" w:rsidRDefault="008A2355" w:rsidP="00CD5D66">
            <w:pPr>
              <w:spacing w:line="360" w:lineRule="auto"/>
              <w:rPr>
                <w:rFonts w:asciiTheme="majorBidi" w:eastAsia="Times New Roman" w:hAnsiTheme="majorBidi" w:cstheme="majorBidi"/>
                <w:sz w:val="24"/>
                <w:szCs w:val="24"/>
              </w:rPr>
            </w:pPr>
          </w:p>
        </w:tc>
      </w:tr>
      <w:tr w:rsidR="006D79E4" w:rsidRPr="006D79E4" w14:paraId="287F87E2" w14:textId="77777777" w:rsidTr="00CD5D66">
        <w:trPr>
          <w:trHeight w:val="814"/>
        </w:trPr>
        <w:tc>
          <w:tcPr>
            <w:tcW w:w="2681" w:type="dxa"/>
            <w:tcBorders>
              <w:top w:val="nil"/>
              <w:left w:val="single" w:sz="8" w:space="0" w:color="auto"/>
              <w:bottom w:val="single" w:sz="4" w:space="0" w:color="auto"/>
              <w:right w:val="single" w:sz="4" w:space="0" w:color="auto"/>
            </w:tcBorders>
            <w:vAlign w:val="center"/>
            <w:hideMark/>
          </w:tcPr>
          <w:p w14:paraId="6A7C3DD4" w14:textId="77777777" w:rsidR="008A2355" w:rsidRPr="00F00BC5" w:rsidRDefault="008A2355" w:rsidP="00CD5D66">
            <w:pPr>
              <w:bidi w:val="0"/>
              <w:spacing w:after="0"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Female Gender, % (n/N)</w:t>
            </w:r>
            <w:r w:rsidRPr="00F00BC5">
              <w:rPr>
                <w:rFonts w:asciiTheme="majorBidi" w:eastAsia="Times New Roman" w:hAnsiTheme="majorBidi" w:cstheme="majorBidi"/>
                <w:sz w:val="24"/>
                <w:szCs w:val="24"/>
              </w:rPr>
              <w:br/>
              <w:t>(n= % within Gender, N= % within category)</w:t>
            </w:r>
          </w:p>
        </w:tc>
        <w:tc>
          <w:tcPr>
            <w:tcW w:w="1541" w:type="dxa"/>
            <w:tcBorders>
              <w:top w:val="nil"/>
              <w:left w:val="nil"/>
              <w:bottom w:val="single" w:sz="4" w:space="0" w:color="auto"/>
              <w:right w:val="single" w:sz="4" w:space="0" w:color="auto"/>
            </w:tcBorders>
            <w:vAlign w:val="center"/>
            <w:hideMark/>
          </w:tcPr>
          <w:p w14:paraId="3B5CD950"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59 (100%. 85.5%)</w:t>
            </w:r>
          </w:p>
        </w:tc>
        <w:tc>
          <w:tcPr>
            <w:tcW w:w="1705" w:type="dxa"/>
            <w:tcBorders>
              <w:top w:val="nil"/>
              <w:left w:val="nil"/>
              <w:bottom w:val="single" w:sz="4" w:space="0" w:color="auto"/>
              <w:right w:val="single" w:sz="4" w:space="0" w:color="auto"/>
            </w:tcBorders>
            <w:vAlign w:val="center"/>
            <w:hideMark/>
          </w:tcPr>
          <w:p w14:paraId="7409B018"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17 (28.8%, 94.4%)</w:t>
            </w:r>
          </w:p>
        </w:tc>
        <w:tc>
          <w:tcPr>
            <w:tcW w:w="1979" w:type="dxa"/>
            <w:tcBorders>
              <w:top w:val="nil"/>
              <w:left w:val="nil"/>
              <w:bottom w:val="single" w:sz="4" w:space="0" w:color="auto"/>
              <w:right w:val="single" w:sz="4" w:space="0" w:color="auto"/>
            </w:tcBorders>
            <w:vAlign w:val="center"/>
            <w:hideMark/>
          </w:tcPr>
          <w:p w14:paraId="32B58759"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42 (71.2%, 82.4%)</w:t>
            </w:r>
          </w:p>
        </w:tc>
        <w:tc>
          <w:tcPr>
            <w:tcW w:w="1167" w:type="dxa"/>
            <w:tcBorders>
              <w:top w:val="nil"/>
              <w:left w:val="nil"/>
              <w:bottom w:val="single" w:sz="4" w:space="0" w:color="auto"/>
              <w:right w:val="single" w:sz="4" w:space="0" w:color="auto"/>
            </w:tcBorders>
            <w:noWrap/>
            <w:vAlign w:val="center"/>
            <w:hideMark/>
          </w:tcPr>
          <w:p w14:paraId="79163A45"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0.274</w:t>
            </w:r>
          </w:p>
        </w:tc>
        <w:tc>
          <w:tcPr>
            <w:tcW w:w="283" w:type="dxa"/>
            <w:gridSpan w:val="2"/>
            <w:vAlign w:val="center"/>
            <w:hideMark/>
          </w:tcPr>
          <w:p w14:paraId="64C65A35" w14:textId="77777777" w:rsidR="008A2355" w:rsidRPr="00F00BC5" w:rsidRDefault="008A2355" w:rsidP="00CD5D66">
            <w:pPr>
              <w:spacing w:line="360" w:lineRule="auto"/>
              <w:rPr>
                <w:rFonts w:asciiTheme="majorBidi" w:eastAsia="Times New Roman" w:hAnsiTheme="majorBidi" w:cstheme="majorBidi"/>
                <w:sz w:val="24"/>
                <w:szCs w:val="24"/>
              </w:rPr>
            </w:pPr>
          </w:p>
        </w:tc>
      </w:tr>
      <w:tr w:rsidR="006D79E4" w:rsidRPr="006D79E4" w14:paraId="501A8A44" w14:textId="77777777" w:rsidTr="00CD5D66">
        <w:trPr>
          <w:gridAfter w:val="1"/>
          <w:wAfter w:w="19" w:type="dxa"/>
          <w:trHeight w:val="363"/>
        </w:trPr>
        <w:tc>
          <w:tcPr>
            <w:tcW w:w="90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3F8CC0C5" w14:textId="77777777" w:rsidR="008A2355" w:rsidRPr="00F00BC5" w:rsidRDefault="008A2355" w:rsidP="00CD5D66">
            <w:pPr>
              <w:bidi w:val="0"/>
              <w:spacing w:after="0" w:line="360" w:lineRule="auto"/>
              <w:rPr>
                <w:rFonts w:asciiTheme="majorBidi" w:eastAsia="Times New Roman" w:hAnsiTheme="majorBidi" w:cstheme="majorBidi"/>
                <w:b/>
                <w:bCs/>
                <w:sz w:val="24"/>
                <w:szCs w:val="24"/>
              </w:rPr>
            </w:pPr>
            <w:r w:rsidRPr="00F00BC5">
              <w:rPr>
                <w:rFonts w:asciiTheme="majorBidi" w:eastAsia="Times New Roman" w:hAnsiTheme="majorBidi" w:cstheme="majorBidi"/>
                <w:b/>
                <w:bCs/>
                <w:sz w:val="24"/>
                <w:szCs w:val="24"/>
              </w:rPr>
              <w:t>Preoperative parameters</w:t>
            </w:r>
          </w:p>
        </w:tc>
        <w:tc>
          <w:tcPr>
            <w:tcW w:w="264" w:type="dxa"/>
            <w:vAlign w:val="center"/>
            <w:hideMark/>
          </w:tcPr>
          <w:p w14:paraId="15CC0CFA" w14:textId="77777777" w:rsidR="008A2355" w:rsidRPr="00F00BC5" w:rsidRDefault="008A2355" w:rsidP="00CD5D66">
            <w:pPr>
              <w:spacing w:line="360" w:lineRule="auto"/>
              <w:rPr>
                <w:rFonts w:asciiTheme="majorBidi" w:eastAsia="Times New Roman" w:hAnsiTheme="majorBidi" w:cstheme="majorBidi"/>
                <w:b/>
                <w:bCs/>
                <w:sz w:val="24"/>
                <w:szCs w:val="24"/>
              </w:rPr>
            </w:pPr>
          </w:p>
        </w:tc>
      </w:tr>
      <w:tr w:rsidR="006D79E4" w:rsidRPr="006D79E4" w14:paraId="1FB0ED82" w14:textId="77777777" w:rsidTr="00CD5D66">
        <w:trPr>
          <w:trHeight w:val="499"/>
        </w:trPr>
        <w:tc>
          <w:tcPr>
            <w:tcW w:w="2681" w:type="dxa"/>
            <w:tcBorders>
              <w:top w:val="nil"/>
              <w:left w:val="single" w:sz="8" w:space="0" w:color="auto"/>
              <w:bottom w:val="single" w:sz="4" w:space="0" w:color="auto"/>
              <w:right w:val="single" w:sz="4" w:space="0" w:color="auto"/>
            </w:tcBorders>
            <w:vAlign w:val="center"/>
            <w:hideMark/>
          </w:tcPr>
          <w:p w14:paraId="25373C6E" w14:textId="77777777" w:rsidR="008A2355" w:rsidRPr="00F00BC5" w:rsidRDefault="008A2355" w:rsidP="00CD5D66">
            <w:pPr>
              <w:bidi w:val="0"/>
              <w:spacing w:after="160"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 xml:space="preserve">Maximal thyroid nodule size by US </w:t>
            </w:r>
          </w:p>
          <w:p w14:paraId="531606C0" w14:textId="77777777" w:rsidR="008A2355" w:rsidRPr="00F00BC5" w:rsidRDefault="008A2355" w:rsidP="00CD5D66">
            <w:pPr>
              <w:bidi w:val="0"/>
              <w:spacing w:after="0" w:line="360" w:lineRule="auto"/>
              <w:rPr>
                <w:rFonts w:asciiTheme="majorBidi" w:eastAsia="Times New Roman" w:hAnsiTheme="majorBidi" w:cstheme="majorBidi"/>
                <w:sz w:val="24"/>
                <w:szCs w:val="24"/>
                <w:rtl/>
              </w:rPr>
            </w:pPr>
            <w:r w:rsidRPr="00F00BC5">
              <w:rPr>
                <w:rFonts w:asciiTheme="majorBidi" w:eastAsia="Times New Roman" w:hAnsiTheme="majorBidi" w:cstheme="majorBidi"/>
                <w:sz w:val="24"/>
                <w:szCs w:val="24"/>
              </w:rPr>
              <w:t>centimeters (Mean(SD))</w:t>
            </w:r>
          </w:p>
        </w:tc>
        <w:tc>
          <w:tcPr>
            <w:tcW w:w="1541" w:type="dxa"/>
            <w:tcBorders>
              <w:top w:val="nil"/>
              <w:left w:val="nil"/>
              <w:bottom w:val="single" w:sz="4" w:space="0" w:color="auto"/>
              <w:right w:val="single" w:sz="4" w:space="0" w:color="auto"/>
            </w:tcBorders>
            <w:vAlign w:val="center"/>
            <w:hideMark/>
          </w:tcPr>
          <w:p w14:paraId="0F0DD5D6"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4.48 (±1.64)</w:t>
            </w:r>
            <w:r w:rsidRPr="00F00BC5">
              <w:rPr>
                <w:rFonts w:asciiTheme="majorBidi" w:eastAsia="Times New Roman" w:hAnsiTheme="majorBidi" w:cstheme="majorBidi"/>
                <w:sz w:val="24"/>
                <w:szCs w:val="24"/>
              </w:rPr>
              <w:br/>
              <w:t>(n=64)</w:t>
            </w:r>
          </w:p>
        </w:tc>
        <w:tc>
          <w:tcPr>
            <w:tcW w:w="1705" w:type="dxa"/>
            <w:tcBorders>
              <w:top w:val="nil"/>
              <w:left w:val="nil"/>
              <w:bottom w:val="single" w:sz="4" w:space="0" w:color="auto"/>
              <w:right w:val="single" w:sz="4" w:space="0" w:color="auto"/>
            </w:tcBorders>
            <w:vAlign w:val="center"/>
            <w:hideMark/>
          </w:tcPr>
          <w:p w14:paraId="20D11D4E"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4.03 (±1.77)</w:t>
            </w:r>
            <w:r w:rsidRPr="00F00BC5">
              <w:rPr>
                <w:rFonts w:asciiTheme="majorBidi" w:eastAsia="Times New Roman" w:hAnsiTheme="majorBidi" w:cstheme="majorBidi"/>
                <w:sz w:val="24"/>
                <w:szCs w:val="24"/>
              </w:rPr>
              <w:br/>
              <w:t>(n=16)</w:t>
            </w:r>
          </w:p>
        </w:tc>
        <w:tc>
          <w:tcPr>
            <w:tcW w:w="1979" w:type="dxa"/>
            <w:tcBorders>
              <w:top w:val="nil"/>
              <w:left w:val="nil"/>
              <w:bottom w:val="single" w:sz="4" w:space="0" w:color="auto"/>
              <w:right w:val="single" w:sz="4" w:space="0" w:color="auto"/>
            </w:tcBorders>
            <w:vAlign w:val="center"/>
            <w:hideMark/>
          </w:tcPr>
          <w:p w14:paraId="115DF369"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4.63 (±1.59)</w:t>
            </w:r>
            <w:r w:rsidRPr="00F00BC5">
              <w:rPr>
                <w:rFonts w:asciiTheme="majorBidi" w:eastAsia="Times New Roman" w:hAnsiTheme="majorBidi" w:cstheme="majorBidi"/>
                <w:sz w:val="24"/>
                <w:szCs w:val="24"/>
              </w:rPr>
              <w:br/>
              <w:t>(n=48)</w:t>
            </w:r>
          </w:p>
        </w:tc>
        <w:tc>
          <w:tcPr>
            <w:tcW w:w="1167" w:type="dxa"/>
            <w:tcBorders>
              <w:top w:val="nil"/>
              <w:left w:val="nil"/>
              <w:bottom w:val="single" w:sz="4" w:space="0" w:color="auto"/>
              <w:right w:val="single" w:sz="4" w:space="0" w:color="auto"/>
            </w:tcBorders>
            <w:vAlign w:val="center"/>
            <w:hideMark/>
          </w:tcPr>
          <w:p w14:paraId="5C4FADDA"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0.28</w:t>
            </w:r>
          </w:p>
        </w:tc>
        <w:tc>
          <w:tcPr>
            <w:tcW w:w="283" w:type="dxa"/>
            <w:gridSpan w:val="2"/>
            <w:vAlign w:val="center"/>
            <w:hideMark/>
          </w:tcPr>
          <w:p w14:paraId="77CD7290" w14:textId="77777777" w:rsidR="008A2355" w:rsidRPr="00F00BC5" w:rsidRDefault="008A2355" w:rsidP="00CD5D66">
            <w:pPr>
              <w:spacing w:line="360" w:lineRule="auto"/>
              <w:rPr>
                <w:rFonts w:asciiTheme="majorBidi" w:eastAsia="Times New Roman" w:hAnsiTheme="majorBidi" w:cstheme="majorBidi"/>
                <w:sz w:val="24"/>
                <w:szCs w:val="24"/>
              </w:rPr>
            </w:pPr>
          </w:p>
        </w:tc>
      </w:tr>
      <w:tr w:rsidR="006D79E4" w:rsidRPr="006D79E4" w14:paraId="6CA03F89" w14:textId="77777777" w:rsidTr="00CD5D66">
        <w:trPr>
          <w:trHeight w:val="650"/>
        </w:trPr>
        <w:tc>
          <w:tcPr>
            <w:tcW w:w="2681" w:type="dxa"/>
            <w:tcBorders>
              <w:top w:val="nil"/>
              <w:left w:val="single" w:sz="8" w:space="0" w:color="auto"/>
              <w:bottom w:val="single" w:sz="4" w:space="0" w:color="auto"/>
              <w:right w:val="single" w:sz="4" w:space="0" w:color="auto"/>
            </w:tcBorders>
            <w:vAlign w:val="center"/>
            <w:hideMark/>
          </w:tcPr>
          <w:p w14:paraId="61945CFB" w14:textId="77777777" w:rsidR="008A2355" w:rsidRPr="00F00BC5" w:rsidRDefault="008A2355" w:rsidP="00CD5D66">
            <w:pPr>
              <w:bidi w:val="0"/>
              <w:spacing w:after="0"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 xml:space="preserve">Last Preoperative serum Tg value, ng/mL </w:t>
            </w:r>
          </w:p>
          <w:p w14:paraId="13BFF156" w14:textId="77777777" w:rsidR="008A2355" w:rsidRPr="00F00BC5" w:rsidRDefault="008A2355" w:rsidP="00CD5D66">
            <w:pPr>
              <w:bidi w:val="0"/>
              <w:spacing w:after="0" w:line="360" w:lineRule="auto"/>
              <w:rPr>
                <w:rFonts w:asciiTheme="majorBidi" w:hAnsiTheme="majorBidi" w:cstheme="majorBidi"/>
                <w:sz w:val="24"/>
                <w:szCs w:val="24"/>
                <w:lang w:val="x-none"/>
              </w:rPr>
            </w:pPr>
            <w:r w:rsidRPr="00F00BC5">
              <w:rPr>
                <w:rFonts w:asciiTheme="majorBidi" w:hAnsiTheme="majorBidi" w:cstheme="majorBidi"/>
                <w:sz w:val="24"/>
                <w:szCs w:val="24"/>
              </w:rPr>
              <w:t>Mean ± SD (n)</w:t>
            </w:r>
          </w:p>
          <w:p w14:paraId="459A3626" w14:textId="77777777" w:rsidR="008A2355" w:rsidRPr="00F00BC5" w:rsidRDefault="008A2355" w:rsidP="00CD5D66">
            <w:pPr>
              <w:bidi w:val="0"/>
              <w:spacing w:after="0" w:line="360" w:lineRule="auto"/>
              <w:rPr>
                <w:rFonts w:asciiTheme="majorBidi" w:eastAsia="Times New Roman" w:hAnsiTheme="majorBidi" w:cstheme="majorBidi"/>
                <w:sz w:val="24"/>
                <w:szCs w:val="24"/>
                <w:u w:val="single"/>
              </w:rPr>
            </w:pPr>
            <w:r w:rsidRPr="00F00BC5">
              <w:rPr>
                <w:rFonts w:asciiTheme="majorBidi" w:hAnsiTheme="majorBidi" w:cstheme="majorBidi"/>
                <w:sz w:val="24"/>
                <w:szCs w:val="24"/>
              </w:rPr>
              <w:t xml:space="preserve">   Median </w:t>
            </w:r>
            <w:r w:rsidRPr="00F00BC5">
              <w:rPr>
                <w:rFonts w:asciiTheme="majorBidi" w:hAnsiTheme="majorBidi" w:cstheme="majorBidi"/>
                <w:sz w:val="24"/>
                <w:szCs w:val="24"/>
              </w:rPr>
              <w:br/>
              <w:t xml:space="preserve">   Min;Max</w:t>
            </w:r>
          </w:p>
        </w:tc>
        <w:tc>
          <w:tcPr>
            <w:tcW w:w="1541" w:type="dxa"/>
            <w:tcBorders>
              <w:top w:val="nil"/>
              <w:left w:val="nil"/>
              <w:bottom w:val="single" w:sz="4" w:space="0" w:color="auto"/>
              <w:right w:val="single" w:sz="4" w:space="0" w:color="auto"/>
            </w:tcBorders>
            <w:vAlign w:val="center"/>
            <w:hideMark/>
          </w:tcPr>
          <w:p w14:paraId="481C3BB4"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925.25 (±1975.08)</w:t>
            </w:r>
            <w:r w:rsidRPr="00F00BC5">
              <w:rPr>
                <w:rFonts w:asciiTheme="majorBidi" w:eastAsia="Times New Roman" w:hAnsiTheme="majorBidi" w:cstheme="majorBidi"/>
                <w:sz w:val="24"/>
                <w:szCs w:val="24"/>
              </w:rPr>
              <w:br/>
              <w:t>(n=69)</w:t>
            </w:r>
          </w:p>
          <w:p w14:paraId="7E2B3171"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171</w:t>
            </w:r>
          </w:p>
          <w:p w14:paraId="5A14C013"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7.68;12842</w:t>
            </w:r>
          </w:p>
        </w:tc>
        <w:tc>
          <w:tcPr>
            <w:tcW w:w="1705" w:type="dxa"/>
            <w:tcBorders>
              <w:top w:val="nil"/>
              <w:left w:val="nil"/>
              <w:bottom w:val="single" w:sz="4" w:space="0" w:color="auto"/>
              <w:right w:val="single" w:sz="4" w:space="0" w:color="auto"/>
            </w:tcBorders>
            <w:vAlign w:val="center"/>
            <w:hideMark/>
          </w:tcPr>
          <w:p w14:paraId="691974D6"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904.01 (±1569.88)</w:t>
            </w:r>
            <w:r w:rsidRPr="00F00BC5">
              <w:rPr>
                <w:rFonts w:asciiTheme="majorBidi" w:eastAsia="Times New Roman" w:hAnsiTheme="majorBidi" w:cstheme="majorBidi"/>
                <w:sz w:val="24"/>
                <w:szCs w:val="24"/>
              </w:rPr>
              <w:br/>
              <w:t>(n=18)</w:t>
            </w:r>
          </w:p>
          <w:p w14:paraId="10A43114"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148.5</w:t>
            </w:r>
          </w:p>
          <w:p w14:paraId="05FB7EFF"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14.9;5272</w:t>
            </w:r>
          </w:p>
        </w:tc>
        <w:tc>
          <w:tcPr>
            <w:tcW w:w="1979" w:type="dxa"/>
            <w:tcBorders>
              <w:top w:val="nil"/>
              <w:left w:val="nil"/>
              <w:bottom w:val="single" w:sz="4" w:space="0" w:color="auto"/>
              <w:right w:val="single" w:sz="4" w:space="0" w:color="auto"/>
            </w:tcBorders>
            <w:vAlign w:val="center"/>
            <w:hideMark/>
          </w:tcPr>
          <w:p w14:paraId="1C43AEFE"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932.75 (±2113.56)</w:t>
            </w:r>
            <w:r w:rsidRPr="00F00BC5">
              <w:rPr>
                <w:rFonts w:asciiTheme="majorBidi" w:eastAsia="Times New Roman" w:hAnsiTheme="majorBidi" w:cstheme="majorBidi"/>
                <w:sz w:val="24"/>
                <w:szCs w:val="24"/>
              </w:rPr>
              <w:br/>
              <w:t>(n=51)</w:t>
            </w:r>
          </w:p>
          <w:p w14:paraId="6B9CFC25"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190</w:t>
            </w:r>
          </w:p>
          <w:p w14:paraId="0082084A"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7.68;12842</w:t>
            </w:r>
          </w:p>
        </w:tc>
        <w:tc>
          <w:tcPr>
            <w:tcW w:w="1167" w:type="dxa"/>
            <w:tcBorders>
              <w:top w:val="nil"/>
              <w:left w:val="nil"/>
              <w:bottom w:val="single" w:sz="4" w:space="0" w:color="auto"/>
              <w:right w:val="single" w:sz="4" w:space="0" w:color="auto"/>
            </w:tcBorders>
            <w:vAlign w:val="center"/>
            <w:hideMark/>
          </w:tcPr>
          <w:p w14:paraId="1784A147"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0.97</w:t>
            </w:r>
          </w:p>
        </w:tc>
        <w:tc>
          <w:tcPr>
            <w:tcW w:w="283" w:type="dxa"/>
            <w:gridSpan w:val="2"/>
            <w:vAlign w:val="center"/>
            <w:hideMark/>
          </w:tcPr>
          <w:p w14:paraId="562BE295" w14:textId="77777777" w:rsidR="008A2355" w:rsidRPr="00F00BC5" w:rsidRDefault="008A2355" w:rsidP="00CD5D66">
            <w:pPr>
              <w:spacing w:line="360" w:lineRule="auto"/>
              <w:rPr>
                <w:rFonts w:asciiTheme="majorBidi" w:eastAsia="Times New Roman" w:hAnsiTheme="majorBidi" w:cstheme="majorBidi"/>
                <w:sz w:val="24"/>
                <w:szCs w:val="24"/>
              </w:rPr>
            </w:pPr>
          </w:p>
        </w:tc>
      </w:tr>
      <w:tr w:rsidR="006D79E4" w:rsidRPr="006D79E4" w14:paraId="6E727EFA" w14:textId="77777777" w:rsidTr="00CD5D66">
        <w:trPr>
          <w:trHeight w:val="553"/>
        </w:trPr>
        <w:tc>
          <w:tcPr>
            <w:tcW w:w="2681" w:type="dxa"/>
            <w:tcBorders>
              <w:top w:val="nil"/>
              <w:left w:val="single" w:sz="8" w:space="0" w:color="auto"/>
              <w:bottom w:val="single" w:sz="4" w:space="0" w:color="auto"/>
              <w:right w:val="single" w:sz="4" w:space="0" w:color="auto"/>
            </w:tcBorders>
            <w:vAlign w:val="center"/>
            <w:hideMark/>
          </w:tcPr>
          <w:p w14:paraId="5AB2655A" w14:textId="77777777" w:rsidR="008A2355" w:rsidRPr="00F00BC5" w:rsidRDefault="008A2355" w:rsidP="00CD5D66">
            <w:pPr>
              <w:bidi w:val="0"/>
              <w:spacing w:after="0" w:line="360" w:lineRule="auto"/>
              <w:rPr>
                <w:rFonts w:asciiTheme="majorBidi" w:eastAsia="Times New Roman" w:hAnsiTheme="majorBidi" w:cstheme="majorBidi"/>
                <w:sz w:val="24"/>
                <w:szCs w:val="24"/>
                <w:u w:val="single"/>
              </w:rPr>
            </w:pPr>
            <w:r w:rsidRPr="00F00BC5">
              <w:rPr>
                <w:rFonts w:asciiTheme="majorBidi" w:eastAsia="Times New Roman" w:hAnsiTheme="majorBidi" w:cstheme="majorBidi"/>
                <w:sz w:val="24"/>
                <w:szCs w:val="24"/>
              </w:rPr>
              <w:t>Last Preoperative serum TSH value, mIU/L (Mean(SD))</w:t>
            </w:r>
          </w:p>
        </w:tc>
        <w:tc>
          <w:tcPr>
            <w:tcW w:w="1541" w:type="dxa"/>
            <w:tcBorders>
              <w:top w:val="nil"/>
              <w:left w:val="nil"/>
              <w:bottom w:val="single" w:sz="4" w:space="0" w:color="auto"/>
              <w:right w:val="single" w:sz="4" w:space="0" w:color="auto"/>
            </w:tcBorders>
            <w:vAlign w:val="center"/>
            <w:hideMark/>
          </w:tcPr>
          <w:p w14:paraId="08E70DD5"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1.85 (±1.27)</w:t>
            </w:r>
            <w:r w:rsidRPr="00F00BC5">
              <w:rPr>
                <w:rFonts w:asciiTheme="majorBidi" w:eastAsia="Times New Roman" w:hAnsiTheme="majorBidi" w:cstheme="majorBidi"/>
                <w:sz w:val="24"/>
                <w:szCs w:val="24"/>
              </w:rPr>
              <w:br/>
              <w:t>(n=69)</w:t>
            </w:r>
          </w:p>
        </w:tc>
        <w:tc>
          <w:tcPr>
            <w:tcW w:w="1705" w:type="dxa"/>
            <w:tcBorders>
              <w:top w:val="nil"/>
              <w:left w:val="nil"/>
              <w:bottom w:val="single" w:sz="4" w:space="0" w:color="auto"/>
              <w:right w:val="single" w:sz="4" w:space="0" w:color="auto"/>
            </w:tcBorders>
            <w:vAlign w:val="center"/>
            <w:hideMark/>
          </w:tcPr>
          <w:p w14:paraId="230A5995"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1.5 (±0.84)</w:t>
            </w:r>
            <w:r w:rsidRPr="00F00BC5">
              <w:rPr>
                <w:rFonts w:asciiTheme="majorBidi" w:eastAsia="Times New Roman" w:hAnsiTheme="majorBidi" w:cstheme="majorBidi"/>
                <w:sz w:val="24"/>
                <w:szCs w:val="24"/>
              </w:rPr>
              <w:br/>
              <w:t>(n=18)</w:t>
            </w:r>
          </w:p>
        </w:tc>
        <w:tc>
          <w:tcPr>
            <w:tcW w:w="1979" w:type="dxa"/>
            <w:tcBorders>
              <w:top w:val="nil"/>
              <w:left w:val="nil"/>
              <w:bottom w:val="single" w:sz="4" w:space="0" w:color="auto"/>
              <w:right w:val="single" w:sz="4" w:space="0" w:color="auto"/>
            </w:tcBorders>
            <w:hideMark/>
          </w:tcPr>
          <w:p w14:paraId="5F1B5B41"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1.98 (±1.38)</w:t>
            </w:r>
            <w:r w:rsidRPr="00F00BC5">
              <w:rPr>
                <w:rFonts w:asciiTheme="majorBidi" w:eastAsia="Times New Roman" w:hAnsiTheme="majorBidi" w:cstheme="majorBidi"/>
                <w:sz w:val="24"/>
                <w:szCs w:val="24"/>
              </w:rPr>
              <w:br/>
              <w:t>(n=51)</w:t>
            </w:r>
          </w:p>
        </w:tc>
        <w:tc>
          <w:tcPr>
            <w:tcW w:w="1167" w:type="dxa"/>
            <w:tcBorders>
              <w:top w:val="nil"/>
              <w:left w:val="nil"/>
              <w:bottom w:val="single" w:sz="4" w:space="0" w:color="auto"/>
              <w:right w:val="single" w:sz="4" w:space="0" w:color="auto"/>
            </w:tcBorders>
            <w:vAlign w:val="center"/>
            <w:hideMark/>
          </w:tcPr>
          <w:p w14:paraId="3788BA4F" w14:textId="77777777" w:rsidR="008A2355" w:rsidRPr="00F00BC5" w:rsidRDefault="008A2355" w:rsidP="00CD5D66">
            <w:pPr>
              <w:bidi w:val="0"/>
              <w:spacing w:after="0" w:line="360" w:lineRule="auto"/>
              <w:jc w:val="center"/>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0.3</w:t>
            </w:r>
          </w:p>
        </w:tc>
        <w:tc>
          <w:tcPr>
            <w:tcW w:w="283" w:type="dxa"/>
            <w:gridSpan w:val="2"/>
            <w:vAlign w:val="center"/>
            <w:hideMark/>
          </w:tcPr>
          <w:p w14:paraId="13603F8B" w14:textId="77777777" w:rsidR="008A2355" w:rsidRPr="00F00BC5" w:rsidRDefault="008A2355" w:rsidP="00CD5D66">
            <w:pPr>
              <w:spacing w:line="360" w:lineRule="auto"/>
              <w:rPr>
                <w:rFonts w:asciiTheme="majorBidi" w:eastAsia="Times New Roman" w:hAnsiTheme="majorBidi" w:cstheme="majorBidi"/>
                <w:sz w:val="24"/>
                <w:szCs w:val="24"/>
              </w:rPr>
            </w:pPr>
          </w:p>
        </w:tc>
      </w:tr>
      <w:tr w:rsidR="006D79E4" w:rsidRPr="006D79E4" w14:paraId="08C07553" w14:textId="77777777" w:rsidTr="00CD5D66">
        <w:trPr>
          <w:trHeight w:val="553"/>
        </w:trPr>
        <w:tc>
          <w:tcPr>
            <w:tcW w:w="9073" w:type="dxa"/>
            <w:gridSpan w:val="5"/>
            <w:tcBorders>
              <w:top w:val="single" w:sz="4" w:space="0" w:color="auto"/>
              <w:left w:val="single" w:sz="8" w:space="0" w:color="auto"/>
              <w:bottom w:val="single" w:sz="8" w:space="0" w:color="auto"/>
              <w:right w:val="single" w:sz="4" w:space="0" w:color="auto"/>
            </w:tcBorders>
            <w:vAlign w:val="center"/>
          </w:tcPr>
          <w:p w14:paraId="2D25031F" w14:textId="3ABBBA0C" w:rsidR="008A2355" w:rsidRPr="00F00BC5" w:rsidRDefault="008A2355" w:rsidP="00CD5D66">
            <w:pPr>
              <w:bidi w:val="0"/>
              <w:spacing w:after="0" w:line="360" w:lineRule="auto"/>
              <w:rPr>
                <w:rFonts w:asciiTheme="majorBidi" w:eastAsia="Times New Roman" w:hAnsiTheme="majorBidi" w:cstheme="majorBidi"/>
                <w:sz w:val="24"/>
                <w:szCs w:val="24"/>
              </w:rPr>
            </w:pPr>
            <w:r w:rsidRPr="00F00BC5">
              <w:rPr>
                <w:rFonts w:asciiTheme="majorBidi" w:eastAsia="Times New Roman" w:hAnsiTheme="majorBidi" w:cstheme="majorBidi"/>
                <w:b/>
                <w:bCs/>
                <w:sz w:val="20"/>
                <w:szCs w:val="20"/>
              </w:rPr>
              <w:t>Abbreviations:</w:t>
            </w:r>
            <w:r w:rsidRPr="00F00BC5">
              <w:rPr>
                <w:rFonts w:asciiTheme="majorBidi" w:eastAsia="Times New Roman" w:hAnsiTheme="majorBidi" w:cstheme="majorBidi"/>
                <w:sz w:val="20"/>
                <w:szCs w:val="20"/>
              </w:rPr>
              <w:t xml:space="preserve"> DTC- </w:t>
            </w:r>
            <w:r w:rsidRPr="006D79E4">
              <w:rPr>
                <w:rFonts w:asciiTheme="majorBidi" w:hAnsiTheme="majorBidi" w:cstheme="majorBidi"/>
                <w:sz w:val="20"/>
                <w:szCs w:val="20"/>
              </w:rPr>
              <w:t>differentiated</w:t>
            </w:r>
            <w:r w:rsidRPr="00F00BC5">
              <w:rPr>
                <w:rFonts w:asciiTheme="majorBidi" w:eastAsia="Times New Roman" w:hAnsiTheme="majorBidi" w:cstheme="majorBidi"/>
                <w:sz w:val="18"/>
                <w:szCs w:val="18"/>
              </w:rPr>
              <w:t xml:space="preserve"> </w:t>
            </w:r>
            <w:r w:rsidRPr="00F00BC5">
              <w:rPr>
                <w:rFonts w:asciiTheme="majorBidi" w:eastAsia="Times New Roman" w:hAnsiTheme="majorBidi" w:cstheme="majorBidi"/>
                <w:sz w:val="20"/>
                <w:szCs w:val="20"/>
              </w:rPr>
              <w:t>thyroid carcinoma, MNG- multinodular goiter</w:t>
            </w:r>
            <w:r w:rsidRPr="006D79E4">
              <w:rPr>
                <w:rFonts w:asciiTheme="majorBidi" w:hAnsiTheme="majorBidi" w:cstheme="majorBidi"/>
                <w:sz w:val="20"/>
                <w:szCs w:val="20"/>
              </w:rPr>
              <w:t>, US- ultrasound, Tg- thyroglobulin, TSH-</w:t>
            </w:r>
            <w:r w:rsidRPr="006D79E4">
              <w:t xml:space="preserve"> </w:t>
            </w:r>
            <w:r w:rsidRPr="006D79E4">
              <w:rPr>
                <w:rFonts w:asciiTheme="majorBidi" w:hAnsiTheme="majorBidi" w:cstheme="majorBidi"/>
                <w:sz w:val="20"/>
                <w:szCs w:val="20"/>
              </w:rPr>
              <w:t>thyroid-stimulating hormone.</w:t>
            </w:r>
          </w:p>
        </w:tc>
        <w:tc>
          <w:tcPr>
            <w:tcW w:w="283" w:type="dxa"/>
            <w:gridSpan w:val="2"/>
            <w:vAlign w:val="center"/>
          </w:tcPr>
          <w:p w14:paraId="7FF58371" w14:textId="77777777" w:rsidR="008A2355" w:rsidRPr="00F00BC5" w:rsidRDefault="008A2355" w:rsidP="00CD5D66">
            <w:pPr>
              <w:spacing w:line="360" w:lineRule="auto"/>
              <w:rPr>
                <w:rFonts w:asciiTheme="majorBidi" w:eastAsia="Times New Roman" w:hAnsiTheme="majorBidi" w:cstheme="majorBidi"/>
                <w:sz w:val="24"/>
                <w:szCs w:val="24"/>
              </w:rPr>
            </w:pPr>
          </w:p>
        </w:tc>
      </w:tr>
    </w:tbl>
    <w:p w14:paraId="04A05EB0" w14:textId="7A421F95" w:rsidR="00412399" w:rsidRDefault="00412399" w:rsidP="00412399">
      <w:pPr>
        <w:bidi w:val="0"/>
        <w:spacing w:line="360" w:lineRule="auto"/>
        <w:jc w:val="both"/>
        <w:rPr>
          <w:rFonts w:asciiTheme="majorBidi" w:eastAsia="Times New Roman" w:hAnsiTheme="majorBidi" w:cstheme="majorBidi"/>
          <w:b/>
          <w:bCs/>
          <w:sz w:val="24"/>
          <w:szCs w:val="24"/>
        </w:rPr>
      </w:pPr>
    </w:p>
    <w:p w14:paraId="44B222AC" w14:textId="51C1ACA1" w:rsidR="00286AA2" w:rsidRDefault="00286AA2" w:rsidP="00286AA2">
      <w:pPr>
        <w:bidi w:val="0"/>
        <w:spacing w:line="360" w:lineRule="auto"/>
        <w:jc w:val="both"/>
        <w:rPr>
          <w:rFonts w:asciiTheme="majorBidi" w:eastAsia="Times New Roman" w:hAnsiTheme="majorBidi" w:cstheme="majorBidi"/>
          <w:b/>
          <w:bCs/>
          <w:sz w:val="24"/>
          <w:szCs w:val="24"/>
        </w:rPr>
      </w:pPr>
    </w:p>
    <w:p w14:paraId="0E0884DE" w14:textId="77777777" w:rsidR="00286AA2" w:rsidRPr="00F00BC5" w:rsidRDefault="00286AA2" w:rsidP="00286AA2">
      <w:pPr>
        <w:bidi w:val="0"/>
        <w:spacing w:line="360" w:lineRule="auto"/>
        <w:jc w:val="both"/>
        <w:rPr>
          <w:rFonts w:asciiTheme="majorBidi" w:eastAsia="Times New Roman" w:hAnsiTheme="majorBidi" w:cstheme="majorBidi"/>
          <w:b/>
          <w:bCs/>
          <w:sz w:val="24"/>
          <w:szCs w:val="24"/>
        </w:rPr>
      </w:pPr>
    </w:p>
    <w:tbl>
      <w:tblPr>
        <w:tblpPr w:leftFromText="180" w:rightFromText="180" w:vertAnchor="text" w:horzAnchor="margin" w:tblpXSpec="center" w:tblpY="204"/>
        <w:tblW w:w="9356" w:type="dxa"/>
        <w:tblLook w:val="04A0" w:firstRow="1" w:lastRow="0" w:firstColumn="1" w:lastColumn="0" w:noHBand="0" w:noVBand="1"/>
      </w:tblPr>
      <w:tblGrid>
        <w:gridCol w:w="3243"/>
        <w:gridCol w:w="1789"/>
        <w:gridCol w:w="1536"/>
        <w:gridCol w:w="1570"/>
        <w:gridCol w:w="948"/>
        <w:gridCol w:w="270"/>
      </w:tblGrid>
      <w:tr w:rsidR="006D79E4" w:rsidRPr="006D79E4" w14:paraId="061F09B1" w14:textId="77777777" w:rsidTr="00CD5D66">
        <w:trPr>
          <w:gridAfter w:val="1"/>
          <w:wAfter w:w="270" w:type="dxa"/>
          <w:trHeight w:val="342"/>
        </w:trPr>
        <w:tc>
          <w:tcPr>
            <w:tcW w:w="10973" w:type="dxa"/>
            <w:gridSpan w:val="5"/>
            <w:tcBorders>
              <w:top w:val="single" w:sz="8" w:space="0" w:color="auto"/>
              <w:left w:val="single" w:sz="8" w:space="0" w:color="auto"/>
              <w:bottom w:val="single" w:sz="4" w:space="0" w:color="auto"/>
              <w:right w:val="single" w:sz="8" w:space="0" w:color="000000"/>
            </w:tcBorders>
            <w:shd w:val="clear" w:color="auto" w:fill="EDEDED" w:themeFill="accent3" w:themeFillTint="33"/>
            <w:vAlign w:val="center"/>
            <w:hideMark/>
          </w:tcPr>
          <w:p w14:paraId="3D1C6A19" w14:textId="39042807" w:rsidR="008A2355" w:rsidRPr="00F00BC5" w:rsidRDefault="008A2355" w:rsidP="00CD5D66">
            <w:pPr>
              <w:bidi w:val="0"/>
              <w:spacing w:after="160" w:line="360" w:lineRule="auto"/>
              <w:jc w:val="center"/>
              <w:rPr>
                <w:rFonts w:asciiTheme="majorBidi" w:hAnsiTheme="majorBidi" w:cstheme="majorBidi"/>
                <w:sz w:val="24"/>
                <w:szCs w:val="24"/>
              </w:rPr>
            </w:pPr>
            <w:r w:rsidRPr="00F00BC5">
              <w:rPr>
                <w:rFonts w:asciiTheme="majorBidi" w:hAnsiTheme="majorBidi" w:cstheme="majorBidi"/>
                <w:b/>
                <w:bCs/>
                <w:sz w:val="24"/>
                <w:szCs w:val="24"/>
                <w:lang w:val="x-none"/>
              </w:rPr>
              <w:t xml:space="preserve">Table </w:t>
            </w:r>
            <w:r w:rsidR="005D1412">
              <w:rPr>
                <w:rFonts w:asciiTheme="majorBidi" w:hAnsiTheme="majorBidi" w:cstheme="majorBidi"/>
                <w:b/>
                <w:bCs/>
                <w:sz w:val="24"/>
                <w:szCs w:val="24"/>
              </w:rPr>
              <w:t>3</w:t>
            </w:r>
            <w:r w:rsidRPr="00F00BC5">
              <w:rPr>
                <w:rFonts w:asciiTheme="majorBidi" w:hAnsiTheme="majorBidi" w:cstheme="majorBidi"/>
                <w:sz w:val="24"/>
                <w:szCs w:val="24"/>
                <w:lang w:val="x-none"/>
              </w:rPr>
              <w:t xml:space="preserve">. Baseline characteristics of group </w:t>
            </w:r>
            <w:r w:rsidRPr="00F00BC5">
              <w:rPr>
                <w:rFonts w:asciiTheme="majorBidi" w:hAnsiTheme="majorBidi" w:cstheme="majorBidi"/>
                <w:sz w:val="24"/>
                <w:szCs w:val="24"/>
              </w:rPr>
              <w:t>2</w:t>
            </w:r>
            <w:r w:rsidRPr="00F00BC5">
              <w:rPr>
                <w:rFonts w:asciiTheme="majorBidi" w:hAnsiTheme="majorBidi" w:cstheme="majorBidi"/>
                <w:sz w:val="24"/>
                <w:szCs w:val="24"/>
                <w:lang w:val="x-none"/>
              </w:rPr>
              <w:t xml:space="preserve">- patients with preoperative diagnosis of </w:t>
            </w:r>
            <w:r w:rsidRPr="006D79E4">
              <w:rPr>
                <w:rFonts w:asciiTheme="majorBidi" w:hAnsiTheme="majorBidi" w:cstheme="majorBidi"/>
                <w:sz w:val="24"/>
                <w:szCs w:val="24"/>
              </w:rPr>
              <w:t xml:space="preserve"> thyroid nodule with</w:t>
            </w:r>
            <w:r w:rsidRPr="00F00BC5">
              <w:rPr>
                <w:rFonts w:asciiTheme="majorBidi" w:eastAsia="Times New Roman" w:hAnsiTheme="majorBidi" w:cstheme="majorBidi"/>
                <w:sz w:val="24"/>
                <w:szCs w:val="24"/>
              </w:rPr>
              <w:t xml:space="preserve"> INC</w:t>
            </w:r>
            <w:r w:rsidRPr="00F00BC5">
              <w:rPr>
                <w:rFonts w:asciiTheme="majorBidi" w:hAnsiTheme="majorBidi" w:cstheme="majorBidi"/>
                <w:sz w:val="24"/>
                <w:szCs w:val="24"/>
                <w:lang w:val="x-none"/>
              </w:rPr>
              <w:t xml:space="preserve"> according to the final diagnosis of DTC or benign </w:t>
            </w:r>
            <w:r w:rsidRPr="00F00BC5">
              <w:rPr>
                <w:rFonts w:asciiTheme="majorBidi" w:hAnsiTheme="majorBidi" w:cstheme="majorBidi"/>
                <w:sz w:val="24"/>
                <w:szCs w:val="24"/>
              </w:rPr>
              <w:t>thyroid nodule</w:t>
            </w:r>
          </w:p>
        </w:tc>
      </w:tr>
      <w:tr w:rsidR="006D79E4" w:rsidRPr="006D79E4" w14:paraId="060015F9" w14:textId="77777777" w:rsidTr="00CD5D66">
        <w:trPr>
          <w:gridAfter w:val="1"/>
          <w:wAfter w:w="270" w:type="dxa"/>
          <w:trHeight w:val="992"/>
        </w:trPr>
        <w:tc>
          <w:tcPr>
            <w:tcW w:w="4446" w:type="dxa"/>
            <w:vMerge w:val="restart"/>
            <w:tcBorders>
              <w:top w:val="nil"/>
              <w:left w:val="single" w:sz="8" w:space="0" w:color="auto"/>
              <w:bottom w:val="single" w:sz="4" w:space="0" w:color="auto"/>
              <w:right w:val="single" w:sz="4" w:space="0" w:color="auto"/>
            </w:tcBorders>
            <w:vAlign w:val="center"/>
            <w:hideMark/>
          </w:tcPr>
          <w:p w14:paraId="6FC37F26" w14:textId="77777777" w:rsidR="008A2355" w:rsidRPr="00F00BC5" w:rsidRDefault="008A2355" w:rsidP="00CD5D66">
            <w:pPr>
              <w:bidi w:val="0"/>
              <w:spacing w:after="160" w:line="360" w:lineRule="auto"/>
              <w:jc w:val="right"/>
              <w:rPr>
                <w:rFonts w:asciiTheme="majorBidi" w:hAnsiTheme="majorBidi" w:cstheme="majorBidi"/>
                <w:b/>
                <w:bCs/>
                <w:sz w:val="24"/>
                <w:szCs w:val="24"/>
                <w:rtl/>
                <w:lang w:val="x-none"/>
              </w:rPr>
            </w:pPr>
            <w:r w:rsidRPr="00F00BC5">
              <w:rPr>
                <w:rFonts w:asciiTheme="majorBidi" w:hAnsiTheme="majorBidi" w:cstheme="majorBidi"/>
                <w:b/>
                <w:bCs/>
                <w:sz w:val="24"/>
                <w:szCs w:val="24"/>
                <w:lang w:val="x-none"/>
              </w:rPr>
              <w:t> </w:t>
            </w:r>
          </w:p>
        </w:tc>
        <w:tc>
          <w:tcPr>
            <w:tcW w:w="2121" w:type="dxa"/>
            <w:tcBorders>
              <w:top w:val="nil"/>
              <w:left w:val="nil"/>
              <w:bottom w:val="single" w:sz="4" w:space="0" w:color="auto"/>
              <w:right w:val="single" w:sz="4" w:space="0" w:color="auto"/>
            </w:tcBorders>
            <w:vAlign w:val="center"/>
            <w:hideMark/>
          </w:tcPr>
          <w:p w14:paraId="39F1C952" w14:textId="77777777" w:rsidR="008A2355" w:rsidRPr="00F00BC5" w:rsidRDefault="008A2355" w:rsidP="00CD5D66">
            <w:pPr>
              <w:bidi w:val="0"/>
              <w:spacing w:after="160" w:line="360" w:lineRule="auto"/>
              <w:jc w:val="center"/>
              <w:rPr>
                <w:rFonts w:asciiTheme="majorBidi" w:hAnsiTheme="majorBidi" w:cstheme="majorBidi"/>
                <w:b/>
                <w:bCs/>
                <w:sz w:val="24"/>
                <w:szCs w:val="24"/>
                <w:rtl/>
                <w:lang w:val="x-none"/>
              </w:rPr>
            </w:pPr>
            <w:r w:rsidRPr="00F00BC5">
              <w:rPr>
                <w:rFonts w:asciiTheme="majorBidi" w:hAnsiTheme="majorBidi" w:cstheme="majorBidi"/>
                <w:b/>
                <w:bCs/>
                <w:sz w:val="24"/>
                <w:szCs w:val="24"/>
                <w:lang w:val="x-none"/>
              </w:rPr>
              <w:t>All</w:t>
            </w:r>
          </w:p>
        </w:tc>
        <w:tc>
          <w:tcPr>
            <w:tcW w:w="1701" w:type="dxa"/>
            <w:tcBorders>
              <w:top w:val="nil"/>
              <w:left w:val="nil"/>
              <w:bottom w:val="single" w:sz="4" w:space="0" w:color="auto"/>
              <w:right w:val="single" w:sz="4" w:space="0" w:color="auto"/>
            </w:tcBorders>
            <w:vAlign w:val="center"/>
            <w:hideMark/>
          </w:tcPr>
          <w:p w14:paraId="0BC513A7" w14:textId="77777777" w:rsidR="008A2355" w:rsidRPr="00F00BC5" w:rsidRDefault="008A2355" w:rsidP="00CD5D66">
            <w:pPr>
              <w:bidi w:val="0"/>
              <w:spacing w:after="160" w:line="360" w:lineRule="auto"/>
              <w:jc w:val="center"/>
              <w:rPr>
                <w:rFonts w:asciiTheme="majorBidi" w:hAnsiTheme="majorBidi" w:cstheme="majorBidi"/>
                <w:b/>
                <w:bCs/>
                <w:sz w:val="24"/>
                <w:szCs w:val="24"/>
              </w:rPr>
            </w:pPr>
            <w:r w:rsidRPr="00F00BC5">
              <w:rPr>
                <w:rFonts w:asciiTheme="majorBidi" w:hAnsiTheme="majorBidi" w:cstheme="majorBidi"/>
                <w:b/>
                <w:bCs/>
                <w:sz w:val="24"/>
                <w:szCs w:val="24"/>
              </w:rPr>
              <w:t xml:space="preserve">DTC </w:t>
            </w:r>
          </w:p>
        </w:tc>
        <w:tc>
          <w:tcPr>
            <w:tcW w:w="1757" w:type="dxa"/>
            <w:tcBorders>
              <w:top w:val="nil"/>
              <w:left w:val="nil"/>
              <w:bottom w:val="single" w:sz="4" w:space="0" w:color="auto"/>
              <w:right w:val="single" w:sz="4" w:space="0" w:color="auto"/>
            </w:tcBorders>
            <w:vAlign w:val="center"/>
            <w:hideMark/>
          </w:tcPr>
          <w:p w14:paraId="228F9E60" w14:textId="596790C4" w:rsidR="008A2355" w:rsidRPr="00F00BC5" w:rsidRDefault="008A2355" w:rsidP="00CD5D66">
            <w:pPr>
              <w:bidi w:val="0"/>
              <w:spacing w:after="160" w:line="360" w:lineRule="auto"/>
              <w:jc w:val="center"/>
              <w:rPr>
                <w:rFonts w:asciiTheme="majorBidi" w:hAnsiTheme="majorBidi" w:cstheme="majorBidi"/>
                <w:b/>
                <w:bCs/>
                <w:sz w:val="24"/>
                <w:szCs w:val="24"/>
              </w:rPr>
            </w:pPr>
            <w:r w:rsidRPr="00F00BC5">
              <w:rPr>
                <w:rFonts w:asciiTheme="majorBidi" w:hAnsiTheme="majorBidi" w:cstheme="majorBidi"/>
                <w:b/>
                <w:bCs/>
                <w:sz w:val="24"/>
                <w:szCs w:val="24"/>
              </w:rPr>
              <w:t xml:space="preserve"> Benign </w:t>
            </w:r>
            <w:r w:rsidR="00917F14" w:rsidRPr="00F00BC5">
              <w:rPr>
                <w:rFonts w:asciiTheme="majorBidi" w:hAnsiTheme="majorBidi" w:cstheme="majorBidi"/>
                <w:b/>
                <w:bCs/>
                <w:sz w:val="24"/>
                <w:szCs w:val="24"/>
              </w:rPr>
              <w:t>TN</w:t>
            </w:r>
          </w:p>
        </w:tc>
        <w:tc>
          <w:tcPr>
            <w:tcW w:w="948" w:type="dxa"/>
            <w:vMerge w:val="restart"/>
            <w:tcBorders>
              <w:top w:val="nil"/>
              <w:left w:val="single" w:sz="4" w:space="0" w:color="auto"/>
              <w:bottom w:val="single" w:sz="4" w:space="0" w:color="auto"/>
              <w:right w:val="single" w:sz="4" w:space="0" w:color="auto"/>
            </w:tcBorders>
            <w:vAlign w:val="center"/>
            <w:hideMark/>
          </w:tcPr>
          <w:p w14:paraId="7ABB7EE5"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rPr>
              <w:t>p</w:t>
            </w:r>
            <w:r w:rsidRPr="00F00BC5">
              <w:rPr>
                <w:rFonts w:asciiTheme="majorBidi" w:hAnsiTheme="majorBidi" w:cstheme="majorBidi"/>
                <w:sz w:val="24"/>
                <w:szCs w:val="24"/>
                <w:lang w:val="x-none"/>
              </w:rPr>
              <w:t xml:space="preserve"> value</w:t>
            </w:r>
          </w:p>
        </w:tc>
      </w:tr>
      <w:tr w:rsidR="006D79E4" w:rsidRPr="006D79E4" w14:paraId="55C61E2C" w14:textId="77777777" w:rsidTr="00CD5D66">
        <w:trPr>
          <w:gridAfter w:val="1"/>
          <w:wAfter w:w="270" w:type="dxa"/>
          <w:trHeight w:val="450"/>
        </w:trPr>
        <w:tc>
          <w:tcPr>
            <w:tcW w:w="0" w:type="auto"/>
            <w:vMerge/>
            <w:tcBorders>
              <w:top w:val="nil"/>
              <w:left w:val="single" w:sz="8" w:space="0" w:color="auto"/>
              <w:bottom w:val="single" w:sz="4" w:space="0" w:color="auto"/>
              <w:right w:val="single" w:sz="4" w:space="0" w:color="auto"/>
            </w:tcBorders>
            <w:vAlign w:val="center"/>
            <w:hideMark/>
          </w:tcPr>
          <w:p w14:paraId="4C57B1D2" w14:textId="77777777" w:rsidR="008A2355" w:rsidRPr="00F00BC5" w:rsidRDefault="008A2355" w:rsidP="00CD5D66">
            <w:pPr>
              <w:bidi w:val="0"/>
              <w:spacing w:after="0" w:line="360" w:lineRule="auto"/>
              <w:rPr>
                <w:rFonts w:asciiTheme="majorBidi" w:hAnsiTheme="majorBidi" w:cstheme="majorBidi"/>
                <w:b/>
                <w:bCs/>
                <w:sz w:val="24"/>
                <w:szCs w:val="24"/>
                <w:lang w:val="x-none"/>
              </w:rPr>
            </w:pPr>
          </w:p>
        </w:tc>
        <w:tc>
          <w:tcPr>
            <w:tcW w:w="2121" w:type="dxa"/>
            <w:vMerge w:val="restart"/>
            <w:tcBorders>
              <w:top w:val="nil"/>
              <w:left w:val="single" w:sz="4" w:space="0" w:color="auto"/>
              <w:bottom w:val="single" w:sz="4" w:space="0" w:color="auto"/>
              <w:right w:val="single" w:sz="4" w:space="0" w:color="auto"/>
            </w:tcBorders>
            <w:vAlign w:val="center"/>
            <w:hideMark/>
          </w:tcPr>
          <w:p w14:paraId="5B4DA040" w14:textId="77777777" w:rsidR="008A2355" w:rsidRPr="00F00BC5" w:rsidRDefault="008A2355" w:rsidP="00CD5D66">
            <w:pPr>
              <w:bidi w:val="0"/>
              <w:spacing w:after="160" w:line="360" w:lineRule="auto"/>
              <w:jc w:val="center"/>
              <w:rPr>
                <w:rFonts w:asciiTheme="majorBidi" w:hAnsiTheme="majorBidi" w:cstheme="majorBidi"/>
                <w:sz w:val="24"/>
                <w:szCs w:val="24"/>
                <w:rtl/>
                <w:lang w:val="x-none"/>
              </w:rPr>
            </w:pPr>
            <w:r w:rsidRPr="00F00BC5">
              <w:rPr>
                <w:rFonts w:asciiTheme="majorBidi" w:hAnsiTheme="majorBidi" w:cstheme="majorBidi"/>
                <w:sz w:val="24"/>
                <w:szCs w:val="24"/>
                <w:lang w:val="x-none"/>
              </w:rPr>
              <w:t>(N=62)</w:t>
            </w:r>
          </w:p>
        </w:tc>
        <w:tc>
          <w:tcPr>
            <w:tcW w:w="1701" w:type="dxa"/>
            <w:vMerge w:val="restart"/>
            <w:tcBorders>
              <w:top w:val="nil"/>
              <w:left w:val="single" w:sz="4" w:space="0" w:color="auto"/>
              <w:bottom w:val="single" w:sz="4" w:space="0" w:color="auto"/>
              <w:right w:val="single" w:sz="4" w:space="0" w:color="auto"/>
            </w:tcBorders>
            <w:vAlign w:val="center"/>
            <w:hideMark/>
          </w:tcPr>
          <w:p w14:paraId="4C09A4B8" w14:textId="77777777" w:rsidR="008A2355" w:rsidRPr="00F00BC5" w:rsidRDefault="008A2355" w:rsidP="00CD5D66">
            <w:pPr>
              <w:bidi w:val="0"/>
              <w:spacing w:after="160" w:line="360" w:lineRule="auto"/>
              <w:jc w:val="center"/>
              <w:rPr>
                <w:rFonts w:asciiTheme="majorBidi" w:hAnsiTheme="majorBidi" w:cstheme="majorBidi"/>
                <w:sz w:val="24"/>
                <w:szCs w:val="24"/>
                <w:rtl/>
                <w:lang w:val="x-none"/>
              </w:rPr>
            </w:pPr>
            <w:r w:rsidRPr="00F00BC5">
              <w:rPr>
                <w:rFonts w:asciiTheme="majorBidi" w:hAnsiTheme="majorBidi" w:cstheme="majorBidi"/>
                <w:sz w:val="24"/>
                <w:szCs w:val="24"/>
                <w:lang w:val="x-none"/>
              </w:rPr>
              <w:t xml:space="preserve"> (N=30)</w:t>
            </w:r>
          </w:p>
        </w:tc>
        <w:tc>
          <w:tcPr>
            <w:tcW w:w="1757" w:type="dxa"/>
            <w:vMerge w:val="restart"/>
            <w:tcBorders>
              <w:top w:val="nil"/>
              <w:left w:val="single" w:sz="4" w:space="0" w:color="auto"/>
              <w:bottom w:val="single" w:sz="4" w:space="0" w:color="auto"/>
              <w:right w:val="single" w:sz="4" w:space="0" w:color="auto"/>
            </w:tcBorders>
            <w:vAlign w:val="center"/>
            <w:hideMark/>
          </w:tcPr>
          <w:p w14:paraId="29010F25"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(N=32)</w:t>
            </w:r>
          </w:p>
        </w:tc>
        <w:tc>
          <w:tcPr>
            <w:tcW w:w="0" w:type="auto"/>
            <w:vMerge/>
            <w:tcBorders>
              <w:top w:val="nil"/>
              <w:left w:val="single" w:sz="4" w:space="0" w:color="auto"/>
              <w:bottom w:val="single" w:sz="4" w:space="0" w:color="auto"/>
              <w:right w:val="single" w:sz="4" w:space="0" w:color="auto"/>
            </w:tcBorders>
            <w:vAlign w:val="center"/>
            <w:hideMark/>
          </w:tcPr>
          <w:p w14:paraId="28AED24A" w14:textId="77777777" w:rsidR="008A2355" w:rsidRPr="00F00BC5" w:rsidRDefault="008A2355" w:rsidP="00CD5D66">
            <w:pPr>
              <w:bidi w:val="0"/>
              <w:spacing w:after="0" w:line="360" w:lineRule="auto"/>
              <w:rPr>
                <w:rFonts w:asciiTheme="majorBidi" w:hAnsiTheme="majorBidi" w:cstheme="majorBidi"/>
                <w:sz w:val="24"/>
                <w:szCs w:val="24"/>
                <w:lang w:val="x-none"/>
              </w:rPr>
            </w:pPr>
          </w:p>
        </w:tc>
      </w:tr>
      <w:tr w:rsidR="006D79E4" w:rsidRPr="006D79E4" w14:paraId="567DB9E1" w14:textId="77777777" w:rsidTr="00CD5D66">
        <w:trPr>
          <w:trHeight w:val="41"/>
        </w:trPr>
        <w:tc>
          <w:tcPr>
            <w:tcW w:w="0" w:type="auto"/>
            <w:vMerge/>
            <w:tcBorders>
              <w:top w:val="nil"/>
              <w:left w:val="single" w:sz="8" w:space="0" w:color="auto"/>
              <w:bottom w:val="single" w:sz="4" w:space="0" w:color="auto"/>
              <w:right w:val="single" w:sz="4" w:space="0" w:color="auto"/>
            </w:tcBorders>
            <w:vAlign w:val="center"/>
            <w:hideMark/>
          </w:tcPr>
          <w:p w14:paraId="2C806E27" w14:textId="77777777" w:rsidR="008A2355" w:rsidRPr="00F00BC5" w:rsidRDefault="008A2355" w:rsidP="00CD5D66">
            <w:pPr>
              <w:bidi w:val="0"/>
              <w:spacing w:after="0" w:line="360" w:lineRule="auto"/>
              <w:rPr>
                <w:rFonts w:asciiTheme="majorBidi" w:hAnsiTheme="majorBidi" w:cstheme="majorBidi"/>
                <w:b/>
                <w:bCs/>
                <w:sz w:val="24"/>
                <w:szCs w:val="24"/>
                <w:lang w:val="x-none"/>
              </w:rPr>
            </w:pPr>
          </w:p>
        </w:tc>
        <w:tc>
          <w:tcPr>
            <w:tcW w:w="0" w:type="auto"/>
            <w:vMerge/>
            <w:tcBorders>
              <w:top w:val="nil"/>
              <w:left w:val="single" w:sz="4" w:space="0" w:color="auto"/>
              <w:bottom w:val="single" w:sz="4" w:space="0" w:color="auto"/>
              <w:right w:val="single" w:sz="4" w:space="0" w:color="auto"/>
            </w:tcBorders>
            <w:vAlign w:val="center"/>
            <w:hideMark/>
          </w:tcPr>
          <w:p w14:paraId="560EA4C9" w14:textId="77777777" w:rsidR="008A2355" w:rsidRPr="00F00BC5" w:rsidRDefault="008A2355" w:rsidP="00CD5D66">
            <w:pPr>
              <w:bidi w:val="0"/>
              <w:spacing w:after="0" w:line="360" w:lineRule="auto"/>
              <w:rPr>
                <w:rFonts w:asciiTheme="majorBidi" w:hAnsiTheme="majorBidi" w:cstheme="majorBidi"/>
                <w:sz w:val="24"/>
                <w:szCs w:val="24"/>
                <w:lang w:val="x-none"/>
              </w:rPr>
            </w:pPr>
          </w:p>
        </w:tc>
        <w:tc>
          <w:tcPr>
            <w:tcW w:w="0" w:type="auto"/>
            <w:vMerge/>
            <w:tcBorders>
              <w:top w:val="nil"/>
              <w:left w:val="single" w:sz="4" w:space="0" w:color="auto"/>
              <w:bottom w:val="single" w:sz="4" w:space="0" w:color="auto"/>
              <w:right w:val="single" w:sz="4" w:space="0" w:color="auto"/>
            </w:tcBorders>
            <w:vAlign w:val="center"/>
            <w:hideMark/>
          </w:tcPr>
          <w:p w14:paraId="0AD48BF7" w14:textId="77777777" w:rsidR="008A2355" w:rsidRPr="00F00BC5" w:rsidRDefault="008A2355" w:rsidP="00CD5D66">
            <w:pPr>
              <w:bidi w:val="0"/>
              <w:spacing w:after="0" w:line="360" w:lineRule="auto"/>
              <w:rPr>
                <w:rFonts w:asciiTheme="majorBidi" w:hAnsiTheme="majorBidi" w:cstheme="majorBidi"/>
                <w:sz w:val="24"/>
                <w:szCs w:val="24"/>
                <w:lang w:val="x-none"/>
              </w:rPr>
            </w:pPr>
          </w:p>
        </w:tc>
        <w:tc>
          <w:tcPr>
            <w:tcW w:w="0" w:type="auto"/>
            <w:vMerge/>
            <w:tcBorders>
              <w:top w:val="nil"/>
              <w:left w:val="single" w:sz="4" w:space="0" w:color="auto"/>
              <w:bottom w:val="single" w:sz="4" w:space="0" w:color="auto"/>
              <w:right w:val="single" w:sz="4" w:space="0" w:color="auto"/>
            </w:tcBorders>
            <w:vAlign w:val="center"/>
            <w:hideMark/>
          </w:tcPr>
          <w:p w14:paraId="170A2726" w14:textId="77777777" w:rsidR="008A2355" w:rsidRPr="00F00BC5" w:rsidRDefault="008A2355" w:rsidP="00CD5D66">
            <w:pPr>
              <w:bidi w:val="0"/>
              <w:spacing w:after="0" w:line="360" w:lineRule="auto"/>
              <w:rPr>
                <w:rFonts w:asciiTheme="majorBidi" w:hAnsiTheme="majorBidi" w:cstheme="majorBidi"/>
                <w:sz w:val="24"/>
                <w:szCs w:val="24"/>
                <w:lang w:val="x-none"/>
              </w:rPr>
            </w:pPr>
          </w:p>
        </w:tc>
        <w:tc>
          <w:tcPr>
            <w:tcW w:w="0" w:type="auto"/>
            <w:vMerge/>
            <w:tcBorders>
              <w:top w:val="nil"/>
              <w:left w:val="single" w:sz="4" w:space="0" w:color="auto"/>
              <w:bottom w:val="single" w:sz="4" w:space="0" w:color="auto"/>
              <w:right w:val="single" w:sz="4" w:space="0" w:color="auto"/>
            </w:tcBorders>
            <w:vAlign w:val="center"/>
            <w:hideMark/>
          </w:tcPr>
          <w:p w14:paraId="7B8C9AEB" w14:textId="77777777" w:rsidR="008A2355" w:rsidRPr="00F00BC5" w:rsidRDefault="008A2355" w:rsidP="00CD5D66">
            <w:pPr>
              <w:bidi w:val="0"/>
              <w:spacing w:after="0" w:line="360" w:lineRule="auto"/>
              <w:rPr>
                <w:rFonts w:asciiTheme="majorBidi" w:hAnsiTheme="majorBidi" w:cstheme="majorBidi"/>
                <w:sz w:val="24"/>
                <w:szCs w:val="24"/>
                <w:lang w:val="x-none"/>
              </w:rPr>
            </w:pPr>
          </w:p>
        </w:tc>
        <w:tc>
          <w:tcPr>
            <w:tcW w:w="270" w:type="dxa"/>
            <w:noWrap/>
            <w:vAlign w:val="bottom"/>
            <w:hideMark/>
          </w:tcPr>
          <w:p w14:paraId="5C201976" w14:textId="77777777" w:rsidR="008A2355" w:rsidRPr="006D79E4" w:rsidRDefault="008A2355" w:rsidP="00CD5D66">
            <w:pPr>
              <w:spacing w:line="360" w:lineRule="auto"/>
              <w:rPr>
                <w:rFonts w:asciiTheme="majorBidi" w:hAnsiTheme="majorBidi" w:cstheme="majorBidi"/>
                <w:sz w:val="24"/>
                <w:szCs w:val="24"/>
                <w:rtl/>
              </w:rPr>
            </w:pPr>
          </w:p>
        </w:tc>
      </w:tr>
      <w:tr w:rsidR="006D79E4" w:rsidRPr="006D79E4" w14:paraId="7A1B845F" w14:textId="77777777" w:rsidTr="00CD5D66">
        <w:trPr>
          <w:trHeight w:val="241"/>
        </w:trPr>
        <w:tc>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3050C9CD" w14:textId="77777777" w:rsidR="008A2355" w:rsidRPr="00F00BC5" w:rsidRDefault="008A2355" w:rsidP="00CD5D66">
            <w:pPr>
              <w:bidi w:val="0"/>
              <w:spacing w:after="160" w:line="360" w:lineRule="auto"/>
              <w:rPr>
                <w:rFonts w:asciiTheme="majorBidi" w:hAnsiTheme="majorBidi" w:cstheme="majorBidi"/>
                <w:b/>
                <w:bCs/>
                <w:sz w:val="24"/>
                <w:szCs w:val="24"/>
                <w:lang w:val="x-none"/>
              </w:rPr>
            </w:pPr>
            <w:r w:rsidRPr="00F00BC5">
              <w:rPr>
                <w:rFonts w:asciiTheme="majorBidi" w:hAnsiTheme="majorBidi" w:cstheme="majorBidi"/>
                <w:b/>
                <w:bCs/>
                <w:sz w:val="24"/>
                <w:szCs w:val="24"/>
                <w:lang w:val="x-none"/>
              </w:rPr>
              <w:t>Demographic</w:t>
            </w:r>
            <w:r w:rsidRPr="00F00BC5">
              <w:rPr>
                <w:rFonts w:asciiTheme="majorBidi" w:hAnsiTheme="majorBidi" w:cstheme="majorBidi"/>
                <w:b/>
                <w:bCs/>
                <w:sz w:val="24"/>
                <w:szCs w:val="24"/>
              </w:rPr>
              <w:t>s</w:t>
            </w:r>
            <w:r w:rsidRPr="00F00BC5">
              <w:rPr>
                <w:rFonts w:asciiTheme="majorBidi" w:hAnsiTheme="majorBidi" w:cstheme="majorBidi"/>
                <w:b/>
                <w:bCs/>
                <w:sz w:val="24"/>
                <w:szCs w:val="24"/>
                <w:lang w:val="x-none"/>
              </w:rPr>
              <w:t xml:space="preserve"> </w:t>
            </w:r>
          </w:p>
        </w:tc>
        <w:tc>
          <w:tcPr>
            <w:tcW w:w="270" w:type="dxa"/>
            <w:vAlign w:val="center"/>
            <w:hideMark/>
          </w:tcPr>
          <w:p w14:paraId="265A87E1" w14:textId="77777777" w:rsidR="008A2355" w:rsidRPr="00F00BC5" w:rsidRDefault="008A2355" w:rsidP="00CD5D66">
            <w:pPr>
              <w:spacing w:line="360" w:lineRule="auto"/>
              <w:rPr>
                <w:rFonts w:asciiTheme="majorBidi" w:hAnsiTheme="majorBidi" w:cstheme="majorBidi"/>
                <w:b/>
                <w:bCs/>
                <w:sz w:val="24"/>
                <w:szCs w:val="24"/>
                <w:lang w:val="x-none"/>
              </w:rPr>
            </w:pPr>
          </w:p>
        </w:tc>
      </w:tr>
      <w:tr w:rsidR="006D79E4" w:rsidRPr="006D79E4" w14:paraId="7524C64A" w14:textId="77777777" w:rsidTr="00CD5D66">
        <w:trPr>
          <w:trHeight w:val="435"/>
        </w:trPr>
        <w:tc>
          <w:tcPr>
            <w:tcW w:w="4446" w:type="dxa"/>
            <w:tcBorders>
              <w:top w:val="nil"/>
              <w:left w:val="single" w:sz="8" w:space="0" w:color="auto"/>
              <w:bottom w:val="single" w:sz="4" w:space="0" w:color="auto"/>
              <w:right w:val="single" w:sz="4" w:space="0" w:color="auto"/>
            </w:tcBorders>
            <w:vAlign w:val="center"/>
            <w:hideMark/>
          </w:tcPr>
          <w:p w14:paraId="0CB23537" w14:textId="77777777" w:rsidR="008A2355" w:rsidRPr="00F00BC5" w:rsidRDefault="008A2355" w:rsidP="00CD5D66">
            <w:pPr>
              <w:bidi w:val="0"/>
              <w:spacing w:after="160" w:line="360" w:lineRule="auto"/>
              <w:rPr>
                <w:rFonts w:asciiTheme="majorBidi" w:hAnsiTheme="majorBidi" w:cstheme="majorBidi"/>
                <w:sz w:val="24"/>
                <w:szCs w:val="24"/>
                <w:lang w:val="x-none"/>
              </w:rPr>
            </w:pPr>
            <w:r w:rsidRPr="00F00BC5">
              <w:rPr>
                <w:rFonts w:asciiTheme="majorBidi" w:hAnsiTheme="majorBidi" w:cstheme="majorBidi"/>
                <w:sz w:val="24"/>
                <w:szCs w:val="24"/>
                <w:lang w:val="x-none"/>
              </w:rPr>
              <w:t>Age, years</w:t>
            </w:r>
            <w:r w:rsidRPr="00F00BC5">
              <w:rPr>
                <w:rFonts w:asciiTheme="majorBidi" w:hAnsiTheme="majorBidi" w:cstheme="majorBidi"/>
                <w:sz w:val="24"/>
                <w:szCs w:val="24"/>
                <w:lang w:val="x-none"/>
              </w:rPr>
              <w:br/>
              <w:t>Mean ± SD (n)</w:t>
            </w:r>
            <w:r w:rsidRPr="00F00BC5">
              <w:rPr>
                <w:rFonts w:asciiTheme="majorBidi" w:hAnsiTheme="majorBidi" w:cstheme="majorBidi"/>
                <w:sz w:val="24"/>
                <w:szCs w:val="24"/>
                <w:lang w:val="x-none"/>
              </w:rPr>
              <w:br/>
              <w:t xml:space="preserve">   Median </w:t>
            </w:r>
            <w:r w:rsidRPr="00F00BC5">
              <w:rPr>
                <w:rFonts w:asciiTheme="majorBidi" w:hAnsiTheme="majorBidi" w:cstheme="majorBidi"/>
                <w:sz w:val="24"/>
                <w:szCs w:val="24"/>
                <w:lang w:val="x-none"/>
              </w:rPr>
              <w:br/>
              <w:t xml:space="preserve">   Min;Max</w:t>
            </w:r>
          </w:p>
        </w:tc>
        <w:tc>
          <w:tcPr>
            <w:tcW w:w="2121" w:type="dxa"/>
            <w:tcBorders>
              <w:top w:val="single" w:sz="4" w:space="0" w:color="AEAEAE"/>
              <w:left w:val="nil"/>
              <w:bottom w:val="single" w:sz="4" w:space="0" w:color="AEAEAE"/>
              <w:right w:val="nil"/>
            </w:tcBorders>
            <w:vAlign w:val="center"/>
            <w:hideMark/>
          </w:tcPr>
          <w:p w14:paraId="2BB02678"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47.74 (±13.33)</w:t>
            </w:r>
            <w:r w:rsidRPr="00F00BC5">
              <w:rPr>
                <w:rFonts w:asciiTheme="majorBidi" w:hAnsiTheme="majorBidi" w:cstheme="majorBidi"/>
                <w:sz w:val="24"/>
                <w:szCs w:val="24"/>
                <w:lang w:val="x-none"/>
              </w:rPr>
              <w:br/>
              <w:t>45</w:t>
            </w:r>
            <w:r w:rsidRPr="00F00BC5">
              <w:rPr>
                <w:rFonts w:asciiTheme="majorBidi" w:hAnsiTheme="majorBidi" w:cstheme="majorBidi"/>
                <w:sz w:val="24"/>
                <w:szCs w:val="24"/>
                <w:lang w:val="x-none"/>
              </w:rPr>
              <w:br/>
              <w:t>21;78</w:t>
            </w:r>
          </w:p>
        </w:tc>
        <w:tc>
          <w:tcPr>
            <w:tcW w:w="1701" w:type="dxa"/>
            <w:tcBorders>
              <w:top w:val="nil"/>
              <w:left w:val="single" w:sz="4" w:space="0" w:color="auto"/>
              <w:bottom w:val="single" w:sz="4" w:space="0" w:color="auto"/>
              <w:right w:val="single" w:sz="4" w:space="0" w:color="auto"/>
            </w:tcBorders>
            <w:vAlign w:val="center"/>
            <w:hideMark/>
          </w:tcPr>
          <w:p w14:paraId="1FC098DF"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46.80 (±12.83)</w:t>
            </w:r>
            <w:r w:rsidRPr="00F00BC5">
              <w:rPr>
                <w:rFonts w:asciiTheme="majorBidi" w:hAnsiTheme="majorBidi" w:cstheme="majorBidi"/>
                <w:sz w:val="24"/>
                <w:szCs w:val="24"/>
                <w:lang w:val="x-none"/>
              </w:rPr>
              <w:br/>
              <w:t>44</w:t>
            </w:r>
            <w:r w:rsidRPr="00F00BC5">
              <w:rPr>
                <w:rFonts w:asciiTheme="majorBidi" w:hAnsiTheme="majorBidi" w:cstheme="majorBidi"/>
                <w:sz w:val="24"/>
                <w:szCs w:val="24"/>
                <w:lang w:val="x-none"/>
              </w:rPr>
              <w:br/>
              <w:t>28;73</w:t>
            </w:r>
          </w:p>
        </w:tc>
        <w:tc>
          <w:tcPr>
            <w:tcW w:w="1757" w:type="dxa"/>
            <w:tcBorders>
              <w:top w:val="nil"/>
              <w:left w:val="nil"/>
              <w:bottom w:val="single" w:sz="4" w:space="0" w:color="auto"/>
              <w:right w:val="single" w:sz="4" w:space="0" w:color="auto"/>
            </w:tcBorders>
            <w:vAlign w:val="center"/>
            <w:hideMark/>
          </w:tcPr>
          <w:p w14:paraId="3AB55D3B"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48.93 (±13.93)</w:t>
            </w:r>
            <w:r w:rsidRPr="00F00BC5">
              <w:rPr>
                <w:rFonts w:asciiTheme="majorBidi" w:hAnsiTheme="majorBidi" w:cstheme="majorBidi"/>
                <w:sz w:val="24"/>
                <w:szCs w:val="24"/>
                <w:lang w:val="x-none"/>
              </w:rPr>
              <w:br/>
              <w:t>45.5</w:t>
            </w:r>
            <w:r w:rsidRPr="00F00BC5">
              <w:rPr>
                <w:rFonts w:asciiTheme="majorBidi" w:hAnsiTheme="majorBidi" w:cstheme="majorBidi"/>
                <w:sz w:val="24"/>
                <w:szCs w:val="24"/>
                <w:lang w:val="x-none"/>
              </w:rPr>
              <w:br/>
              <w:t>21;78</w:t>
            </w:r>
          </w:p>
        </w:tc>
        <w:tc>
          <w:tcPr>
            <w:tcW w:w="948" w:type="dxa"/>
            <w:tcBorders>
              <w:top w:val="nil"/>
              <w:left w:val="nil"/>
              <w:bottom w:val="single" w:sz="4" w:space="0" w:color="auto"/>
              <w:right w:val="single" w:sz="4" w:space="0" w:color="auto"/>
            </w:tcBorders>
            <w:vAlign w:val="center"/>
            <w:hideMark/>
          </w:tcPr>
          <w:p w14:paraId="5AC67F71"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0.56</w:t>
            </w:r>
          </w:p>
        </w:tc>
        <w:tc>
          <w:tcPr>
            <w:tcW w:w="270" w:type="dxa"/>
            <w:vAlign w:val="center"/>
            <w:hideMark/>
          </w:tcPr>
          <w:p w14:paraId="0C13F82E" w14:textId="77777777" w:rsidR="008A2355" w:rsidRPr="00F00BC5" w:rsidRDefault="008A2355" w:rsidP="00CD5D66">
            <w:pPr>
              <w:spacing w:line="360" w:lineRule="auto"/>
              <w:rPr>
                <w:rFonts w:asciiTheme="majorBidi" w:hAnsiTheme="majorBidi" w:cstheme="majorBidi"/>
                <w:sz w:val="24"/>
                <w:szCs w:val="24"/>
                <w:lang w:val="x-none"/>
              </w:rPr>
            </w:pPr>
          </w:p>
        </w:tc>
      </w:tr>
      <w:tr w:rsidR="006D79E4" w:rsidRPr="006D79E4" w14:paraId="57C7F890" w14:textId="77777777" w:rsidTr="00CD5D66">
        <w:trPr>
          <w:trHeight w:val="325"/>
        </w:trPr>
        <w:tc>
          <w:tcPr>
            <w:tcW w:w="4446" w:type="dxa"/>
            <w:tcBorders>
              <w:top w:val="nil"/>
              <w:left w:val="single" w:sz="8" w:space="0" w:color="auto"/>
              <w:bottom w:val="single" w:sz="4" w:space="0" w:color="auto"/>
              <w:right w:val="single" w:sz="4" w:space="0" w:color="auto"/>
            </w:tcBorders>
            <w:vAlign w:val="center"/>
            <w:hideMark/>
          </w:tcPr>
          <w:p w14:paraId="1ED7ECF6" w14:textId="77777777" w:rsidR="008A2355" w:rsidRPr="00F00BC5" w:rsidRDefault="008A2355" w:rsidP="00CD5D66">
            <w:pPr>
              <w:bidi w:val="0"/>
              <w:spacing w:after="160" w:line="360" w:lineRule="auto"/>
              <w:rPr>
                <w:rFonts w:asciiTheme="majorBidi" w:hAnsiTheme="majorBidi" w:cstheme="majorBidi"/>
                <w:sz w:val="24"/>
                <w:szCs w:val="24"/>
                <w:lang w:val="x-none"/>
              </w:rPr>
            </w:pPr>
            <w:r w:rsidRPr="00F00BC5">
              <w:rPr>
                <w:rFonts w:asciiTheme="majorBidi" w:hAnsiTheme="majorBidi" w:cstheme="majorBidi"/>
                <w:sz w:val="24"/>
                <w:szCs w:val="24"/>
                <w:lang w:val="x-none"/>
              </w:rPr>
              <w:t>Female Gender, % (n/N)</w:t>
            </w:r>
            <w:r w:rsidRPr="00F00BC5">
              <w:rPr>
                <w:rFonts w:asciiTheme="majorBidi" w:hAnsiTheme="majorBidi" w:cstheme="majorBidi"/>
                <w:sz w:val="24"/>
                <w:szCs w:val="24"/>
                <w:lang w:val="x-none"/>
              </w:rPr>
              <w:br/>
              <w:t xml:space="preserve">(n= % within Gender, N= % within </w:t>
            </w:r>
            <w:r w:rsidRPr="00F00BC5">
              <w:rPr>
                <w:rFonts w:asciiTheme="majorBidi" w:hAnsiTheme="majorBidi" w:cstheme="majorBidi"/>
                <w:sz w:val="24"/>
                <w:szCs w:val="24"/>
              </w:rPr>
              <w:t>category</w:t>
            </w:r>
            <w:r w:rsidRPr="00F00BC5">
              <w:rPr>
                <w:rFonts w:asciiTheme="majorBidi" w:hAnsiTheme="majorBidi" w:cstheme="majorBidi"/>
                <w:sz w:val="24"/>
                <w:szCs w:val="24"/>
                <w:lang w:val="x-none"/>
              </w:rPr>
              <w:t>)</w:t>
            </w:r>
          </w:p>
        </w:tc>
        <w:tc>
          <w:tcPr>
            <w:tcW w:w="2121" w:type="dxa"/>
            <w:tcBorders>
              <w:top w:val="single" w:sz="4" w:space="0" w:color="auto"/>
              <w:left w:val="nil"/>
              <w:bottom w:val="single" w:sz="4" w:space="0" w:color="auto"/>
              <w:right w:val="single" w:sz="4" w:space="0" w:color="auto"/>
            </w:tcBorders>
            <w:vAlign w:val="center"/>
            <w:hideMark/>
          </w:tcPr>
          <w:p w14:paraId="5CAA5861"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42 (</w:t>
            </w:r>
            <w:r w:rsidRPr="00F00BC5">
              <w:rPr>
                <w:rFonts w:asciiTheme="majorBidi" w:hAnsiTheme="majorBidi" w:cstheme="majorBidi"/>
                <w:sz w:val="24"/>
                <w:szCs w:val="24"/>
                <w:lang w:val="en-GB"/>
              </w:rPr>
              <w:t>100%</w:t>
            </w:r>
            <w:r w:rsidRPr="00F00BC5">
              <w:rPr>
                <w:rFonts w:asciiTheme="majorBidi" w:hAnsiTheme="majorBidi" w:cstheme="majorBidi"/>
                <w:sz w:val="24"/>
                <w:szCs w:val="24"/>
              </w:rPr>
              <w:t xml:space="preserve">, </w:t>
            </w:r>
            <w:r w:rsidRPr="00F00BC5">
              <w:rPr>
                <w:rFonts w:asciiTheme="majorBidi" w:hAnsiTheme="majorBidi" w:cstheme="majorBidi"/>
                <w:sz w:val="24"/>
                <w:szCs w:val="24"/>
                <w:lang w:val="x-none"/>
              </w:rPr>
              <w:t>67.7%)</w:t>
            </w:r>
          </w:p>
        </w:tc>
        <w:tc>
          <w:tcPr>
            <w:tcW w:w="1701" w:type="dxa"/>
            <w:tcBorders>
              <w:top w:val="nil"/>
              <w:left w:val="nil"/>
              <w:bottom w:val="single" w:sz="4" w:space="0" w:color="auto"/>
              <w:right w:val="single" w:sz="4" w:space="0" w:color="auto"/>
            </w:tcBorders>
            <w:vAlign w:val="center"/>
            <w:hideMark/>
          </w:tcPr>
          <w:p w14:paraId="0E0D783A"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19 (45.2%, 63.3%)</w:t>
            </w:r>
          </w:p>
        </w:tc>
        <w:tc>
          <w:tcPr>
            <w:tcW w:w="1757" w:type="dxa"/>
            <w:tcBorders>
              <w:top w:val="nil"/>
              <w:left w:val="nil"/>
              <w:bottom w:val="single" w:sz="4" w:space="0" w:color="auto"/>
              <w:right w:val="single" w:sz="4" w:space="0" w:color="auto"/>
            </w:tcBorders>
            <w:vAlign w:val="center"/>
            <w:hideMark/>
          </w:tcPr>
          <w:p w14:paraId="35CA0DA1"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23 (54.8%, 71.9%)</w:t>
            </w:r>
          </w:p>
        </w:tc>
        <w:tc>
          <w:tcPr>
            <w:tcW w:w="948" w:type="dxa"/>
            <w:tcBorders>
              <w:top w:val="nil"/>
              <w:left w:val="nil"/>
              <w:bottom w:val="single" w:sz="4" w:space="0" w:color="auto"/>
              <w:right w:val="single" w:sz="4" w:space="0" w:color="auto"/>
            </w:tcBorders>
            <w:noWrap/>
            <w:vAlign w:val="center"/>
            <w:hideMark/>
          </w:tcPr>
          <w:p w14:paraId="2379BB0C"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0.47</w:t>
            </w:r>
          </w:p>
        </w:tc>
        <w:tc>
          <w:tcPr>
            <w:tcW w:w="270" w:type="dxa"/>
            <w:vAlign w:val="center"/>
            <w:hideMark/>
          </w:tcPr>
          <w:p w14:paraId="100981DF" w14:textId="77777777" w:rsidR="008A2355" w:rsidRPr="00F00BC5" w:rsidRDefault="008A2355" w:rsidP="00CD5D66">
            <w:pPr>
              <w:spacing w:line="360" w:lineRule="auto"/>
              <w:rPr>
                <w:rFonts w:asciiTheme="majorBidi" w:hAnsiTheme="majorBidi" w:cstheme="majorBidi"/>
                <w:sz w:val="24"/>
                <w:szCs w:val="24"/>
                <w:lang w:val="x-none"/>
              </w:rPr>
            </w:pPr>
          </w:p>
        </w:tc>
      </w:tr>
      <w:tr w:rsidR="006D79E4" w:rsidRPr="006D79E4" w14:paraId="6CF59522" w14:textId="77777777" w:rsidTr="00CD5D66">
        <w:trPr>
          <w:trHeight w:val="106"/>
        </w:trPr>
        <w:tc>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2D97A121" w14:textId="77777777" w:rsidR="008A2355" w:rsidRPr="00F00BC5" w:rsidRDefault="008A2355" w:rsidP="00CD5D66">
            <w:pPr>
              <w:bidi w:val="0"/>
              <w:spacing w:after="160" w:line="360" w:lineRule="auto"/>
              <w:rPr>
                <w:rFonts w:asciiTheme="majorBidi" w:hAnsiTheme="majorBidi" w:cstheme="majorBidi"/>
                <w:b/>
                <w:bCs/>
                <w:sz w:val="24"/>
                <w:szCs w:val="24"/>
                <w:lang w:val="x-none"/>
              </w:rPr>
            </w:pPr>
            <w:r w:rsidRPr="00F00BC5">
              <w:rPr>
                <w:rFonts w:asciiTheme="majorBidi" w:hAnsiTheme="majorBidi" w:cstheme="majorBidi"/>
                <w:b/>
                <w:bCs/>
                <w:sz w:val="24"/>
                <w:szCs w:val="24"/>
                <w:lang w:val="x-none"/>
              </w:rPr>
              <w:t>Preoperative parameters</w:t>
            </w:r>
          </w:p>
        </w:tc>
        <w:tc>
          <w:tcPr>
            <w:tcW w:w="270" w:type="dxa"/>
            <w:vAlign w:val="center"/>
            <w:hideMark/>
          </w:tcPr>
          <w:p w14:paraId="2D0D2949" w14:textId="77777777" w:rsidR="008A2355" w:rsidRPr="00F00BC5" w:rsidRDefault="008A2355" w:rsidP="00CD5D66">
            <w:pPr>
              <w:spacing w:line="360" w:lineRule="auto"/>
              <w:rPr>
                <w:rFonts w:asciiTheme="majorBidi" w:hAnsiTheme="majorBidi" w:cstheme="majorBidi"/>
                <w:b/>
                <w:bCs/>
                <w:sz w:val="24"/>
                <w:szCs w:val="24"/>
                <w:lang w:val="x-none"/>
              </w:rPr>
            </w:pPr>
          </w:p>
        </w:tc>
      </w:tr>
      <w:tr w:rsidR="006D79E4" w:rsidRPr="006D79E4" w14:paraId="0C7D800C" w14:textId="77777777" w:rsidTr="00CD5D66">
        <w:trPr>
          <w:trHeight w:val="271"/>
        </w:trPr>
        <w:tc>
          <w:tcPr>
            <w:tcW w:w="4446" w:type="dxa"/>
            <w:tcBorders>
              <w:top w:val="nil"/>
              <w:left w:val="single" w:sz="8" w:space="0" w:color="auto"/>
              <w:bottom w:val="single" w:sz="4" w:space="0" w:color="auto"/>
              <w:right w:val="single" w:sz="4" w:space="0" w:color="auto"/>
            </w:tcBorders>
            <w:vAlign w:val="center"/>
            <w:hideMark/>
          </w:tcPr>
          <w:p w14:paraId="24671B5C" w14:textId="77777777" w:rsidR="008A2355" w:rsidRPr="00F00BC5" w:rsidRDefault="008A2355" w:rsidP="00CD5D66">
            <w:pPr>
              <w:bidi w:val="0"/>
              <w:spacing w:after="160" w:line="360" w:lineRule="auto"/>
              <w:rPr>
                <w:rFonts w:asciiTheme="majorBidi" w:eastAsia="Times New Roman" w:hAnsiTheme="majorBidi" w:cstheme="majorBidi"/>
                <w:sz w:val="24"/>
                <w:szCs w:val="24"/>
              </w:rPr>
            </w:pPr>
            <w:r w:rsidRPr="00F00BC5">
              <w:rPr>
                <w:rFonts w:asciiTheme="majorBidi" w:eastAsia="Times New Roman" w:hAnsiTheme="majorBidi" w:cstheme="majorBidi"/>
                <w:sz w:val="24"/>
                <w:szCs w:val="24"/>
              </w:rPr>
              <w:t xml:space="preserve">Maximal thyroid nodule size by US </w:t>
            </w:r>
          </w:p>
          <w:p w14:paraId="22916261" w14:textId="77777777" w:rsidR="008A2355" w:rsidRPr="00F00BC5" w:rsidRDefault="008A2355" w:rsidP="00CD5D66">
            <w:pPr>
              <w:bidi w:val="0"/>
              <w:spacing w:after="160" w:line="360" w:lineRule="auto"/>
              <w:rPr>
                <w:rFonts w:asciiTheme="majorBidi" w:hAnsiTheme="majorBidi" w:cstheme="majorBidi"/>
                <w:sz w:val="24"/>
                <w:szCs w:val="24"/>
                <w:lang w:val="x-none"/>
              </w:rPr>
            </w:pPr>
            <w:r w:rsidRPr="00F00BC5">
              <w:rPr>
                <w:rFonts w:asciiTheme="majorBidi" w:eastAsia="Times New Roman" w:hAnsiTheme="majorBidi" w:cstheme="majorBidi"/>
                <w:sz w:val="24"/>
                <w:szCs w:val="24"/>
              </w:rPr>
              <w:t>centimeters (Mean(SD))</w:t>
            </w:r>
          </w:p>
        </w:tc>
        <w:tc>
          <w:tcPr>
            <w:tcW w:w="2121" w:type="dxa"/>
            <w:tcBorders>
              <w:top w:val="single" w:sz="4" w:space="0" w:color="AEAEAE"/>
              <w:left w:val="single" w:sz="4" w:space="0" w:color="E0E0E0"/>
              <w:bottom w:val="single" w:sz="4" w:space="0" w:color="AEAEAE"/>
              <w:right w:val="single" w:sz="4" w:space="0" w:color="E0E0E0"/>
            </w:tcBorders>
            <w:hideMark/>
          </w:tcPr>
          <w:p w14:paraId="3E77E16E"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3.51 (±1.82)</w:t>
            </w:r>
            <w:r w:rsidRPr="00F00BC5">
              <w:rPr>
                <w:rFonts w:asciiTheme="majorBidi" w:hAnsiTheme="majorBidi" w:cstheme="majorBidi"/>
                <w:sz w:val="24"/>
                <w:szCs w:val="24"/>
                <w:lang w:val="x-none"/>
              </w:rPr>
              <w:br/>
              <w:t>(n=60)</w:t>
            </w:r>
          </w:p>
        </w:tc>
        <w:tc>
          <w:tcPr>
            <w:tcW w:w="1701" w:type="dxa"/>
            <w:tcBorders>
              <w:top w:val="nil"/>
              <w:left w:val="single" w:sz="4" w:space="0" w:color="auto"/>
              <w:bottom w:val="single" w:sz="4" w:space="0" w:color="auto"/>
              <w:right w:val="single" w:sz="4" w:space="0" w:color="auto"/>
            </w:tcBorders>
            <w:vAlign w:val="center"/>
            <w:hideMark/>
          </w:tcPr>
          <w:p w14:paraId="181009A9"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3.36 (±1.92)</w:t>
            </w:r>
            <w:r w:rsidRPr="00F00BC5">
              <w:rPr>
                <w:rFonts w:asciiTheme="majorBidi" w:hAnsiTheme="majorBidi" w:cstheme="majorBidi"/>
                <w:sz w:val="24"/>
                <w:szCs w:val="24"/>
                <w:lang w:val="x-none"/>
              </w:rPr>
              <w:br/>
              <w:t>(n=29)</w:t>
            </w:r>
          </w:p>
        </w:tc>
        <w:tc>
          <w:tcPr>
            <w:tcW w:w="1757" w:type="dxa"/>
            <w:tcBorders>
              <w:top w:val="nil"/>
              <w:left w:val="nil"/>
              <w:bottom w:val="single" w:sz="4" w:space="0" w:color="auto"/>
              <w:right w:val="single" w:sz="4" w:space="0" w:color="auto"/>
            </w:tcBorders>
            <w:vAlign w:val="center"/>
            <w:hideMark/>
          </w:tcPr>
          <w:p w14:paraId="3A4F63EC"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3.64 (±1.75)</w:t>
            </w:r>
            <w:r w:rsidRPr="00F00BC5">
              <w:rPr>
                <w:rFonts w:asciiTheme="majorBidi" w:hAnsiTheme="majorBidi" w:cstheme="majorBidi"/>
                <w:sz w:val="24"/>
                <w:szCs w:val="24"/>
                <w:lang w:val="x-none"/>
              </w:rPr>
              <w:br/>
              <w:t>(n=31)</w:t>
            </w:r>
          </w:p>
        </w:tc>
        <w:tc>
          <w:tcPr>
            <w:tcW w:w="948" w:type="dxa"/>
            <w:tcBorders>
              <w:top w:val="nil"/>
              <w:left w:val="nil"/>
              <w:bottom w:val="single" w:sz="4" w:space="0" w:color="auto"/>
              <w:right w:val="single" w:sz="4" w:space="0" w:color="auto"/>
            </w:tcBorders>
            <w:vAlign w:val="center"/>
            <w:hideMark/>
          </w:tcPr>
          <w:p w14:paraId="12B9322C"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0.5</w:t>
            </w:r>
          </w:p>
        </w:tc>
        <w:tc>
          <w:tcPr>
            <w:tcW w:w="270" w:type="dxa"/>
            <w:vAlign w:val="center"/>
            <w:hideMark/>
          </w:tcPr>
          <w:p w14:paraId="65C688DD" w14:textId="77777777" w:rsidR="008A2355" w:rsidRPr="00F00BC5" w:rsidRDefault="008A2355" w:rsidP="00CD5D66">
            <w:pPr>
              <w:spacing w:line="360" w:lineRule="auto"/>
              <w:rPr>
                <w:rFonts w:asciiTheme="majorBidi" w:hAnsiTheme="majorBidi" w:cstheme="majorBidi"/>
                <w:sz w:val="24"/>
                <w:szCs w:val="24"/>
                <w:lang w:val="x-none"/>
              </w:rPr>
            </w:pPr>
          </w:p>
        </w:tc>
      </w:tr>
      <w:tr w:rsidR="006D79E4" w:rsidRPr="006D79E4" w14:paraId="53408023" w14:textId="77777777" w:rsidTr="00CD5D66">
        <w:trPr>
          <w:trHeight w:val="286"/>
        </w:trPr>
        <w:tc>
          <w:tcPr>
            <w:tcW w:w="4446" w:type="dxa"/>
            <w:tcBorders>
              <w:top w:val="nil"/>
              <w:left w:val="single" w:sz="8" w:space="0" w:color="auto"/>
              <w:bottom w:val="single" w:sz="4" w:space="0" w:color="auto"/>
              <w:right w:val="single" w:sz="4" w:space="0" w:color="auto"/>
            </w:tcBorders>
            <w:vAlign w:val="center"/>
            <w:hideMark/>
          </w:tcPr>
          <w:p w14:paraId="45A60634" w14:textId="77777777" w:rsidR="008A2355" w:rsidRPr="00F00BC5" w:rsidRDefault="008A2355" w:rsidP="00CD5D66">
            <w:pPr>
              <w:bidi w:val="0"/>
              <w:spacing w:after="160" w:line="360" w:lineRule="auto"/>
              <w:rPr>
                <w:rFonts w:asciiTheme="majorBidi" w:eastAsia="Times New Roman" w:hAnsiTheme="majorBidi" w:cstheme="majorBidi"/>
                <w:sz w:val="24"/>
                <w:szCs w:val="24"/>
                <w:rtl/>
              </w:rPr>
            </w:pPr>
            <w:r w:rsidRPr="00F00BC5">
              <w:rPr>
                <w:rFonts w:asciiTheme="majorBidi" w:eastAsia="Times New Roman" w:hAnsiTheme="majorBidi" w:cstheme="majorBidi"/>
                <w:sz w:val="24"/>
                <w:szCs w:val="24"/>
              </w:rPr>
              <w:t>Last Preoperative serum Tg, ng/mL</w:t>
            </w:r>
          </w:p>
          <w:p w14:paraId="0D48DB6D" w14:textId="77777777" w:rsidR="008A2355" w:rsidRPr="00F00BC5" w:rsidRDefault="008A2355" w:rsidP="00CD5D66">
            <w:pPr>
              <w:bidi w:val="0"/>
              <w:spacing w:after="160" w:line="360" w:lineRule="auto"/>
              <w:rPr>
                <w:rFonts w:asciiTheme="majorBidi" w:hAnsiTheme="majorBidi" w:cstheme="majorBidi"/>
                <w:sz w:val="24"/>
                <w:szCs w:val="24"/>
                <w:lang w:val="x-none"/>
              </w:rPr>
            </w:pPr>
            <w:r w:rsidRPr="00F00BC5">
              <w:rPr>
                <w:rFonts w:asciiTheme="majorBidi" w:eastAsia="Times New Roman" w:hAnsiTheme="majorBidi" w:cstheme="majorBidi" w:hint="cs"/>
                <w:sz w:val="24"/>
                <w:szCs w:val="24"/>
                <w:rtl/>
              </w:rPr>
              <w:t xml:space="preserve">  </w:t>
            </w:r>
            <w:r w:rsidRPr="00F00BC5">
              <w:rPr>
                <w:rFonts w:asciiTheme="majorBidi" w:eastAsia="Times New Roman" w:hAnsiTheme="majorBidi" w:cstheme="majorBidi"/>
                <w:sz w:val="24"/>
                <w:szCs w:val="24"/>
              </w:rPr>
              <w:t xml:space="preserve"> </w:t>
            </w:r>
            <w:r w:rsidRPr="00F00BC5">
              <w:rPr>
                <w:rFonts w:asciiTheme="majorBidi" w:hAnsiTheme="majorBidi" w:cstheme="majorBidi"/>
                <w:sz w:val="24"/>
                <w:szCs w:val="24"/>
                <w:lang w:val="x-none"/>
              </w:rPr>
              <w:t>Mean ± SD (n)</w:t>
            </w:r>
            <w:r w:rsidRPr="00F00BC5">
              <w:rPr>
                <w:rFonts w:asciiTheme="majorBidi" w:hAnsiTheme="majorBidi" w:cstheme="majorBidi"/>
                <w:sz w:val="24"/>
                <w:szCs w:val="24"/>
                <w:lang w:val="x-none"/>
              </w:rPr>
              <w:br/>
              <w:t xml:space="preserve">   Median </w:t>
            </w:r>
            <w:r w:rsidRPr="00F00BC5">
              <w:rPr>
                <w:rFonts w:asciiTheme="majorBidi" w:hAnsiTheme="majorBidi" w:cstheme="majorBidi"/>
                <w:sz w:val="24"/>
                <w:szCs w:val="24"/>
                <w:lang w:val="x-none"/>
              </w:rPr>
              <w:br/>
              <w:t xml:space="preserve">   Min;Max</w:t>
            </w:r>
          </w:p>
        </w:tc>
        <w:tc>
          <w:tcPr>
            <w:tcW w:w="2121" w:type="dxa"/>
            <w:tcBorders>
              <w:top w:val="single" w:sz="4" w:space="0" w:color="auto"/>
              <w:left w:val="nil"/>
              <w:bottom w:val="single" w:sz="4" w:space="0" w:color="auto"/>
              <w:right w:val="single" w:sz="4" w:space="0" w:color="auto"/>
            </w:tcBorders>
            <w:vAlign w:val="center"/>
            <w:hideMark/>
          </w:tcPr>
          <w:p w14:paraId="3F16929B"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725.1 (±1445.71)</w:t>
            </w:r>
            <w:r w:rsidRPr="00F00BC5">
              <w:rPr>
                <w:rFonts w:asciiTheme="majorBidi" w:hAnsiTheme="majorBidi" w:cstheme="majorBidi"/>
                <w:sz w:val="24"/>
                <w:szCs w:val="24"/>
                <w:lang w:val="x-none"/>
              </w:rPr>
              <w:br/>
              <w:t>(n=62)</w:t>
            </w:r>
          </w:p>
          <w:p w14:paraId="60030C03" w14:textId="77777777" w:rsidR="008A2355" w:rsidRPr="00F00BC5" w:rsidRDefault="008A2355" w:rsidP="00CD5D66">
            <w:pPr>
              <w:bidi w:val="0"/>
              <w:spacing w:after="160" w:line="360" w:lineRule="auto"/>
              <w:jc w:val="center"/>
              <w:rPr>
                <w:rFonts w:asciiTheme="majorBidi" w:hAnsiTheme="majorBidi" w:cstheme="majorBidi"/>
                <w:sz w:val="24"/>
                <w:szCs w:val="24"/>
              </w:rPr>
            </w:pPr>
            <w:r w:rsidRPr="00F00BC5">
              <w:rPr>
                <w:rFonts w:asciiTheme="majorBidi" w:hAnsiTheme="majorBidi" w:cstheme="majorBidi"/>
                <w:sz w:val="24"/>
                <w:szCs w:val="24"/>
              </w:rPr>
              <w:t>179</w:t>
            </w:r>
          </w:p>
          <w:p w14:paraId="6FF0C8C5" w14:textId="77777777" w:rsidR="008A2355" w:rsidRPr="00F00BC5" w:rsidRDefault="008A2355" w:rsidP="00CD5D66">
            <w:pPr>
              <w:bidi w:val="0"/>
              <w:spacing w:after="160" w:line="360" w:lineRule="auto"/>
              <w:jc w:val="center"/>
              <w:rPr>
                <w:rFonts w:asciiTheme="majorBidi" w:hAnsiTheme="majorBidi" w:cstheme="majorBidi"/>
                <w:sz w:val="24"/>
                <w:szCs w:val="24"/>
              </w:rPr>
            </w:pPr>
            <w:r w:rsidRPr="00F00BC5">
              <w:rPr>
                <w:rFonts w:asciiTheme="majorBidi" w:hAnsiTheme="majorBidi" w:cstheme="majorBidi"/>
                <w:sz w:val="24"/>
                <w:szCs w:val="24"/>
              </w:rPr>
              <w:t>0.45;7838</w:t>
            </w:r>
          </w:p>
        </w:tc>
        <w:tc>
          <w:tcPr>
            <w:tcW w:w="1701" w:type="dxa"/>
            <w:tcBorders>
              <w:top w:val="nil"/>
              <w:left w:val="nil"/>
              <w:bottom w:val="single" w:sz="4" w:space="0" w:color="auto"/>
              <w:right w:val="single" w:sz="4" w:space="0" w:color="auto"/>
            </w:tcBorders>
            <w:vAlign w:val="center"/>
            <w:hideMark/>
          </w:tcPr>
          <w:p w14:paraId="03532D2C"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597.87 (±1111.87)</w:t>
            </w:r>
            <w:r w:rsidRPr="00F00BC5">
              <w:rPr>
                <w:rFonts w:asciiTheme="majorBidi" w:hAnsiTheme="majorBidi" w:cstheme="majorBidi"/>
                <w:sz w:val="24"/>
                <w:szCs w:val="24"/>
                <w:lang w:val="x-none"/>
              </w:rPr>
              <w:br/>
              <w:t>(n=30)</w:t>
            </w:r>
          </w:p>
          <w:p w14:paraId="28F8B159" w14:textId="77777777" w:rsidR="008A2355" w:rsidRPr="00F00BC5" w:rsidRDefault="008A2355" w:rsidP="00CD5D66">
            <w:pPr>
              <w:bidi w:val="0"/>
              <w:spacing w:after="160" w:line="360" w:lineRule="auto"/>
              <w:jc w:val="center"/>
              <w:rPr>
                <w:rFonts w:asciiTheme="majorBidi" w:hAnsiTheme="majorBidi" w:cstheme="majorBidi"/>
                <w:sz w:val="24"/>
                <w:szCs w:val="24"/>
              </w:rPr>
            </w:pPr>
            <w:r w:rsidRPr="00F00BC5">
              <w:rPr>
                <w:rFonts w:asciiTheme="majorBidi" w:hAnsiTheme="majorBidi" w:cstheme="majorBidi"/>
                <w:sz w:val="24"/>
                <w:szCs w:val="24"/>
              </w:rPr>
              <w:t>205.5</w:t>
            </w:r>
          </w:p>
          <w:p w14:paraId="67B87E4C" w14:textId="77777777" w:rsidR="008A2355" w:rsidRPr="00F00BC5" w:rsidRDefault="008A2355" w:rsidP="00CD5D66">
            <w:pPr>
              <w:bidi w:val="0"/>
              <w:spacing w:after="160" w:line="360" w:lineRule="auto"/>
              <w:jc w:val="center"/>
              <w:rPr>
                <w:rFonts w:asciiTheme="majorBidi" w:hAnsiTheme="majorBidi" w:cstheme="majorBidi"/>
                <w:sz w:val="24"/>
                <w:szCs w:val="24"/>
              </w:rPr>
            </w:pPr>
            <w:r w:rsidRPr="00F00BC5">
              <w:rPr>
                <w:rFonts w:asciiTheme="majorBidi" w:hAnsiTheme="majorBidi" w:cstheme="majorBidi"/>
                <w:sz w:val="24"/>
                <w:szCs w:val="24"/>
              </w:rPr>
              <w:t>0.45;5895</w:t>
            </w:r>
          </w:p>
        </w:tc>
        <w:tc>
          <w:tcPr>
            <w:tcW w:w="1757" w:type="dxa"/>
            <w:tcBorders>
              <w:top w:val="nil"/>
              <w:left w:val="nil"/>
              <w:bottom w:val="single" w:sz="4" w:space="0" w:color="auto"/>
              <w:right w:val="single" w:sz="4" w:space="0" w:color="auto"/>
            </w:tcBorders>
            <w:vAlign w:val="center"/>
            <w:hideMark/>
          </w:tcPr>
          <w:p w14:paraId="2BD207B9"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844.38 (±1710.53)</w:t>
            </w:r>
            <w:r w:rsidRPr="00F00BC5">
              <w:rPr>
                <w:rFonts w:asciiTheme="majorBidi" w:hAnsiTheme="majorBidi" w:cstheme="majorBidi"/>
                <w:sz w:val="24"/>
                <w:szCs w:val="24"/>
                <w:lang w:val="x-none"/>
              </w:rPr>
              <w:br/>
              <w:t>(n=32)</w:t>
            </w:r>
          </w:p>
          <w:p w14:paraId="337EFD14" w14:textId="77777777" w:rsidR="008A2355" w:rsidRPr="00F00BC5" w:rsidRDefault="008A2355" w:rsidP="00CD5D66">
            <w:pPr>
              <w:bidi w:val="0"/>
              <w:spacing w:after="160" w:line="360" w:lineRule="auto"/>
              <w:jc w:val="center"/>
              <w:rPr>
                <w:rFonts w:asciiTheme="majorBidi" w:hAnsiTheme="majorBidi" w:cstheme="majorBidi"/>
                <w:sz w:val="24"/>
                <w:szCs w:val="24"/>
              </w:rPr>
            </w:pPr>
            <w:r w:rsidRPr="00F00BC5">
              <w:rPr>
                <w:rFonts w:asciiTheme="majorBidi" w:hAnsiTheme="majorBidi" w:cstheme="majorBidi"/>
                <w:sz w:val="24"/>
                <w:szCs w:val="24"/>
              </w:rPr>
              <w:t>160.5</w:t>
            </w:r>
          </w:p>
          <w:p w14:paraId="29BFBCF0" w14:textId="77777777" w:rsidR="008A2355" w:rsidRPr="00F00BC5" w:rsidRDefault="008A2355" w:rsidP="00CD5D66">
            <w:pPr>
              <w:bidi w:val="0"/>
              <w:spacing w:after="160" w:line="360" w:lineRule="auto"/>
              <w:jc w:val="center"/>
              <w:rPr>
                <w:rFonts w:asciiTheme="majorBidi" w:hAnsiTheme="majorBidi" w:cstheme="majorBidi"/>
                <w:sz w:val="24"/>
                <w:szCs w:val="24"/>
              </w:rPr>
            </w:pPr>
            <w:r w:rsidRPr="00F00BC5">
              <w:rPr>
                <w:rFonts w:asciiTheme="majorBidi" w:hAnsiTheme="majorBidi" w:cstheme="majorBidi"/>
                <w:sz w:val="24"/>
                <w:szCs w:val="24"/>
              </w:rPr>
              <w:t>35.8;7838</w:t>
            </w:r>
          </w:p>
        </w:tc>
        <w:tc>
          <w:tcPr>
            <w:tcW w:w="948" w:type="dxa"/>
            <w:tcBorders>
              <w:top w:val="nil"/>
              <w:left w:val="nil"/>
              <w:bottom w:val="single" w:sz="4" w:space="0" w:color="auto"/>
              <w:right w:val="single" w:sz="4" w:space="0" w:color="auto"/>
            </w:tcBorders>
            <w:vAlign w:val="center"/>
            <w:hideMark/>
          </w:tcPr>
          <w:p w14:paraId="3BC00068"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0.93</w:t>
            </w:r>
          </w:p>
        </w:tc>
        <w:tc>
          <w:tcPr>
            <w:tcW w:w="270" w:type="dxa"/>
            <w:vAlign w:val="center"/>
            <w:hideMark/>
          </w:tcPr>
          <w:p w14:paraId="4FDC589E" w14:textId="77777777" w:rsidR="008A2355" w:rsidRPr="00F00BC5" w:rsidRDefault="008A2355" w:rsidP="00CD5D66">
            <w:pPr>
              <w:spacing w:line="360" w:lineRule="auto"/>
              <w:rPr>
                <w:rFonts w:asciiTheme="majorBidi" w:hAnsiTheme="majorBidi" w:cstheme="majorBidi"/>
                <w:sz w:val="24"/>
                <w:szCs w:val="24"/>
                <w:lang w:val="x-none"/>
              </w:rPr>
            </w:pPr>
          </w:p>
        </w:tc>
      </w:tr>
      <w:tr w:rsidR="006D79E4" w:rsidRPr="006D79E4" w14:paraId="045B62DC" w14:textId="77777777" w:rsidTr="00CD5D66">
        <w:trPr>
          <w:trHeight w:val="298"/>
        </w:trPr>
        <w:tc>
          <w:tcPr>
            <w:tcW w:w="4446" w:type="dxa"/>
            <w:tcBorders>
              <w:top w:val="nil"/>
              <w:left w:val="single" w:sz="8" w:space="0" w:color="auto"/>
              <w:bottom w:val="single" w:sz="4" w:space="0" w:color="auto"/>
              <w:right w:val="single" w:sz="4" w:space="0" w:color="auto"/>
            </w:tcBorders>
            <w:vAlign w:val="center"/>
            <w:hideMark/>
          </w:tcPr>
          <w:p w14:paraId="6C809747" w14:textId="77777777" w:rsidR="008A2355" w:rsidRPr="00F00BC5" w:rsidRDefault="008A2355" w:rsidP="00CD5D66">
            <w:pPr>
              <w:bidi w:val="0"/>
              <w:spacing w:after="160" w:line="360" w:lineRule="auto"/>
              <w:rPr>
                <w:rFonts w:asciiTheme="majorBidi" w:hAnsiTheme="majorBidi" w:cstheme="majorBidi"/>
                <w:sz w:val="24"/>
                <w:szCs w:val="24"/>
                <w:u w:val="single"/>
                <w:lang w:val="x-none"/>
              </w:rPr>
            </w:pPr>
            <w:r w:rsidRPr="00F00BC5">
              <w:rPr>
                <w:rFonts w:asciiTheme="majorBidi" w:eastAsia="Times New Roman" w:hAnsiTheme="majorBidi" w:cstheme="majorBidi"/>
                <w:sz w:val="24"/>
                <w:szCs w:val="24"/>
              </w:rPr>
              <w:t>Last Preoperative serum TSH, mIU/L (Mean(SD))</w:t>
            </w:r>
          </w:p>
        </w:tc>
        <w:tc>
          <w:tcPr>
            <w:tcW w:w="2121" w:type="dxa"/>
            <w:tcBorders>
              <w:top w:val="nil"/>
              <w:left w:val="nil"/>
              <w:bottom w:val="single" w:sz="4" w:space="0" w:color="auto"/>
              <w:right w:val="single" w:sz="4" w:space="0" w:color="auto"/>
            </w:tcBorders>
            <w:vAlign w:val="center"/>
            <w:hideMark/>
          </w:tcPr>
          <w:p w14:paraId="1C387375"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1.65 (±0.97)</w:t>
            </w:r>
            <w:r w:rsidRPr="00F00BC5">
              <w:rPr>
                <w:rFonts w:asciiTheme="majorBidi" w:hAnsiTheme="majorBidi" w:cstheme="majorBidi"/>
                <w:sz w:val="24"/>
                <w:szCs w:val="24"/>
                <w:lang w:val="x-none"/>
              </w:rPr>
              <w:br/>
              <w:t>(n=62)</w:t>
            </w:r>
          </w:p>
        </w:tc>
        <w:tc>
          <w:tcPr>
            <w:tcW w:w="1701" w:type="dxa"/>
            <w:tcBorders>
              <w:top w:val="nil"/>
              <w:left w:val="nil"/>
              <w:bottom w:val="single" w:sz="4" w:space="0" w:color="auto"/>
              <w:right w:val="single" w:sz="4" w:space="0" w:color="auto"/>
            </w:tcBorders>
            <w:vAlign w:val="center"/>
            <w:hideMark/>
          </w:tcPr>
          <w:p w14:paraId="3CB2224D"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1.72 (±1.17)</w:t>
            </w:r>
            <w:r w:rsidRPr="00F00BC5">
              <w:rPr>
                <w:rFonts w:asciiTheme="majorBidi" w:hAnsiTheme="majorBidi" w:cstheme="majorBidi"/>
                <w:sz w:val="24"/>
                <w:szCs w:val="24"/>
                <w:lang w:val="x-none"/>
              </w:rPr>
              <w:br/>
              <w:t>(n=30)</w:t>
            </w:r>
          </w:p>
        </w:tc>
        <w:tc>
          <w:tcPr>
            <w:tcW w:w="1757" w:type="dxa"/>
            <w:tcBorders>
              <w:top w:val="nil"/>
              <w:left w:val="nil"/>
              <w:bottom w:val="single" w:sz="4" w:space="0" w:color="auto"/>
              <w:right w:val="single" w:sz="4" w:space="0" w:color="auto"/>
            </w:tcBorders>
            <w:vAlign w:val="center"/>
            <w:hideMark/>
          </w:tcPr>
          <w:p w14:paraId="18DAB2CD"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1.59 (±0.75)</w:t>
            </w:r>
            <w:r w:rsidRPr="00F00BC5">
              <w:rPr>
                <w:rFonts w:asciiTheme="majorBidi" w:hAnsiTheme="majorBidi" w:cstheme="majorBidi"/>
                <w:sz w:val="24"/>
                <w:szCs w:val="24"/>
                <w:lang w:val="x-none"/>
              </w:rPr>
              <w:br/>
              <w:t>(n=32)</w:t>
            </w:r>
          </w:p>
        </w:tc>
        <w:tc>
          <w:tcPr>
            <w:tcW w:w="948" w:type="dxa"/>
            <w:tcBorders>
              <w:top w:val="nil"/>
              <w:left w:val="nil"/>
              <w:bottom w:val="single" w:sz="4" w:space="0" w:color="auto"/>
              <w:right w:val="single" w:sz="4" w:space="0" w:color="auto"/>
            </w:tcBorders>
            <w:vAlign w:val="center"/>
            <w:hideMark/>
          </w:tcPr>
          <w:p w14:paraId="190A193F" w14:textId="77777777" w:rsidR="008A2355" w:rsidRPr="00F00BC5" w:rsidRDefault="008A2355" w:rsidP="00CD5D66">
            <w:pPr>
              <w:bidi w:val="0"/>
              <w:spacing w:after="160" w:line="360" w:lineRule="auto"/>
              <w:jc w:val="center"/>
              <w:rPr>
                <w:rFonts w:asciiTheme="majorBidi" w:hAnsiTheme="majorBidi" w:cstheme="majorBidi"/>
                <w:sz w:val="24"/>
                <w:szCs w:val="24"/>
                <w:lang w:val="x-none"/>
              </w:rPr>
            </w:pPr>
            <w:r w:rsidRPr="00F00BC5">
              <w:rPr>
                <w:rFonts w:asciiTheme="majorBidi" w:hAnsiTheme="majorBidi" w:cstheme="majorBidi"/>
                <w:sz w:val="24"/>
                <w:szCs w:val="24"/>
                <w:lang w:val="x-none"/>
              </w:rPr>
              <w:t>0.73</w:t>
            </w:r>
          </w:p>
        </w:tc>
        <w:tc>
          <w:tcPr>
            <w:tcW w:w="270" w:type="dxa"/>
            <w:vAlign w:val="center"/>
            <w:hideMark/>
          </w:tcPr>
          <w:p w14:paraId="33775743" w14:textId="77777777" w:rsidR="008A2355" w:rsidRPr="00F00BC5" w:rsidRDefault="008A2355" w:rsidP="00CD5D66">
            <w:pPr>
              <w:spacing w:line="360" w:lineRule="auto"/>
              <w:rPr>
                <w:rFonts w:asciiTheme="majorBidi" w:hAnsiTheme="majorBidi" w:cstheme="majorBidi"/>
                <w:sz w:val="24"/>
                <w:szCs w:val="24"/>
                <w:lang w:val="x-none"/>
              </w:rPr>
            </w:pPr>
          </w:p>
        </w:tc>
      </w:tr>
      <w:tr w:rsidR="006D79E4" w:rsidRPr="006D79E4" w14:paraId="038E3ADB" w14:textId="77777777" w:rsidTr="00673D68">
        <w:trPr>
          <w:trHeight w:val="767"/>
        </w:trPr>
        <w:tc>
          <w:tcPr>
            <w:tcW w:w="10973" w:type="dxa"/>
            <w:gridSpan w:val="5"/>
            <w:tcBorders>
              <w:top w:val="single" w:sz="4" w:space="0" w:color="auto"/>
              <w:left w:val="single" w:sz="8" w:space="0" w:color="auto"/>
              <w:bottom w:val="single" w:sz="8" w:space="0" w:color="auto"/>
              <w:right w:val="single" w:sz="4" w:space="0" w:color="auto"/>
            </w:tcBorders>
            <w:vAlign w:val="center"/>
          </w:tcPr>
          <w:p w14:paraId="40EC4A45" w14:textId="4B463EF7" w:rsidR="008A2355" w:rsidRPr="00F00BC5" w:rsidRDefault="008A2355" w:rsidP="00CD5D66">
            <w:pPr>
              <w:bidi w:val="0"/>
              <w:spacing w:after="160" w:line="360" w:lineRule="auto"/>
              <w:rPr>
                <w:rFonts w:asciiTheme="majorBidi" w:hAnsiTheme="majorBidi" w:cstheme="majorBidi"/>
                <w:sz w:val="24"/>
                <w:szCs w:val="24"/>
                <w:lang w:val="x-none"/>
              </w:rPr>
            </w:pPr>
            <w:r w:rsidRPr="00F00BC5">
              <w:rPr>
                <w:rFonts w:asciiTheme="majorBidi" w:eastAsia="Times New Roman" w:hAnsiTheme="majorBidi" w:cstheme="majorBidi"/>
                <w:b/>
                <w:bCs/>
                <w:sz w:val="20"/>
                <w:szCs w:val="20"/>
              </w:rPr>
              <w:t>Abbreviations:</w:t>
            </w:r>
            <w:r w:rsidRPr="00F00BC5">
              <w:rPr>
                <w:rFonts w:asciiTheme="majorBidi" w:eastAsia="Times New Roman" w:hAnsiTheme="majorBidi" w:cstheme="majorBidi"/>
                <w:sz w:val="20"/>
                <w:szCs w:val="20"/>
              </w:rPr>
              <w:t xml:space="preserve"> DTC- </w:t>
            </w:r>
            <w:r w:rsidRPr="006D79E4">
              <w:rPr>
                <w:rFonts w:asciiTheme="majorBidi" w:hAnsiTheme="majorBidi" w:cstheme="majorBidi"/>
                <w:sz w:val="20"/>
                <w:szCs w:val="20"/>
              </w:rPr>
              <w:t>differentiated</w:t>
            </w:r>
            <w:r w:rsidRPr="00F00BC5">
              <w:rPr>
                <w:rFonts w:asciiTheme="majorBidi" w:eastAsia="Times New Roman" w:hAnsiTheme="majorBidi" w:cstheme="majorBidi"/>
                <w:sz w:val="18"/>
                <w:szCs w:val="18"/>
              </w:rPr>
              <w:t xml:space="preserve"> </w:t>
            </w:r>
            <w:r w:rsidRPr="00F00BC5">
              <w:rPr>
                <w:rFonts w:asciiTheme="majorBidi" w:eastAsia="Times New Roman" w:hAnsiTheme="majorBidi" w:cstheme="majorBidi"/>
                <w:sz w:val="20"/>
                <w:szCs w:val="20"/>
              </w:rPr>
              <w:t>thyroid carcinoma, MNG- multinodular goiter, INC- indeterminate</w:t>
            </w:r>
            <w:r w:rsidRPr="006D79E4">
              <w:rPr>
                <w:rFonts w:asciiTheme="majorBidi" w:hAnsiTheme="majorBidi" w:cstheme="majorBidi"/>
                <w:sz w:val="20"/>
                <w:szCs w:val="20"/>
              </w:rPr>
              <w:t xml:space="preserve"> cytology, US- ultrasound, Tg- thyroglobulin, TSH-</w:t>
            </w:r>
            <w:r w:rsidRPr="006D79E4">
              <w:t xml:space="preserve"> </w:t>
            </w:r>
            <w:r w:rsidRPr="006D79E4">
              <w:rPr>
                <w:rFonts w:asciiTheme="majorBidi" w:hAnsiTheme="majorBidi" w:cstheme="majorBidi"/>
                <w:sz w:val="20"/>
                <w:szCs w:val="20"/>
              </w:rPr>
              <w:t>thyroid-stimulating hormone</w:t>
            </w:r>
            <w:r w:rsidR="003A037B" w:rsidRPr="006D79E4">
              <w:rPr>
                <w:rFonts w:asciiTheme="majorBidi" w:hAnsiTheme="majorBidi" w:cstheme="majorBidi"/>
                <w:sz w:val="20"/>
                <w:szCs w:val="20"/>
              </w:rPr>
              <w:t>, TN- thyroid nodule</w:t>
            </w:r>
          </w:p>
        </w:tc>
        <w:tc>
          <w:tcPr>
            <w:tcW w:w="270" w:type="dxa"/>
            <w:vAlign w:val="center"/>
          </w:tcPr>
          <w:p w14:paraId="43EA0352" w14:textId="77777777" w:rsidR="008A2355" w:rsidRPr="00F00BC5" w:rsidRDefault="008A2355" w:rsidP="00CD5D66">
            <w:pPr>
              <w:spacing w:line="360" w:lineRule="auto"/>
              <w:rPr>
                <w:rFonts w:asciiTheme="majorBidi" w:hAnsiTheme="majorBidi" w:cstheme="majorBidi"/>
                <w:sz w:val="24"/>
                <w:szCs w:val="24"/>
                <w:lang w:val="x-none"/>
              </w:rPr>
            </w:pPr>
          </w:p>
        </w:tc>
      </w:tr>
    </w:tbl>
    <w:p w14:paraId="1C3825E4" w14:textId="31125A52" w:rsidR="006C2A12" w:rsidRPr="00F00BC5" w:rsidRDefault="006C2A12" w:rsidP="006C2A12">
      <w:pPr>
        <w:bidi w:val="0"/>
        <w:spacing w:line="360" w:lineRule="auto"/>
        <w:jc w:val="both"/>
        <w:rPr>
          <w:rFonts w:asciiTheme="majorBidi" w:eastAsia="Times New Roman" w:hAnsiTheme="majorBidi" w:cstheme="majorBidi"/>
          <w:b/>
          <w:bCs/>
          <w:sz w:val="24"/>
          <w:szCs w:val="24"/>
        </w:rPr>
      </w:pPr>
    </w:p>
    <w:p w14:paraId="3C9F86D5" w14:textId="4F046A9A" w:rsidR="008A2355" w:rsidRPr="00F00BC5" w:rsidRDefault="008A2355" w:rsidP="008A2355">
      <w:pPr>
        <w:bidi w:val="0"/>
        <w:spacing w:line="360" w:lineRule="auto"/>
        <w:jc w:val="both"/>
        <w:rPr>
          <w:rFonts w:asciiTheme="majorBidi" w:eastAsia="Times New Roman" w:hAnsiTheme="majorBidi" w:cstheme="majorBidi"/>
          <w:b/>
          <w:bCs/>
          <w:sz w:val="24"/>
          <w:szCs w:val="24"/>
        </w:rPr>
      </w:pPr>
    </w:p>
    <w:tbl>
      <w:tblPr>
        <w:tblStyle w:val="TableGrid"/>
        <w:tblpPr w:leftFromText="180" w:rightFromText="180" w:vertAnchor="text" w:horzAnchor="margin" w:tblpXSpec="center" w:tblpY="466"/>
        <w:tblW w:w="9356" w:type="dxa"/>
        <w:tblInd w:w="0" w:type="dxa"/>
        <w:tblLayout w:type="fixed"/>
        <w:tblLook w:val="04A0" w:firstRow="1" w:lastRow="0" w:firstColumn="1" w:lastColumn="0" w:noHBand="0" w:noVBand="1"/>
      </w:tblPr>
      <w:tblGrid>
        <w:gridCol w:w="990"/>
        <w:gridCol w:w="1345"/>
        <w:gridCol w:w="1350"/>
        <w:gridCol w:w="1322"/>
        <w:gridCol w:w="1378"/>
        <w:gridCol w:w="1508"/>
        <w:gridCol w:w="1463"/>
      </w:tblGrid>
      <w:tr w:rsidR="006D79E4" w:rsidRPr="006D79E4" w14:paraId="12508E2E" w14:textId="77777777" w:rsidTr="00715C6E">
        <w:trPr>
          <w:trHeight w:val="382"/>
        </w:trPr>
        <w:tc>
          <w:tcPr>
            <w:tcW w:w="9356"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32D778F" w14:textId="74B56987" w:rsidR="008A2355" w:rsidRPr="00F00BC5" w:rsidRDefault="008A2355" w:rsidP="00CD5D66">
            <w:pPr>
              <w:bidi w:val="0"/>
              <w:spacing w:line="360" w:lineRule="auto"/>
              <w:jc w:val="center"/>
              <w:rPr>
                <w:rFonts w:asciiTheme="majorBidi" w:hAnsiTheme="majorBidi" w:cstheme="majorBidi"/>
                <w:b/>
                <w:bCs/>
                <w:sz w:val="24"/>
                <w:szCs w:val="24"/>
              </w:rPr>
            </w:pPr>
            <w:r w:rsidRPr="00F00BC5">
              <w:rPr>
                <w:rFonts w:asciiTheme="majorBidi" w:hAnsiTheme="majorBidi" w:cstheme="majorBidi"/>
                <w:b/>
                <w:bCs/>
                <w:sz w:val="24"/>
                <w:szCs w:val="24"/>
              </w:rPr>
              <w:t>Table 4</w:t>
            </w:r>
            <w:r w:rsidRPr="006D79E4">
              <w:rPr>
                <w:rFonts w:asciiTheme="majorBidi" w:hAnsiTheme="majorBidi" w:cstheme="majorBidi"/>
                <w:sz w:val="24"/>
                <w:szCs w:val="24"/>
              </w:rPr>
              <w:t xml:space="preserve">. Odds ratio for postoperative diagnosis of DTC among patients with preoperative diagnosis of benign MNG or thyroid nodule with </w:t>
            </w:r>
            <w:r w:rsidRPr="006D79E4">
              <w:rPr>
                <w:rFonts w:asciiTheme="majorBidi" w:hAnsiTheme="majorBidi" w:cstheme="majorBidi" w:hint="cs"/>
                <w:sz w:val="24"/>
                <w:szCs w:val="24"/>
              </w:rPr>
              <w:t>INC</w:t>
            </w:r>
            <w:r w:rsidRPr="006D79E4">
              <w:rPr>
                <w:rFonts w:asciiTheme="majorBidi" w:hAnsiTheme="majorBidi" w:cstheme="majorBidi"/>
                <w:sz w:val="24"/>
                <w:szCs w:val="24"/>
              </w:rPr>
              <w:t xml:space="preserve">. </w:t>
            </w:r>
          </w:p>
        </w:tc>
      </w:tr>
      <w:tr w:rsidR="006D79E4" w:rsidRPr="006D79E4" w14:paraId="166E3BB4" w14:textId="77777777" w:rsidTr="00715C6E">
        <w:trPr>
          <w:trHeight w:val="390"/>
        </w:trPr>
        <w:tc>
          <w:tcPr>
            <w:tcW w:w="2335" w:type="dxa"/>
            <w:gridSpan w:val="2"/>
            <w:vMerge w:val="restart"/>
            <w:tcBorders>
              <w:top w:val="single" w:sz="4" w:space="0" w:color="auto"/>
              <w:left w:val="single" w:sz="4" w:space="0" w:color="auto"/>
              <w:bottom w:val="single" w:sz="4" w:space="0" w:color="auto"/>
              <w:right w:val="single" w:sz="4" w:space="0" w:color="auto"/>
            </w:tcBorders>
          </w:tcPr>
          <w:p w14:paraId="376B3D66" w14:textId="77777777" w:rsidR="008A2355" w:rsidRPr="006D79E4" w:rsidRDefault="008A2355" w:rsidP="00CD5D66">
            <w:pPr>
              <w:bidi w:val="0"/>
              <w:spacing w:line="360" w:lineRule="auto"/>
              <w:rPr>
                <w:rFonts w:asciiTheme="majorBidi" w:hAnsiTheme="majorBidi" w:cstheme="majorBidi"/>
                <w:sz w:val="24"/>
                <w:szCs w:val="24"/>
              </w:rPr>
            </w:pPr>
            <w:r w:rsidRPr="006D79E4">
              <w:rPr>
                <w:rFonts w:asciiTheme="majorBidi" w:hAnsiTheme="majorBidi" w:cstheme="majorBidi"/>
                <w:sz w:val="24"/>
                <w:szCs w:val="24"/>
              </w:rPr>
              <w:t>Preoperative diagnosis</w:t>
            </w:r>
          </w:p>
        </w:tc>
        <w:tc>
          <w:tcPr>
            <w:tcW w:w="2672" w:type="dxa"/>
            <w:gridSpan w:val="2"/>
            <w:tcBorders>
              <w:top w:val="single" w:sz="4" w:space="0" w:color="auto"/>
              <w:left w:val="single" w:sz="4" w:space="0" w:color="auto"/>
              <w:bottom w:val="single" w:sz="4" w:space="0" w:color="auto"/>
              <w:right w:val="single" w:sz="4" w:space="0" w:color="auto"/>
            </w:tcBorders>
            <w:vAlign w:val="center"/>
            <w:hideMark/>
          </w:tcPr>
          <w:p w14:paraId="281F3EDC" w14:textId="77777777" w:rsidR="008A2355" w:rsidRPr="006D79E4" w:rsidRDefault="008A2355" w:rsidP="00CD5D66">
            <w:pPr>
              <w:bidi w:val="0"/>
              <w:spacing w:line="360" w:lineRule="auto"/>
              <w:jc w:val="center"/>
              <w:rPr>
                <w:rFonts w:asciiTheme="majorBidi" w:hAnsiTheme="majorBidi" w:cstheme="majorBidi"/>
                <w:b/>
                <w:bCs/>
                <w:sz w:val="24"/>
                <w:szCs w:val="24"/>
              </w:rPr>
            </w:pPr>
            <w:r w:rsidRPr="006D79E4">
              <w:rPr>
                <w:rFonts w:asciiTheme="majorBidi" w:hAnsiTheme="majorBidi" w:cstheme="majorBidi"/>
                <w:b/>
                <w:bCs/>
                <w:sz w:val="24"/>
                <w:szCs w:val="24"/>
              </w:rPr>
              <w:t>Demographic characteristics</w:t>
            </w:r>
          </w:p>
        </w:tc>
        <w:tc>
          <w:tcPr>
            <w:tcW w:w="4349" w:type="dxa"/>
            <w:gridSpan w:val="3"/>
            <w:tcBorders>
              <w:top w:val="single" w:sz="4" w:space="0" w:color="auto"/>
              <w:left w:val="single" w:sz="4" w:space="0" w:color="auto"/>
              <w:bottom w:val="single" w:sz="4" w:space="0" w:color="auto"/>
              <w:right w:val="single" w:sz="4" w:space="0" w:color="auto"/>
            </w:tcBorders>
            <w:vAlign w:val="center"/>
            <w:hideMark/>
          </w:tcPr>
          <w:p w14:paraId="51BB385D" w14:textId="77777777" w:rsidR="008A2355" w:rsidRPr="006D79E4" w:rsidRDefault="008A2355" w:rsidP="00CD5D66">
            <w:pPr>
              <w:bidi w:val="0"/>
              <w:spacing w:line="360" w:lineRule="auto"/>
              <w:jc w:val="center"/>
              <w:rPr>
                <w:rFonts w:asciiTheme="majorBidi" w:hAnsiTheme="majorBidi" w:cstheme="majorBidi"/>
                <w:b/>
                <w:bCs/>
                <w:sz w:val="24"/>
                <w:szCs w:val="24"/>
              </w:rPr>
            </w:pPr>
            <w:r w:rsidRPr="006D79E4">
              <w:rPr>
                <w:rFonts w:asciiTheme="majorBidi" w:hAnsiTheme="majorBidi" w:cstheme="majorBidi"/>
                <w:b/>
                <w:bCs/>
                <w:sz w:val="24"/>
                <w:szCs w:val="24"/>
              </w:rPr>
              <w:t>Selected preoperative sonographic and biochemical features</w:t>
            </w:r>
          </w:p>
        </w:tc>
      </w:tr>
      <w:tr w:rsidR="006D79E4" w:rsidRPr="006D79E4" w14:paraId="2A1AD912" w14:textId="77777777" w:rsidTr="00715C6E">
        <w:trPr>
          <w:trHeight w:val="687"/>
        </w:trPr>
        <w:tc>
          <w:tcPr>
            <w:tcW w:w="2335" w:type="dxa"/>
            <w:gridSpan w:val="2"/>
            <w:vMerge/>
            <w:tcBorders>
              <w:top w:val="single" w:sz="4" w:space="0" w:color="auto"/>
              <w:left w:val="single" w:sz="4" w:space="0" w:color="auto"/>
              <w:bottom w:val="single" w:sz="4" w:space="0" w:color="auto"/>
              <w:right w:val="single" w:sz="4" w:space="0" w:color="auto"/>
            </w:tcBorders>
            <w:vAlign w:val="center"/>
            <w:hideMark/>
          </w:tcPr>
          <w:p w14:paraId="1DF51BCB" w14:textId="77777777" w:rsidR="008A2355" w:rsidRPr="006D79E4" w:rsidRDefault="008A2355" w:rsidP="00CD5D66">
            <w:pPr>
              <w:bidi w:val="0"/>
              <w:spacing w:after="0" w:line="360" w:lineRule="auto"/>
              <w:rPr>
                <w:rFonts w:asciiTheme="majorBidi" w:hAnsiTheme="majorBidi" w:cstheme="majorBid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5F380573"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Age</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335EA4B"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Female gender</w:t>
            </w:r>
          </w:p>
        </w:tc>
        <w:tc>
          <w:tcPr>
            <w:tcW w:w="1378" w:type="dxa"/>
            <w:tcBorders>
              <w:top w:val="single" w:sz="4" w:space="0" w:color="auto"/>
              <w:left w:val="single" w:sz="4" w:space="0" w:color="auto"/>
              <w:bottom w:val="single" w:sz="4" w:space="0" w:color="auto"/>
              <w:right w:val="single" w:sz="4" w:space="0" w:color="auto"/>
            </w:tcBorders>
            <w:vAlign w:val="center"/>
            <w:hideMark/>
          </w:tcPr>
          <w:p w14:paraId="4669E6BC"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Maximal nodule size</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7C58992"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Last Preoperative serum Tg</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03B9DA0"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Last Preoperative serum TSH</w:t>
            </w:r>
          </w:p>
        </w:tc>
      </w:tr>
      <w:tr w:rsidR="006D79E4" w:rsidRPr="006D79E4" w14:paraId="4FE4A487" w14:textId="77777777" w:rsidTr="00715C6E">
        <w:trPr>
          <w:trHeight w:val="390"/>
        </w:trPr>
        <w:tc>
          <w:tcPr>
            <w:tcW w:w="990" w:type="dxa"/>
            <w:tcBorders>
              <w:top w:val="single" w:sz="4" w:space="0" w:color="auto"/>
              <w:left w:val="single" w:sz="4" w:space="0" w:color="auto"/>
              <w:right w:val="single" w:sz="4" w:space="0" w:color="auto"/>
            </w:tcBorders>
          </w:tcPr>
          <w:p w14:paraId="63064820" w14:textId="77777777" w:rsidR="008A2355" w:rsidRPr="006D79E4" w:rsidRDefault="008A2355" w:rsidP="00CD5D66">
            <w:pPr>
              <w:bidi w:val="0"/>
              <w:spacing w:line="360" w:lineRule="auto"/>
              <w:rPr>
                <w:rFonts w:asciiTheme="majorBidi" w:hAnsiTheme="majorBidi" w:cstheme="majorBidi"/>
                <w:b/>
                <w:bCs/>
                <w:sz w:val="24"/>
                <w:szCs w:val="24"/>
              </w:rPr>
            </w:pPr>
            <w:r w:rsidRPr="006D79E4">
              <w:rPr>
                <w:rFonts w:asciiTheme="majorBidi" w:hAnsiTheme="majorBidi" w:cstheme="majorBidi"/>
                <w:b/>
                <w:bCs/>
                <w:sz w:val="24"/>
                <w:szCs w:val="24"/>
              </w:rPr>
              <w:t>Benign MNG</w:t>
            </w:r>
          </w:p>
        </w:tc>
        <w:tc>
          <w:tcPr>
            <w:tcW w:w="1345" w:type="dxa"/>
            <w:tcBorders>
              <w:top w:val="single" w:sz="4" w:space="0" w:color="auto"/>
              <w:left w:val="single" w:sz="4" w:space="0" w:color="auto"/>
              <w:bottom w:val="single" w:sz="4" w:space="0" w:color="auto"/>
              <w:right w:val="single" w:sz="4" w:space="0" w:color="auto"/>
            </w:tcBorders>
          </w:tcPr>
          <w:p w14:paraId="0309E37F" w14:textId="77777777" w:rsidR="008A2355" w:rsidRPr="006D79E4" w:rsidRDefault="008A2355" w:rsidP="00CD5D66">
            <w:pPr>
              <w:bidi w:val="0"/>
              <w:spacing w:line="360" w:lineRule="auto"/>
              <w:rPr>
                <w:rFonts w:asciiTheme="majorBidi" w:hAnsiTheme="majorBidi" w:cstheme="majorBidi"/>
                <w:sz w:val="24"/>
                <w:szCs w:val="24"/>
              </w:rPr>
            </w:pPr>
            <w:r w:rsidRPr="006D79E4">
              <w:rPr>
                <w:rFonts w:asciiTheme="majorBidi" w:hAnsiTheme="majorBidi" w:cstheme="majorBidi"/>
                <w:sz w:val="24"/>
                <w:szCs w:val="24"/>
              </w:rPr>
              <w:t>Odds ratio; 95% CI</w:t>
            </w:r>
          </w:p>
        </w:tc>
        <w:tc>
          <w:tcPr>
            <w:tcW w:w="1350" w:type="dxa"/>
            <w:tcBorders>
              <w:top w:val="single" w:sz="4" w:space="0" w:color="auto"/>
              <w:left w:val="single" w:sz="4" w:space="0" w:color="auto"/>
              <w:bottom w:val="single" w:sz="4" w:space="0" w:color="auto"/>
              <w:right w:val="single" w:sz="4" w:space="0" w:color="auto"/>
            </w:tcBorders>
          </w:tcPr>
          <w:p w14:paraId="2D6939E2"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1.03; 0.99-1.07</w:t>
            </w:r>
          </w:p>
        </w:tc>
        <w:tc>
          <w:tcPr>
            <w:tcW w:w="1322" w:type="dxa"/>
            <w:tcBorders>
              <w:top w:val="single" w:sz="4" w:space="0" w:color="auto"/>
              <w:left w:val="single" w:sz="4" w:space="0" w:color="auto"/>
              <w:bottom w:val="single" w:sz="4" w:space="0" w:color="auto"/>
              <w:right w:val="single" w:sz="4" w:space="0" w:color="auto"/>
            </w:tcBorders>
          </w:tcPr>
          <w:p w14:paraId="38DE562A"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3.64; 0.42-31</w:t>
            </w:r>
          </w:p>
        </w:tc>
        <w:tc>
          <w:tcPr>
            <w:tcW w:w="1378" w:type="dxa"/>
            <w:tcBorders>
              <w:top w:val="single" w:sz="4" w:space="0" w:color="auto"/>
              <w:left w:val="single" w:sz="4" w:space="0" w:color="auto"/>
              <w:bottom w:val="single" w:sz="4" w:space="0" w:color="auto"/>
              <w:right w:val="single" w:sz="4" w:space="0" w:color="auto"/>
            </w:tcBorders>
          </w:tcPr>
          <w:p w14:paraId="449C698A"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0.79; 0.56-1.13</w:t>
            </w:r>
          </w:p>
        </w:tc>
        <w:tc>
          <w:tcPr>
            <w:tcW w:w="1508" w:type="dxa"/>
            <w:tcBorders>
              <w:top w:val="single" w:sz="4" w:space="0" w:color="auto"/>
              <w:left w:val="single" w:sz="4" w:space="0" w:color="auto"/>
              <w:bottom w:val="single" w:sz="4" w:space="0" w:color="auto"/>
              <w:right w:val="single" w:sz="4" w:space="0" w:color="auto"/>
            </w:tcBorders>
          </w:tcPr>
          <w:p w14:paraId="3F89BCA2"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1; 0.99-1</w:t>
            </w:r>
          </w:p>
        </w:tc>
        <w:tc>
          <w:tcPr>
            <w:tcW w:w="1463" w:type="dxa"/>
            <w:tcBorders>
              <w:top w:val="single" w:sz="4" w:space="0" w:color="auto"/>
              <w:left w:val="single" w:sz="4" w:space="0" w:color="auto"/>
              <w:bottom w:val="single" w:sz="4" w:space="0" w:color="auto"/>
              <w:right w:val="single" w:sz="4" w:space="0" w:color="auto"/>
            </w:tcBorders>
          </w:tcPr>
          <w:p w14:paraId="2216631A"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0.71; 0.43-1.17</w:t>
            </w:r>
          </w:p>
        </w:tc>
      </w:tr>
      <w:tr w:rsidR="006D79E4" w:rsidRPr="006D79E4" w14:paraId="55DE5E15" w14:textId="77777777" w:rsidTr="00715C6E">
        <w:trPr>
          <w:trHeight w:val="390"/>
        </w:trPr>
        <w:tc>
          <w:tcPr>
            <w:tcW w:w="990" w:type="dxa"/>
            <w:tcBorders>
              <w:top w:val="single" w:sz="4" w:space="0" w:color="auto"/>
              <w:left w:val="single" w:sz="4" w:space="0" w:color="auto"/>
              <w:bottom w:val="single" w:sz="4" w:space="0" w:color="auto"/>
              <w:right w:val="single" w:sz="4" w:space="0" w:color="auto"/>
            </w:tcBorders>
            <w:hideMark/>
          </w:tcPr>
          <w:p w14:paraId="11889ED8" w14:textId="77777777" w:rsidR="008A2355" w:rsidRPr="006D79E4" w:rsidRDefault="008A2355" w:rsidP="00CD5D66">
            <w:pPr>
              <w:bidi w:val="0"/>
              <w:spacing w:line="360" w:lineRule="auto"/>
              <w:rPr>
                <w:rFonts w:asciiTheme="majorBidi" w:hAnsiTheme="majorBidi" w:cstheme="majorBidi"/>
                <w:b/>
                <w:bCs/>
                <w:sz w:val="24"/>
                <w:szCs w:val="24"/>
              </w:rPr>
            </w:pPr>
            <w:r w:rsidRPr="006D79E4">
              <w:rPr>
                <w:rFonts w:asciiTheme="majorBidi" w:hAnsiTheme="majorBidi" w:cstheme="majorBidi" w:hint="cs"/>
                <w:b/>
                <w:bCs/>
                <w:sz w:val="24"/>
                <w:szCs w:val="24"/>
              </w:rPr>
              <w:t>INC</w:t>
            </w:r>
          </w:p>
          <w:p w14:paraId="4142891A" w14:textId="77777777" w:rsidR="008A2355" w:rsidRPr="006D79E4" w:rsidRDefault="008A2355" w:rsidP="00CD5D66">
            <w:pPr>
              <w:bidi w:val="0"/>
              <w:spacing w:line="360" w:lineRule="auto"/>
              <w:rPr>
                <w:rFonts w:asciiTheme="majorBidi" w:hAnsiTheme="majorBidi" w:cstheme="majorBidi"/>
                <w:b/>
                <w:bCs/>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14:paraId="309292F9" w14:textId="77777777" w:rsidR="008A2355" w:rsidRPr="006D79E4" w:rsidRDefault="008A2355" w:rsidP="00CD5D66">
            <w:pPr>
              <w:bidi w:val="0"/>
              <w:spacing w:line="360" w:lineRule="auto"/>
              <w:rPr>
                <w:rFonts w:asciiTheme="majorBidi" w:hAnsiTheme="majorBidi" w:cstheme="majorBidi"/>
                <w:sz w:val="24"/>
                <w:szCs w:val="24"/>
              </w:rPr>
            </w:pPr>
            <w:r w:rsidRPr="006D79E4">
              <w:rPr>
                <w:rFonts w:asciiTheme="majorBidi" w:hAnsiTheme="majorBidi" w:cstheme="majorBidi"/>
                <w:sz w:val="24"/>
                <w:szCs w:val="24"/>
              </w:rPr>
              <w:t>Odds ratio; 95% CI</w:t>
            </w:r>
          </w:p>
        </w:tc>
        <w:tc>
          <w:tcPr>
            <w:tcW w:w="1350" w:type="dxa"/>
            <w:tcBorders>
              <w:top w:val="single" w:sz="4" w:space="0" w:color="auto"/>
              <w:left w:val="single" w:sz="4" w:space="0" w:color="auto"/>
              <w:bottom w:val="single" w:sz="4" w:space="0" w:color="auto"/>
              <w:right w:val="single" w:sz="4" w:space="0" w:color="auto"/>
            </w:tcBorders>
            <w:hideMark/>
          </w:tcPr>
          <w:p w14:paraId="021D1CD9"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0.99; 0.95-1.02</w:t>
            </w:r>
          </w:p>
        </w:tc>
        <w:tc>
          <w:tcPr>
            <w:tcW w:w="1322" w:type="dxa"/>
            <w:tcBorders>
              <w:top w:val="single" w:sz="4" w:space="0" w:color="auto"/>
              <w:left w:val="single" w:sz="4" w:space="0" w:color="auto"/>
              <w:bottom w:val="single" w:sz="4" w:space="0" w:color="auto"/>
              <w:right w:val="single" w:sz="4" w:space="0" w:color="auto"/>
            </w:tcBorders>
            <w:hideMark/>
          </w:tcPr>
          <w:p w14:paraId="31E861C3"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0.67; 0.23-1.97</w:t>
            </w:r>
          </w:p>
        </w:tc>
        <w:tc>
          <w:tcPr>
            <w:tcW w:w="1378" w:type="dxa"/>
            <w:tcBorders>
              <w:top w:val="single" w:sz="4" w:space="0" w:color="auto"/>
              <w:left w:val="single" w:sz="4" w:space="0" w:color="auto"/>
              <w:bottom w:val="single" w:sz="4" w:space="0" w:color="auto"/>
              <w:right w:val="single" w:sz="4" w:space="0" w:color="auto"/>
            </w:tcBorders>
            <w:hideMark/>
          </w:tcPr>
          <w:p w14:paraId="3AFB40C5"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0.91; 0.69-1.21</w:t>
            </w:r>
          </w:p>
        </w:tc>
        <w:tc>
          <w:tcPr>
            <w:tcW w:w="1508" w:type="dxa"/>
            <w:tcBorders>
              <w:top w:val="single" w:sz="4" w:space="0" w:color="auto"/>
              <w:left w:val="single" w:sz="4" w:space="0" w:color="auto"/>
              <w:bottom w:val="single" w:sz="4" w:space="0" w:color="auto"/>
              <w:right w:val="single" w:sz="4" w:space="0" w:color="auto"/>
            </w:tcBorders>
            <w:hideMark/>
          </w:tcPr>
          <w:p w14:paraId="53F0A89F"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1; 0.99-1</w:t>
            </w:r>
          </w:p>
        </w:tc>
        <w:tc>
          <w:tcPr>
            <w:tcW w:w="1463" w:type="dxa"/>
            <w:tcBorders>
              <w:top w:val="single" w:sz="4" w:space="0" w:color="auto"/>
              <w:left w:val="single" w:sz="4" w:space="0" w:color="auto"/>
              <w:bottom w:val="single" w:sz="4" w:space="0" w:color="auto"/>
              <w:right w:val="single" w:sz="4" w:space="0" w:color="auto"/>
            </w:tcBorders>
            <w:hideMark/>
          </w:tcPr>
          <w:p w14:paraId="5281BA8C" w14:textId="77777777" w:rsidR="008A2355" w:rsidRPr="006D79E4" w:rsidRDefault="008A2355" w:rsidP="00CD5D66">
            <w:pPr>
              <w:bidi w:val="0"/>
              <w:spacing w:line="360" w:lineRule="auto"/>
              <w:jc w:val="center"/>
              <w:rPr>
                <w:rFonts w:asciiTheme="majorBidi" w:hAnsiTheme="majorBidi" w:cstheme="majorBidi"/>
                <w:sz w:val="24"/>
                <w:szCs w:val="24"/>
              </w:rPr>
            </w:pPr>
            <w:r w:rsidRPr="006D79E4">
              <w:rPr>
                <w:rFonts w:asciiTheme="majorBidi" w:hAnsiTheme="majorBidi" w:cstheme="majorBidi"/>
                <w:sz w:val="24"/>
                <w:szCs w:val="24"/>
              </w:rPr>
              <w:t>1.14; 0.68-1.92</w:t>
            </w:r>
          </w:p>
        </w:tc>
      </w:tr>
      <w:tr w:rsidR="006D79E4" w:rsidRPr="006D79E4" w14:paraId="0830C4FF" w14:textId="77777777" w:rsidTr="00715C6E">
        <w:trPr>
          <w:trHeight w:val="390"/>
        </w:trPr>
        <w:tc>
          <w:tcPr>
            <w:tcW w:w="9356" w:type="dxa"/>
            <w:gridSpan w:val="7"/>
            <w:tcBorders>
              <w:top w:val="single" w:sz="4" w:space="0" w:color="auto"/>
              <w:left w:val="single" w:sz="4" w:space="0" w:color="auto"/>
              <w:bottom w:val="single" w:sz="4" w:space="0" w:color="auto"/>
              <w:right w:val="single" w:sz="4" w:space="0" w:color="auto"/>
            </w:tcBorders>
          </w:tcPr>
          <w:p w14:paraId="4ECC2192" w14:textId="2DBF640A" w:rsidR="008A2355" w:rsidRPr="006D79E4" w:rsidRDefault="008A2355" w:rsidP="00831023">
            <w:pPr>
              <w:bidi w:val="0"/>
              <w:spacing w:line="360" w:lineRule="auto"/>
              <w:jc w:val="both"/>
              <w:rPr>
                <w:rFonts w:asciiTheme="majorBidi" w:hAnsiTheme="majorBidi" w:cstheme="majorBidi"/>
                <w:sz w:val="24"/>
                <w:szCs w:val="24"/>
              </w:rPr>
            </w:pPr>
            <w:bookmarkStart w:id="6" w:name="_Hlk94380139"/>
            <w:r w:rsidRPr="00F00BC5">
              <w:rPr>
                <w:rFonts w:asciiTheme="majorBidi" w:eastAsia="Times New Roman" w:hAnsiTheme="majorBidi" w:cstheme="majorBidi"/>
                <w:b/>
                <w:bCs/>
                <w:sz w:val="20"/>
                <w:szCs w:val="20"/>
              </w:rPr>
              <w:t>Abbreviations:</w:t>
            </w:r>
            <w:r w:rsidRPr="00F00BC5">
              <w:rPr>
                <w:rFonts w:asciiTheme="majorBidi" w:eastAsia="Times New Roman" w:hAnsiTheme="majorBidi" w:cstheme="majorBidi"/>
                <w:sz w:val="20"/>
                <w:szCs w:val="20"/>
              </w:rPr>
              <w:t xml:space="preserve"> </w:t>
            </w:r>
            <w:bookmarkStart w:id="7" w:name="_Hlk94380106"/>
            <w:bookmarkEnd w:id="6"/>
            <w:r w:rsidRPr="00F00BC5">
              <w:rPr>
                <w:rFonts w:asciiTheme="majorBidi" w:eastAsia="Times New Roman" w:hAnsiTheme="majorBidi" w:cstheme="majorBidi"/>
                <w:sz w:val="20"/>
                <w:szCs w:val="20"/>
              </w:rPr>
              <w:t xml:space="preserve">DTC- </w:t>
            </w:r>
            <w:r w:rsidRPr="006D79E4">
              <w:rPr>
                <w:rFonts w:asciiTheme="majorBidi" w:hAnsiTheme="majorBidi" w:cstheme="majorBidi"/>
                <w:sz w:val="20"/>
                <w:szCs w:val="20"/>
              </w:rPr>
              <w:t>differentiated</w:t>
            </w:r>
            <w:r w:rsidRPr="00F00BC5">
              <w:rPr>
                <w:rFonts w:asciiTheme="majorBidi" w:eastAsia="Times New Roman" w:hAnsiTheme="majorBidi" w:cstheme="majorBidi"/>
                <w:sz w:val="18"/>
                <w:szCs w:val="18"/>
              </w:rPr>
              <w:t xml:space="preserve"> </w:t>
            </w:r>
            <w:r w:rsidRPr="00F00BC5">
              <w:rPr>
                <w:rFonts w:asciiTheme="majorBidi" w:eastAsia="Times New Roman" w:hAnsiTheme="majorBidi" w:cstheme="majorBidi"/>
                <w:sz w:val="20"/>
                <w:szCs w:val="20"/>
              </w:rPr>
              <w:t>thyroid carcinoma, MNG- multinodular goiter, INC- indeterminate</w:t>
            </w:r>
            <w:r w:rsidRPr="006D79E4">
              <w:rPr>
                <w:rFonts w:asciiTheme="majorBidi" w:hAnsiTheme="majorBidi" w:cstheme="majorBidi"/>
                <w:sz w:val="20"/>
                <w:szCs w:val="20"/>
              </w:rPr>
              <w:t xml:space="preserve"> cytology, Tg- thyroglobulin, TSH-</w:t>
            </w:r>
            <w:r w:rsidRPr="006D79E4">
              <w:t xml:space="preserve"> </w:t>
            </w:r>
            <w:r w:rsidRPr="006D79E4">
              <w:rPr>
                <w:rFonts w:asciiTheme="majorBidi" w:hAnsiTheme="majorBidi" w:cstheme="majorBidi"/>
                <w:sz w:val="20"/>
                <w:szCs w:val="20"/>
              </w:rPr>
              <w:t>thyroid-stimulating hormone.</w:t>
            </w:r>
            <w:bookmarkEnd w:id="7"/>
          </w:p>
        </w:tc>
      </w:tr>
    </w:tbl>
    <w:p w14:paraId="777A6BE3" w14:textId="77777777" w:rsidR="008A2355" w:rsidRPr="00F00BC5" w:rsidRDefault="008A2355" w:rsidP="008A2355">
      <w:pPr>
        <w:bidi w:val="0"/>
        <w:spacing w:line="360" w:lineRule="auto"/>
        <w:jc w:val="both"/>
        <w:rPr>
          <w:rFonts w:asciiTheme="majorBidi" w:eastAsia="Times New Roman" w:hAnsiTheme="majorBidi" w:cstheme="majorBidi"/>
          <w:b/>
          <w:bCs/>
          <w:sz w:val="24"/>
          <w:szCs w:val="24"/>
        </w:rPr>
      </w:pPr>
    </w:p>
    <w:p w14:paraId="329FDCC3" w14:textId="39E4F889" w:rsidR="00856D6A" w:rsidRPr="00F00BC5" w:rsidRDefault="00856D6A" w:rsidP="00856D6A">
      <w:pPr>
        <w:bidi w:val="0"/>
        <w:spacing w:line="360" w:lineRule="auto"/>
        <w:jc w:val="both"/>
        <w:rPr>
          <w:rFonts w:asciiTheme="majorBidi" w:eastAsia="Times New Roman" w:hAnsiTheme="majorBidi" w:cstheme="majorBidi"/>
          <w:b/>
          <w:bCs/>
          <w:sz w:val="24"/>
          <w:szCs w:val="24"/>
        </w:rPr>
      </w:pPr>
    </w:p>
    <w:p w14:paraId="201F757D" w14:textId="71EB0E74" w:rsidR="00856D6A" w:rsidRPr="00F00BC5" w:rsidRDefault="00856D6A" w:rsidP="00856D6A">
      <w:pPr>
        <w:bidi w:val="0"/>
        <w:spacing w:line="360" w:lineRule="auto"/>
        <w:jc w:val="both"/>
        <w:rPr>
          <w:rFonts w:asciiTheme="majorBidi" w:eastAsia="Times New Roman" w:hAnsiTheme="majorBidi" w:cstheme="majorBidi"/>
          <w:b/>
          <w:bCs/>
          <w:sz w:val="24"/>
          <w:szCs w:val="24"/>
        </w:rPr>
      </w:pPr>
    </w:p>
    <w:p w14:paraId="6196745F" w14:textId="1A570AEC" w:rsidR="00856D6A" w:rsidRPr="00F00BC5" w:rsidRDefault="00856D6A" w:rsidP="00856D6A">
      <w:pPr>
        <w:bidi w:val="0"/>
        <w:spacing w:line="360" w:lineRule="auto"/>
        <w:jc w:val="both"/>
        <w:rPr>
          <w:rFonts w:asciiTheme="majorBidi" w:eastAsia="Times New Roman" w:hAnsiTheme="majorBidi" w:cstheme="majorBidi"/>
          <w:b/>
          <w:bCs/>
          <w:sz w:val="24"/>
          <w:szCs w:val="24"/>
        </w:rPr>
      </w:pPr>
    </w:p>
    <w:p w14:paraId="184AC545" w14:textId="3E514DBE" w:rsidR="009A0E73" w:rsidRPr="00F00BC5" w:rsidRDefault="009A0E73" w:rsidP="009A0E73">
      <w:pPr>
        <w:bidi w:val="0"/>
        <w:spacing w:line="360" w:lineRule="auto"/>
        <w:jc w:val="both"/>
        <w:rPr>
          <w:rFonts w:asciiTheme="majorBidi" w:eastAsia="Times New Roman" w:hAnsiTheme="majorBidi" w:cstheme="majorBidi"/>
          <w:b/>
          <w:bCs/>
          <w:sz w:val="24"/>
          <w:szCs w:val="24"/>
        </w:rPr>
      </w:pPr>
    </w:p>
    <w:p w14:paraId="5020554E" w14:textId="77777777" w:rsidR="009A0E73" w:rsidRPr="00F00BC5" w:rsidRDefault="009A0E73" w:rsidP="009A0E73">
      <w:pPr>
        <w:bidi w:val="0"/>
        <w:spacing w:line="360" w:lineRule="auto"/>
        <w:jc w:val="both"/>
        <w:rPr>
          <w:rFonts w:asciiTheme="majorBidi" w:eastAsia="Times New Roman" w:hAnsiTheme="majorBidi" w:cstheme="majorBidi"/>
          <w:b/>
          <w:bCs/>
          <w:sz w:val="24"/>
          <w:szCs w:val="24"/>
        </w:rPr>
      </w:pPr>
    </w:p>
    <w:p w14:paraId="698DA0B4" w14:textId="033C3F3B" w:rsidR="000F412A" w:rsidRDefault="000F412A" w:rsidP="000F412A">
      <w:pPr>
        <w:bidi w:val="0"/>
        <w:spacing w:line="360" w:lineRule="auto"/>
        <w:jc w:val="both"/>
        <w:rPr>
          <w:rFonts w:asciiTheme="majorBidi" w:eastAsia="Times New Roman" w:hAnsiTheme="majorBidi" w:cstheme="majorBidi"/>
          <w:b/>
          <w:bCs/>
          <w:sz w:val="24"/>
          <w:szCs w:val="24"/>
        </w:rPr>
      </w:pPr>
    </w:p>
    <w:p w14:paraId="39525ED9" w14:textId="280D8F51" w:rsidR="000F412A" w:rsidRDefault="000F412A" w:rsidP="000F412A">
      <w:pPr>
        <w:bidi w:val="0"/>
        <w:spacing w:line="360" w:lineRule="auto"/>
        <w:jc w:val="both"/>
        <w:rPr>
          <w:rFonts w:asciiTheme="majorBidi" w:eastAsia="Times New Roman" w:hAnsiTheme="majorBidi" w:cstheme="majorBidi"/>
          <w:b/>
          <w:bCs/>
          <w:sz w:val="24"/>
          <w:szCs w:val="24"/>
        </w:rPr>
      </w:pPr>
    </w:p>
    <w:p w14:paraId="2B3FD0CC" w14:textId="4A39E8B1" w:rsidR="000F412A" w:rsidRDefault="000F412A" w:rsidP="000F412A">
      <w:pPr>
        <w:bidi w:val="0"/>
        <w:spacing w:line="360" w:lineRule="auto"/>
        <w:jc w:val="both"/>
        <w:rPr>
          <w:rFonts w:asciiTheme="majorBidi" w:eastAsia="Times New Roman" w:hAnsiTheme="majorBidi" w:cstheme="majorBidi"/>
          <w:b/>
          <w:bCs/>
          <w:sz w:val="24"/>
          <w:szCs w:val="24"/>
        </w:rPr>
      </w:pPr>
    </w:p>
    <w:p w14:paraId="2AA0AC30" w14:textId="77777777" w:rsidR="000F412A" w:rsidRDefault="000F412A" w:rsidP="000F412A">
      <w:pPr>
        <w:bidi w:val="0"/>
        <w:spacing w:line="360" w:lineRule="auto"/>
        <w:jc w:val="both"/>
        <w:rPr>
          <w:rFonts w:asciiTheme="majorBidi" w:eastAsia="Times New Roman" w:hAnsiTheme="majorBidi" w:cstheme="majorBidi"/>
          <w:b/>
          <w:bCs/>
          <w:sz w:val="24"/>
          <w:szCs w:val="24"/>
        </w:rPr>
      </w:pPr>
    </w:p>
    <w:p w14:paraId="7A869E40" w14:textId="7AB6F6C6" w:rsidR="00220243" w:rsidRDefault="00220243" w:rsidP="00220243">
      <w:pPr>
        <w:bidi w:val="0"/>
        <w:spacing w:line="360" w:lineRule="auto"/>
        <w:jc w:val="both"/>
        <w:rPr>
          <w:rFonts w:asciiTheme="majorBidi" w:eastAsia="Times New Roman" w:hAnsiTheme="majorBidi" w:cstheme="majorBidi"/>
          <w:b/>
          <w:bCs/>
          <w:sz w:val="24"/>
          <w:szCs w:val="24"/>
        </w:rPr>
      </w:pPr>
    </w:p>
    <w:p w14:paraId="436BB007" w14:textId="435D978C" w:rsidR="00220243" w:rsidRPr="00F00BC5" w:rsidRDefault="00220243" w:rsidP="00220243">
      <w:pPr>
        <w:bidi w:val="0"/>
        <w:spacing w:line="360" w:lineRule="auto"/>
        <w:jc w:val="both"/>
        <w:rPr>
          <w:rFonts w:asciiTheme="majorBidi" w:eastAsia="Times New Roman" w:hAnsiTheme="majorBidi" w:cstheme="majorBidi"/>
          <w:b/>
          <w:bCs/>
          <w:sz w:val="24"/>
          <w:szCs w:val="24"/>
        </w:rPr>
      </w:pPr>
    </w:p>
    <w:p w14:paraId="7046DD26" w14:textId="49C35229" w:rsidR="0045758B" w:rsidRPr="00F00BC5" w:rsidRDefault="0089768D" w:rsidP="0045758B">
      <w:pPr>
        <w:bidi w:val="0"/>
        <w:spacing w:line="360" w:lineRule="auto"/>
        <w:jc w:val="both"/>
        <w:rPr>
          <w:rFonts w:asciiTheme="majorBidi" w:eastAsia="Times New Roman" w:hAnsiTheme="majorBidi" w:cstheme="majorBidi"/>
          <w:b/>
          <w:bCs/>
          <w:sz w:val="24"/>
          <w:szCs w:val="24"/>
        </w:rPr>
      </w:pPr>
      <w:r>
        <w:rPr>
          <w:noProof/>
        </w:rPr>
        <mc:AlternateContent>
          <mc:Choice Requires="wpg">
            <w:drawing>
              <wp:anchor distT="0" distB="0" distL="114300" distR="114300" simplePos="0" relativeHeight="251673600" behindDoc="0" locked="0" layoutInCell="1" allowOverlap="1" wp14:anchorId="7A6A5EB9" wp14:editId="715A7058">
                <wp:simplePos x="0" y="0"/>
                <wp:positionH relativeFrom="margin">
                  <wp:align>left</wp:align>
                </wp:positionH>
                <wp:positionV relativeFrom="paragraph">
                  <wp:posOffset>241950</wp:posOffset>
                </wp:positionV>
                <wp:extent cx="5339715" cy="5719223"/>
                <wp:effectExtent l="0" t="0" r="0" b="0"/>
                <wp:wrapNone/>
                <wp:docPr id="52" name="Group 52"/>
                <wp:cNvGraphicFramePr/>
                <a:graphic xmlns:a="http://schemas.openxmlformats.org/drawingml/2006/main">
                  <a:graphicData uri="http://schemas.microsoft.com/office/word/2010/wordprocessingGroup">
                    <wpg:wgp>
                      <wpg:cNvGrpSpPr/>
                      <wpg:grpSpPr>
                        <a:xfrm>
                          <a:off x="0" y="0"/>
                          <a:ext cx="5339715" cy="5719223"/>
                          <a:chOff x="0" y="0"/>
                          <a:chExt cx="5339715" cy="5719223"/>
                        </a:xfrm>
                      </wpg:grpSpPr>
                      <pic:pic xmlns:pic="http://schemas.openxmlformats.org/drawingml/2006/picture">
                        <pic:nvPicPr>
                          <pic:cNvPr id="14" name="Picture 16" descr="Chart, line char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l="24062" t="6361" r="23357" b="5556"/>
                          <a:stretch>
                            <a:fillRect/>
                          </a:stretch>
                        </pic:blipFill>
                        <pic:spPr bwMode="auto">
                          <a:xfrm>
                            <a:off x="148856" y="233916"/>
                            <a:ext cx="2706370" cy="2637790"/>
                          </a:xfrm>
                          <a:prstGeom prst="rect">
                            <a:avLst/>
                          </a:prstGeom>
                          <a:noFill/>
                        </pic:spPr>
                      </pic:pic>
                      <wps:wsp>
                        <wps:cNvPr id="2" name="Text Box 2"/>
                        <wps:cNvSpPr txBox="1">
                          <a:spLocks/>
                        </wps:cNvSpPr>
                        <wps:spPr>
                          <a:xfrm>
                            <a:off x="1073888" y="0"/>
                            <a:ext cx="952500" cy="257175"/>
                          </a:xfrm>
                          <a:prstGeom prst="rect">
                            <a:avLst/>
                          </a:prstGeom>
                          <a:noFill/>
                          <a:ln w="6350">
                            <a:noFill/>
                          </a:ln>
                        </wps:spPr>
                        <wps:txbx>
                          <w:txbxContent>
                            <w:p w14:paraId="4B329D0C" w14:textId="088D233C" w:rsidR="00C04E8A" w:rsidRDefault="00D1516E" w:rsidP="00C04E8A">
                              <w:pPr>
                                <w:jc w:val="center"/>
                              </w:pPr>
                              <w:r>
                                <w:rPr>
                                  <w:rFonts w:asciiTheme="majorBidi" w:hAnsiTheme="majorBidi" w:cstheme="majorBidi"/>
                                </w:rPr>
                                <w:t>Entire cohort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a:grpSpLocks/>
                        </wpg:cNvGrpSpPr>
                        <wpg:grpSpPr bwMode="auto">
                          <a:xfrm>
                            <a:off x="0" y="180753"/>
                            <a:ext cx="5339715" cy="5538470"/>
                            <a:chOff x="1066" y="1435"/>
                            <a:chExt cx="8409" cy="8722"/>
                          </a:xfrm>
                        </wpg:grpSpPr>
                        <wpg:grpSp>
                          <wpg:cNvPr id="8" name="Group 3"/>
                          <wpg:cNvGrpSpPr>
                            <a:grpSpLocks/>
                          </wpg:cNvGrpSpPr>
                          <wpg:grpSpPr bwMode="auto">
                            <a:xfrm>
                              <a:off x="1066" y="5391"/>
                              <a:ext cx="8409" cy="4766"/>
                              <a:chOff x="957" y="25063"/>
                              <a:chExt cx="53399" cy="30230"/>
                            </a:xfrm>
                          </wpg:grpSpPr>
                          <pic:pic xmlns:pic="http://schemas.openxmlformats.org/drawingml/2006/picture">
                            <pic:nvPicPr>
                              <pic:cNvPr id="9" name="Picture 1" descr="Chart, line chart&#10;&#10;Description automatically generated"/>
                              <pic:cNvPicPr>
                                <a:picLocks noChangeAspect="1" noChangeArrowheads="1"/>
                              </pic:cNvPicPr>
                            </pic:nvPicPr>
                            <pic:blipFill>
                              <a:blip r:embed="rId10"/>
                              <a:srcRect l="22887" t="6419" r="22066"/>
                              <a:stretch>
                                <a:fillRect/>
                              </a:stretch>
                            </pic:blipFill>
                            <pic:spPr bwMode="auto">
                              <a:xfrm>
                                <a:off x="29241" y="28916"/>
                                <a:ext cx="25115" cy="26377"/>
                              </a:xfrm>
                              <a:prstGeom prst="rect">
                                <a:avLst/>
                              </a:prstGeom>
                              <a:noFill/>
                              <a:ln>
                                <a:noFill/>
                              </a:ln>
                            </pic:spPr>
                          </pic:pic>
                          <wps:wsp>
                            <wps:cNvPr id="10" name="Text Box 2"/>
                            <wps:cNvSpPr txBox="1">
                              <a:spLocks noChangeArrowheads="1"/>
                            </wps:cNvSpPr>
                            <wps:spPr bwMode="auto">
                              <a:xfrm>
                                <a:off x="957" y="25063"/>
                                <a:ext cx="5143" cy="6381"/>
                              </a:xfrm>
                              <a:prstGeom prst="rect">
                                <a:avLst/>
                              </a:prstGeom>
                              <a:noFill/>
                              <a:ln>
                                <a:noFill/>
                              </a:ln>
                            </wps:spPr>
                            <wps:txbx>
                              <w:txbxContent>
                                <w:p w14:paraId="5E0985F5" w14:textId="212D37A5" w:rsidR="00412399" w:rsidRPr="002C6B24" w:rsidRDefault="00FD2777" w:rsidP="00412399">
                                  <w:pPr>
                                    <w:jc w:val="center"/>
                                    <w:rPr>
                                      <w:noProof/>
                                      <w:color w:val="000000" w:themeColor="text1"/>
                                      <w:sz w:val="36"/>
                                      <w:szCs w:val="36"/>
                                    </w:rPr>
                                  </w:pPr>
                                  <w:r>
                                    <w:rPr>
                                      <w:noProof/>
                                      <w:color w:val="000000" w:themeColor="text1"/>
                                      <w:sz w:val="36"/>
                                      <w:szCs w:val="36"/>
                                    </w:rPr>
                                    <w:t>B</w:t>
                                  </w:r>
                                </w:p>
                              </w:txbxContent>
                            </wps:txbx>
                            <wps:bodyPr rot="0" vert="horz" wrap="square" lIns="91440" tIns="45720" rIns="91440" bIns="45720" anchor="t" anchorCtr="0" upright="1">
                              <a:noAutofit/>
                            </wps:bodyPr>
                          </wps:wsp>
                        </wpg:grpSp>
                        <wps:wsp>
                          <wps:cNvPr id="11" name="Text Box 2"/>
                          <wps:cNvSpPr txBox="1">
                            <a:spLocks noChangeArrowheads="1"/>
                          </wps:cNvSpPr>
                          <wps:spPr bwMode="auto">
                            <a:xfrm>
                              <a:off x="5632" y="1435"/>
                              <a:ext cx="3810" cy="2970"/>
                            </a:xfrm>
                            <a:prstGeom prst="rect">
                              <a:avLst/>
                            </a:prstGeom>
                            <a:solidFill>
                              <a:srgbClr val="FFFFFF"/>
                            </a:solidFill>
                            <a:ln>
                              <a:noFill/>
                            </a:ln>
                          </wps:spPr>
                          <wps:txbx>
                            <w:txbxContent>
                              <w:p w14:paraId="1197D617" w14:textId="1B9443AE" w:rsidR="00412399" w:rsidRPr="006D79E4" w:rsidRDefault="00C04E8A" w:rsidP="00412399">
                                <w:pPr>
                                  <w:bidi w:val="0"/>
                                  <w:rPr>
                                    <w:rFonts w:asciiTheme="majorBidi" w:hAnsiTheme="majorBidi" w:cstheme="majorBidi"/>
                                  </w:rPr>
                                </w:pPr>
                                <w:bookmarkStart w:id="8" w:name="_Hlk86479876"/>
                                <w:bookmarkStart w:id="9" w:name="_Hlk86479877"/>
                                <w:r w:rsidRPr="00F00BC5">
                                  <w:rPr>
                                    <w:rFonts w:asciiTheme="majorBidi" w:hAnsiTheme="majorBidi" w:cstheme="majorBidi"/>
                                    <w:b/>
                                    <w:bCs/>
                                  </w:rPr>
                                  <w:t xml:space="preserve">Figure </w:t>
                                </w:r>
                                <w:r w:rsidR="00220243">
                                  <w:rPr>
                                    <w:rFonts w:asciiTheme="majorBidi" w:hAnsiTheme="majorBidi" w:cstheme="majorBidi"/>
                                    <w:b/>
                                    <w:bCs/>
                                  </w:rPr>
                                  <w:t>2</w:t>
                                </w:r>
                                <w:r w:rsidRPr="006D79E4">
                                  <w:rPr>
                                    <w:rFonts w:asciiTheme="majorBidi" w:hAnsiTheme="majorBidi" w:cstheme="majorBidi"/>
                                  </w:rPr>
                                  <w:t xml:space="preserve">. ROC curve of preoperative Tg concentration as a predictor of final diagnosis of </w:t>
                                </w:r>
                                <w:r w:rsidRPr="006D79E4">
                                  <w:rPr>
                                    <w:rFonts w:asciiTheme="majorBidi" w:hAnsiTheme="majorBidi" w:cstheme="majorBidi"/>
                                    <w:sz w:val="24"/>
                                    <w:szCs w:val="24"/>
                                  </w:rPr>
                                  <w:t>differentiated thyroid cancer</w:t>
                                </w:r>
                                <w:r w:rsidRPr="006D79E4">
                                  <w:rPr>
                                    <w:rFonts w:asciiTheme="majorBidi" w:hAnsiTheme="majorBidi" w:cstheme="majorBidi"/>
                                  </w:rPr>
                                  <w:t xml:space="preserve"> (</w:t>
                                </w:r>
                                <w:r w:rsidRPr="006D79E4">
                                  <w:rPr>
                                    <w:rFonts w:asciiTheme="majorBidi" w:hAnsiTheme="majorBidi" w:cstheme="majorBidi" w:hint="cs"/>
                                  </w:rPr>
                                  <w:t>DTC</w:t>
                                </w:r>
                                <w:r w:rsidRPr="006D79E4">
                                  <w:rPr>
                                    <w:rFonts w:asciiTheme="majorBidi" w:hAnsiTheme="majorBidi" w:cstheme="majorBidi"/>
                                  </w:rPr>
                                  <w:t xml:space="preserve">). </w:t>
                                </w:r>
                                <w:r w:rsidR="00FD2777">
                                  <w:rPr>
                                    <w:rFonts w:asciiTheme="majorBidi" w:hAnsiTheme="majorBidi" w:cstheme="majorBidi"/>
                                  </w:rPr>
                                  <w:t>A</w:t>
                                </w:r>
                                <w:r w:rsidR="00FD2777" w:rsidRPr="006D79E4">
                                  <w:rPr>
                                    <w:rFonts w:asciiTheme="majorBidi" w:hAnsiTheme="majorBidi" w:cstheme="majorBidi"/>
                                  </w:rPr>
                                  <w:t xml:space="preserve">. </w:t>
                                </w:r>
                                <w:r w:rsidR="00FD2777">
                                  <w:rPr>
                                    <w:rFonts w:asciiTheme="majorBidi" w:hAnsiTheme="majorBidi" w:cstheme="majorBidi"/>
                                  </w:rPr>
                                  <w:t xml:space="preserve">Entire cohort. </w:t>
                                </w:r>
                                <w:r w:rsidR="00FD2777" w:rsidRPr="006D79E4">
                                  <w:rPr>
                                    <w:rFonts w:asciiTheme="majorBidi" w:hAnsiTheme="majorBidi" w:cstheme="majorBidi"/>
                                  </w:rPr>
                                  <w:t>.</w:t>
                                </w:r>
                                <w:r w:rsidR="00FD2777">
                                  <w:rPr>
                                    <w:rFonts w:asciiTheme="majorBidi" w:hAnsiTheme="majorBidi" w:cstheme="majorBidi"/>
                                  </w:rPr>
                                  <w:t>B</w:t>
                                </w:r>
                                <w:r w:rsidRPr="006D79E4">
                                  <w:rPr>
                                    <w:rFonts w:asciiTheme="majorBidi" w:hAnsiTheme="majorBidi" w:cstheme="majorBidi"/>
                                  </w:rPr>
                                  <w:t xml:space="preserve">. Patients with preoperative diagnosis of benign multinodular goiter (MNG). </w:t>
                                </w:r>
                                <w:r w:rsidR="00FD2777">
                                  <w:rPr>
                                    <w:rFonts w:asciiTheme="majorBidi" w:hAnsiTheme="majorBidi" w:cstheme="majorBidi"/>
                                  </w:rPr>
                                  <w:t>C</w:t>
                                </w:r>
                                <w:r w:rsidRPr="006D79E4">
                                  <w:rPr>
                                    <w:rFonts w:asciiTheme="majorBidi" w:hAnsiTheme="majorBidi" w:cstheme="majorBidi"/>
                                  </w:rPr>
                                  <w:t xml:space="preserve">. Patients with indeterminate cytology (Bethesda III and IV). </w:t>
                                </w:r>
                                <w:bookmarkEnd w:id="8"/>
                                <w:bookmarkEnd w:id="9"/>
                              </w:p>
                            </w:txbxContent>
                          </wps:txbx>
                          <wps:bodyPr rot="0" vert="horz" wrap="square" lIns="91440" tIns="45720" rIns="91440" bIns="45720" anchor="t" anchorCtr="0" upright="1">
                            <a:noAutofit/>
                          </wps:bodyPr>
                        </wps:wsp>
                        <pic:pic xmlns:pic="http://schemas.openxmlformats.org/drawingml/2006/picture">
                          <pic:nvPicPr>
                            <pic:cNvPr id="12" name="Picture 13" descr="Chart, line chart&#10;&#10;Description automatically generated"/>
                            <pic:cNvPicPr>
                              <a:picLocks noChangeAspect="1" noChangeArrowheads="1"/>
                            </pic:cNvPicPr>
                          </pic:nvPicPr>
                          <pic:blipFill>
                            <a:blip r:embed="rId11"/>
                            <a:srcRect l="22707" t="6438" r="21294" b="2237"/>
                            <a:stretch>
                              <a:fillRect/>
                            </a:stretch>
                          </pic:blipFill>
                          <pic:spPr bwMode="auto">
                            <a:xfrm>
                              <a:off x="1370" y="6057"/>
                              <a:ext cx="4193" cy="4043"/>
                            </a:xfrm>
                            <a:prstGeom prst="rect">
                              <a:avLst/>
                            </a:prstGeom>
                            <a:noFill/>
                            <a:ln>
                              <a:noFill/>
                            </a:ln>
                          </pic:spPr>
                        </pic:pic>
                      </wpg:grpSp>
                    </wpg:wgp>
                  </a:graphicData>
                </a:graphic>
              </wp:anchor>
            </w:drawing>
          </mc:Choice>
          <mc:Fallback>
            <w:pict>
              <v:group w14:anchorId="7A6A5EB9" id="Group 52" o:spid="_x0000_s1064" style="position:absolute;left:0;text-align:left;margin-left:0;margin-top:19.05pt;width:420.45pt;height:450.35pt;z-index:251673600;mso-position-horizontal:left;mso-position-horizontal-relative:margin" coordsize="53397,5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65" type="#_x0000_t75" alt="Chart, line chart&#10;&#10;Description automatically generated" style="position:absolute;left:1488;top:2339;width:27064;height:26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">
                  <v:imagedata r:id="rId12" o:title="Chart, line chart&#10;&#10;Description automatically generated" croptop="4169f" cropbottom="3641f" cropleft="15769f" cropright="15307f"/>
                </v:shape>
                <v:shape id="Text Box 2" o:spid="_x0000_s1066" type="#_x0000_t202" style="position:absolute;left:10738;width:952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B329D0C" w14:textId="088D233C" w:rsidR="00C04E8A" w:rsidRDefault="00D1516E" w:rsidP="00C04E8A">
                        <w:pPr>
                          <w:jc w:val="center"/>
                        </w:pPr>
                        <w:r>
                          <w:rPr>
                            <w:rFonts w:asciiTheme="majorBidi" w:hAnsiTheme="majorBidi" w:cstheme="majorBidi"/>
                          </w:rPr>
                          <w:t>Entire cohort</w:t>
                        </w:r>
                      </w:p>
                    </w:txbxContent>
                  </v:textbox>
                </v:shape>
                <v:group id="Group 7" o:spid="_x0000_s1067" style="position:absolute;top:1807;width:53397;height:55385" coordorigin="1066,1435" coordsize="8409,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3" o:spid="_x0000_s1068" style="position:absolute;left:1066;top:5391;width:8409;height:4766" coordorigin="957,25063" coordsize="53399,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1" o:spid="_x0000_s1069" type="#_x0000_t75" alt="Chart, line chart&#10;&#10;Description automatically generated" style="position:absolute;left:29241;top:28916;width:25115;height:26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">
                      <v:imagedata r:id="rId13" o:title="Chart, line chart&#10;&#10;Description automatically generated" croptop="4207f" cropleft="14999f" cropright="14461f"/>
                    </v:shape>
                    <v:shape id="Text Box 2" o:spid="_x0000_s1070" type="#_x0000_t202" style="position:absolute;left:957;top:25063;width:5143;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E0985F5" w14:textId="212D37A5" w:rsidR="00412399" w:rsidRPr="002C6B24" w:rsidRDefault="00FD2777" w:rsidP="00412399">
                            <w:pPr>
                              <w:jc w:val="center"/>
                              <w:rPr>
                                <w:noProof/>
                                <w:color w:val="000000" w:themeColor="text1"/>
                                <w:sz w:val="36"/>
                                <w:szCs w:val="36"/>
                              </w:rPr>
                            </w:pPr>
                            <w:r>
                              <w:rPr>
                                <w:noProof/>
                                <w:color w:val="000000" w:themeColor="text1"/>
                                <w:sz w:val="36"/>
                                <w:szCs w:val="36"/>
                              </w:rPr>
                              <w:t>B</w:t>
                            </w:r>
                          </w:p>
                        </w:txbxContent>
                      </v:textbox>
                    </v:shape>
                  </v:group>
                  <v:shape id="Text Box 2" o:spid="_x0000_s1071" type="#_x0000_t202" style="position:absolute;left:5632;top:1435;width:381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97D617" w14:textId="1B9443AE" w:rsidR="00412399" w:rsidRPr="006D79E4" w:rsidRDefault="00C04E8A" w:rsidP="00412399">
                          <w:pPr>
                            <w:bidi w:val="0"/>
                            <w:rPr>
                              <w:rFonts w:asciiTheme="majorBidi" w:hAnsiTheme="majorBidi" w:cstheme="majorBidi"/>
                            </w:rPr>
                          </w:pPr>
                          <w:bookmarkStart w:id="10" w:name="_Hlk86479876"/>
                          <w:bookmarkStart w:id="11" w:name="_Hlk86479877"/>
                          <w:r w:rsidRPr="00F00BC5">
                            <w:rPr>
                              <w:rFonts w:asciiTheme="majorBidi" w:hAnsiTheme="majorBidi" w:cstheme="majorBidi"/>
                              <w:b/>
                              <w:bCs/>
                            </w:rPr>
                            <w:t xml:space="preserve">Figure </w:t>
                          </w:r>
                          <w:r w:rsidR="00220243">
                            <w:rPr>
                              <w:rFonts w:asciiTheme="majorBidi" w:hAnsiTheme="majorBidi" w:cstheme="majorBidi"/>
                              <w:b/>
                              <w:bCs/>
                            </w:rPr>
                            <w:t>2</w:t>
                          </w:r>
                          <w:r w:rsidRPr="006D79E4">
                            <w:rPr>
                              <w:rFonts w:asciiTheme="majorBidi" w:hAnsiTheme="majorBidi" w:cstheme="majorBidi"/>
                            </w:rPr>
                            <w:t xml:space="preserve">. ROC curve of preoperative Tg concentration as a predictor of final diagnosis of </w:t>
                          </w:r>
                          <w:r w:rsidRPr="006D79E4">
                            <w:rPr>
                              <w:rFonts w:asciiTheme="majorBidi" w:hAnsiTheme="majorBidi" w:cstheme="majorBidi"/>
                              <w:sz w:val="24"/>
                              <w:szCs w:val="24"/>
                            </w:rPr>
                            <w:t>differentiated thyroid cancer</w:t>
                          </w:r>
                          <w:r w:rsidRPr="006D79E4">
                            <w:rPr>
                              <w:rFonts w:asciiTheme="majorBidi" w:hAnsiTheme="majorBidi" w:cstheme="majorBidi"/>
                            </w:rPr>
                            <w:t xml:space="preserve"> (</w:t>
                          </w:r>
                          <w:r w:rsidRPr="006D79E4">
                            <w:rPr>
                              <w:rFonts w:asciiTheme="majorBidi" w:hAnsiTheme="majorBidi" w:cstheme="majorBidi" w:hint="cs"/>
                            </w:rPr>
                            <w:t>DTC</w:t>
                          </w:r>
                          <w:r w:rsidRPr="006D79E4">
                            <w:rPr>
                              <w:rFonts w:asciiTheme="majorBidi" w:hAnsiTheme="majorBidi" w:cstheme="majorBidi"/>
                            </w:rPr>
                            <w:t xml:space="preserve">). </w:t>
                          </w:r>
                          <w:r w:rsidR="00FD2777">
                            <w:rPr>
                              <w:rFonts w:asciiTheme="majorBidi" w:hAnsiTheme="majorBidi" w:cstheme="majorBidi"/>
                            </w:rPr>
                            <w:t>A</w:t>
                          </w:r>
                          <w:r w:rsidR="00FD2777" w:rsidRPr="006D79E4">
                            <w:rPr>
                              <w:rFonts w:asciiTheme="majorBidi" w:hAnsiTheme="majorBidi" w:cstheme="majorBidi"/>
                            </w:rPr>
                            <w:t xml:space="preserve">. </w:t>
                          </w:r>
                          <w:r w:rsidR="00FD2777">
                            <w:rPr>
                              <w:rFonts w:asciiTheme="majorBidi" w:hAnsiTheme="majorBidi" w:cstheme="majorBidi"/>
                            </w:rPr>
                            <w:t xml:space="preserve">Entire cohort. </w:t>
                          </w:r>
                          <w:r w:rsidR="00FD2777" w:rsidRPr="006D79E4">
                            <w:rPr>
                              <w:rFonts w:asciiTheme="majorBidi" w:hAnsiTheme="majorBidi" w:cstheme="majorBidi"/>
                            </w:rPr>
                            <w:t>.</w:t>
                          </w:r>
                          <w:r w:rsidR="00FD2777">
                            <w:rPr>
                              <w:rFonts w:asciiTheme="majorBidi" w:hAnsiTheme="majorBidi" w:cstheme="majorBidi"/>
                            </w:rPr>
                            <w:t>B</w:t>
                          </w:r>
                          <w:r w:rsidRPr="006D79E4">
                            <w:rPr>
                              <w:rFonts w:asciiTheme="majorBidi" w:hAnsiTheme="majorBidi" w:cstheme="majorBidi"/>
                            </w:rPr>
                            <w:t xml:space="preserve">. Patients with preoperative diagnosis of benign multinodular goiter (MNG). </w:t>
                          </w:r>
                          <w:r w:rsidR="00FD2777">
                            <w:rPr>
                              <w:rFonts w:asciiTheme="majorBidi" w:hAnsiTheme="majorBidi" w:cstheme="majorBidi"/>
                            </w:rPr>
                            <w:t>C</w:t>
                          </w:r>
                          <w:r w:rsidRPr="006D79E4">
                            <w:rPr>
                              <w:rFonts w:asciiTheme="majorBidi" w:hAnsiTheme="majorBidi" w:cstheme="majorBidi"/>
                            </w:rPr>
                            <w:t xml:space="preserve">. Patients with indeterminate cytology (Bethesda III and IV). </w:t>
                          </w:r>
                          <w:bookmarkEnd w:id="10"/>
                          <w:bookmarkEnd w:id="11"/>
                        </w:p>
                      </w:txbxContent>
                    </v:textbox>
                  </v:shape>
                  <v:shape id="Picture 13" o:spid="_x0000_s1072" type="#_x0000_t75" alt="Chart, line chart&#10;&#10;Description automatically generated" style="position:absolute;left:1370;top:6057;width:4193;height:4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">
                    <v:imagedata r:id="rId14" o:title="Chart, line chart&#10;&#10;Description automatically generated" croptop="4219f" cropbottom="1466f" cropleft="14881f" cropright="13955f"/>
                  </v:shape>
                </v:group>
                <w10:wrap anchorx="margin"/>
              </v:group>
            </w:pict>
          </mc:Fallback>
        </mc:AlternateContent>
      </w:r>
    </w:p>
    <w:p w14:paraId="03583B0C" w14:textId="0167FD22" w:rsidR="00412399" w:rsidRPr="00F00BC5" w:rsidRDefault="00412399" w:rsidP="00412399">
      <w:pPr>
        <w:bidi w:val="0"/>
        <w:spacing w:line="360" w:lineRule="auto"/>
        <w:jc w:val="both"/>
        <w:rPr>
          <w:rFonts w:asciiTheme="majorBidi" w:eastAsia="Times New Roman" w:hAnsiTheme="majorBidi" w:cstheme="majorBidi"/>
          <w:b/>
          <w:bCs/>
          <w:sz w:val="24"/>
          <w:szCs w:val="24"/>
        </w:rPr>
      </w:pPr>
    </w:p>
    <w:p w14:paraId="00699F88" w14:textId="331B5FA0" w:rsidR="00412399" w:rsidRPr="00F00BC5" w:rsidRDefault="00412399" w:rsidP="00412399">
      <w:pPr>
        <w:bidi w:val="0"/>
        <w:spacing w:line="360" w:lineRule="auto"/>
        <w:jc w:val="both"/>
        <w:rPr>
          <w:rFonts w:asciiTheme="majorBidi" w:eastAsia="Times New Roman" w:hAnsiTheme="majorBidi" w:cstheme="majorBidi"/>
          <w:sz w:val="24"/>
          <w:szCs w:val="24"/>
        </w:rPr>
      </w:pPr>
    </w:p>
    <w:p w14:paraId="3681514D" w14:textId="7DCAAC37" w:rsidR="00412399" w:rsidRPr="00F00BC5" w:rsidRDefault="004727D1" w:rsidP="00412399">
      <w:pPr>
        <w:rPr>
          <w:rFonts w:asciiTheme="majorBidi" w:eastAsia="Times New Roman" w:hAnsiTheme="majorBidi" w:cstheme="majorBidi"/>
          <w:sz w:val="24"/>
          <w:szCs w:val="24"/>
        </w:rPr>
      </w:pPr>
      <w:r>
        <w:rPr>
          <w:noProof/>
        </w:rPr>
        <mc:AlternateContent>
          <mc:Choice Requires="wps">
            <w:drawing>
              <wp:anchor distT="0" distB="0" distL="114300" distR="114300" simplePos="0" relativeHeight="251661312" behindDoc="0" locked="0" layoutInCell="1" allowOverlap="1" wp14:anchorId="766040F1" wp14:editId="21EE09EC">
                <wp:simplePos x="0" y="0"/>
                <wp:positionH relativeFrom="column">
                  <wp:posOffset>9995535</wp:posOffset>
                </wp:positionH>
                <wp:positionV relativeFrom="paragraph">
                  <wp:posOffset>-635</wp:posOffset>
                </wp:positionV>
                <wp:extent cx="952500" cy="2571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57175"/>
                        </a:xfrm>
                        <a:prstGeom prst="rect">
                          <a:avLst/>
                        </a:prstGeom>
                        <a:solidFill>
                          <a:schemeClr val="lt1"/>
                        </a:solidFill>
                        <a:ln w="6350">
                          <a:solidFill>
                            <a:prstClr val="black"/>
                          </a:solidFill>
                        </a:ln>
                      </wps:spPr>
                      <wps:txbx>
                        <w:txbxContent>
                          <w:p w14:paraId="43E9A564" w14:textId="77777777" w:rsidR="00C04E8A" w:rsidRDefault="00C04E8A" w:rsidP="00C04E8A">
                            <w:r>
                              <w:rPr>
                                <w:rFonts w:asciiTheme="majorBidi" w:hAnsiTheme="majorBidi" w:cstheme="majorBidi"/>
                              </w:rPr>
                              <w:t xml:space="preserve">benign </w:t>
                            </w:r>
                            <w:r w:rsidRPr="00AB0831">
                              <w:rPr>
                                <w:rFonts w:asciiTheme="majorBidi" w:hAnsiTheme="majorBidi" w:cstheme="majorBidi"/>
                              </w:rPr>
                              <w:t>MNG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040F1" id="Text Box 3" o:spid="_x0000_s1073" type="#_x0000_t202" style="position:absolute;left:0;text-align:left;margin-left:787.05pt;margin-top:-.05pt;width: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" fillcolor="white [3201]" strokeweight=".5pt">
                <v:path arrowok="t"/>
                <v:textbox>
                  <w:txbxContent>
                    <w:p w14:paraId="43E9A564" w14:textId="77777777" w:rsidR="00C04E8A" w:rsidRDefault="00C04E8A" w:rsidP="00C04E8A">
                      <w:r>
                        <w:rPr>
                          <w:rFonts w:asciiTheme="majorBidi" w:hAnsiTheme="majorBidi" w:cstheme="majorBidi"/>
                        </w:rPr>
                        <w:t xml:space="preserve">benign </w:t>
                      </w:r>
                      <w:r w:rsidRPr="00AB0831">
                        <w:rPr>
                          <w:rFonts w:asciiTheme="majorBidi" w:hAnsiTheme="majorBidi" w:cstheme="majorBidi"/>
                        </w:rPr>
                        <w:t>MNG</w:t>
                      </w:r>
                    </w:p>
                  </w:txbxContent>
                </v:textbox>
              </v:shape>
            </w:pict>
          </mc:Fallback>
        </mc:AlternateContent>
      </w:r>
    </w:p>
    <w:p w14:paraId="45EA0C80" w14:textId="63F5A47A" w:rsidR="006C2A12" w:rsidRPr="00F00BC5" w:rsidRDefault="006C2A12" w:rsidP="00412399">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5B35C7A5" w14:textId="52DB85FC"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5984A543" w14:textId="6F263040"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2B722907" w14:textId="1801444D" w:rsidR="006C2A12" w:rsidRPr="00F00BC5" w:rsidRDefault="00FD2777"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r>
        <w:rPr>
          <w:noProof/>
        </w:rPr>
        <mc:AlternateContent>
          <mc:Choice Requires="wps">
            <w:drawing>
              <wp:anchor distT="0" distB="0" distL="114300" distR="114300" simplePos="0" relativeHeight="251674624" behindDoc="0" locked="0" layoutInCell="1" allowOverlap="1" wp14:anchorId="393253DB" wp14:editId="7B34E63A">
                <wp:simplePos x="0" y="0"/>
                <wp:positionH relativeFrom="column">
                  <wp:posOffset>2696151</wp:posOffset>
                </wp:positionH>
                <wp:positionV relativeFrom="paragraph">
                  <wp:posOffset>265605</wp:posOffset>
                </wp:positionV>
                <wp:extent cx="514350" cy="6381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38175"/>
                        </a:xfrm>
                        <a:prstGeom prst="rect">
                          <a:avLst/>
                        </a:prstGeom>
                        <a:noFill/>
                        <a:ln>
                          <a:noFill/>
                        </a:ln>
                      </wps:spPr>
                      <wps:txbx>
                        <w:txbxContent>
                          <w:p w14:paraId="719491FB" w14:textId="090B0C66" w:rsidR="00412399" w:rsidRPr="002C6B24" w:rsidRDefault="00FD2777" w:rsidP="00412399">
                            <w:pPr>
                              <w:jc w:val="center"/>
                              <w:rPr>
                                <w:noProof/>
                                <w:color w:val="000000" w:themeColor="text1"/>
                                <w:sz w:val="36"/>
                                <w:szCs w:val="36"/>
                              </w:rPr>
                            </w:pPr>
                            <w:r>
                              <w:rPr>
                                <w:noProof/>
                                <w:color w:val="000000" w:themeColor="text1"/>
                                <w:sz w:val="36"/>
                                <w:szCs w:val="3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53DB" id="Text Box 6" o:spid="_x0000_s1074" type="#_x0000_t202" style="position:absolute;left:0;text-align:left;margin-left:212.3pt;margin-top:20.9pt;width:40.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" filled="f" stroked="f">
                <v:textbox>
                  <w:txbxContent>
                    <w:p w14:paraId="719491FB" w14:textId="090B0C66" w:rsidR="00412399" w:rsidRPr="002C6B24" w:rsidRDefault="00FD2777" w:rsidP="00412399">
                      <w:pPr>
                        <w:jc w:val="center"/>
                        <w:rPr>
                          <w:noProof/>
                          <w:color w:val="000000" w:themeColor="text1"/>
                          <w:sz w:val="36"/>
                          <w:szCs w:val="36"/>
                        </w:rPr>
                      </w:pPr>
                      <w:r>
                        <w:rPr>
                          <w:noProof/>
                          <w:color w:val="000000" w:themeColor="text1"/>
                          <w:sz w:val="36"/>
                          <w:szCs w:val="36"/>
                        </w:rPr>
                        <w:t>C</w:t>
                      </w:r>
                    </w:p>
                  </w:txbxContent>
                </v:textbox>
              </v:shape>
            </w:pict>
          </mc:Fallback>
        </mc:AlternateContent>
      </w:r>
    </w:p>
    <w:p w14:paraId="7B921C01" w14:textId="03A60D07" w:rsidR="006C2A12" w:rsidRPr="00F00BC5" w:rsidRDefault="0089768D"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r>
        <w:rPr>
          <w:noProof/>
        </w:rPr>
        <mc:AlternateContent>
          <mc:Choice Requires="wps">
            <w:drawing>
              <wp:anchor distT="0" distB="0" distL="114300" distR="114300" simplePos="0" relativeHeight="251659264" behindDoc="0" locked="0" layoutInCell="1" allowOverlap="1" wp14:anchorId="71B0B4E7" wp14:editId="3162CE19">
                <wp:simplePos x="0" y="0"/>
                <wp:positionH relativeFrom="column">
                  <wp:posOffset>1151890</wp:posOffset>
                </wp:positionH>
                <wp:positionV relativeFrom="paragraph">
                  <wp:posOffset>40828</wp:posOffset>
                </wp:positionV>
                <wp:extent cx="1076325" cy="2571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257175"/>
                        </a:xfrm>
                        <a:prstGeom prst="rect">
                          <a:avLst/>
                        </a:prstGeom>
                        <a:noFill/>
                        <a:ln w="6350">
                          <a:noFill/>
                        </a:ln>
                      </wps:spPr>
                      <wps:txbx>
                        <w:txbxContent>
                          <w:p w14:paraId="6ECB2740" w14:textId="7D4BBDCA" w:rsidR="00C04E8A" w:rsidRDefault="00C04E8A" w:rsidP="00C04E8A">
                            <w:pPr>
                              <w:jc w:val="center"/>
                            </w:pPr>
                            <w:r>
                              <w:rPr>
                                <w:rFonts w:asciiTheme="majorBidi" w:hAnsiTheme="majorBidi" w:cstheme="majorBidi"/>
                              </w:rPr>
                              <w:t xml:space="preserve">Benign </w:t>
                            </w:r>
                            <w:r w:rsidRPr="00AB0831">
                              <w:rPr>
                                <w:rFonts w:asciiTheme="majorBidi" w:hAnsiTheme="majorBidi" w:cstheme="majorBidi"/>
                              </w:rPr>
                              <w:t>MNG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0B4E7" id="Text Box 5" o:spid="_x0000_s1075" type="#_x0000_t202" style="position:absolute;left:0;text-align:left;margin-left:90.7pt;margin-top:3.2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TWKgIAAE0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" filled="f" stroked="f" strokeweight=".5pt">
                <v:textbox>
                  <w:txbxContent>
                    <w:p w14:paraId="6ECB2740" w14:textId="7D4BBDCA" w:rsidR="00C04E8A" w:rsidRDefault="00C04E8A" w:rsidP="00C04E8A">
                      <w:pPr>
                        <w:jc w:val="center"/>
                      </w:pPr>
                      <w:r>
                        <w:rPr>
                          <w:rFonts w:asciiTheme="majorBidi" w:hAnsiTheme="majorBidi" w:cstheme="majorBidi"/>
                        </w:rPr>
                        <w:t xml:space="preserve">Benign </w:t>
                      </w:r>
                      <w:r w:rsidRPr="00AB0831">
                        <w:rPr>
                          <w:rFonts w:asciiTheme="majorBidi" w:hAnsiTheme="majorBidi" w:cstheme="majorBidi"/>
                        </w:rPr>
                        <w:t>MNG</w:t>
                      </w:r>
                    </w:p>
                  </w:txbxContent>
                </v:textbox>
                <w10:wrap type="square"/>
              </v:shape>
            </w:pict>
          </mc:Fallback>
        </mc:AlternateContent>
      </w:r>
      <w:r w:rsidR="00FD2777">
        <w:rPr>
          <w:noProof/>
        </w:rPr>
        <mc:AlternateContent>
          <mc:Choice Requires="wps">
            <w:drawing>
              <wp:anchor distT="0" distB="0" distL="114300" distR="114300" simplePos="0" relativeHeight="251663360" behindDoc="0" locked="0" layoutInCell="1" allowOverlap="1" wp14:anchorId="0A24642D" wp14:editId="532F2E19">
                <wp:simplePos x="0" y="0"/>
                <wp:positionH relativeFrom="column">
                  <wp:posOffset>3343275</wp:posOffset>
                </wp:positionH>
                <wp:positionV relativeFrom="paragraph">
                  <wp:posOffset>13335</wp:posOffset>
                </wp:positionV>
                <wp:extent cx="1543050" cy="266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66700"/>
                        </a:xfrm>
                        <a:prstGeom prst="rect">
                          <a:avLst/>
                        </a:prstGeom>
                        <a:noFill/>
                        <a:ln w="6350">
                          <a:noFill/>
                        </a:ln>
                      </wps:spPr>
                      <wps:txbx>
                        <w:txbxContent>
                          <w:p w14:paraId="7E83D68B" w14:textId="1F597FA2" w:rsidR="00C04E8A" w:rsidRDefault="00C04E8A" w:rsidP="00C04E8A">
                            <w:pPr>
                              <w:jc w:val="right"/>
                            </w:pPr>
                            <w:r w:rsidRPr="00AB0831">
                              <w:rPr>
                                <w:rFonts w:asciiTheme="majorBidi" w:hAnsiTheme="majorBidi" w:cstheme="majorBidi"/>
                              </w:rPr>
                              <w:t>Indeterminate</w:t>
                            </w:r>
                            <w:r>
                              <w:rPr>
                                <w:rFonts w:asciiTheme="majorBidi" w:hAnsiTheme="majorBidi" w:cstheme="majorBidi"/>
                              </w:rPr>
                              <w:t xml:space="preserve"> </w:t>
                            </w:r>
                            <w:r w:rsidRPr="00AB0831">
                              <w:rPr>
                                <w:rFonts w:asciiTheme="majorBidi" w:hAnsiTheme="majorBidi" w:cstheme="majorBidi"/>
                              </w:rPr>
                              <w:t>cytology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4642D" id="Text Box 4" o:spid="_x0000_s1076" type="#_x0000_t202" style="position:absolute;left:0;text-align:left;margin-left:263.25pt;margin-top:1.05pt;width:12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" filled="f" stroked="f" strokeweight=".5pt">
                <v:textbox>
                  <w:txbxContent>
                    <w:p w14:paraId="7E83D68B" w14:textId="1F597FA2" w:rsidR="00C04E8A" w:rsidRDefault="00C04E8A" w:rsidP="00C04E8A">
                      <w:pPr>
                        <w:jc w:val="right"/>
                      </w:pPr>
                      <w:r w:rsidRPr="00AB0831">
                        <w:rPr>
                          <w:rFonts w:asciiTheme="majorBidi" w:hAnsiTheme="majorBidi" w:cstheme="majorBidi"/>
                        </w:rPr>
                        <w:t>Indeterminate</w:t>
                      </w:r>
                      <w:r>
                        <w:rPr>
                          <w:rFonts w:asciiTheme="majorBidi" w:hAnsiTheme="majorBidi" w:cstheme="majorBidi"/>
                        </w:rPr>
                        <w:t xml:space="preserve"> </w:t>
                      </w:r>
                      <w:r w:rsidRPr="00AB0831">
                        <w:rPr>
                          <w:rFonts w:asciiTheme="majorBidi" w:hAnsiTheme="majorBidi" w:cstheme="majorBidi"/>
                        </w:rPr>
                        <w:t>cytology</w:t>
                      </w:r>
                    </w:p>
                  </w:txbxContent>
                </v:textbox>
                <w10:wrap type="square"/>
              </v:shape>
            </w:pict>
          </mc:Fallback>
        </mc:AlternateContent>
      </w:r>
    </w:p>
    <w:p w14:paraId="27BE1B5B" w14:textId="531FFED3"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1537AA6E" w14:textId="19746BDE"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5FD713A5" w14:textId="2233105D"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42A4AF86" w14:textId="05349762"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54F3E594" w14:textId="27FDFD01"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4B995FE6" w14:textId="234F08C1"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78FAD732" w14:textId="56EE48AA"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130E1B8D" w14:textId="77777777"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1841BE7D" w14:textId="77777777"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789825B3" w14:textId="77777777"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7FBC5C24" w14:textId="77777777"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2C607436" w14:textId="5E01B823" w:rsidR="006C2A12"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0301EE3C" w14:textId="1D73A1CB" w:rsidR="009C312D" w:rsidRDefault="009C312D" w:rsidP="009C312D">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7812BACA" w14:textId="0B19B281" w:rsidR="009C312D" w:rsidRPr="005217BC" w:rsidRDefault="009C312D" w:rsidP="009C312D">
      <w:pPr>
        <w:widowControl w:val="0"/>
        <w:autoSpaceDE w:val="0"/>
        <w:autoSpaceDN w:val="0"/>
        <w:bidi w:val="0"/>
        <w:adjustRightInd w:val="0"/>
        <w:spacing w:line="360" w:lineRule="auto"/>
        <w:ind w:left="640" w:hanging="640"/>
        <w:rPr>
          <w:rFonts w:asciiTheme="majorBidi" w:eastAsia="Times New Roman" w:hAnsiTheme="majorBidi" w:cstheme="majorBidi"/>
          <w:b/>
          <w:bCs/>
          <w:sz w:val="24"/>
          <w:szCs w:val="24"/>
          <w:u w:val="single"/>
        </w:rPr>
      </w:pPr>
      <w:r w:rsidRPr="005217BC">
        <w:rPr>
          <w:rFonts w:asciiTheme="majorBidi" w:eastAsia="Times New Roman" w:hAnsiTheme="majorBidi" w:cstheme="majorBidi"/>
          <w:b/>
          <w:bCs/>
          <w:sz w:val="24"/>
          <w:szCs w:val="24"/>
          <w:u w:val="single"/>
        </w:rPr>
        <w:t>Supplementary</w:t>
      </w:r>
    </w:p>
    <w:p w14:paraId="04BD4873" w14:textId="47AE8F8D" w:rsidR="009C312D" w:rsidRDefault="009C312D" w:rsidP="009C312D">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tbl>
      <w:tblPr>
        <w:tblStyle w:val="TableGrid"/>
        <w:tblW w:w="0" w:type="auto"/>
        <w:tblInd w:w="988" w:type="dxa"/>
        <w:tblLook w:val="04A0" w:firstRow="1" w:lastRow="0" w:firstColumn="1" w:lastColumn="0" w:noHBand="0" w:noVBand="1"/>
      </w:tblPr>
      <w:tblGrid>
        <w:gridCol w:w="1984"/>
        <w:gridCol w:w="1877"/>
        <w:gridCol w:w="1996"/>
        <w:gridCol w:w="1559"/>
      </w:tblGrid>
      <w:tr w:rsidR="009C0185" w14:paraId="0751BC81" w14:textId="77777777" w:rsidTr="00F17D51">
        <w:tc>
          <w:tcPr>
            <w:tcW w:w="7416" w:type="dxa"/>
            <w:gridSpan w:val="4"/>
          </w:tcPr>
          <w:p w14:paraId="6E2E752A" w14:textId="34CFFC92" w:rsidR="009C0185" w:rsidRDefault="005F022C" w:rsidP="009C312D">
            <w:pPr>
              <w:widowControl w:val="0"/>
              <w:autoSpaceDE w:val="0"/>
              <w:autoSpaceDN w:val="0"/>
              <w:bidi w:val="0"/>
              <w:adjustRightInd w:val="0"/>
              <w:spacing w:line="360" w:lineRule="auto"/>
              <w:rPr>
                <w:rFonts w:asciiTheme="majorBidi" w:eastAsia="Times New Roman" w:hAnsiTheme="majorBidi" w:cstheme="majorBidi"/>
                <w:sz w:val="24"/>
                <w:szCs w:val="24"/>
              </w:rPr>
            </w:pPr>
            <w:r w:rsidRPr="007D1BB2">
              <w:rPr>
                <w:rFonts w:asciiTheme="majorBidi" w:eastAsia="Times New Roman" w:hAnsiTheme="majorBidi" w:cstheme="majorBidi"/>
                <w:b/>
                <w:bCs/>
                <w:sz w:val="24"/>
                <w:szCs w:val="24"/>
              </w:rPr>
              <w:t>Table S1</w:t>
            </w:r>
            <w:r>
              <w:rPr>
                <w:rFonts w:asciiTheme="majorBidi" w:eastAsia="Times New Roman" w:hAnsiTheme="majorBidi" w:cstheme="majorBidi"/>
                <w:sz w:val="24"/>
                <w:szCs w:val="24"/>
              </w:rPr>
              <w:t xml:space="preserve">. Evaluation of the reproducibility of the cut-off </w:t>
            </w:r>
            <w:r w:rsidR="007D1BB2">
              <w:rPr>
                <w:rFonts w:asciiTheme="majorBidi" w:eastAsia="Times New Roman" w:hAnsiTheme="majorBidi" w:cstheme="majorBidi"/>
                <w:sz w:val="24"/>
                <w:szCs w:val="24"/>
              </w:rPr>
              <w:t>value, (suggested by Petric et al) of Bethesda IV patients in our cohort.</w:t>
            </w:r>
          </w:p>
        </w:tc>
      </w:tr>
      <w:tr w:rsidR="009C0185" w14:paraId="7F9A53A7" w14:textId="77777777" w:rsidTr="009C0185">
        <w:tc>
          <w:tcPr>
            <w:tcW w:w="1984" w:type="dxa"/>
          </w:tcPr>
          <w:p w14:paraId="16032A27" w14:textId="77777777"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c>
          <w:tcPr>
            <w:tcW w:w="1877" w:type="dxa"/>
            <w:shd w:val="clear" w:color="auto" w:fill="E7E6E6" w:themeFill="background2"/>
          </w:tcPr>
          <w:p w14:paraId="1274E9AC" w14:textId="094CE307" w:rsidR="009C312D" w:rsidRPr="009C0185"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b/>
                <w:bCs/>
                <w:sz w:val="24"/>
                <w:szCs w:val="24"/>
              </w:rPr>
            </w:pPr>
            <w:r w:rsidRPr="009C0185">
              <w:rPr>
                <w:rFonts w:asciiTheme="majorBidi" w:eastAsia="Times New Roman" w:hAnsiTheme="majorBidi" w:cstheme="majorBidi"/>
                <w:b/>
                <w:bCs/>
                <w:sz w:val="24"/>
                <w:szCs w:val="24"/>
              </w:rPr>
              <w:t>Postoperative malignant diagnosis</w:t>
            </w:r>
          </w:p>
        </w:tc>
        <w:tc>
          <w:tcPr>
            <w:tcW w:w="1996" w:type="dxa"/>
            <w:shd w:val="clear" w:color="auto" w:fill="E7E6E6" w:themeFill="background2"/>
          </w:tcPr>
          <w:p w14:paraId="2A35143F" w14:textId="12A41DB6" w:rsidR="009C312D" w:rsidRPr="009C0185"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b/>
                <w:bCs/>
                <w:sz w:val="24"/>
                <w:szCs w:val="24"/>
              </w:rPr>
            </w:pPr>
            <w:r w:rsidRPr="009C0185">
              <w:rPr>
                <w:rFonts w:asciiTheme="majorBidi" w:eastAsia="Times New Roman" w:hAnsiTheme="majorBidi" w:cstheme="majorBidi"/>
                <w:b/>
                <w:bCs/>
                <w:sz w:val="24"/>
                <w:szCs w:val="24"/>
              </w:rPr>
              <w:t>Postoperative benign diagnosis</w:t>
            </w:r>
          </w:p>
        </w:tc>
        <w:tc>
          <w:tcPr>
            <w:tcW w:w="1559" w:type="dxa"/>
          </w:tcPr>
          <w:p w14:paraId="51568788" w14:textId="77777777"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r>
      <w:tr w:rsidR="009C0185" w14:paraId="2B6459C9" w14:textId="77777777" w:rsidTr="009C0185">
        <w:tc>
          <w:tcPr>
            <w:tcW w:w="1984" w:type="dxa"/>
            <w:shd w:val="clear" w:color="auto" w:fill="E7E6E6" w:themeFill="background2"/>
          </w:tcPr>
          <w:p w14:paraId="5E883968" w14:textId="420B2DD7" w:rsidR="009C312D" w:rsidRPr="009C0185"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rPr>
            </w:pPr>
            <w:r w:rsidRPr="009C0185">
              <w:rPr>
                <w:rFonts w:asciiTheme="majorBidi" w:eastAsia="Times New Roman" w:hAnsiTheme="majorBidi" w:cstheme="majorBidi"/>
                <w:b/>
                <w:bCs/>
                <w:sz w:val="24"/>
                <w:szCs w:val="24"/>
              </w:rPr>
              <w:t>Tg&gt;400 ng/ml</w:t>
            </w:r>
          </w:p>
        </w:tc>
        <w:tc>
          <w:tcPr>
            <w:tcW w:w="1877" w:type="dxa"/>
            <w:shd w:val="clear" w:color="auto" w:fill="E7E6E6" w:themeFill="background2"/>
          </w:tcPr>
          <w:p w14:paraId="2B0F41D8" w14:textId="1F492394" w:rsidR="009C312D"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1996" w:type="dxa"/>
            <w:shd w:val="clear" w:color="auto" w:fill="E7E6E6" w:themeFill="background2"/>
          </w:tcPr>
          <w:p w14:paraId="035DC700" w14:textId="49DA8E00" w:rsidR="009C312D"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1559" w:type="dxa"/>
          </w:tcPr>
          <w:p w14:paraId="3FA80213" w14:textId="7000D720"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PPV</w:t>
            </w:r>
            <w:r w:rsidR="009C0185">
              <w:t xml:space="preserve"> </w:t>
            </w:r>
            <w:r w:rsidR="009C0185" w:rsidRPr="009C0185">
              <w:rPr>
                <w:rFonts w:asciiTheme="majorBidi" w:eastAsia="Times New Roman" w:hAnsiTheme="majorBidi" w:cstheme="majorBidi"/>
                <w:sz w:val="24"/>
                <w:szCs w:val="24"/>
              </w:rPr>
              <w:t>75%</w:t>
            </w:r>
          </w:p>
        </w:tc>
      </w:tr>
      <w:tr w:rsidR="009C0185" w14:paraId="63440992" w14:textId="77777777" w:rsidTr="009C0185">
        <w:tc>
          <w:tcPr>
            <w:tcW w:w="1984" w:type="dxa"/>
            <w:shd w:val="clear" w:color="auto" w:fill="E7E6E6" w:themeFill="background2"/>
          </w:tcPr>
          <w:p w14:paraId="43D5476A" w14:textId="2D39E11F" w:rsidR="009C312D" w:rsidRPr="009C0185"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rPr>
            </w:pPr>
            <w:r w:rsidRPr="009C0185">
              <w:rPr>
                <w:rFonts w:asciiTheme="majorBidi" w:eastAsia="Times New Roman" w:hAnsiTheme="majorBidi" w:cstheme="majorBidi"/>
                <w:b/>
                <w:bCs/>
                <w:sz w:val="24"/>
                <w:szCs w:val="24"/>
              </w:rPr>
              <w:t>Tg&lt;400 ng/ml</w:t>
            </w:r>
          </w:p>
        </w:tc>
        <w:tc>
          <w:tcPr>
            <w:tcW w:w="1877" w:type="dxa"/>
            <w:shd w:val="clear" w:color="auto" w:fill="E7E6E6" w:themeFill="background2"/>
          </w:tcPr>
          <w:p w14:paraId="68218DB7" w14:textId="3B558C4A" w:rsidR="009C312D"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11</w:t>
            </w:r>
          </w:p>
        </w:tc>
        <w:tc>
          <w:tcPr>
            <w:tcW w:w="1996" w:type="dxa"/>
            <w:shd w:val="clear" w:color="auto" w:fill="E7E6E6" w:themeFill="background2"/>
          </w:tcPr>
          <w:p w14:paraId="6A468802" w14:textId="40C3AF84" w:rsidR="009C312D"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w:t>
            </w:r>
          </w:p>
        </w:tc>
        <w:tc>
          <w:tcPr>
            <w:tcW w:w="1559" w:type="dxa"/>
          </w:tcPr>
          <w:p w14:paraId="2EDCAF76" w14:textId="78D098B1"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NPV</w:t>
            </w:r>
            <w:r w:rsidR="009C0185">
              <w:t xml:space="preserve"> </w:t>
            </w:r>
            <w:r w:rsidR="009C0185" w:rsidRPr="009C0185">
              <w:rPr>
                <w:rFonts w:asciiTheme="majorBidi" w:eastAsia="Times New Roman" w:hAnsiTheme="majorBidi" w:cstheme="majorBidi"/>
                <w:sz w:val="24"/>
                <w:szCs w:val="24"/>
              </w:rPr>
              <w:t>47.62%</w:t>
            </w:r>
          </w:p>
        </w:tc>
      </w:tr>
      <w:tr w:rsidR="009C0185" w14:paraId="211D4837" w14:textId="77777777" w:rsidTr="009C0185">
        <w:trPr>
          <w:trHeight w:val="740"/>
        </w:trPr>
        <w:tc>
          <w:tcPr>
            <w:tcW w:w="1984" w:type="dxa"/>
          </w:tcPr>
          <w:p w14:paraId="44301FB9" w14:textId="77777777"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c>
          <w:tcPr>
            <w:tcW w:w="1877" w:type="dxa"/>
          </w:tcPr>
          <w:p w14:paraId="053DD573" w14:textId="78737B6B" w:rsidR="009C312D"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Sensitivity</w:t>
            </w:r>
            <w:r w:rsidR="009C0185">
              <w:t xml:space="preserve"> </w:t>
            </w:r>
            <w:r w:rsidR="009C0185" w:rsidRPr="009C0185">
              <w:rPr>
                <w:rFonts w:asciiTheme="majorBidi" w:eastAsia="Times New Roman" w:hAnsiTheme="majorBidi" w:cstheme="majorBidi"/>
                <w:sz w:val="24"/>
                <w:szCs w:val="24"/>
              </w:rPr>
              <w:t>35.29%</w:t>
            </w:r>
            <w:r w:rsidR="009C0185">
              <w:rPr>
                <w:rFonts w:asciiTheme="majorBidi" w:eastAsia="Times New Roman" w:hAnsiTheme="majorBidi" w:cstheme="majorBidi"/>
                <w:sz w:val="24"/>
                <w:szCs w:val="24"/>
              </w:rPr>
              <w:t xml:space="preserve"> </w:t>
            </w:r>
          </w:p>
        </w:tc>
        <w:tc>
          <w:tcPr>
            <w:tcW w:w="1996" w:type="dxa"/>
          </w:tcPr>
          <w:p w14:paraId="30325D11" w14:textId="3A48F35E" w:rsidR="009C312D"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Specificity</w:t>
            </w:r>
            <w:r w:rsidR="005F022C">
              <w:rPr>
                <w:rFonts w:asciiTheme="majorBidi" w:eastAsia="Times New Roman" w:hAnsiTheme="majorBidi" w:cstheme="majorBidi"/>
                <w:sz w:val="24"/>
                <w:szCs w:val="24"/>
              </w:rPr>
              <w:t xml:space="preserve"> </w:t>
            </w:r>
            <w:r w:rsidR="009C0185" w:rsidRPr="009C0185">
              <w:rPr>
                <w:rFonts w:asciiTheme="majorBidi" w:eastAsia="Times New Roman" w:hAnsiTheme="majorBidi" w:cstheme="majorBidi"/>
                <w:sz w:val="24"/>
                <w:szCs w:val="24"/>
              </w:rPr>
              <w:t>83.33%</w:t>
            </w:r>
          </w:p>
        </w:tc>
        <w:tc>
          <w:tcPr>
            <w:tcW w:w="1559" w:type="dxa"/>
          </w:tcPr>
          <w:p w14:paraId="1729292C" w14:textId="77777777"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r>
      <w:tr w:rsidR="009C312D" w14:paraId="1E40CB01" w14:textId="77777777" w:rsidTr="009C0185">
        <w:tc>
          <w:tcPr>
            <w:tcW w:w="7416" w:type="dxa"/>
            <w:gridSpan w:val="4"/>
          </w:tcPr>
          <w:p w14:paraId="54676955" w14:textId="4AE5C28C" w:rsidR="009C312D" w:rsidRPr="007D1BB2" w:rsidRDefault="009C0185" w:rsidP="009C312D">
            <w:pPr>
              <w:widowControl w:val="0"/>
              <w:autoSpaceDE w:val="0"/>
              <w:autoSpaceDN w:val="0"/>
              <w:bidi w:val="0"/>
              <w:adjustRightInd w:val="0"/>
              <w:spacing w:line="360" w:lineRule="auto"/>
              <w:rPr>
                <w:rFonts w:asciiTheme="majorBidi" w:eastAsia="Times New Roman" w:hAnsiTheme="majorBidi" w:cstheme="majorBidi"/>
                <w:sz w:val="20"/>
                <w:szCs w:val="20"/>
              </w:rPr>
            </w:pPr>
            <w:r w:rsidRPr="007D1BB2">
              <w:rPr>
                <w:rFonts w:asciiTheme="majorBidi" w:eastAsia="Times New Roman" w:hAnsiTheme="majorBidi" w:cstheme="majorBidi"/>
                <w:b/>
                <w:bCs/>
                <w:sz w:val="20"/>
                <w:szCs w:val="20"/>
              </w:rPr>
              <w:t>Abbreviations</w:t>
            </w:r>
            <w:r w:rsidRPr="007D1BB2">
              <w:rPr>
                <w:rFonts w:asciiTheme="majorBidi" w:eastAsia="Times New Roman" w:hAnsiTheme="majorBidi" w:cstheme="majorBidi"/>
                <w:sz w:val="20"/>
                <w:szCs w:val="20"/>
              </w:rPr>
              <w:t xml:space="preserve">: Tg- Thyroglobulin, PPV- Positive Predictive Value, NPV- Negative Predictive Value. </w:t>
            </w:r>
          </w:p>
        </w:tc>
      </w:tr>
    </w:tbl>
    <w:p w14:paraId="0EC5DE8E" w14:textId="77777777" w:rsidR="009C312D" w:rsidRDefault="009C312D" w:rsidP="009C312D">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270EC7B7" w14:textId="77777777" w:rsidR="009C312D" w:rsidRPr="00F00BC5" w:rsidRDefault="009C312D" w:rsidP="009C312D">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26C7FC36" w14:textId="77777777" w:rsidR="006C2A12" w:rsidRPr="00F00BC5"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 w:val="24"/>
          <w:szCs w:val="24"/>
        </w:rPr>
      </w:pPr>
    </w:p>
    <w:p w14:paraId="06D08954" w14:textId="77777777" w:rsidR="00E6440C" w:rsidRPr="00F00BC5" w:rsidRDefault="00E6440C" w:rsidP="008A2355">
      <w:pPr>
        <w:widowControl w:val="0"/>
        <w:autoSpaceDE w:val="0"/>
        <w:autoSpaceDN w:val="0"/>
        <w:bidi w:val="0"/>
        <w:adjustRightInd w:val="0"/>
        <w:spacing w:line="360" w:lineRule="auto"/>
        <w:rPr>
          <w:rFonts w:asciiTheme="majorBidi" w:eastAsia="Times New Roman" w:hAnsiTheme="majorBidi" w:cstheme="majorBidi"/>
          <w:b/>
          <w:bCs/>
          <w:sz w:val="24"/>
          <w:szCs w:val="24"/>
          <w:u w:val="single"/>
          <w:rtl/>
        </w:rPr>
      </w:pPr>
    </w:p>
    <w:p w14:paraId="3963E018" w14:textId="30939820" w:rsidR="00E6440C" w:rsidRDefault="00E6440C" w:rsidP="00E6440C">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293FE0B0" w14:textId="47B10841"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6D9672B6" w14:textId="60AA27FE"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7ACD3421" w14:textId="671F913D"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4113B065" w14:textId="70FA77C4"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53D17B3C" w14:textId="26718F54" w:rsidR="000F412A" w:rsidRDefault="000F412A" w:rsidP="000F412A">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6D945DE2" w14:textId="77777777" w:rsidR="000F412A" w:rsidRDefault="000F412A" w:rsidP="000F412A">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12CAD2BA" w14:textId="39C2164E" w:rsidR="009C312D"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p>
    <w:p w14:paraId="01E5F074" w14:textId="09310A46" w:rsidR="006C2A12" w:rsidRPr="00F00BC5" w:rsidRDefault="006C2A12" w:rsidP="003D4BD6">
      <w:pPr>
        <w:widowControl w:val="0"/>
        <w:autoSpaceDE w:val="0"/>
        <w:autoSpaceDN w:val="0"/>
        <w:bidi w:val="0"/>
        <w:adjustRightInd w:val="0"/>
        <w:spacing w:line="360" w:lineRule="auto"/>
        <w:rPr>
          <w:rFonts w:asciiTheme="majorBidi" w:eastAsia="Times New Roman" w:hAnsiTheme="majorBidi" w:cstheme="majorBidi"/>
          <w:b/>
          <w:bCs/>
          <w:sz w:val="24"/>
          <w:szCs w:val="24"/>
          <w:u w:val="single"/>
        </w:rPr>
      </w:pPr>
      <w:r w:rsidRPr="00F00BC5">
        <w:rPr>
          <w:rFonts w:asciiTheme="majorBidi" w:eastAsia="Times New Roman" w:hAnsiTheme="majorBidi" w:cstheme="majorBidi"/>
          <w:b/>
          <w:bCs/>
          <w:sz w:val="24"/>
          <w:szCs w:val="24"/>
          <w:u w:val="single"/>
        </w:rPr>
        <w:t>References</w:t>
      </w:r>
    </w:p>
    <w:p w14:paraId="3B3805ED" w14:textId="02977E30" w:rsidR="003D4BD6" w:rsidRPr="003D4BD6" w:rsidRDefault="001B21B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Pr>
          <w:rFonts w:asciiTheme="majorBidi" w:eastAsia="Times New Roman" w:hAnsiTheme="majorBidi" w:cstheme="majorBidi"/>
          <w:sz w:val="24"/>
          <w:szCs w:val="24"/>
        </w:rPr>
        <w:fldChar w:fldCharType="begin" w:fldLock="1"/>
      </w:r>
      <w:r>
        <w:rPr>
          <w:rFonts w:asciiTheme="majorBidi" w:eastAsia="Times New Roman" w:hAnsiTheme="majorBidi" w:cstheme="majorBidi"/>
          <w:sz w:val="24"/>
          <w:szCs w:val="24"/>
        </w:rPr>
        <w:instrText xml:space="preserve">ADDIN Mendeley Bibliography CSL_BIBLIOGRAPHY </w:instrText>
      </w:r>
      <w:r>
        <w:rPr>
          <w:rFonts w:asciiTheme="majorBidi" w:eastAsia="Times New Roman" w:hAnsiTheme="majorBidi" w:cstheme="majorBidi"/>
          <w:sz w:val="24"/>
          <w:szCs w:val="24"/>
        </w:rPr>
        <w:fldChar w:fldCharType="separate"/>
      </w:r>
      <w:r w:rsidR="003D4BD6" w:rsidRPr="003D4BD6">
        <w:rPr>
          <w:rFonts w:ascii="Times New Roman" w:hAnsi="Times New Roman" w:cs="Times New Roman"/>
          <w:noProof/>
          <w:sz w:val="24"/>
          <w:szCs w:val="24"/>
        </w:rPr>
        <w:t xml:space="preserve">1. </w:t>
      </w:r>
      <w:r w:rsidR="003D4BD6" w:rsidRPr="003D4BD6">
        <w:rPr>
          <w:rFonts w:ascii="Times New Roman" w:hAnsi="Times New Roman" w:cs="Times New Roman"/>
          <w:noProof/>
          <w:sz w:val="24"/>
          <w:szCs w:val="24"/>
        </w:rPr>
        <w:tab/>
        <w:t>Meltzer CJ, Irish J, Angelos P, Busaidy NL, Davies L, Dwojak S, et al. American Head and Neck Society Endocrine Section clinical consensus statement: North American quality statements and evidence‐based multidisciplinary workflow algorithms for the evaluation and management of thyroid nodules. Head Neck [Internet]. 2019 Apr 18 [cited 2019 Jun 9];41(4):843–56. Available from: https://onlinelibrary.wiley.com/doi/abs/10.1002/hed.25526</w:t>
      </w:r>
    </w:p>
    <w:p w14:paraId="6F482C03"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2. </w:t>
      </w:r>
      <w:r w:rsidRPr="003D4BD6">
        <w:rPr>
          <w:rFonts w:ascii="Times New Roman" w:hAnsi="Times New Roman" w:cs="Times New Roman"/>
          <w:noProof/>
          <w:sz w:val="24"/>
          <w:szCs w:val="24"/>
        </w:rPr>
        <w:tab/>
        <w:t>Dean DS, Gharib H. Epidemiology of thyroid nodules. Best Pract Res Clin Endocrinol Metab [Internet]. 2008;22(6):901–11. Available from: http://dx.doi.org/10.1016/j.beem.2008.09.019</w:t>
      </w:r>
    </w:p>
    <w:p w14:paraId="3ECD63E7" w14:textId="7A2BF0A2"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3. </w:t>
      </w:r>
      <w:r w:rsidRPr="003D4BD6">
        <w:rPr>
          <w:rFonts w:ascii="Times New Roman" w:hAnsi="Times New Roman" w:cs="Times New Roman"/>
          <w:noProof/>
          <w:sz w:val="24"/>
          <w:szCs w:val="24"/>
        </w:rPr>
        <w:tab/>
      </w:r>
      <w:r w:rsidR="003D1FFA" w:rsidRPr="003D1FFA">
        <w:rPr>
          <w:rFonts w:ascii="Times New Roman" w:hAnsi="Times New Roman" w:cs="Times New Roman"/>
          <w:noProof/>
          <w:sz w:val="24"/>
          <w:szCs w:val="24"/>
        </w:rPr>
        <w:t>Haugen BR, Alexander EK, Bible KC, Doherty GM, Mandel SJ, Nikiforov YE, Pacini F, Randolph GW, Sawka AM, Schlumberger M, Schuff KG, Sherman SI, Sosa JA, Steward DL, Tuttle RM, Wartofsky L. 2015 American Thyroid Association Management Guidelines for Adult Patients with Thyroid Nodules and Differentiated Thyroid Cancer: The American Thyroid Association Guidelines Task Force on Thyroid Nodules and Differentiated Thyroid Cancer. Thyroid. 2016 Jan;26(1):1-133. doi: 10.1089/thy.2015.0020. PMID: 26462967; PMCID: PMC4739132.</w:t>
      </w:r>
    </w:p>
    <w:p w14:paraId="08B05BEF" w14:textId="77777777" w:rsidR="00BD0686" w:rsidRDefault="003D4BD6" w:rsidP="003D1FFA">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4. </w:t>
      </w:r>
      <w:r w:rsidRPr="003D4BD6">
        <w:rPr>
          <w:rFonts w:ascii="Times New Roman" w:hAnsi="Times New Roman" w:cs="Times New Roman"/>
          <w:noProof/>
          <w:sz w:val="24"/>
          <w:szCs w:val="24"/>
        </w:rPr>
        <w:tab/>
      </w:r>
      <w:r w:rsidR="003D1FFA" w:rsidRPr="003D1FFA">
        <w:rPr>
          <w:rFonts w:ascii="Times New Roman" w:hAnsi="Times New Roman" w:cs="Times New Roman"/>
          <w:noProof/>
          <w:sz w:val="24"/>
          <w:szCs w:val="24"/>
        </w:rPr>
        <w:t>Durante C, Grani G, Lamartina L, Filetti S, Mandel SJ, Cooper DS. The Diagnosis and Management of Thyroid Nodules: A Review. JAMA. 2018 Mar 6;319(9):914-924. doi: 10.1001/jama.2018.0898. Erratum in: JAMA. 2018 Apr 17;319(15):1622. PMID: 29509871</w:t>
      </w:r>
      <w:r w:rsidRPr="003D4BD6">
        <w:rPr>
          <w:rFonts w:ascii="Times New Roman" w:hAnsi="Times New Roman" w:cs="Times New Roman"/>
          <w:noProof/>
          <w:sz w:val="24"/>
          <w:szCs w:val="24"/>
        </w:rPr>
        <w:t xml:space="preserve">5. </w:t>
      </w:r>
      <w:r w:rsidRPr="003D4BD6">
        <w:rPr>
          <w:rFonts w:ascii="Times New Roman" w:hAnsi="Times New Roman" w:cs="Times New Roman"/>
          <w:noProof/>
          <w:sz w:val="24"/>
          <w:szCs w:val="24"/>
        </w:rPr>
        <w:tab/>
      </w:r>
    </w:p>
    <w:p w14:paraId="56744E40" w14:textId="115092FA" w:rsidR="003D4BD6" w:rsidRPr="003D4BD6" w:rsidRDefault="00BD0686" w:rsidP="00BD068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5.       </w:t>
      </w:r>
      <w:r w:rsidR="003D4BD6" w:rsidRPr="003D4BD6">
        <w:rPr>
          <w:rFonts w:ascii="Times New Roman" w:hAnsi="Times New Roman" w:cs="Times New Roman"/>
          <w:noProof/>
          <w:sz w:val="24"/>
          <w:szCs w:val="24"/>
        </w:rPr>
        <w:t>Wu H, Swadley M. The Bethesda system for reporting thyroid cytopathology: into the clinic. Pathol Lab Med Int [Internet]. 2015 Jul 31 [cited 2019 May 24];7:47. Available from: http://www.dovepress.com/the-bethesda-system-for-reporting-thyroid-cytopathology-into-the-clini-peer-reviewed-article-PLMI</w:t>
      </w:r>
    </w:p>
    <w:p w14:paraId="46EACB23"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6. </w:t>
      </w:r>
      <w:r w:rsidRPr="003D4BD6">
        <w:rPr>
          <w:rFonts w:ascii="Times New Roman" w:hAnsi="Times New Roman" w:cs="Times New Roman"/>
          <w:noProof/>
          <w:sz w:val="24"/>
          <w:szCs w:val="24"/>
        </w:rPr>
        <w:tab/>
        <w:t xml:space="preserve">Edmund S. Cibas and Syed Z. Ali. The 2017 Bethesda System for Reporting Thyroid Cytopathology. 2017;27(11):1341–6. </w:t>
      </w:r>
    </w:p>
    <w:p w14:paraId="387FC80B"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7. </w:t>
      </w:r>
      <w:r w:rsidRPr="003D4BD6">
        <w:rPr>
          <w:rFonts w:ascii="Times New Roman" w:hAnsi="Times New Roman" w:cs="Times New Roman"/>
          <w:noProof/>
          <w:sz w:val="24"/>
          <w:szCs w:val="24"/>
        </w:rPr>
        <w:tab/>
        <w:t xml:space="preserve">Indrasena BSH. Use of thyroglobulin as a tumour marker. World J Biol Chem. 2017;8(1):81. </w:t>
      </w:r>
    </w:p>
    <w:p w14:paraId="192A2F08"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8. </w:t>
      </w:r>
      <w:r w:rsidRPr="003D4BD6">
        <w:rPr>
          <w:rFonts w:ascii="Times New Roman" w:hAnsi="Times New Roman" w:cs="Times New Roman"/>
          <w:noProof/>
          <w:sz w:val="24"/>
          <w:szCs w:val="24"/>
        </w:rPr>
        <w:tab/>
        <w:t>Trimboli P, Treglia G, Giovanella L. Preoperative Measurement of Serum Thyroglobulin to Predict Malignancy in Thyroid Nodules: A Systematic Review. Horm Metab Res [Internet]. 2014 Nov 10 [cited 2019 Mar 12];47(04):247–52. Available from: http://www.thieme-connect.de/DOI/DOI?10.1055/s-0034-1395517</w:t>
      </w:r>
    </w:p>
    <w:p w14:paraId="025B0201"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9. </w:t>
      </w:r>
      <w:r w:rsidRPr="003D4BD6">
        <w:rPr>
          <w:rFonts w:ascii="Times New Roman" w:hAnsi="Times New Roman" w:cs="Times New Roman"/>
          <w:noProof/>
          <w:sz w:val="24"/>
          <w:szCs w:val="24"/>
        </w:rPr>
        <w:tab/>
        <w:t xml:space="preserve">Jo K, Lim DJ. Clinical implications of anti-thyroglobulin antibody measurement before surgery in thyroid cancer. Korean J Intern Med. 2018;33(6):1050–7. </w:t>
      </w:r>
    </w:p>
    <w:p w14:paraId="78688766"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10. </w:t>
      </w:r>
      <w:r w:rsidRPr="003D4BD6">
        <w:rPr>
          <w:rFonts w:ascii="Times New Roman" w:hAnsi="Times New Roman" w:cs="Times New Roman"/>
          <w:noProof/>
          <w:sz w:val="24"/>
          <w:szCs w:val="24"/>
        </w:rPr>
        <w:tab/>
        <w:t>Lee EK, Chung K-W, Min HS, Kim TS, Kim TH, Ryu JS, et al. Preoperative serum thyroglobulin as a useful predictive marker to differentiate follicular thyroid cancer from benign nodules in indeterminate nodules. J Korean Med Sci [Internet]. 2012 Sep [cited 2019 Feb 26];27(9):1014–8. Available from: http://www.ncbi.nlm.nih.gov/pubmed/22969246</w:t>
      </w:r>
    </w:p>
    <w:p w14:paraId="5D1F463F"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11. </w:t>
      </w:r>
      <w:r w:rsidRPr="003D4BD6">
        <w:rPr>
          <w:rFonts w:ascii="Times New Roman" w:hAnsi="Times New Roman" w:cs="Times New Roman"/>
          <w:noProof/>
          <w:sz w:val="24"/>
          <w:szCs w:val="24"/>
        </w:rPr>
        <w:tab/>
        <w:t xml:space="preserve">Hulikal N, Azhagamuthu RE, Banoth M, Chowhan AK, Yutla M, Sachan A. Can preoperative serum thyroglobulin levels predict the risk of malignancy? Results from prospective analysis of biochemical predictors of malignancy in thyroid nodules. Acta Otorhinolaryngol Ital. 2020;40(1):33–7. </w:t>
      </w:r>
    </w:p>
    <w:p w14:paraId="13D6C8EA"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12. </w:t>
      </w:r>
      <w:r w:rsidRPr="003D4BD6">
        <w:rPr>
          <w:rFonts w:ascii="Times New Roman" w:hAnsi="Times New Roman" w:cs="Times New Roman"/>
          <w:noProof/>
          <w:sz w:val="24"/>
          <w:szCs w:val="24"/>
        </w:rPr>
        <w:tab/>
        <w:t xml:space="preserve">Petric R, Besic H, Besic N. Preoperative serum thyroglobulin concentration as a predictive factor of malignancy in small follicular and Hürthle cell neoplasms of the thyroid gland. World J Surg Oncol. 2014;12(1):1–7. </w:t>
      </w:r>
    </w:p>
    <w:p w14:paraId="31E66D4F"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13. </w:t>
      </w:r>
      <w:r w:rsidRPr="003D4BD6">
        <w:rPr>
          <w:rFonts w:ascii="Times New Roman" w:hAnsi="Times New Roman" w:cs="Times New Roman"/>
          <w:noProof/>
          <w:sz w:val="24"/>
          <w:szCs w:val="24"/>
        </w:rPr>
        <w:tab/>
        <w:t xml:space="preserve">Petric R, Perhavec A, Gazic B, Besic N. Preoperative serum thyroglobulin concentration is an independent predictive factor of malignancy in follicular neoplasms of the thyroid gland. J Surg Oncol. 2012;105(4):351–6. </w:t>
      </w:r>
    </w:p>
    <w:p w14:paraId="6FFC414B"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14. </w:t>
      </w:r>
      <w:r w:rsidRPr="003D4BD6">
        <w:rPr>
          <w:rFonts w:ascii="Times New Roman" w:hAnsi="Times New Roman" w:cs="Times New Roman"/>
          <w:noProof/>
          <w:sz w:val="24"/>
          <w:szCs w:val="24"/>
        </w:rPr>
        <w:tab/>
        <w:t>Suh I, Vriens MR, Guerrero MA, Griffin A, Shen WT, Duh Q-Y, et al. Serum thyroglobulin is a poor diagnostic biomarker of malignancy in follicular and Ḧurthle-cell neoplasms of the thyroid. Am J Surg [Internet]. 2010 Jul [cited 2019 Mar 21];200(1):41–6. Available from: https://linkinghub.elsevier.com/retrieve/pii/S0002961009007107</w:t>
      </w:r>
    </w:p>
    <w:p w14:paraId="3B61D308"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15. </w:t>
      </w:r>
      <w:r w:rsidRPr="003D4BD6">
        <w:rPr>
          <w:rFonts w:ascii="Times New Roman" w:hAnsi="Times New Roman" w:cs="Times New Roman"/>
          <w:noProof/>
          <w:sz w:val="24"/>
          <w:szCs w:val="24"/>
        </w:rPr>
        <w:tab/>
        <w:t>Kihara M, Ito Y, Hirokawa M, Masuoka H, Yabuta T, Tomoda C, et al. Role of ultrasonography in patients with cytologically follicular thyroid tumor. Auris Nasus Larynx [Internet]. 2011 Aug [cited 2019 May 24];38(4):508–11. Available from: http://www.ncbi.nlm.nih.gov/pubmed/21269788</w:t>
      </w:r>
    </w:p>
    <w:p w14:paraId="32E9AC41" w14:textId="02992DDD"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16. </w:t>
      </w:r>
      <w:r w:rsidRPr="003D4BD6">
        <w:rPr>
          <w:rFonts w:ascii="Times New Roman" w:hAnsi="Times New Roman" w:cs="Times New Roman"/>
          <w:noProof/>
          <w:sz w:val="24"/>
          <w:szCs w:val="24"/>
        </w:rPr>
        <w:tab/>
      </w:r>
      <w:r w:rsidR="003D1FFA" w:rsidRPr="003D1FFA">
        <w:rPr>
          <w:rFonts w:ascii="Times New Roman" w:hAnsi="Times New Roman" w:cs="Times New Roman"/>
          <w:noProof/>
          <w:sz w:val="24"/>
          <w:szCs w:val="24"/>
        </w:rPr>
        <w:t>Korea’s Thyroid-Cancer “Epidemic” — Screening and Overdiagnosis. Hyeong Sik Ahn, M.D., Ph.D., Hyun Jung Kim, M.P.H., Ph.D., and H. Gilbert Welch, M.D., M.P.H. T. N Engl J Med. 2014;371(19):1763–5</w:t>
      </w:r>
      <w:r w:rsidRPr="003D4BD6">
        <w:rPr>
          <w:rFonts w:ascii="Times New Roman" w:hAnsi="Times New Roman" w:cs="Times New Roman"/>
          <w:noProof/>
          <w:sz w:val="24"/>
          <w:szCs w:val="24"/>
        </w:rPr>
        <w:t xml:space="preserve">. N Engl J Med. 2014;371(19):1763–5. </w:t>
      </w:r>
    </w:p>
    <w:p w14:paraId="498204FE"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szCs w:val="24"/>
        </w:rPr>
      </w:pPr>
      <w:r w:rsidRPr="003D4BD6">
        <w:rPr>
          <w:rFonts w:ascii="Times New Roman" w:hAnsi="Times New Roman" w:cs="Times New Roman"/>
          <w:noProof/>
          <w:sz w:val="24"/>
          <w:szCs w:val="24"/>
        </w:rPr>
        <w:t xml:space="preserve">17. </w:t>
      </w:r>
      <w:r w:rsidRPr="003D4BD6">
        <w:rPr>
          <w:rFonts w:ascii="Times New Roman" w:hAnsi="Times New Roman" w:cs="Times New Roman"/>
          <w:noProof/>
          <w:sz w:val="24"/>
          <w:szCs w:val="24"/>
        </w:rPr>
        <w:tab/>
        <w:t>Miranda-Filho A, Lortet-Tieulent J, Bray F, Cao B, Franceschi S, Vaccarella S, et al. Thyroid cancer incidence trends by histology in 25 countries: a population-based study. Lancet Diabetes Endocrinol [Internet]. 2021 Apr 1 [cited 2021 Dec 23];9(4):225–34. Available from: http://www.thelancet.com/article/S2213858721000279/fulltext</w:t>
      </w:r>
    </w:p>
    <w:p w14:paraId="1C0653C6" w14:textId="77777777" w:rsidR="003D4BD6" w:rsidRPr="003D4BD6" w:rsidRDefault="003D4BD6" w:rsidP="003D4BD6">
      <w:pPr>
        <w:widowControl w:val="0"/>
        <w:autoSpaceDE w:val="0"/>
        <w:autoSpaceDN w:val="0"/>
        <w:bidi w:val="0"/>
        <w:adjustRightInd w:val="0"/>
        <w:spacing w:line="360" w:lineRule="auto"/>
        <w:ind w:left="640" w:hanging="640"/>
        <w:rPr>
          <w:rFonts w:ascii="Times New Roman" w:hAnsi="Times New Roman" w:cs="Times New Roman"/>
          <w:noProof/>
          <w:sz w:val="24"/>
        </w:rPr>
      </w:pPr>
      <w:r w:rsidRPr="003D4BD6">
        <w:rPr>
          <w:rFonts w:ascii="Times New Roman" w:hAnsi="Times New Roman" w:cs="Times New Roman"/>
          <w:noProof/>
          <w:sz w:val="24"/>
          <w:szCs w:val="24"/>
        </w:rPr>
        <w:t xml:space="preserve">18. </w:t>
      </w:r>
      <w:r w:rsidRPr="003D4BD6">
        <w:rPr>
          <w:rFonts w:ascii="Times New Roman" w:hAnsi="Times New Roman" w:cs="Times New Roman"/>
          <w:noProof/>
          <w:sz w:val="24"/>
          <w:szCs w:val="24"/>
        </w:rPr>
        <w:tab/>
        <w:t>Mlinarić A, Horvat M, Smolčić VŠ. Dealing with the positive publication bias: Why you should really publish your negative results. Biochem medica [Internet]. 2017 Oct 1 [cited 2022 Apr 9];27(3). Available from: https://pubmed.ncbi.nlm.nih.gov/29180912/</w:t>
      </w:r>
    </w:p>
    <w:p w14:paraId="39DB87BD" w14:textId="1FDFD33A" w:rsidR="001B21B6" w:rsidRPr="006D79E4" w:rsidRDefault="001B21B6" w:rsidP="003D4BD6">
      <w:pPr>
        <w:widowControl w:val="0"/>
        <w:autoSpaceDE w:val="0"/>
        <w:autoSpaceDN w:val="0"/>
        <w:bidi w:val="0"/>
        <w:adjustRightInd w:val="0"/>
        <w:spacing w:line="360" w:lineRule="auto"/>
      </w:pPr>
      <w:r>
        <w:rPr>
          <w:rFonts w:asciiTheme="majorBidi" w:eastAsia="Times New Roman" w:hAnsiTheme="majorBidi" w:cstheme="majorBidi"/>
          <w:sz w:val="24"/>
          <w:szCs w:val="24"/>
        </w:rPr>
        <w:fldChar w:fldCharType="end"/>
      </w:r>
    </w:p>
    <w:p w14:paraId="7EB054BE" w14:textId="2D1B72E1" w:rsidR="00CE5714" w:rsidRPr="006D79E4" w:rsidRDefault="00CE5714" w:rsidP="000F412A">
      <w:pPr>
        <w:bidi w:val="0"/>
        <w:spacing w:line="360" w:lineRule="auto"/>
      </w:pPr>
    </w:p>
    <w:sectPr w:rsidR="00CE5714" w:rsidRPr="006D79E4" w:rsidSect="00FA7448">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B791" w14:textId="77777777" w:rsidR="00884315" w:rsidRDefault="00884315" w:rsidP="00825386">
      <w:pPr>
        <w:spacing w:after="0" w:line="240" w:lineRule="auto"/>
      </w:pPr>
      <w:r>
        <w:separator/>
      </w:r>
    </w:p>
  </w:endnote>
  <w:endnote w:type="continuationSeparator" w:id="0">
    <w:p w14:paraId="6D8F3B2E" w14:textId="77777777" w:rsidR="00884315" w:rsidRDefault="00884315" w:rsidP="008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6A2F" w14:textId="4AD33C5B" w:rsidR="00FA7448" w:rsidRDefault="00FA7448" w:rsidP="00FA7448">
    <w:pPr>
      <w:pStyle w:val="Footer"/>
    </w:pPr>
  </w:p>
  <w:p w14:paraId="58C09CDC" w14:textId="77777777" w:rsidR="00825386" w:rsidRDefault="00825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290837"/>
      <w:docPartObj>
        <w:docPartGallery w:val="Page Numbers (Bottom of Page)"/>
        <w:docPartUnique/>
      </w:docPartObj>
    </w:sdtPr>
    <w:sdtEndPr>
      <w:rPr>
        <w:noProof/>
      </w:rPr>
    </w:sdtEndPr>
    <w:sdtContent>
      <w:p w14:paraId="4D7326EB" w14:textId="77777777" w:rsidR="00FA7448" w:rsidRDefault="00FA74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8DBFD" w14:textId="77777777" w:rsidR="00FA7448" w:rsidRDefault="00FA7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AE3E" w14:textId="77777777" w:rsidR="00884315" w:rsidRDefault="00884315" w:rsidP="00825386">
      <w:pPr>
        <w:spacing w:after="0" w:line="240" w:lineRule="auto"/>
      </w:pPr>
      <w:r>
        <w:separator/>
      </w:r>
    </w:p>
  </w:footnote>
  <w:footnote w:type="continuationSeparator" w:id="0">
    <w:p w14:paraId="581411FA" w14:textId="77777777" w:rsidR="00884315" w:rsidRDefault="00884315" w:rsidP="00825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23A"/>
    <w:multiLevelType w:val="multilevel"/>
    <w:tmpl w:val="664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F1DB1"/>
    <w:multiLevelType w:val="hybridMultilevel"/>
    <w:tmpl w:val="7696FCFC"/>
    <w:lvl w:ilvl="0" w:tplc="D84432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3298D"/>
    <w:multiLevelType w:val="hybridMultilevel"/>
    <w:tmpl w:val="8A0C6E3C"/>
    <w:lvl w:ilvl="0" w:tplc="51B88DA6">
      <w:start w:val="1"/>
      <w:numFmt w:val="decimal"/>
      <w:lvlText w:val="%1."/>
      <w:lvlJc w:val="left"/>
      <w:pPr>
        <w:tabs>
          <w:tab w:val="num" w:pos="720"/>
        </w:tabs>
        <w:ind w:left="720" w:hanging="360"/>
      </w:pPr>
    </w:lvl>
    <w:lvl w:ilvl="1" w:tplc="91E69B5E" w:tentative="1">
      <w:start w:val="1"/>
      <w:numFmt w:val="decimal"/>
      <w:lvlText w:val="%2."/>
      <w:lvlJc w:val="left"/>
      <w:pPr>
        <w:tabs>
          <w:tab w:val="num" w:pos="1440"/>
        </w:tabs>
        <w:ind w:left="1440" w:hanging="360"/>
      </w:pPr>
    </w:lvl>
    <w:lvl w:ilvl="2" w:tplc="14EAD480" w:tentative="1">
      <w:start w:val="1"/>
      <w:numFmt w:val="decimal"/>
      <w:lvlText w:val="%3."/>
      <w:lvlJc w:val="left"/>
      <w:pPr>
        <w:tabs>
          <w:tab w:val="num" w:pos="2160"/>
        </w:tabs>
        <w:ind w:left="2160" w:hanging="360"/>
      </w:pPr>
    </w:lvl>
    <w:lvl w:ilvl="3" w:tplc="C1BA747C" w:tentative="1">
      <w:start w:val="1"/>
      <w:numFmt w:val="decimal"/>
      <w:lvlText w:val="%4."/>
      <w:lvlJc w:val="left"/>
      <w:pPr>
        <w:tabs>
          <w:tab w:val="num" w:pos="2880"/>
        </w:tabs>
        <w:ind w:left="2880" w:hanging="360"/>
      </w:pPr>
    </w:lvl>
    <w:lvl w:ilvl="4" w:tplc="3092A27E" w:tentative="1">
      <w:start w:val="1"/>
      <w:numFmt w:val="decimal"/>
      <w:lvlText w:val="%5."/>
      <w:lvlJc w:val="left"/>
      <w:pPr>
        <w:tabs>
          <w:tab w:val="num" w:pos="3600"/>
        </w:tabs>
        <w:ind w:left="3600" w:hanging="360"/>
      </w:pPr>
    </w:lvl>
    <w:lvl w:ilvl="5" w:tplc="4928EE8C" w:tentative="1">
      <w:start w:val="1"/>
      <w:numFmt w:val="decimal"/>
      <w:lvlText w:val="%6."/>
      <w:lvlJc w:val="left"/>
      <w:pPr>
        <w:tabs>
          <w:tab w:val="num" w:pos="4320"/>
        </w:tabs>
        <w:ind w:left="4320" w:hanging="360"/>
      </w:pPr>
    </w:lvl>
    <w:lvl w:ilvl="6" w:tplc="F1F84DCA" w:tentative="1">
      <w:start w:val="1"/>
      <w:numFmt w:val="decimal"/>
      <w:lvlText w:val="%7."/>
      <w:lvlJc w:val="left"/>
      <w:pPr>
        <w:tabs>
          <w:tab w:val="num" w:pos="5040"/>
        </w:tabs>
        <w:ind w:left="5040" w:hanging="360"/>
      </w:pPr>
    </w:lvl>
    <w:lvl w:ilvl="7" w:tplc="D70445E2" w:tentative="1">
      <w:start w:val="1"/>
      <w:numFmt w:val="decimal"/>
      <w:lvlText w:val="%8."/>
      <w:lvlJc w:val="left"/>
      <w:pPr>
        <w:tabs>
          <w:tab w:val="num" w:pos="5760"/>
        </w:tabs>
        <w:ind w:left="5760" w:hanging="360"/>
      </w:pPr>
    </w:lvl>
    <w:lvl w:ilvl="8" w:tplc="62FE03E8" w:tentative="1">
      <w:start w:val="1"/>
      <w:numFmt w:val="decimal"/>
      <w:lvlText w:val="%9."/>
      <w:lvlJc w:val="left"/>
      <w:pPr>
        <w:tabs>
          <w:tab w:val="num" w:pos="6480"/>
        </w:tabs>
        <w:ind w:left="6480" w:hanging="360"/>
      </w:pPr>
    </w:lvl>
  </w:abstractNum>
  <w:abstractNum w:abstractNumId="3" w15:restartNumberingAfterBreak="0">
    <w:nsid w:val="52E14319"/>
    <w:multiLevelType w:val="hybridMultilevel"/>
    <w:tmpl w:val="A88A64B2"/>
    <w:lvl w:ilvl="0" w:tplc="88A235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34E37"/>
    <w:multiLevelType w:val="hybridMultilevel"/>
    <w:tmpl w:val="E16C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02A8F"/>
    <w:multiLevelType w:val="hybridMultilevel"/>
    <w:tmpl w:val="0BF2C390"/>
    <w:lvl w:ilvl="0" w:tplc="0BBC719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651628">
    <w:abstractNumId w:val="5"/>
  </w:num>
  <w:num w:numId="2" w16cid:durableId="1742210042">
    <w:abstractNumId w:val="1"/>
  </w:num>
  <w:num w:numId="3" w16cid:durableId="781996797">
    <w:abstractNumId w:val="3"/>
  </w:num>
  <w:num w:numId="4" w16cid:durableId="7878359">
    <w:abstractNumId w:val="4"/>
  </w:num>
  <w:num w:numId="5" w16cid:durableId="2117286172">
    <w:abstractNumId w:val="0"/>
  </w:num>
  <w:num w:numId="6" w16cid:durableId="774785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5F"/>
    <w:rsid w:val="000002F1"/>
    <w:rsid w:val="00003D48"/>
    <w:rsid w:val="00004D4E"/>
    <w:rsid w:val="00012CFD"/>
    <w:rsid w:val="0001325B"/>
    <w:rsid w:val="000218E1"/>
    <w:rsid w:val="00021987"/>
    <w:rsid w:val="0002429F"/>
    <w:rsid w:val="0002672B"/>
    <w:rsid w:val="00027658"/>
    <w:rsid w:val="00027908"/>
    <w:rsid w:val="0003052B"/>
    <w:rsid w:val="00031EF6"/>
    <w:rsid w:val="000333B1"/>
    <w:rsid w:val="00037999"/>
    <w:rsid w:val="0004259B"/>
    <w:rsid w:val="00043314"/>
    <w:rsid w:val="00051087"/>
    <w:rsid w:val="00056BAA"/>
    <w:rsid w:val="0005724B"/>
    <w:rsid w:val="00063645"/>
    <w:rsid w:val="00065CBD"/>
    <w:rsid w:val="0008243D"/>
    <w:rsid w:val="00084682"/>
    <w:rsid w:val="000926A4"/>
    <w:rsid w:val="000930A6"/>
    <w:rsid w:val="000946E8"/>
    <w:rsid w:val="00095891"/>
    <w:rsid w:val="0009651D"/>
    <w:rsid w:val="00096641"/>
    <w:rsid w:val="000A1D35"/>
    <w:rsid w:val="000A3509"/>
    <w:rsid w:val="000A6A35"/>
    <w:rsid w:val="000C0A14"/>
    <w:rsid w:val="000C4C9C"/>
    <w:rsid w:val="000D59CD"/>
    <w:rsid w:val="000D5CB5"/>
    <w:rsid w:val="000E36FB"/>
    <w:rsid w:val="000E5E4E"/>
    <w:rsid w:val="000E6181"/>
    <w:rsid w:val="000E642A"/>
    <w:rsid w:val="000F34A7"/>
    <w:rsid w:val="000F3E7B"/>
    <w:rsid w:val="000F412A"/>
    <w:rsid w:val="00101504"/>
    <w:rsid w:val="00111FA7"/>
    <w:rsid w:val="0011556B"/>
    <w:rsid w:val="00121B53"/>
    <w:rsid w:val="00122C28"/>
    <w:rsid w:val="00125FC4"/>
    <w:rsid w:val="00136A5B"/>
    <w:rsid w:val="00141857"/>
    <w:rsid w:val="00143335"/>
    <w:rsid w:val="00143EAB"/>
    <w:rsid w:val="00146904"/>
    <w:rsid w:val="0014729F"/>
    <w:rsid w:val="00151D78"/>
    <w:rsid w:val="0015322E"/>
    <w:rsid w:val="00154E55"/>
    <w:rsid w:val="00155A64"/>
    <w:rsid w:val="00160A33"/>
    <w:rsid w:val="0016122A"/>
    <w:rsid w:val="001616B7"/>
    <w:rsid w:val="00167AF3"/>
    <w:rsid w:val="00172D5B"/>
    <w:rsid w:val="001744E8"/>
    <w:rsid w:val="00174A4E"/>
    <w:rsid w:val="001759F9"/>
    <w:rsid w:val="00180291"/>
    <w:rsid w:val="001857DA"/>
    <w:rsid w:val="0018722C"/>
    <w:rsid w:val="001A36A0"/>
    <w:rsid w:val="001A7A4B"/>
    <w:rsid w:val="001B0721"/>
    <w:rsid w:val="001B21B6"/>
    <w:rsid w:val="001B6817"/>
    <w:rsid w:val="001C19E4"/>
    <w:rsid w:val="001C258B"/>
    <w:rsid w:val="001C53F4"/>
    <w:rsid w:val="001D1841"/>
    <w:rsid w:val="001D6942"/>
    <w:rsid w:val="001D77D3"/>
    <w:rsid w:val="001E4787"/>
    <w:rsid w:val="001F204E"/>
    <w:rsid w:val="001F3C5F"/>
    <w:rsid w:val="001F4C1A"/>
    <w:rsid w:val="001F71B4"/>
    <w:rsid w:val="00212237"/>
    <w:rsid w:val="0021688E"/>
    <w:rsid w:val="002201B3"/>
    <w:rsid w:val="00220243"/>
    <w:rsid w:val="00220CAB"/>
    <w:rsid w:val="002211BB"/>
    <w:rsid w:val="002247AA"/>
    <w:rsid w:val="00230E95"/>
    <w:rsid w:val="002315C2"/>
    <w:rsid w:val="00235C3B"/>
    <w:rsid w:val="00236F88"/>
    <w:rsid w:val="002413D1"/>
    <w:rsid w:val="00243FCF"/>
    <w:rsid w:val="00245F7B"/>
    <w:rsid w:val="00254A69"/>
    <w:rsid w:val="0025639D"/>
    <w:rsid w:val="002677CB"/>
    <w:rsid w:val="00270CE3"/>
    <w:rsid w:val="00271601"/>
    <w:rsid w:val="00271ED1"/>
    <w:rsid w:val="0027445F"/>
    <w:rsid w:val="0027483A"/>
    <w:rsid w:val="002806DA"/>
    <w:rsid w:val="00280898"/>
    <w:rsid w:val="00283413"/>
    <w:rsid w:val="00286AA2"/>
    <w:rsid w:val="002A445E"/>
    <w:rsid w:val="002A6B2C"/>
    <w:rsid w:val="002A73E5"/>
    <w:rsid w:val="002B0734"/>
    <w:rsid w:val="002B2581"/>
    <w:rsid w:val="002B4FE0"/>
    <w:rsid w:val="002B5514"/>
    <w:rsid w:val="002C0259"/>
    <w:rsid w:val="002C40E3"/>
    <w:rsid w:val="002C6B24"/>
    <w:rsid w:val="002D09FD"/>
    <w:rsid w:val="002D0A33"/>
    <w:rsid w:val="002D23B8"/>
    <w:rsid w:val="002E3C98"/>
    <w:rsid w:val="002E3D9F"/>
    <w:rsid w:val="002E6EE3"/>
    <w:rsid w:val="002F4002"/>
    <w:rsid w:val="002F5283"/>
    <w:rsid w:val="003009CD"/>
    <w:rsid w:val="00306115"/>
    <w:rsid w:val="003113E8"/>
    <w:rsid w:val="0031786B"/>
    <w:rsid w:val="003217B1"/>
    <w:rsid w:val="00323656"/>
    <w:rsid w:val="003253E8"/>
    <w:rsid w:val="00327016"/>
    <w:rsid w:val="003367E6"/>
    <w:rsid w:val="003373BE"/>
    <w:rsid w:val="00341F72"/>
    <w:rsid w:val="00350EC5"/>
    <w:rsid w:val="0035530C"/>
    <w:rsid w:val="00361AFC"/>
    <w:rsid w:val="00367C6F"/>
    <w:rsid w:val="003717BF"/>
    <w:rsid w:val="00375B4A"/>
    <w:rsid w:val="00382594"/>
    <w:rsid w:val="00383D86"/>
    <w:rsid w:val="00392435"/>
    <w:rsid w:val="00393549"/>
    <w:rsid w:val="003944E1"/>
    <w:rsid w:val="003A037B"/>
    <w:rsid w:val="003A30FB"/>
    <w:rsid w:val="003B0A2B"/>
    <w:rsid w:val="003B5485"/>
    <w:rsid w:val="003C6A43"/>
    <w:rsid w:val="003D1537"/>
    <w:rsid w:val="003D1FFA"/>
    <w:rsid w:val="003D4BD6"/>
    <w:rsid w:val="003D501E"/>
    <w:rsid w:val="003E1CAA"/>
    <w:rsid w:val="003E66E2"/>
    <w:rsid w:val="003E695E"/>
    <w:rsid w:val="003E79F8"/>
    <w:rsid w:val="003F3B31"/>
    <w:rsid w:val="003F66DD"/>
    <w:rsid w:val="004025AE"/>
    <w:rsid w:val="004045C5"/>
    <w:rsid w:val="00404C9B"/>
    <w:rsid w:val="00407FA9"/>
    <w:rsid w:val="00411C20"/>
    <w:rsid w:val="00411D6D"/>
    <w:rsid w:val="00412399"/>
    <w:rsid w:val="00417545"/>
    <w:rsid w:val="00421703"/>
    <w:rsid w:val="00423659"/>
    <w:rsid w:val="00426EDC"/>
    <w:rsid w:val="00432A6F"/>
    <w:rsid w:val="00435284"/>
    <w:rsid w:val="00437D0F"/>
    <w:rsid w:val="00442A69"/>
    <w:rsid w:val="00443480"/>
    <w:rsid w:val="0044381B"/>
    <w:rsid w:val="0045471A"/>
    <w:rsid w:val="0045758B"/>
    <w:rsid w:val="00457E01"/>
    <w:rsid w:val="00457E57"/>
    <w:rsid w:val="00460C23"/>
    <w:rsid w:val="00461E4E"/>
    <w:rsid w:val="004631F7"/>
    <w:rsid w:val="004722B9"/>
    <w:rsid w:val="004727D1"/>
    <w:rsid w:val="004745D1"/>
    <w:rsid w:val="00475AEE"/>
    <w:rsid w:val="00482CCE"/>
    <w:rsid w:val="00487346"/>
    <w:rsid w:val="0049205D"/>
    <w:rsid w:val="00494228"/>
    <w:rsid w:val="004946DE"/>
    <w:rsid w:val="0049679D"/>
    <w:rsid w:val="004A3390"/>
    <w:rsid w:val="004A3507"/>
    <w:rsid w:val="004A3941"/>
    <w:rsid w:val="004A39E6"/>
    <w:rsid w:val="004A4964"/>
    <w:rsid w:val="004A49BD"/>
    <w:rsid w:val="004A7D03"/>
    <w:rsid w:val="004B6D0D"/>
    <w:rsid w:val="004B7321"/>
    <w:rsid w:val="004D06E0"/>
    <w:rsid w:val="004D089F"/>
    <w:rsid w:val="004D19FF"/>
    <w:rsid w:val="004D614B"/>
    <w:rsid w:val="004D636D"/>
    <w:rsid w:val="004D788C"/>
    <w:rsid w:val="004E25BA"/>
    <w:rsid w:val="004E25C8"/>
    <w:rsid w:val="004E3012"/>
    <w:rsid w:val="004E3341"/>
    <w:rsid w:val="004E4BC4"/>
    <w:rsid w:val="004F0799"/>
    <w:rsid w:val="004F1264"/>
    <w:rsid w:val="0050262F"/>
    <w:rsid w:val="00512A6A"/>
    <w:rsid w:val="005140AD"/>
    <w:rsid w:val="005145ED"/>
    <w:rsid w:val="005158C4"/>
    <w:rsid w:val="005167C3"/>
    <w:rsid w:val="00520AB1"/>
    <w:rsid w:val="005217BC"/>
    <w:rsid w:val="00521A38"/>
    <w:rsid w:val="00523005"/>
    <w:rsid w:val="005333E4"/>
    <w:rsid w:val="005350AD"/>
    <w:rsid w:val="00547D17"/>
    <w:rsid w:val="00554822"/>
    <w:rsid w:val="005563B5"/>
    <w:rsid w:val="0055710D"/>
    <w:rsid w:val="005619E7"/>
    <w:rsid w:val="00561CAA"/>
    <w:rsid w:val="00561E73"/>
    <w:rsid w:val="005629D2"/>
    <w:rsid w:val="00563D43"/>
    <w:rsid w:val="00567C19"/>
    <w:rsid w:val="0057193F"/>
    <w:rsid w:val="00577CDF"/>
    <w:rsid w:val="00585091"/>
    <w:rsid w:val="005A2AA6"/>
    <w:rsid w:val="005A47E5"/>
    <w:rsid w:val="005B0F5A"/>
    <w:rsid w:val="005B6AF2"/>
    <w:rsid w:val="005C55AF"/>
    <w:rsid w:val="005C6720"/>
    <w:rsid w:val="005C754E"/>
    <w:rsid w:val="005D1412"/>
    <w:rsid w:val="005D4215"/>
    <w:rsid w:val="005D7FBA"/>
    <w:rsid w:val="005E22E9"/>
    <w:rsid w:val="005E383D"/>
    <w:rsid w:val="005E42A0"/>
    <w:rsid w:val="005F022C"/>
    <w:rsid w:val="005F733F"/>
    <w:rsid w:val="00600991"/>
    <w:rsid w:val="006057E5"/>
    <w:rsid w:val="0061308C"/>
    <w:rsid w:val="0062577B"/>
    <w:rsid w:val="00631983"/>
    <w:rsid w:val="00631FCA"/>
    <w:rsid w:val="006353AF"/>
    <w:rsid w:val="006370DA"/>
    <w:rsid w:val="00640992"/>
    <w:rsid w:val="006439F1"/>
    <w:rsid w:val="00646447"/>
    <w:rsid w:val="00650B45"/>
    <w:rsid w:val="00656916"/>
    <w:rsid w:val="00660C15"/>
    <w:rsid w:val="0066406C"/>
    <w:rsid w:val="00666A57"/>
    <w:rsid w:val="00672D23"/>
    <w:rsid w:val="00673D68"/>
    <w:rsid w:val="00674933"/>
    <w:rsid w:val="00674BE4"/>
    <w:rsid w:val="0068198F"/>
    <w:rsid w:val="006839DD"/>
    <w:rsid w:val="006840D2"/>
    <w:rsid w:val="00685C9F"/>
    <w:rsid w:val="00691905"/>
    <w:rsid w:val="00691AF5"/>
    <w:rsid w:val="00694339"/>
    <w:rsid w:val="0069499B"/>
    <w:rsid w:val="006A1167"/>
    <w:rsid w:val="006A7DD7"/>
    <w:rsid w:val="006B0926"/>
    <w:rsid w:val="006B0A3B"/>
    <w:rsid w:val="006B15F5"/>
    <w:rsid w:val="006B4FEF"/>
    <w:rsid w:val="006B52DE"/>
    <w:rsid w:val="006B558F"/>
    <w:rsid w:val="006B5C5E"/>
    <w:rsid w:val="006C2A12"/>
    <w:rsid w:val="006C30BF"/>
    <w:rsid w:val="006C3168"/>
    <w:rsid w:val="006C6F89"/>
    <w:rsid w:val="006D1410"/>
    <w:rsid w:val="006D4F7D"/>
    <w:rsid w:val="006D558F"/>
    <w:rsid w:val="006D79E4"/>
    <w:rsid w:val="006E02FE"/>
    <w:rsid w:val="006E5ACF"/>
    <w:rsid w:val="006F1422"/>
    <w:rsid w:val="006F3217"/>
    <w:rsid w:val="006F3541"/>
    <w:rsid w:val="006F4D53"/>
    <w:rsid w:val="006F4D6E"/>
    <w:rsid w:val="006F5E20"/>
    <w:rsid w:val="006F60CE"/>
    <w:rsid w:val="006F79C7"/>
    <w:rsid w:val="00712273"/>
    <w:rsid w:val="007134C6"/>
    <w:rsid w:val="00714E55"/>
    <w:rsid w:val="00715C6E"/>
    <w:rsid w:val="00715CEC"/>
    <w:rsid w:val="0071644F"/>
    <w:rsid w:val="00720AD9"/>
    <w:rsid w:val="007277FC"/>
    <w:rsid w:val="0073166E"/>
    <w:rsid w:val="00745188"/>
    <w:rsid w:val="00745709"/>
    <w:rsid w:val="00751A9A"/>
    <w:rsid w:val="00756974"/>
    <w:rsid w:val="00757BD6"/>
    <w:rsid w:val="00761261"/>
    <w:rsid w:val="00761767"/>
    <w:rsid w:val="007639C7"/>
    <w:rsid w:val="007663FC"/>
    <w:rsid w:val="00767C05"/>
    <w:rsid w:val="00780C8B"/>
    <w:rsid w:val="00780FFB"/>
    <w:rsid w:val="0078222B"/>
    <w:rsid w:val="00786C33"/>
    <w:rsid w:val="00786F55"/>
    <w:rsid w:val="00787D2B"/>
    <w:rsid w:val="0079036A"/>
    <w:rsid w:val="00790A82"/>
    <w:rsid w:val="00791BFF"/>
    <w:rsid w:val="0079593C"/>
    <w:rsid w:val="007A09EF"/>
    <w:rsid w:val="007B274A"/>
    <w:rsid w:val="007B677F"/>
    <w:rsid w:val="007C0998"/>
    <w:rsid w:val="007C3DE3"/>
    <w:rsid w:val="007C45F0"/>
    <w:rsid w:val="007C686B"/>
    <w:rsid w:val="007C7E37"/>
    <w:rsid w:val="007D1BB2"/>
    <w:rsid w:val="007D607F"/>
    <w:rsid w:val="007D632C"/>
    <w:rsid w:val="007D6AE5"/>
    <w:rsid w:val="007E250C"/>
    <w:rsid w:val="007E7241"/>
    <w:rsid w:val="007F053B"/>
    <w:rsid w:val="007F2019"/>
    <w:rsid w:val="008015E4"/>
    <w:rsid w:val="00801637"/>
    <w:rsid w:val="00801C23"/>
    <w:rsid w:val="00802332"/>
    <w:rsid w:val="008037A7"/>
    <w:rsid w:val="00803C25"/>
    <w:rsid w:val="00806C7F"/>
    <w:rsid w:val="00816494"/>
    <w:rsid w:val="00816C4A"/>
    <w:rsid w:val="00817B80"/>
    <w:rsid w:val="00817FBB"/>
    <w:rsid w:val="00825386"/>
    <w:rsid w:val="00831023"/>
    <w:rsid w:val="008337BC"/>
    <w:rsid w:val="00834F35"/>
    <w:rsid w:val="00835BB0"/>
    <w:rsid w:val="00842C38"/>
    <w:rsid w:val="0084475B"/>
    <w:rsid w:val="008475B6"/>
    <w:rsid w:val="00850827"/>
    <w:rsid w:val="00850D38"/>
    <w:rsid w:val="0085285B"/>
    <w:rsid w:val="00856093"/>
    <w:rsid w:val="00856D6A"/>
    <w:rsid w:val="0086476F"/>
    <w:rsid w:val="0086707E"/>
    <w:rsid w:val="00871C24"/>
    <w:rsid w:val="00871E71"/>
    <w:rsid w:val="00871F81"/>
    <w:rsid w:val="00880FE7"/>
    <w:rsid w:val="008841FB"/>
    <w:rsid w:val="00884315"/>
    <w:rsid w:val="00884C5D"/>
    <w:rsid w:val="00887870"/>
    <w:rsid w:val="00890B65"/>
    <w:rsid w:val="00892CDA"/>
    <w:rsid w:val="008949D5"/>
    <w:rsid w:val="00895293"/>
    <w:rsid w:val="00896A66"/>
    <w:rsid w:val="0089768D"/>
    <w:rsid w:val="00897F32"/>
    <w:rsid w:val="008A2355"/>
    <w:rsid w:val="008B08E6"/>
    <w:rsid w:val="008B458C"/>
    <w:rsid w:val="008C132B"/>
    <w:rsid w:val="008C1D16"/>
    <w:rsid w:val="008C34A9"/>
    <w:rsid w:val="008C41C7"/>
    <w:rsid w:val="008C626E"/>
    <w:rsid w:val="008C74B3"/>
    <w:rsid w:val="008C7D60"/>
    <w:rsid w:val="008D1F11"/>
    <w:rsid w:val="008D22A4"/>
    <w:rsid w:val="008D74F9"/>
    <w:rsid w:val="008E05E6"/>
    <w:rsid w:val="008E2DA7"/>
    <w:rsid w:val="008E34B4"/>
    <w:rsid w:val="008E3EEB"/>
    <w:rsid w:val="008E6ADB"/>
    <w:rsid w:val="008E7625"/>
    <w:rsid w:val="008F2CF2"/>
    <w:rsid w:val="008F3F79"/>
    <w:rsid w:val="00901FFF"/>
    <w:rsid w:val="0090305B"/>
    <w:rsid w:val="00917B43"/>
    <w:rsid w:val="00917F14"/>
    <w:rsid w:val="0092383B"/>
    <w:rsid w:val="00924EE0"/>
    <w:rsid w:val="00932B4E"/>
    <w:rsid w:val="00935D32"/>
    <w:rsid w:val="009542DA"/>
    <w:rsid w:val="009562E2"/>
    <w:rsid w:val="0096041E"/>
    <w:rsid w:val="00972E50"/>
    <w:rsid w:val="009826E3"/>
    <w:rsid w:val="00983E6E"/>
    <w:rsid w:val="00985422"/>
    <w:rsid w:val="009862D5"/>
    <w:rsid w:val="00990CC3"/>
    <w:rsid w:val="00994BA4"/>
    <w:rsid w:val="009A022E"/>
    <w:rsid w:val="009A0E73"/>
    <w:rsid w:val="009A700C"/>
    <w:rsid w:val="009B1A54"/>
    <w:rsid w:val="009B4B7B"/>
    <w:rsid w:val="009B5E08"/>
    <w:rsid w:val="009C0185"/>
    <w:rsid w:val="009C03C7"/>
    <w:rsid w:val="009C1D89"/>
    <w:rsid w:val="009C20BD"/>
    <w:rsid w:val="009C2371"/>
    <w:rsid w:val="009C312D"/>
    <w:rsid w:val="009C3F99"/>
    <w:rsid w:val="009C55CD"/>
    <w:rsid w:val="009C5A33"/>
    <w:rsid w:val="009C6DF6"/>
    <w:rsid w:val="009C7F48"/>
    <w:rsid w:val="009D176E"/>
    <w:rsid w:val="009D399A"/>
    <w:rsid w:val="009D426F"/>
    <w:rsid w:val="009E168F"/>
    <w:rsid w:val="009E3226"/>
    <w:rsid w:val="009E38EC"/>
    <w:rsid w:val="009F681C"/>
    <w:rsid w:val="00A06CDD"/>
    <w:rsid w:val="00A15DA7"/>
    <w:rsid w:val="00A30706"/>
    <w:rsid w:val="00A336FD"/>
    <w:rsid w:val="00A3664A"/>
    <w:rsid w:val="00A4250E"/>
    <w:rsid w:val="00A45A1C"/>
    <w:rsid w:val="00A53CC8"/>
    <w:rsid w:val="00A54598"/>
    <w:rsid w:val="00A562F6"/>
    <w:rsid w:val="00A577E7"/>
    <w:rsid w:val="00A57A1F"/>
    <w:rsid w:val="00A57E7E"/>
    <w:rsid w:val="00A60BF3"/>
    <w:rsid w:val="00A60D64"/>
    <w:rsid w:val="00A61439"/>
    <w:rsid w:val="00A62408"/>
    <w:rsid w:val="00A66312"/>
    <w:rsid w:val="00A7499C"/>
    <w:rsid w:val="00A755CF"/>
    <w:rsid w:val="00A75C92"/>
    <w:rsid w:val="00A762EC"/>
    <w:rsid w:val="00A84FAF"/>
    <w:rsid w:val="00A85289"/>
    <w:rsid w:val="00A85EE5"/>
    <w:rsid w:val="00A91050"/>
    <w:rsid w:val="00A9185F"/>
    <w:rsid w:val="00A931D6"/>
    <w:rsid w:val="00AA5D42"/>
    <w:rsid w:val="00AA6B7B"/>
    <w:rsid w:val="00AB6813"/>
    <w:rsid w:val="00AC2024"/>
    <w:rsid w:val="00AC205E"/>
    <w:rsid w:val="00AC23E6"/>
    <w:rsid w:val="00AC2A41"/>
    <w:rsid w:val="00AD0F99"/>
    <w:rsid w:val="00AD19E9"/>
    <w:rsid w:val="00AD1CF9"/>
    <w:rsid w:val="00AD6C27"/>
    <w:rsid w:val="00AE3680"/>
    <w:rsid w:val="00AE6F71"/>
    <w:rsid w:val="00AE735E"/>
    <w:rsid w:val="00AF69F9"/>
    <w:rsid w:val="00AF705B"/>
    <w:rsid w:val="00B001B1"/>
    <w:rsid w:val="00B0049A"/>
    <w:rsid w:val="00B0065A"/>
    <w:rsid w:val="00B015BC"/>
    <w:rsid w:val="00B04A4C"/>
    <w:rsid w:val="00B121B6"/>
    <w:rsid w:val="00B17D40"/>
    <w:rsid w:val="00B2142C"/>
    <w:rsid w:val="00B27654"/>
    <w:rsid w:val="00B30810"/>
    <w:rsid w:val="00B32188"/>
    <w:rsid w:val="00B412A6"/>
    <w:rsid w:val="00B4130D"/>
    <w:rsid w:val="00B471F8"/>
    <w:rsid w:val="00B47327"/>
    <w:rsid w:val="00B50B8D"/>
    <w:rsid w:val="00B50E6E"/>
    <w:rsid w:val="00B512EA"/>
    <w:rsid w:val="00B57BBE"/>
    <w:rsid w:val="00B60D54"/>
    <w:rsid w:val="00B64432"/>
    <w:rsid w:val="00B65FA8"/>
    <w:rsid w:val="00B76862"/>
    <w:rsid w:val="00B76DDF"/>
    <w:rsid w:val="00B77CDD"/>
    <w:rsid w:val="00B87DFA"/>
    <w:rsid w:val="00B917B2"/>
    <w:rsid w:val="00B91D25"/>
    <w:rsid w:val="00B96B8E"/>
    <w:rsid w:val="00B9700A"/>
    <w:rsid w:val="00BA081F"/>
    <w:rsid w:val="00BA1C63"/>
    <w:rsid w:val="00BA487B"/>
    <w:rsid w:val="00BA7A48"/>
    <w:rsid w:val="00BB2E21"/>
    <w:rsid w:val="00BB79CC"/>
    <w:rsid w:val="00BC0E96"/>
    <w:rsid w:val="00BD0686"/>
    <w:rsid w:val="00BD3D9B"/>
    <w:rsid w:val="00BD4F6A"/>
    <w:rsid w:val="00BD545A"/>
    <w:rsid w:val="00BE0A54"/>
    <w:rsid w:val="00BE22D2"/>
    <w:rsid w:val="00BE7677"/>
    <w:rsid w:val="00BF2D63"/>
    <w:rsid w:val="00BF66BA"/>
    <w:rsid w:val="00BF6D04"/>
    <w:rsid w:val="00C04E8A"/>
    <w:rsid w:val="00C11FEE"/>
    <w:rsid w:val="00C125F4"/>
    <w:rsid w:val="00C12CE1"/>
    <w:rsid w:val="00C1541F"/>
    <w:rsid w:val="00C16326"/>
    <w:rsid w:val="00C17A3B"/>
    <w:rsid w:val="00C25D23"/>
    <w:rsid w:val="00C3537A"/>
    <w:rsid w:val="00C47124"/>
    <w:rsid w:val="00C476D7"/>
    <w:rsid w:val="00C50572"/>
    <w:rsid w:val="00C551BD"/>
    <w:rsid w:val="00C552D9"/>
    <w:rsid w:val="00C5711B"/>
    <w:rsid w:val="00C61D38"/>
    <w:rsid w:val="00C651D0"/>
    <w:rsid w:val="00C661DD"/>
    <w:rsid w:val="00C67420"/>
    <w:rsid w:val="00C70341"/>
    <w:rsid w:val="00C704FA"/>
    <w:rsid w:val="00C726D7"/>
    <w:rsid w:val="00C8289F"/>
    <w:rsid w:val="00C84731"/>
    <w:rsid w:val="00C867CA"/>
    <w:rsid w:val="00C9000F"/>
    <w:rsid w:val="00C92556"/>
    <w:rsid w:val="00C94471"/>
    <w:rsid w:val="00CA218B"/>
    <w:rsid w:val="00CB0330"/>
    <w:rsid w:val="00CB110C"/>
    <w:rsid w:val="00CB1A0B"/>
    <w:rsid w:val="00CC131F"/>
    <w:rsid w:val="00CC2644"/>
    <w:rsid w:val="00CC3EDB"/>
    <w:rsid w:val="00CC5152"/>
    <w:rsid w:val="00CD2006"/>
    <w:rsid w:val="00CD5D66"/>
    <w:rsid w:val="00CD6705"/>
    <w:rsid w:val="00CD719D"/>
    <w:rsid w:val="00CE0C13"/>
    <w:rsid w:val="00CE14FE"/>
    <w:rsid w:val="00CE5714"/>
    <w:rsid w:val="00CF2B08"/>
    <w:rsid w:val="00CF4290"/>
    <w:rsid w:val="00CF5686"/>
    <w:rsid w:val="00D00E07"/>
    <w:rsid w:val="00D03CB8"/>
    <w:rsid w:val="00D0433C"/>
    <w:rsid w:val="00D05E50"/>
    <w:rsid w:val="00D06E38"/>
    <w:rsid w:val="00D1516E"/>
    <w:rsid w:val="00D20E07"/>
    <w:rsid w:val="00D21A75"/>
    <w:rsid w:val="00D21A9A"/>
    <w:rsid w:val="00D24D7D"/>
    <w:rsid w:val="00D25B39"/>
    <w:rsid w:val="00D26028"/>
    <w:rsid w:val="00D2794B"/>
    <w:rsid w:val="00D301E6"/>
    <w:rsid w:val="00D303B8"/>
    <w:rsid w:val="00D31CB1"/>
    <w:rsid w:val="00D32180"/>
    <w:rsid w:val="00D321C6"/>
    <w:rsid w:val="00D352A5"/>
    <w:rsid w:val="00D40D44"/>
    <w:rsid w:val="00D40F2B"/>
    <w:rsid w:val="00D44EBA"/>
    <w:rsid w:val="00D46EB6"/>
    <w:rsid w:val="00D477D4"/>
    <w:rsid w:val="00D479D1"/>
    <w:rsid w:val="00D557D7"/>
    <w:rsid w:val="00D61B95"/>
    <w:rsid w:val="00D73BC6"/>
    <w:rsid w:val="00D7504F"/>
    <w:rsid w:val="00D84DA2"/>
    <w:rsid w:val="00D8720C"/>
    <w:rsid w:val="00DA1081"/>
    <w:rsid w:val="00DA196B"/>
    <w:rsid w:val="00DA290A"/>
    <w:rsid w:val="00DA6E5B"/>
    <w:rsid w:val="00DC07C2"/>
    <w:rsid w:val="00DC0812"/>
    <w:rsid w:val="00DC097E"/>
    <w:rsid w:val="00DC378C"/>
    <w:rsid w:val="00DC393C"/>
    <w:rsid w:val="00DC4D3A"/>
    <w:rsid w:val="00DD0471"/>
    <w:rsid w:val="00DD3174"/>
    <w:rsid w:val="00DD4B4F"/>
    <w:rsid w:val="00DD61D2"/>
    <w:rsid w:val="00DD7409"/>
    <w:rsid w:val="00DE1318"/>
    <w:rsid w:val="00DE4515"/>
    <w:rsid w:val="00DF0C83"/>
    <w:rsid w:val="00DF12FD"/>
    <w:rsid w:val="00DF5403"/>
    <w:rsid w:val="00DF6894"/>
    <w:rsid w:val="00DF6DA9"/>
    <w:rsid w:val="00E114C5"/>
    <w:rsid w:val="00E12179"/>
    <w:rsid w:val="00E15390"/>
    <w:rsid w:val="00E260C8"/>
    <w:rsid w:val="00E31CDC"/>
    <w:rsid w:val="00E32AF5"/>
    <w:rsid w:val="00E37F4A"/>
    <w:rsid w:val="00E444BC"/>
    <w:rsid w:val="00E44BCE"/>
    <w:rsid w:val="00E47E31"/>
    <w:rsid w:val="00E51A6A"/>
    <w:rsid w:val="00E5483C"/>
    <w:rsid w:val="00E55F8E"/>
    <w:rsid w:val="00E5648E"/>
    <w:rsid w:val="00E61CBC"/>
    <w:rsid w:val="00E6440C"/>
    <w:rsid w:val="00E650CF"/>
    <w:rsid w:val="00E6790D"/>
    <w:rsid w:val="00E67EE1"/>
    <w:rsid w:val="00E7024A"/>
    <w:rsid w:val="00E70EF0"/>
    <w:rsid w:val="00E77BC4"/>
    <w:rsid w:val="00E862F4"/>
    <w:rsid w:val="00E87B9A"/>
    <w:rsid w:val="00E90557"/>
    <w:rsid w:val="00E9109B"/>
    <w:rsid w:val="00E930B0"/>
    <w:rsid w:val="00E95384"/>
    <w:rsid w:val="00EA69B0"/>
    <w:rsid w:val="00EA6EDC"/>
    <w:rsid w:val="00EB08B5"/>
    <w:rsid w:val="00EB5CC0"/>
    <w:rsid w:val="00EC5CF6"/>
    <w:rsid w:val="00EC5D99"/>
    <w:rsid w:val="00EC6ADA"/>
    <w:rsid w:val="00EC7875"/>
    <w:rsid w:val="00EC7D41"/>
    <w:rsid w:val="00ED085A"/>
    <w:rsid w:val="00ED08F2"/>
    <w:rsid w:val="00ED6328"/>
    <w:rsid w:val="00EE38BA"/>
    <w:rsid w:val="00EE4D74"/>
    <w:rsid w:val="00EE549E"/>
    <w:rsid w:val="00EF22A1"/>
    <w:rsid w:val="00F00BC5"/>
    <w:rsid w:val="00F05EA7"/>
    <w:rsid w:val="00F14223"/>
    <w:rsid w:val="00F24019"/>
    <w:rsid w:val="00F27589"/>
    <w:rsid w:val="00F2794F"/>
    <w:rsid w:val="00F33E6D"/>
    <w:rsid w:val="00F360D2"/>
    <w:rsid w:val="00F43770"/>
    <w:rsid w:val="00F43F54"/>
    <w:rsid w:val="00F4510E"/>
    <w:rsid w:val="00F47ED5"/>
    <w:rsid w:val="00F51DEB"/>
    <w:rsid w:val="00F54523"/>
    <w:rsid w:val="00F57994"/>
    <w:rsid w:val="00F57F8C"/>
    <w:rsid w:val="00F613CC"/>
    <w:rsid w:val="00F627BE"/>
    <w:rsid w:val="00F667D9"/>
    <w:rsid w:val="00F70955"/>
    <w:rsid w:val="00F7135E"/>
    <w:rsid w:val="00F71CF4"/>
    <w:rsid w:val="00F71FE4"/>
    <w:rsid w:val="00F72A9B"/>
    <w:rsid w:val="00F74575"/>
    <w:rsid w:val="00F756D6"/>
    <w:rsid w:val="00F76A65"/>
    <w:rsid w:val="00F76AFF"/>
    <w:rsid w:val="00F81919"/>
    <w:rsid w:val="00F86A14"/>
    <w:rsid w:val="00F94804"/>
    <w:rsid w:val="00F95957"/>
    <w:rsid w:val="00F9715E"/>
    <w:rsid w:val="00FA371B"/>
    <w:rsid w:val="00FA465C"/>
    <w:rsid w:val="00FA4D20"/>
    <w:rsid w:val="00FA6B1E"/>
    <w:rsid w:val="00FA7448"/>
    <w:rsid w:val="00FB024D"/>
    <w:rsid w:val="00FB1787"/>
    <w:rsid w:val="00FC09E3"/>
    <w:rsid w:val="00FC259D"/>
    <w:rsid w:val="00FC44CB"/>
    <w:rsid w:val="00FC5F7C"/>
    <w:rsid w:val="00FC76CF"/>
    <w:rsid w:val="00FD2777"/>
    <w:rsid w:val="00FD3A05"/>
    <w:rsid w:val="00FD3C5B"/>
    <w:rsid w:val="00FD4BE2"/>
    <w:rsid w:val="00FD79E7"/>
    <w:rsid w:val="00FE12A9"/>
    <w:rsid w:val="00FE2653"/>
    <w:rsid w:val="00FE6FF4"/>
    <w:rsid w:val="00FF0DBF"/>
    <w:rsid w:val="00FF4989"/>
    <w:rsid w:val="00FF56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8001"/>
  <w15:docId w15:val="{6579BA52-ED88-48C6-BD3F-33951E2E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5F"/>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3C5F"/>
    <w:rPr>
      <w:sz w:val="16"/>
      <w:szCs w:val="16"/>
    </w:rPr>
  </w:style>
  <w:style w:type="paragraph" w:styleId="CommentText">
    <w:name w:val="annotation text"/>
    <w:basedOn w:val="Normal"/>
    <w:link w:val="CommentTextChar"/>
    <w:uiPriority w:val="99"/>
    <w:unhideWhenUsed/>
    <w:rsid w:val="001F3C5F"/>
    <w:pPr>
      <w:spacing w:line="240" w:lineRule="auto"/>
    </w:pPr>
    <w:rPr>
      <w:sz w:val="20"/>
      <w:szCs w:val="20"/>
    </w:rPr>
  </w:style>
  <w:style w:type="character" w:customStyle="1" w:styleId="CommentTextChar">
    <w:name w:val="Comment Text Char"/>
    <w:basedOn w:val="DefaultParagraphFont"/>
    <w:link w:val="CommentText"/>
    <w:uiPriority w:val="99"/>
    <w:rsid w:val="001F3C5F"/>
    <w:rPr>
      <w:sz w:val="20"/>
      <w:szCs w:val="20"/>
      <w:lang w:val="en-US"/>
    </w:rPr>
  </w:style>
  <w:style w:type="paragraph" w:styleId="CommentSubject">
    <w:name w:val="annotation subject"/>
    <w:basedOn w:val="CommentText"/>
    <w:next w:val="CommentText"/>
    <w:link w:val="CommentSubjectChar"/>
    <w:uiPriority w:val="99"/>
    <w:semiHidden/>
    <w:unhideWhenUsed/>
    <w:rsid w:val="00A85289"/>
    <w:rPr>
      <w:b/>
      <w:bCs/>
    </w:rPr>
  </w:style>
  <w:style w:type="character" w:customStyle="1" w:styleId="CommentSubjectChar">
    <w:name w:val="Comment Subject Char"/>
    <w:basedOn w:val="CommentTextChar"/>
    <w:link w:val="CommentSubject"/>
    <w:uiPriority w:val="99"/>
    <w:semiHidden/>
    <w:rsid w:val="00A85289"/>
    <w:rPr>
      <w:b/>
      <w:bCs/>
      <w:sz w:val="20"/>
      <w:szCs w:val="20"/>
      <w:lang w:val="en-US"/>
    </w:rPr>
  </w:style>
  <w:style w:type="paragraph" w:styleId="Revision">
    <w:name w:val="Revision"/>
    <w:hidden/>
    <w:uiPriority w:val="99"/>
    <w:semiHidden/>
    <w:rsid w:val="009B1A54"/>
    <w:pPr>
      <w:spacing w:after="0" w:line="240" w:lineRule="auto"/>
    </w:pPr>
    <w:rPr>
      <w:lang w:val="en-US"/>
    </w:rPr>
  </w:style>
  <w:style w:type="table" w:styleId="TableGrid">
    <w:name w:val="Table Grid"/>
    <w:basedOn w:val="TableNormal"/>
    <w:uiPriority w:val="39"/>
    <w:rsid w:val="004123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386"/>
    <w:rPr>
      <w:lang w:val="en-US"/>
    </w:rPr>
  </w:style>
  <w:style w:type="paragraph" w:styleId="Footer">
    <w:name w:val="footer"/>
    <w:basedOn w:val="Normal"/>
    <w:link w:val="FooterChar"/>
    <w:uiPriority w:val="99"/>
    <w:unhideWhenUsed/>
    <w:rsid w:val="00825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386"/>
    <w:rPr>
      <w:lang w:val="en-US"/>
    </w:rPr>
  </w:style>
  <w:style w:type="character" w:customStyle="1" w:styleId="gmaildefault">
    <w:name w:val="gmail_default"/>
    <w:basedOn w:val="DefaultParagraphFont"/>
    <w:rsid w:val="00B65FA8"/>
  </w:style>
  <w:style w:type="paragraph" w:styleId="BalloonText">
    <w:name w:val="Balloon Text"/>
    <w:basedOn w:val="Normal"/>
    <w:link w:val="BalloonTextChar"/>
    <w:uiPriority w:val="99"/>
    <w:semiHidden/>
    <w:unhideWhenUsed/>
    <w:rsid w:val="00A366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3664A"/>
    <w:rPr>
      <w:rFonts w:ascii="Tahoma" w:hAnsi="Tahoma" w:cs="Tahoma"/>
      <w:sz w:val="18"/>
      <w:szCs w:val="18"/>
      <w:lang w:val="en-US"/>
    </w:rPr>
  </w:style>
  <w:style w:type="character" w:styleId="Hyperlink">
    <w:name w:val="Hyperlink"/>
    <w:basedOn w:val="DefaultParagraphFont"/>
    <w:uiPriority w:val="99"/>
    <w:unhideWhenUsed/>
    <w:rsid w:val="00656916"/>
    <w:rPr>
      <w:color w:val="0563C1" w:themeColor="hyperlink"/>
      <w:u w:val="single"/>
    </w:rPr>
  </w:style>
  <w:style w:type="character" w:styleId="UnresolvedMention">
    <w:name w:val="Unresolved Mention"/>
    <w:basedOn w:val="DefaultParagraphFont"/>
    <w:uiPriority w:val="99"/>
    <w:semiHidden/>
    <w:unhideWhenUsed/>
    <w:rsid w:val="00656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89068">
      <w:bodyDiv w:val="1"/>
      <w:marLeft w:val="0"/>
      <w:marRight w:val="0"/>
      <w:marTop w:val="0"/>
      <w:marBottom w:val="0"/>
      <w:divBdr>
        <w:top w:val="none" w:sz="0" w:space="0" w:color="auto"/>
        <w:left w:val="none" w:sz="0" w:space="0" w:color="auto"/>
        <w:bottom w:val="none" w:sz="0" w:space="0" w:color="auto"/>
        <w:right w:val="none" w:sz="0" w:space="0" w:color="auto"/>
      </w:divBdr>
    </w:div>
    <w:div w:id="581643924">
      <w:bodyDiv w:val="1"/>
      <w:marLeft w:val="0"/>
      <w:marRight w:val="0"/>
      <w:marTop w:val="0"/>
      <w:marBottom w:val="0"/>
      <w:divBdr>
        <w:top w:val="none" w:sz="0" w:space="0" w:color="auto"/>
        <w:left w:val="none" w:sz="0" w:space="0" w:color="auto"/>
        <w:bottom w:val="none" w:sz="0" w:space="0" w:color="auto"/>
        <w:right w:val="none" w:sz="0" w:space="0" w:color="auto"/>
      </w:divBdr>
    </w:div>
    <w:div w:id="611865535">
      <w:bodyDiv w:val="1"/>
      <w:marLeft w:val="0"/>
      <w:marRight w:val="0"/>
      <w:marTop w:val="0"/>
      <w:marBottom w:val="0"/>
      <w:divBdr>
        <w:top w:val="none" w:sz="0" w:space="0" w:color="auto"/>
        <w:left w:val="none" w:sz="0" w:space="0" w:color="auto"/>
        <w:bottom w:val="none" w:sz="0" w:space="0" w:color="auto"/>
        <w:right w:val="none" w:sz="0" w:space="0" w:color="auto"/>
      </w:divBdr>
    </w:div>
    <w:div w:id="630594632">
      <w:bodyDiv w:val="1"/>
      <w:marLeft w:val="0"/>
      <w:marRight w:val="0"/>
      <w:marTop w:val="0"/>
      <w:marBottom w:val="0"/>
      <w:divBdr>
        <w:top w:val="none" w:sz="0" w:space="0" w:color="auto"/>
        <w:left w:val="none" w:sz="0" w:space="0" w:color="auto"/>
        <w:bottom w:val="none" w:sz="0" w:space="0" w:color="auto"/>
        <w:right w:val="none" w:sz="0" w:space="0" w:color="auto"/>
      </w:divBdr>
    </w:div>
    <w:div w:id="1217547736">
      <w:bodyDiv w:val="1"/>
      <w:marLeft w:val="0"/>
      <w:marRight w:val="0"/>
      <w:marTop w:val="0"/>
      <w:marBottom w:val="0"/>
      <w:divBdr>
        <w:top w:val="none" w:sz="0" w:space="0" w:color="auto"/>
        <w:left w:val="none" w:sz="0" w:space="0" w:color="auto"/>
        <w:bottom w:val="none" w:sz="0" w:space="0" w:color="auto"/>
        <w:right w:val="none" w:sz="0" w:space="0" w:color="auto"/>
      </w:divBdr>
    </w:div>
    <w:div w:id="1383938612">
      <w:bodyDiv w:val="1"/>
      <w:marLeft w:val="0"/>
      <w:marRight w:val="0"/>
      <w:marTop w:val="0"/>
      <w:marBottom w:val="0"/>
      <w:divBdr>
        <w:top w:val="none" w:sz="0" w:space="0" w:color="auto"/>
        <w:left w:val="none" w:sz="0" w:space="0" w:color="auto"/>
        <w:bottom w:val="none" w:sz="0" w:space="0" w:color="auto"/>
        <w:right w:val="none" w:sz="0" w:space="0" w:color="auto"/>
      </w:divBdr>
    </w:div>
    <w:div w:id="1483935120">
      <w:bodyDiv w:val="1"/>
      <w:marLeft w:val="0"/>
      <w:marRight w:val="0"/>
      <w:marTop w:val="0"/>
      <w:marBottom w:val="0"/>
      <w:divBdr>
        <w:top w:val="none" w:sz="0" w:space="0" w:color="auto"/>
        <w:left w:val="none" w:sz="0" w:space="0" w:color="auto"/>
        <w:bottom w:val="none" w:sz="0" w:space="0" w:color="auto"/>
        <w:right w:val="none" w:sz="0" w:space="0" w:color="auto"/>
      </w:divBdr>
    </w:div>
    <w:div w:id="1537236580">
      <w:bodyDiv w:val="1"/>
      <w:marLeft w:val="0"/>
      <w:marRight w:val="0"/>
      <w:marTop w:val="0"/>
      <w:marBottom w:val="0"/>
      <w:divBdr>
        <w:top w:val="none" w:sz="0" w:space="0" w:color="auto"/>
        <w:left w:val="none" w:sz="0" w:space="0" w:color="auto"/>
        <w:bottom w:val="none" w:sz="0" w:space="0" w:color="auto"/>
        <w:right w:val="none" w:sz="0" w:space="0" w:color="auto"/>
      </w:divBdr>
    </w:div>
    <w:div w:id="1669744270">
      <w:bodyDiv w:val="1"/>
      <w:marLeft w:val="0"/>
      <w:marRight w:val="0"/>
      <w:marTop w:val="0"/>
      <w:marBottom w:val="0"/>
      <w:divBdr>
        <w:top w:val="none" w:sz="0" w:space="0" w:color="auto"/>
        <w:left w:val="none" w:sz="0" w:space="0" w:color="auto"/>
        <w:bottom w:val="none" w:sz="0" w:space="0" w:color="auto"/>
        <w:right w:val="none" w:sz="0" w:space="0" w:color="auto"/>
      </w:divBdr>
    </w:div>
    <w:div w:id="172729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E82FD6-ADAB-4975-925D-59029488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21123</Words>
  <Characters>105620</Characters>
  <Application>Microsoft Office Word</Application>
  <DocSecurity>0</DocSecurity>
  <Lines>880</Lines>
  <Paragraphs>252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Shoham Rigbi</dc:creator>
  <cp:keywords/>
  <dc:description/>
  <cp:lastModifiedBy>מרב פרנקל</cp:lastModifiedBy>
  <cp:revision>2</cp:revision>
  <cp:lastPrinted>2021-10-28T21:00:00Z</cp:lastPrinted>
  <dcterms:created xsi:type="dcterms:W3CDTF">2022-04-18T05:41:00Z</dcterms:created>
  <dcterms:modified xsi:type="dcterms:W3CDTF">2022-04-18T05:41:00Z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000d04ae-5c14-3ba1-9fdf-fd061595a146</vt:lpwstr>
  </property>
  <property fmtid="{D5CDD505-2E9C-101B-9397-08002B2CF9AE}" pid="24" name="Mendeley Citation Style_1">
    <vt:lpwstr>http://www.zotero.org/styles/vancouver</vt:lpwstr>
  </property>
</Properties>
</file>